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浙江工业大学精密设备室七氟丙烷气体灭火系统改造工程</w:t>
      </w:r>
    </w:p>
    <w:bookmarkEnd w:id="1"/>
    <w:p w14:paraId="6CE421BB">
      <w:pPr>
        <w:autoSpaceDN w:val="0"/>
        <w:adjustRightInd w:val="0"/>
        <w:snapToGrid w:val="0"/>
        <w:spacing w:line="48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3"/>
        <w:snapToGrid w:val="0"/>
        <w:spacing w:after="0" w:line="480" w:lineRule="auto"/>
        <w:ind w:left="0" w:leftChars="0" w:firstLine="0" w:firstLineChars="0"/>
        <w:jc w:val="center"/>
        <w:rPr>
          <w:rFonts w:ascii="宋体" w:hAnsi="宋体" w:cs="宋体"/>
          <w:color w:val="auto"/>
          <w:highlight w:val="none"/>
        </w:rPr>
      </w:pPr>
      <w:r>
        <w:rPr>
          <w:rFonts w:hint="eastAsia" w:ascii="宋体" w:hAnsi="宋体" w:cs="宋体"/>
          <w:b/>
          <w:color w:val="auto"/>
          <w:sz w:val="44"/>
          <w:szCs w:val="44"/>
          <w:highlight w:val="none"/>
        </w:rPr>
        <w:t>（电子交易）</w:t>
      </w:r>
    </w:p>
    <w:p w14:paraId="30401510">
      <w:pPr>
        <w:autoSpaceDN w:val="0"/>
        <w:snapToGrid w:val="0"/>
        <w:spacing w:line="480" w:lineRule="auto"/>
        <w:ind w:firstLine="301"/>
        <w:jc w:val="center"/>
        <w:rPr>
          <w:rFonts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项目编号：HSZB-2025-387</w:t>
      </w:r>
    </w:p>
    <w:p w14:paraId="7D0D5024">
      <w:pPr>
        <w:autoSpaceDN w:val="0"/>
        <w:spacing w:line="200" w:lineRule="exact"/>
        <w:ind w:firstLine="301"/>
        <w:rPr>
          <w:rFonts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ascii="宋体" w:hAnsi="宋体" w:eastAsia="宋体" w:cs="宋体"/>
          <w:b/>
          <w:bCs/>
          <w:color w:val="auto"/>
          <w:sz w:val="28"/>
          <w:szCs w:val="28"/>
          <w:highlight w:val="none"/>
        </w:rPr>
      </w:pPr>
    </w:p>
    <w:p w14:paraId="4F11C1C1">
      <w:pPr>
        <w:pStyle w:val="79"/>
        <w:rPr>
          <w:rFonts w:ascii="宋体" w:hAnsi="宋体" w:cs="宋体"/>
          <w:b/>
          <w:bCs/>
          <w:color w:val="auto"/>
          <w:sz w:val="28"/>
          <w:szCs w:val="28"/>
          <w:highlight w:val="none"/>
        </w:rPr>
      </w:pPr>
    </w:p>
    <w:p w14:paraId="1A39B866">
      <w:pPr>
        <w:pStyle w:val="79"/>
        <w:rPr>
          <w:rFonts w:ascii="宋体" w:hAnsi="宋体" w:cs="宋体"/>
          <w:b/>
          <w:bCs/>
          <w:color w:val="auto"/>
          <w:sz w:val="28"/>
          <w:szCs w:val="28"/>
          <w:highlight w:val="none"/>
        </w:rPr>
      </w:pPr>
    </w:p>
    <w:p w14:paraId="2F8905AC">
      <w:pPr>
        <w:pStyle w:val="79"/>
        <w:rPr>
          <w:rFonts w:ascii="宋体" w:hAnsi="宋体" w:cs="宋体"/>
          <w:b/>
          <w:bCs/>
          <w:color w:val="auto"/>
          <w:sz w:val="28"/>
          <w:szCs w:val="28"/>
          <w:highlight w:val="none"/>
        </w:rPr>
      </w:pPr>
    </w:p>
    <w:p w14:paraId="742584FA">
      <w:pPr>
        <w:pStyle w:val="79"/>
        <w:rPr>
          <w:rFonts w:ascii="宋体" w:hAnsi="宋体" w:cs="宋体"/>
          <w:b/>
          <w:bCs/>
          <w:color w:val="auto"/>
          <w:sz w:val="28"/>
          <w:szCs w:val="28"/>
          <w:highlight w:val="none"/>
        </w:rPr>
      </w:pPr>
    </w:p>
    <w:p w14:paraId="6EE947C5">
      <w:pPr>
        <w:pStyle w:val="79"/>
        <w:rPr>
          <w:rFonts w:ascii="宋体" w:hAnsi="宋体" w:cs="宋体"/>
          <w:b/>
          <w:bCs/>
          <w:color w:val="auto"/>
          <w:sz w:val="28"/>
          <w:szCs w:val="28"/>
          <w:highlight w:val="none"/>
        </w:rPr>
      </w:pPr>
    </w:p>
    <w:p w14:paraId="385A24BC">
      <w:pPr>
        <w:pStyle w:val="79"/>
        <w:rPr>
          <w:rFonts w:ascii="宋体" w:hAnsi="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4786"/>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4786" w:type="dxa"/>
            <w:vAlign w:val="center"/>
          </w:tcPr>
          <w:p w14:paraId="38507DC8">
            <w:pPr>
              <w:widowControl/>
              <w:autoSpaceDN w:val="0"/>
              <w:adjustRightInd w:val="0"/>
              <w:snapToGrid w:val="0"/>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HSZB-2025-387</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831" w:type="dxa"/>
            <w:vAlign w:val="center"/>
          </w:tcPr>
          <w:p w14:paraId="64C985DC">
            <w:pPr>
              <w:widowControl/>
              <w:autoSpaceDN w:val="0"/>
              <w:adjustRightInd w:val="0"/>
              <w:snapToGrid w:val="0"/>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4786" w:type="dxa"/>
            <w:vAlign w:val="center"/>
          </w:tcPr>
          <w:p w14:paraId="242ED055">
            <w:pPr>
              <w:widowControl/>
              <w:autoSpaceDN w:val="0"/>
              <w:adjustRightInd w:val="0"/>
              <w:snapToGrid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kern w:val="0"/>
                <w:sz w:val="28"/>
                <w:szCs w:val="28"/>
                <w:highlight w:val="none"/>
                <w:lang w:eastAsia="zh-CN"/>
              </w:rPr>
              <w:t>浙江工业大学精密设备室七氟丙烷气体灭火系统改造工程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4786" w:type="dxa"/>
            <w:vAlign w:val="center"/>
          </w:tcPr>
          <w:p w14:paraId="7FA5507D">
            <w:pPr>
              <w:widowControl/>
              <w:autoSpaceDN w:val="0"/>
              <w:adjustRightInd w:val="0"/>
              <w:snapToGrid w:val="0"/>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4786" w:type="dxa"/>
            <w:vAlign w:val="center"/>
          </w:tcPr>
          <w:p w14:paraId="388076FD">
            <w:pPr>
              <w:widowControl/>
              <w:autoSpaceDN w:val="0"/>
              <w:adjustRightInd w:val="0"/>
              <w:snapToGrid w:val="0"/>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14:paraId="04AB98A7">
            <w:pPr>
              <w:widowControl/>
              <w:autoSpaceDN w:val="0"/>
              <w:adjustRightInd w:val="0"/>
              <w:snapToGrid w:val="0"/>
              <w:spacing w:line="480" w:lineRule="auto"/>
              <w:jc w:val="center"/>
              <w:rPr>
                <w:rFonts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2025年04月</w:t>
            </w:r>
            <w:r>
              <w:rPr>
                <w:rFonts w:hint="eastAsia" w:ascii="宋体" w:hAnsi="宋体" w:eastAsia="宋体" w:cs="宋体"/>
                <w:b/>
                <w:color w:val="auto"/>
                <w:sz w:val="28"/>
                <w:szCs w:val="28"/>
                <w:highlight w:val="none"/>
                <w:lang w:val="en-US" w:eastAsia="zh-CN"/>
              </w:rPr>
              <w:t>18</w:t>
            </w:r>
            <w:r>
              <w:rPr>
                <w:rFonts w:hint="eastAsia" w:ascii="宋体" w:hAnsi="宋体" w:eastAsia="宋体" w:cs="宋体"/>
                <w:b/>
                <w:color w:val="auto"/>
                <w:sz w:val="28"/>
                <w:szCs w:val="28"/>
                <w:highlight w:val="none"/>
              </w:rPr>
              <w:t>日</w:t>
            </w:r>
          </w:p>
        </w:tc>
      </w:tr>
    </w:tbl>
    <w:p w14:paraId="01D43C38">
      <w:pPr>
        <w:pStyle w:val="79"/>
        <w:spacing w:line="480" w:lineRule="auto"/>
        <w:rPr>
          <w:rFonts w:ascii="宋体" w:hAnsi="宋体" w:cs="宋体"/>
          <w:b/>
          <w:color w:val="auto"/>
          <w:kern w:val="2"/>
          <w:sz w:val="32"/>
          <w:szCs w:val="32"/>
          <w:highlight w:val="none"/>
        </w:rPr>
        <w:sectPr>
          <w:headerReference r:id="rId3" w:type="default"/>
          <w:footerReference r:id="rId4" w:type="default"/>
          <w:pgSz w:w="11905" w:h="16838"/>
          <w:pgMar w:top="1417" w:right="1417" w:bottom="1417" w:left="1417" w:header="851" w:footer="992" w:gutter="0"/>
          <w:cols w:space="0" w:num="1"/>
          <w:titlePg/>
        </w:sectPr>
      </w:pPr>
    </w:p>
    <w:p w14:paraId="61F0AACF">
      <w:pPr>
        <w:autoSpaceDN w:val="0"/>
        <w:snapToGrid w:val="0"/>
        <w:spacing w:before="120" w:beforeLines="50" w:after="120" w:afterLines="50" w:line="360" w:lineRule="auto"/>
        <w:jc w:val="center"/>
        <w:rPr>
          <w:rFonts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TOC \o "1-2" \h \z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"_Toc23867" </w:instrText>
      </w:r>
      <w:r>
        <w:rPr>
          <w:color w:val="auto"/>
          <w:highlight w:val="none"/>
        </w:rPr>
        <w:fldChar w:fldCharType="separate"/>
      </w:r>
      <w:r>
        <w:rPr>
          <w:rFonts w:hint="eastAsia" w:ascii="宋体" w:hAnsi="宋体" w:cs="宋体"/>
          <w:color w:val="auto"/>
          <w:kern w:val="0"/>
          <w:sz w:val="24"/>
          <w:highlight w:val="none"/>
        </w:rPr>
        <w:t>第一部分 竞争性磋商公告</w:t>
      </w:r>
      <w:r>
        <w:rPr>
          <w:color w:val="auto"/>
          <w:sz w:val="24"/>
          <w:highlight w:val="none"/>
        </w:rPr>
        <w:tab/>
      </w:r>
      <w:r>
        <w:rPr>
          <w:color w:val="auto"/>
          <w:sz w:val="24"/>
          <w:highlight w:val="none"/>
        </w:rPr>
        <w:fldChar w:fldCharType="begin"/>
      </w:r>
      <w:r>
        <w:rPr>
          <w:color w:val="auto"/>
          <w:sz w:val="24"/>
          <w:highlight w:val="none"/>
        </w:rPr>
        <w:instrText xml:space="preserve"> PAGEREF _Toc23867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14:paraId="0C7764E4">
      <w:pPr>
        <w:pStyle w:val="40"/>
        <w:tabs>
          <w:tab w:val="right" w:leader="dot" w:pos="9071"/>
        </w:tabs>
        <w:spacing w:line="480" w:lineRule="auto"/>
        <w:rPr>
          <w:color w:val="auto"/>
          <w:sz w:val="24"/>
          <w:highlight w:val="none"/>
        </w:rPr>
      </w:pPr>
      <w:r>
        <w:rPr>
          <w:color w:val="auto"/>
          <w:highlight w:val="none"/>
        </w:rPr>
        <w:fldChar w:fldCharType="begin"/>
      </w:r>
      <w:r>
        <w:rPr>
          <w:color w:val="auto"/>
          <w:highlight w:val="none"/>
        </w:rPr>
        <w:instrText xml:space="preserve"> HYPERLINK \l "_Toc9091" </w:instrText>
      </w:r>
      <w:r>
        <w:rPr>
          <w:color w:val="auto"/>
          <w:highlight w:val="none"/>
        </w:rPr>
        <w:fldChar w:fldCharType="separate"/>
      </w:r>
      <w:r>
        <w:rPr>
          <w:rFonts w:hint="eastAsia" w:ascii="宋体" w:hAnsi="宋体" w:cs="宋体"/>
          <w:color w:val="auto"/>
          <w:spacing w:val="-4"/>
          <w:kern w:val="0"/>
          <w:sz w:val="24"/>
          <w:highlight w:val="none"/>
        </w:rPr>
        <w:t>第二部分 供应商须知</w:t>
      </w:r>
      <w:r>
        <w:rPr>
          <w:color w:val="auto"/>
          <w:sz w:val="24"/>
          <w:highlight w:val="none"/>
        </w:rPr>
        <w:tab/>
      </w:r>
      <w:r>
        <w:rPr>
          <w:color w:val="auto"/>
          <w:sz w:val="24"/>
          <w:highlight w:val="none"/>
        </w:rPr>
        <w:fldChar w:fldCharType="begin"/>
      </w:r>
      <w:r>
        <w:rPr>
          <w:color w:val="auto"/>
          <w:sz w:val="24"/>
          <w:highlight w:val="none"/>
        </w:rPr>
        <w:instrText xml:space="preserve"> PAGEREF _Toc9091 \h </w:instrText>
      </w:r>
      <w:r>
        <w:rPr>
          <w:color w:val="auto"/>
          <w:sz w:val="24"/>
          <w:highlight w:val="none"/>
        </w:rPr>
        <w:fldChar w:fldCharType="separate"/>
      </w:r>
      <w:r>
        <w:rPr>
          <w:color w:val="auto"/>
          <w:sz w:val="24"/>
          <w:highlight w:val="none"/>
        </w:rPr>
        <w:t>8</w:t>
      </w:r>
      <w:r>
        <w:rPr>
          <w:color w:val="auto"/>
          <w:sz w:val="24"/>
          <w:highlight w:val="none"/>
        </w:rPr>
        <w:fldChar w:fldCharType="end"/>
      </w:r>
      <w:r>
        <w:rPr>
          <w:color w:val="auto"/>
          <w:sz w:val="24"/>
          <w:highlight w:val="none"/>
        </w:rPr>
        <w:fldChar w:fldCharType="end"/>
      </w:r>
    </w:p>
    <w:p w14:paraId="4606E63C">
      <w:pPr>
        <w:pStyle w:val="40"/>
        <w:tabs>
          <w:tab w:val="right" w:leader="dot" w:pos="9071"/>
        </w:tabs>
        <w:spacing w:line="480" w:lineRule="auto"/>
        <w:rPr>
          <w:color w:val="auto"/>
          <w:sz w:val="24"/>
          <w:highlight w:val="none"/>
        </w:rPr>
      </w:pPr>
      <w:r>
        <w:rPr>
          <w:color w:val="auto"/>
          <w:highlight w:val="none"/>
        </w:rPr>
        <w:fldChar w:fldCharType="begin"/>
      </w:r>
      <w:r>
        <w:rPr>
          <w:color w:val="auto"/>
          <w:highlight w:val="none"/>
        </w:rPr>
        <w:instrText xml:space="preserve"> HYPERLINK \l "_Toc16075" </w:instrText>
      </w:r>
      <w:r>
        <w:rPr>
          <w:color w:val="auto"/>
          <w:highlight w:val="none"/>
        </w:rPr>
        <w:fldChar w:fldCharType="separate"/>
      </w:r>
      <w:r>
        <w:rPr>
          <w:rFonts w:hint="eastAsia" w:ascii="宋体" w:hAnsi="宋体" w:cs="宋体"/>
          <w:color w:val="auto"/>
          <w:kern w:val="0"/>
          <w:sz w:val="24"/>
          <w:highlight w:val="none"/>
        </w:rPr>
        <w:t>第三部分 采购需求</w:t>
      </w:r>
      <w:r>
        <w:rPr>
          <w:color w:val="auto"/>
          <w:sz w:val="24"/>
          <w:highlight w:val="none"/>
        </w:rPr>
        <w:tab/>
      </w:r>
      <w:r>
        <w:rPr>
          <w:color w:val="auto"/>
          <w:sz w:val="24"/>
          <w:highlight w:val="none"/>
        </w:rPr>
        <w:fldChar w:fldCharType="begin"/>
      </w:r>
      <w:r>
        <w:rPr>
          <w:color w:val="auto"/>
          <w:sz w:val="24"/>
          <w:highlight w:val="none"/>
        </w:rPr>
        <w:instrText xml:space="preserve"> PAGEREF _Toc16075 \h </w:instrText>
      </w:r>
      <w:r>
        <w:rPr>
          <w:color w:val="auto"/>
          <w:sz w:val="24"/>
          <w:highlight w:val="none"/>
        </w:rPr>
        <w:fldChar w:fldCharType="separate"/>
      </w:r>
      <w:r>
        <w:rPr>
          <w:color w:val="auto"/>
          <w:sz w:val="24"/>
          <w:highlight w:val="none"/>
        </w:rPr>
        <w:t>27</w:t>
      </w:r>
      <w:r>
        <w:rPr>
          <w:color w:val="auto"/>
          <w:sz w:val="24"/>
          <w:highlight w:val="none"/>
        </w:rPr>
        <w:fldChar w:fldCharType="end"/>
      </w:r>
      <w:r>
        <w:rPr>
          <w:color w:val="auto"/>
          <w:sz w:val="24"/>
          <w:highlight w:val="none"/>
        </w:rPr>
        <w:fldChar w:fldCharType="end"/>
      </w:r>
    </w:p>
    <w:p w14:paraId="72F6C06C">
      <w:pPr>
        <w:pStyle w:val="40"/>
        <w:tabs>
          <w:tab w:val="right" w:leader="dot" w:pos="9071"/>
        </w:tabs>
        <w:spacing w:line="480" w:lineRule="auto"/>
        <w:rPr>
          <w:color w:val="auto"/>
          <w:sz w:val="24"/>
          <w:highlight w:val="none"/>
        </w:rPr>
      </w:pPr>
      <w:r>
        <w:rPr>
          <w:color w:val="auto"/>
          <w:highlight w:val="none"/>
        </w:rPr>
        <w:fldChar w:fldCharType="begin"/>
      </w:r>
      <w:r>
        <w:rPr>
          <w:color w:val="auto"/>
          <w:highlight w:val="none"/>
        </w:rPr>
        <w:instrText xml:space="preserve"> HYPERLINK \l "_Toc24558" </w:instrText>
      </w:r>
      <w:r>
        <w:rPr>
          <w:color w:val="auto"/>
          <w:highlight w:val="none"/>
        </w:rPr>
        <w:fldChar w:fldCharType="separate"/>
      </w:r>
      <w:r>
        <w:rPr>
          <w:rFonts w:hint="eastAsia" w:ascii="宋体" w:hAnsi="宋体" w:cs="宋体"/>
          <w:color w:val="auto"/>
          <w:sz w:val="24"/>
          <w:highlight w:val="none"/>
        </w:rPr>
        <w:t>第四部分 评标标准</w:t>
      </w:r>
      <w:r>
        <w:rPr>
          <w:color w:val="auto"/>
          <w:sz w:val="24"/>
          <w:highlight w:val="none"/>
        </w:rPr>
        <w:tab/>
      </w:r>
      <w:r>
        <w:rPr>
          <w:color w:val="auto"/>
          <w:sz w:val="24"/>
          <w:highlight w:val="none"/>
        </w:rPr>
        <w:fldChar w:fldCharType="begin"/>
      </w:r>
      <w:r>
        <w:rPr>
          <w:color w:val="auto"/>
          <w:sz w:val="24"/>
          <w:highlight w:val="none"/>
        </w:rPr>
        <w:instrText xml:space="preserve"> PAGEREF _Toc24558 \h </w:instrText>
      </w:r>
      <w:r>
        <w:rPr>
          <w:color w:val="auto"/>
          <w:sz w:val="24"/>
          <w:highlight w:val="none"/>
        </w:rPr>
        <w:fldChar w:fldCharType="separate"/>
      </w:r>
      <w:r>
        <w:rPr>
          <w:color w:val="auto"/>
          <w:sz w:val="24"/>
          <w:highlight w:val="none"/>
        </w:rPr>
        <w:t>34</w:t>
      </w:r>
      <w:r>
        <w:rPr>
          <w:color w:val="auto"/>
          <w:sz w:val="24"/>
          <w:highlight w:val="none"/>
        </w:rPr>
        <w:fldChar w:fldCharType="end"/>
      </w:r>
      <w:r>
        <w:rPr>
          <w:color w:val="auto"/>
          <w:sz w:val="24"/>
          <w:highlight w:val="none"/>
        </w:rPr>
        <w:fldChar w:fldCharType="end"/>
      </w:r>
    </w:p>
    <w:p w14:paraId="066BE472">
      <w:pPr>
        <w:pStyle w:val="40"/>
        <w:tabs>
          <w:tab w:val="right" w:leader="dot" w:pos="9071"/>
        </w:tabs>
        <w:spacing w:line="480" w:lineRule="auto"/>
        <w:rPr>
          <w:color w:val="auto"/>
          <w:sz w:val="24"/>
          <w:highlight w:val="none"/>
        </w:rPr>
      </w:pPr>
      <w:r>
        <w:rPr>
          <w:color w:val="auto"/>
          <w:highlight w:val="none"/>
        </w:rPr>
        <w:fldChar w:fldCharType="begin"/>
      </w:r>
      <w:r>
        <w:rPr>
          <w:color w:val="auto"/>
          <w:highlight w:val="none"/>
        </w:rPr>
        <w:instrText xml:space="preserve"> HYPERLINK \l "_Toc3891" </w:instrText>
      </w:r>
      <w:r>
        <w:rPr>
          <w:color w:val="auto"/>
          <w:highlight w:val="none"/>
        </w:rPr>
        <w:fldChar w:fldCharType="separate"/>
      </w:r>
      <w:r>
        <w:rPr>
          <w:rFonts w:hint="eastAsia" w:ascii="宋体" w:hAnsi="宋体" w:cs="宋体"/>
          <w:color w:val="auto"/>
          <w:sz w:val="24"/>
          <w:highlight w:val="none"/>
        </w:rPr>
        <w:t>第五部分 合同</w:t>
      </w:r>
      <w:r>
        <w:rPr>
          <w:color w:val="auto"/>
          <w:sz w:val="24"/>
          <w:highlight w:val="none"/>
        </w:rPr>
        <w:tab/>
      </w:r>
      <w:r>
        <w:rPr>
          <w:color w:val="auto"/>
          <w:sz w:val="24"/>
          <w:highlight w:val="none"/>
        </w:rPr>
        <w:fldChar w:fldCharType="begin"/>
      </w:r>
      <w:r>
        <w:rPr>
          <w:color w:val="auto"/>
          <w:sz w:val="24"/>
          <w:highlight w:val="none"/>
        </w:rPr>
        <w:instrText xml:space="preserve"> PAGEREF _Toc3891 \h </w:instrText>
      </w:r>
      <w:r>
        <w:rPr>
          <w:color w:val="auto"/>
          <w:sz w:val="24"/>
          <w:highlight w:val="none"/>
        </w:rPr>
        <w:fldChar w:fldCharType="separate"/>
      </w:r>
      <w:r>
        <w:rPr>
          <w:color w:val="auto"/>
          <w:sz w:val="24"/>
          <w:highlight w:val="none"/>
        </w:rPr>
        <w:t>42</w:t>
      </w:r>
      <w:r>
        <w:rPr>
          <w:color w:val="auto"/>
          <w:sz w:val="24"/>
          <w:highlight w:val="none"/>
        </w:rPr>
        <w:fldChar w:fldCharType="end"/>
      </w:r>
      <w:r>
        <w:rPr>
          <w:color w:val="auto"/>
          <w:sz w:val="24"/>
          <w:highlight w:val="none"/>
        </w:rPr>
        <w:fldChar w:fldCharType="end"/>
      </w:r>
    </w:p>
    <w:p w14:paraId="2C8840D1">
      <w:pPr>
        <w:pStyle w:val="40"/>
        <w:tabs>
          <w:tab w:val="right" w:leader="dot" w:pos="9071"/>
        </w:tabs>
        <w:spacing w:line="480" w:lineRule="auto"/>
        <w:rPr>
          <w:color w:val="auto"/>
          <w:sz w:val="24"/>
          <w:highlight w:val="none"/>
        </w:rPr>
      </w:pPr>
      <w:r>
        <w:rPr>
          <w:color w:val="auto"/>
          <w:highlight w:val="none"/>
        </w:rPr>
        <w:fldChar w:fldCharType="begin"/>
      </w:r>
      <w:r>
        <w:rPr>
          <w:color w:val="auto"/>
          <w:highlight w:val="none"/>
        </w:rPr>
        <w:instrText xml:space="preserve"> HYPERLINK \l "_Toc3418" </w:instrText>
      </w:r>
      <w:r>
        <w:rPr>
          <w:color w:val="auto"/>
          <w:highlight w:val="none"/>
        </w:rPr>
        <w:fldChar w:fldCharType="separate"/>
      </w:r>
      <w:r>
        <w:rPr>
          <w:rFonts w:hint="eastAsia" w:ascii="宋体" w:hAnsi="宋体" w:cs="宋体"/>
          <w:color w:val="auto"/>
          <w:sz w:val="24"/>
          <w:highlight w:val="none"/>
        </w:rPr>
        <w:t>第六部分 响应文件格式</w:t>
      </w:r>
      <w:r>
        <w:rPr>
          <w:color w:val="auto"/>
          <w:sz w:val="24"/>
          <w:highlight w:val="none"/>
        </w:rPr>
        <w:tab/>
      </w:r>
      <w:r>
        <w:rPr>
          <w:color w:val="auto"/>
          <w:sz w:val="24"/>
          <w:highlight w:val="none"/>
        </w:rPr>
        <w:fldChar w:fldCharType="begin"/>
      </w:r>
      <w:r>
        <w:rPr>
          <w:color w:val="auto"/>
          <w:sz w:val="24"/>
          <w:highlight w:val="none"/>
        </w:rPr>
        <w:instrText xml:space="preserve"> PAGEREF _Toc3418 \h </w:instrText>
      </w:r>
      <w:r>
        <w:rPr>
          <w:color w:val="auto"/>
          <w:sz w:val="24"/>
          <w:highlight w:val="none"/>
        </w:rPr>
        <w:fldChar w:fldCharType="separate"/>
      </w:r>
      <w:r>
        <w:rPr>
          <w:color w:val="auto"/>
          <w:sz w:val="24"/>
          <w:highlight w:val="none"/>
        </w:rPr>
        <w:t>69</w:t>
      </w:r>
      <w:r>
        <w:rPr>
          <w:color w:val="auto"/>
          <w:sz w:val="24"/>
          <w:highlight w:val="none"/>
        </w:rPr>
        <w:fldChar w:fldCharType="end"/>
      </w:r>
      <w:r>
        <w:rPr>
          <w:color w:val="auto"/>
          <w:sz w:val="24"/>
          <w:highlight w:val="none"/>
        </w:rPr>
        <w:fldChar w:fldCharType="end"/>
      </w:r>
    </w:p>
    <w:p w14:paraId="59639CD7">
      <w:pPr>
        <w:autoSpaceDN w:val="0"/>
        <w:adjustRightInd w:val="0"/>
        <w:snapToGrid w:val="0"/>
        <w:spacing w:before="120" w:beforeLines="50" w:after="120" w:afterLines="50" w:line="480" w:lineRule="auto"/>
        <w:jc w:val="center"/>
        <w:outlineLvl w:val="0"/>
        <w:rPr>
          <w:rFonts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rPr>
        <w:t>第一部分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浙江工业大学精密设备室七氟丙烷气体灭火系统改造工程</w:t>
      </w:r>
      <w:r>
        <w:rPr>
          <w:rFonts w:hint="eastAsia" w:ascii="宋体" w:hAnsi="宋体" w:eastAsia="宋体" w:cs="宋体"/>
          <w:color w:val="auto"/>
          <w:spacing w:val="-4"/>
          <w:kern w:val="0"/>
          <w:sz w:val="24"/>
          <w:szCs w:val="24"/>
          <w:highlight w:val="none"/>
          <w:u w:val="single"/>
        </w:rPr>
        <w:t>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04</w:t>
      </w:r>
      <w:r>
        <w:rPr>
          <w:rFonts w:hint="eastAsia" w:ascii="宋体" w:hAnsi="宋体" w:eastAsia="宋体" w:cs="宋体"/>
          <w:color w:val="auto"/>
          <w:spacing w:val="-4"/>
          <w:kern w:val="0"/>
          <w:sz w:val="24"/>
          <w:szCs w:val="24"/>
          <w:highlight w:val="none"/>
          <w:u w:val="single"/>
        </w:rPr>
        <w:t>月</w:t>
      </w:r>
      <w:r>
        <w:rPr>
          <w:rFonts w:hint="eastAsia" w:ascii="宋体" w:hAnsi="宋体" w:eastAsia="宋体" w:cs="宋体"/>
          <w:color w:val="auto"/>
          <w:spacing w:val="-4"/>
          <w:kern w:val="0"/>
          <w:sz w:val="24"/>
          <w:szCs w:val="24"/>
          <w:highlight w:val="none"/>
          <w:u w:val="single"/>
          <w:lang w:val="en-US" w:eastAsia="zh-CN"/>
        </w:rPr>
        <w:t>29</w:t>
      </w:r>
      <w:r>
        <w:rPr>
          <w:rFonts w:hint="eastAsia" w:ascii="宋体" w:hAnsi="宋体" w:eastAsia="宋体" w:cs="宋体"/>
          <w:color w:val="auto"/>
          <w:spacing w:val="-4"/>
          <w:kern w:val="0"/>
          <w:sz w:val="24"/>
          <w:szCs w:val="24"/>
          <w:highlight w:val="none"/>
          <w:u w:val="single"/>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rPr>
        <w:t>:</w:t>
      </w:r>
      <w:r>
        <w:rPr>
          <w:rFonts w:hint="eastAsia" w:ascii="宋体" w:hAnsi="宋体" w:eastAsia="宋体" w:cs="宋体"/>
          <w:color w:val="auto"/>
          <w:spacing w:val="-4"/>
          <w:kern w:val="0"/>
          <w:sz w:val="24"/>
          <w:szCs w:val="24"/>
          <w:highlight w:val="none"/>
          <w:u w:val="single"/>
          <w:lang w:val="en-US" w:eastAsia="zh-CN"/>
        </w:rPr>
        <w:t>00</w:t>
      </w:r>
      <w:r>
        <w:rPr>
          <w:rFonts w:hint="eastAsia" w:ascii="宋体" w:hAnsi="宋体" w:eastAsia="宋体" w:cs="宋体"/>
          <w:color w:val="auto"/>
          <w:spacing w:val="-4"/>
          <w:kern w:val="0"/>
          <w:sz w:val="24"/>
          <w:szCs w:val="24"/>
          <w:highlight w:val="none"/>
          <w:u w:val="single"/>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bookmarkStart w:id="3" w:name="_Toc28359002"/>
      <w:bookmarkStart w:id="4" w:name="_Toc28359079"/>
      <w:bookmarkStart w:id="5" w:name="_Toc35393621"/>
      <w:bookmarkStart w:id="6" w:name="_Toc35393790"/>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rPr>
        <w:t>HSZB-2025-387</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浙江工业大学精密设备室七氟丙烷气体灭火系统改造工程</w:t>
      </w:r>
    </w:p>
    <w:p w14:paraId="49DF20F4">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宋体" w:hAnsi="宋体" w:eastAsia="宋体" w:cs="宋体"/>
          <w:color w:val="auto"/>
          <w:spacing w:val="-4"/>
          <w:kern w:val="0"/>
          <w:sz w:val="24"/>
          <w:szCs w:val="24"/>
          <w:highlight w:val="none"/>
        </w:rPr>
        <w:t>280000</w:t>
      </w:r>
      <w:r>
        <w:rPr>
          <w:rFonts w:hint="eastAsia" w:ascii="仿宋" w:hAnsi="仿宋" w:eastAsia="仿宋" w:cs="宋体"/>
          <w:color w:val="auto"/>
          <w:spacing w:val="-4"/>
          <w:kern w:val="0"/>
          <w:sz w:val="24"/>
          <w:szCs w:val="24"/>
          <w:highlight w:val="none"/>
        </w:rPr>
        <w:t>.00</w:t>
      </w:r>
    </w:p>
    <w:p w14:paraId="7F9D3E73">
      <w:pPr>
        <w:autoSpaceDN w:val="0"/>
        <w:adjustRightInd w:val="0"/>
        <w:snapToGrid w:val="0"/>
        <w:spacing w:line="360" w:lineRule="auto"/>
        <w:ind w:firstLine="464" w:firstLineChars="200"/>
        <w:rPr>
          <w:rFonts w:hint="default" w:ascii="宋体" w:hAnsi="宋体" w:eastAsia="仿宋"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最高限价（元）：</w:t>
      </w:r>
      <w:r>
        <w:rPr>
          <w:rFonts w:hint="eastAsia" w:ascii="宋体" w:hAnsi="宋体" w:eastAsia="宋体" w:cs="宋体"/>
          <w:color w:val="auto"/>
          <w:spacing w:val="-4"/>
          <w:kern w:val="0"/>
          <w:sz w:val="24"/>
          <w:szCs w:val="24"/>
          <w:highlight w:val="none"/>
          <w:lang w:val="en-US" w:eastAsia="zh-CN"/>
        </w:rPr>
        <w:t>262244.72</w:t>
      </w:r>
    </w:p>
    <w:p w14:paraId="12F99750">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宋体" w:hAnsi="宋体" w:eastAsia="宋体" w:cs="宋体"/>
          <w:color w:val="auto"/>
          <w:spacing w:val="-4"/>
          <w:kern w:val="0"/>
          <w:sz w:val="24"/>
          <w:szCs w:val="24"/>
          <w:highlight w:val="none"/>
        </w:rPr>
        <w:t>280000</w:t>
      </w:r>
      <w:r>
        <w:rPr>
          <w:rFonts w:hint="eastAsia" w:ascii="仿宋" w:hAnsi="仿宋" w:eastAsia="仿宋" w:cs="宋体"/>
          <w:color w:val="auto"/>
          <w:spacing w:val="-4"/>
          <w:kern w:val="0"/>
          <w:sz w:val="24"/>
          <w:szCs w:val="24"/>
          <w:highlight w:val="none"/>
        </w:rPr>
        <w:t>.00</w:t>
      </w:r>
    </w:p>
    <w:p w14:paraId="4E376245">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浙江工业大学精密设备室七氟丙烷气体灭火系统改造工程</w:t>
      </w:r>
      <w:r>
        <w:rPr>
          <w:rFonts w:hint="eastAsia" w:ascii="宋体" w:hAnsi="宋体" w:eastAsia="宋体" w:cs="宋体"/>
          <w:color w:val="auto"/>
          <w:spacing w:val="-4"/>
          <w:kern w:val="0"/>
          <w:sz w:val="24"/>
          <w:szCs w:val="24"/>
          <w:highlight w:val="none"/>
        </w:rPr>
        <w:t>，</w:t>
      </w:r>
      <w:r>
        <w:rPr>
          <w:rFonts w:hint="eastAsia" w:ascii="宋体" w:hAnsi="宋体" w:eastAsia="宋体" w:cs="宋体"/>
          <w:color w:val="auto"/>
          <w:spacing w:val="-4"/>
          <w:kern w:val="0"/>
          <w:sz w:val="24"/>
          <w:szCs w:val="24"/>
          <w:highlight w:val="none"/>
        </w:rPr>
        <w:t>主要包含</w:t>
      </w:r>
      <w:r>
        <w:rPr>
          <w:rFonts w:hint="eastAsia" w:ascii="宋体" w:hAnsi="宋体" w:eastAsia="宋体" w:cs="宋体"/>
          <w:color w:val="auto"/>
          <w:spacing w:val="-4"/>
          <w:kern w:val="0"/>
          <w:sz w:val="24"/>
          <w:szCs w:val="24"/>
          <w:highlight w:val="none"/>
        </w:rPr>
        <w:t>浙江工业大学莫干山校区化工5号楼分析测试中心A110透射电镜室、A108扫描电镜室、A107光电子能谱室、A208色谱质谱实验室消防改造等内容</w:t>
      </w:r>
      <w:r>
        <w:rPr>
          <w:rFonts w:hint="eastAsia" w:ascii="宋体" w:hAnsi="宋体" w:eastAsia="宋体" w:cs="宋体"/>
          <w:color w:val="auto"/>
          <w:spacing w:val="-4"/>
          <w:kern w:val="0"/>
          <w:sz w:val="24"/>
          <w:szCs w:val="24"/>
          <w:highlight w:val="none"/>
        </w:rPr>
        <w:t>。详见采购文件第四部分采购内容及需求。</w:t>
      </w:r>
    </w:p>
    <w:p w14:paraId="4CF3BB82">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备注：/</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eastAsia="zh-CN"/>
        </w:rPr>
        <w:t>20日历天</w:t>
      </w:r>
    </w:p>
    <w:p w14:paraId="59CDA763">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bookmarkStart w:id="8" w:name="_Toc28359003"/>
      <w:bookmarkStart w:id="9" w:name="_Toc35393622"/>
      <w:bookmarkStart w:id="10" w:name="_Toc28359080"/>
      <w:bookmarkStart w:id="11" w:name="_Toc35393791"/>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ascii="宋体" w:hAnsi="宋体" w:eastAsia="宋体" w:cs="宋体"/>
          <w:color w:val="auto"/>
          <w:sz w:val="24"/>
          <w:szCs w:val="24"/>
          <w:highlight w:val="none"/>
        </w:rPr>
      </w:pPr>
      <w:bookmarkStart w:id="12" w:name="_Toc28359004"/>
      <w:bookmarkStart w:id="13" w:name="_Toc28359081"/>
      <w:r>
        <w:rPr>
          <w:rFonts w:hint="eastAsia" w:ascii="宋体" w:hAnsi="宋体" w:eastAsia="宋体" w:cs="宋体"/>
          <w:color w:val="auto"/>
          <w:sz w:val="24"/>
          <w:szCs w:val="24"/>
          <w:highlight w:val="none"/>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3.落实政府采购政策需满足的资格要求：</w:t>
      </w:r>
    </w:p>
    <w:p w14:paraId="5CDF0235">
      <w:pPr>
        <w:autoSpaceDN w:val="0"/>
        <w:adjustRightInd w:val="0"/>
        <w:snapToGrid w:val="0"/>
        <w:spacing w:line="360" w:lineRule="auto"/>
        <w:ind w:firstLine="480" w:firstLineChars="200"/>
        <w:rPr>
          <w:rFonts w:ascii="宋体" w:hAnsi="宋体" w:eastAsia="宋体" w:cs="宋体"/>
          <w:color w:val="auto"/>
          <w:sz w:val="24"/>
          <w:szCs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无；</w:t>
      </w:r>
    </w:p>
    <w:p w14:paraId="52DEBFA7">
      <w:pPr>
        <w:autoSpaceDN w:val="0"/>
        <w:adjustRightInd w:val="0"/>
        <w:snapToGrid w:val="0"/>
        <w:spacing w:line="360" w:lineRule="auto"/>
        <w:ind w:firstLine="480" w:firstLineChars="200"/>
        <w:rPr>
          <w:rFonts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highlight w:val="none"/>
            </w:rPr>
            <w:t>þ</w:t>
          </w:r>
        </w:sdtContent>
      </w:sdt>
      <w:r>
        <w:rPr>
          <w:rFonts w:hint="eastAsia" w:ascii="宋体" w:hAnsi="宋体" w:eastAsia="宋体" w:cs="宋体"/>
          <w:color w:val="auto"/>
          <w:kern w:val="0"/>
          <w:sz w:val="24"/>
          <w:highlight w:val="none"/>
        </w:rPr>
        <w:t>工程全部由符合政策要求的中小企业承建，提供中小企业声明函</w:t>
      </w:r>
    </w:p>
    <w:p w14:paraId="0A17BC7E">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4.本项目的特定资格要求：</w:t>
      </w:r>
    </w:p>
    <w:p w14:paraId="02F6B48B">
      <w:pPr>
        <w:snapToGrid w:val="0"/>
        <w:spacing w:line="360" w:lineRule="auto"/>
        <w:ind w:firstLine="482" w:firstLineChars="200"/>
        <w:rPr>
          <w:rFonts w:ascii="宋体" w:hAnsi="宋体" w:eastAsia="宋体" w:cs="宋体"/>
          <w:b/>
          <w:bCs/>
          <w:color w:val="auto"/>
          <w:sz w:val="24"/>
          <w:highlight w:val="none"/>
        </w:rPr>
      </w:pPr>
      <w:bookmarkStart w:id="14" w:name="_Toc35393792"/>
      <w:bookmarkStart w:id="15" w:name="_Toc35393623"/>
      <w:r>
        <w:rPr>
          <w:rFonts w:hint="eastAsia" w:ascii="宋体" w:hAnsi="宋体" w:eastAsia="宋体" w:cs="宋体"/>
          <w:b/>
          <w:bCs/>
          <w:color w:val="auto"/>
          <w:sz w:val="24"/>
          <w:highlight w:val="none"/>
        </w:rPr>
        <w:t>（1）具有</w:t>
      </w:r>
      <w:r>
        <w:rPr>
          <w:rFonts w:hint="eastAsia" w:ascii="宋体" w:hAnsi="宋体" w:eastAsia="宋体" w:cs="宋体"/>
          <w:b/>
          <w:bCs/>
          <w:color w:val="auto"/>
          <w:sz w:val="24"/>
          <w:highlight w:val="none"/>
        </w:rPr>
        <w:t>消防设施工程专业承包二级</w:t>
      </w:r>
      <w:r>
        <w:rPr>
          <w:rFonts w:hint="eastAsia" w:ascii="宋体" w:hAnsi="宋体" w:eastAsia="宋体" w:cs="宋体"/>
          <w:b/>
          <w:bCs/>
          <w:color w:val="auto"/>
          <w:sz w:val="24"/>
          <w:highlight w:val="none"/>
        </w:rPr>
        <w:t>及以资质；具有有效的安全生产许可证。</w:t>
      </w:r>
    </w:p>
    <w:p w14:paraId="701F47CD">
      <w:pPr>
        <w:snapToGrid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（2）企业主要负责人（法定代表人、企业经理、企业分管安全生产的副经理、企业技术负责人）具有“三类人员”有效A类证书，企业分管安全生产的副经理具有任命文件；拟派项目经理具有有效的</w:t>
      </w:r>
      <w:r>
        <w:rPr>
          <w:rFonts w:hint="eastAsia" w:ascii="宋体" w:hAnsi="宋体" w:eastAsia="宋体" w:cs="宋体"/>
          <w:b/>
          <w:bCs/>
          <w:color w:val="auto"/>
          <w:sz w:val="24"/>
          <w:highlight w:val="none"/>
        </w:rPr>
        <w:t>机电工程专业二级</w:t>
      </w:r>
      <w:r>
        <w:rPr>
          <w:rFonts w:hint="eastAsia" w:ascii="宋体" w:hAnsi="宋体" w:eastAsia="宋体" w:cs="宋体"/>
          <w:b/>
          <w:bCs/>
          <w:color w:val="auto"/>
          <w:sz w:val="24"/>
          <w:highlight w:val="none"/>
        </w:rPr>
        <w:t>及以上注册建造师证书及“三类人员”有效B类证书；拟派现场安全生产专职管理人员具有“三类人员”有效C类证书。</w:t>
      </w:r>
    </w:p>
    <w:p w14:paraId="7CB548D3">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 /至2025年</w:t>
      </w:r>
      <w:r>
        <w:rPr>
          <w:rFonts w:hint="eastAsia" w:ascii="宋体" w:hAnsi="宋体" w:eastAsia="宋体" w:cs="宋体"/>
          <w:color w:val="auto"/>
          <w:spacing w:val="-4"/>
          <w:kern w:val="0"/>
          <w:sz w:val="24"/>
          <w:szCs w:val="24"/>
          <w:highlight w:val="none"/>
          <w:lang w:val="en-US" w:eastAsia="zh-CN"/>
        </w:rPr>
        <w:t>04</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29</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bookmarkStart w:id="16" w:name="_Toc35393624"/>
      <w:bookmarkStart w:id="17" w:name="_Toc28359082"/>
      <w:bookmarkStart w:id="18" w:name="_Toc35393793"/>
      <w:bookmarkStart w:id="19" w:name="_Toc28359005"/>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2025年</w:t>
      </w:r>
      <w:r>
        <w:rPr>
          <w:rFonts w:hint="eastAsia" w:ascii="宋体" w:hAnsi="宋体" w:eastAsia="宋体" w:cs="宋体"/>
          <w:b/>
          <w:color w:val="auto"/>
          <w:sz w:val="24"/>
          <w:szCs w:val="24"/>
          <w:highlight w:val="none"/>
          <w:u w:val="single"/>
          <w:lang w:val="en-US" w:eastAsia="zh-CN"/>
        </w:rPr>
        <w:t>04</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29</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2025年</w:t>
      </w:r>
      <w:r>
        <w:rPr>
          <w:rFonts w:hint="eastAsia" w:ascii="宋体" w:hAnsi="宋体" w:eastAsia="宋体" w:cs="宋体"/>
          <w:b/>
          <w:color w:val="auto"/>
          <w:sz w:val="24"/>
          <w:szCs w:val="24"/>
          <w:highlight w:val="none"/>
          <w:u w:val="single"/>
          <w:lang w:val="en-US" w:eastAsia="zh-CN"/>
        </w:rPr>
        <w:t>04</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29</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bookmarkStart w:id="20" w:name="_Toc35393625"/>
      <w:bookmarkStart w:id="21" w:name="_Toc28359084"/>
      <w:bookmarkStart w:id="22" w:name="_Toc28359007"/>
      <w:bookmarkStart w:id="23" w:name="_Toc35393794"/>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供应商须知前附表；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ascii="宋体" w:hAnsi="宋体" w:eastAsia="宋体" w:cs="宋体"/>
          <w:b/>
          <w:color w:val="auto"/>
          <w:spacing w:val="-4"/>
          <w:kern w:val="0"/>
          <w:sz w:val="24"/>
          <w:szCs w:val="24"/>
          <w:highlight w:val="none"/>
        </w:rPr>
      </w:pPr>
      <w:bookmarkStart w:id="26" w:name="_Toc35393796"/>
      <w:bookmarkStart w:id="27" w:name="_Toc28359085"/>
      <w:bookmarkStart w:id="28" w:name="_Toc35393627"/>
      <w:bookmarkStart w:id="29" w:name="_Toc28359008"/>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称：浙江工业大学</w:t>
      </w:r>
    </w:p>
    <w:p w14:paraId="733AB679">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rPr>
        <w:t>杨老师</w:t>
      </w:r>
    </w:p>
    <w:p w14:paraId="243B11A4">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项目联系方式（询问）：0572-8813976</w:t>
      </w:r>
      <w:r>
        <w:rPr>
          <w:rFonts w:hint="eastAsia" w:ascii="宋体" w:hAnsi="宋体" w:eastAsia="宋体" w:cs="宋体"/>
          <w:color w:val="auto"/>
          <w:spacing w:val="-4"/>
          <w:kern w:val="0"/>
          <w:sz w:val="24"/>
          <w:szCs w:val="24"/>
          <w:highlight w:val="none"/>
          <w:lang w:eastAsia="zh-CN"/>
        </w:rPr>
        <w:t>、</w:t>
      </w:r>
      <w:r>
        <w:rPr>
          <w:rFonts w:hint="eastAsia" w:ascii="宋体" w:hAnsi="宋体" w:eastAsia="宋体" w:cs="宋体"/>
          <w:color w:val="auto"/>
          <w:spacing w:val="-4"/>
          <w:kern w:val="0"/>
          <w:sz w:val="24"/>
          <w:szCs w:val="24"/>
          <w:highlight w:val="none"/>
        </w:rPr>
        <w:t>0571-88320961</w:t>
      </w:r>
    </w:p>
    <w:p w14:paraId="43F0736C">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bookmarkStart w:id="30" w:name="_Toc28359009"/>
      <w:bookmarkStart w:id="31" w:name="_Toc28359086"/>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bookmarkStart w:id="32" w:name="_Toc28359087"/>
      <w:bookmarkStart w:id="33" w:name="_Toc28359010"/>
      <w:r>
        <w:rPr>
          <w:rFonts w:hint="eastAsia" w:ascii="宋体" w:hAnsi="宋体" w:eastAsia="宋体" w:cs="宋体"/>
          <w:color w:val="auto"/>
          <w:spacing w:val="-4"/>
          <w:kern w:val="0"/>
          <w:sz w:val="24"/>
          <w:szCs w:val="24"/>
          <w:highlight w:val="none"/>
        </w:rPr>
        <w:t>项目联系人（询问）：陈梦菲、陈敏娇、王俭、陶传林</w:t>
      </w:r>
    </w:p>
    <w:p w14:paraId="2BDBFC10">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质疑联系人：桑国坚</w:t>
      </w:r>
    </w:p>
    <w:p w14:paraId="197D2C2C">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rPr>
        <w:t>0571-56386096</w:t>
      </w:r>
    </w:p>
    <w:p w14:paraId="5882379B">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3.该项目由采购人处理采购争议。质疑环节，采购人委托采购代理机构处理的，可由采购代理机构答复。对质疑答复不满意的，向采购人内部设置的采购监督机构反映。</w:t>
      </w:r>
    </w:p>
    <w:p w14:paraId="22B64ECD">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政策咨询：何一平、冯华，0571-87058424、87055741</w:t>
      </w:r>
    </w:p>
    <w:p w14:paraId="4F20E574">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ascii="宋体" w:hAnsi="宋体" w:eastAsia="宋体" w:cs="宋体"/>
          <w:color w:val="auto"/>
          <w:spacing w:val="-4"/>
          <w:kern w:val="0"/>
          <w:sz w:val="24"/>
          <w:szCs w:val="24"/>
          <w:highlight w:val="none"/>
        </w:rPr>
      </w:pPr>
    </w:p>
    <w:p w14:paraId="4A6308A1">
      <w:pPr>
        <w:pStyle w:val="55"/>
        <w:spacing w:line="360" w:lineRule="auto"/>
        <w:ind w:firstLine="480" w:firstLineChars="200"/>
        <w:rPr>
          <w:rFonts w:cs="宋体"/>
          <w:color w:val="auto"/>
          <w:highlight w:val="none"/>
        </w:rPr>
      </w:pPr>
      <w:r>
        <w:rPr>
          <w:rFonts w:hint="eastAsia"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cs="宋体"/>
          <w:color w:val="auto"/>
          <w:highlight w:val="none"/>
        </w:rPr>
      </w:pPr>
      <w:r>
        <w:rPr>
          <w:rFonts w:hint="eastAsia" w:cs="宋体"/>
          <w:color w:val="auto"/>
          <w:highlight w:val="none"/>
        </w:rPr>
        <w:t>CA问题联系电话（人工）：汇信CA 400-888-4636；天谷CA 400-087-8198。</w:t>
      </w:r>
    </w:p>
    <w:p w14:paraId="05628E30">
      <w:pPr>
        <w:autoSpaceDN w:val="0"/>
        <w:snapToGrid w:val="0"/>
        <w:spacing w:line="360" w:lineRule="auto"/>
        <w:jc w:val="center"/>
        <w:outlineLvl w:val="0"/>
        <w:rPr>
          <w:rFonts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rPr>
        <w:t>第二部分 供应商须知</w:t>
      </w:r>
      <w:bookmarkEnd w:id="34"/>
    </w:p>
    <w:p w14:paraId="78390F15">
      <w:pPr>
        <w:keepNext/>
        <w:keepLines/>
        <w:autoSpaceDN w:val="0"/>
        <w:adjustRightInd w:val="0"/>
        <w:snapToGrid w:val="0"/>
        <w:spacing w:line="360" w:lineRule="auto"/>
        <w:jc w:val="center"/>
        <w:outlineLvl w:val="1"/>
        <w:rPr>
          <w:rFonts w:ascii="宋体" w:hAnsi="宋体" w:eastAsia="宋体" w:cs="宋体"/>
          <w:b/>
          <w:bCs/>
          <w:color w:val="auto"/>
          <w:sz w:val="32"/>
          <w:szCs w:val="32"/>
          <w:highlight w:val="none"/>
        </w:rPr>
      </w:pPr>
      <w:bookmarkStart w:id="35" w:name="_Toc31839"/>
      <w:bookmarkStart w:id="36" w:name="_Toc115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blHeader/>
          <w:jc w:val="center"/>
        </w:trPr>
        <w:tc>
          <w:tcPr>
            <w:tcW w:w="714" w:type="dxa"/>
          </w:tcPr>
          <w:p w14:paraId="60708E78">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numPr>
                <w:ilvl w:val="0"/>
                <w:numId w:val="6"/>
              </w:num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浙江工业大学精密设备室七氟丙烷气体灭火系统改造工程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60"/>
              <w:ind w:firstLine="480" w:firstLineChars="200"/>
              <w:rPr>
                <w:color w:val="auto"/>
                <w:highlight w:val="none"/>
              </w:rPr>
            </w:pPr>
            <w:r>
              <w:rPr>
                <w:rFonts w:hint="eastAsia" w:ascii="宋体" w:hAnsi="宋体" w:cs="宋体"/>
                <w:color w:val="auto"/>
                <w:sz w:val="24"/>
                <w:highlight w:val="none"/>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adjustRightInd w:val="0"/>
              <w:snapToGrid w:val="0"/>
              <w:spacing w:line="360" w:lineRule="exact"/>
              <w:rPr>
                <w:rFonts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adjustRightInd w:val="0"/>
              <w:snapToGrid w:val="0"/>
              <w:spacing w:line="360" w:lineRule="exact"/>
              <w:rPr>
                <w:rFonts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adjustRightInd w:val="0"/>
              <w:snapToGrid w:val="0"/>
              <w:spacing w:line="360" w:lineRule="exact"/>
              <w:rPr>
                <w:rFonts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垃圾清运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180F2AFB">
            <w:pPr>
              <w:adjustRightInd w:val="0"/>
              <w:snapToGrid w:val="0"/>
              <w:spacing w:line="360" w:lineRule="exact"/>
              <w:rPr>
                <w:rFonts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adjustRightInd w:val="0"/>
              <w:snapToGrid w:val="0"/>
              <w:spacing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adjustRightInd w:val="0"/>
              <w:snapToGrid w:val="0"/>
              <w:spacing w:line="360" w:lineRule="exact"/>
              <w:rPr>
                <w:rFonts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adjustRightInd w:val="0"/>
              <w:snapToGrid w:val="0"/>
              <w:spacing w:line="360" w:lineRule="exact"/>
              <w:rPr>
                <w:rFonts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adjustRightInd w:val="0"/>
              <w:snapToGrid w:val="0"/>
              <w:spacing w:line="360" w:lineRule="exact"/>
              <w:rPr>
                <w:rFonts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adjustRightInd w:val="0"/>
              <w:snapToGrid w:val="0"/>
              <w:spacing w:line="360" w:lineRule="exact"/>
              <w:rPr>
                <w:rFonts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adjustRightInd w:val="0"/>
              <w:snapToGrid w:val="0"/>
              <w:spacing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adjustRightInd w:val="0"/>
              <w:snapToGrid w:val="0"/>
              <w:spacing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5695629">
            <w:pPr>
              <w:adjustRightInd w:val="0"/>
              <w:snapToGrid w:val="0"/>
              <w:spacing w:line="360" w:lineRule="exac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adjustRightInd w:val="0"/>
              <w:snapToGrid w:val="0"/>
              <w:spacing w:line="36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adjustRightInd w:val="0"/>
              <w:snapToGrid w:val="0"/>
              <w:spacing w:line="360" w:lineRule="exact"/>
              <w:rPr>
                <w:rFonts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adjustRightInd w:val="0"/>
              <w:snapToGrid w:val="0"/>
              <w:spacing w:line="360" w:lineRule="exact"/>
              <w:rPr>
                <w:rFonts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20（编制时可根据项目情况进行调整）</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3（编制时可根据项目情况进行调整）</w:t>
            </w:r>
            <w:r>
              <w:rPr>
                <w:rFonts w:hint="eastAsia" w:ascii="宋体" w:hAnsi="宋体" w:eastAsia="宋体" w:cs="宋体"/>
                <w:color w:val="auto"/>
                <w:kern w:val="0"/>
                <w:sz w:val="24"/>
                <w:szCs w:val="24"/>
                <w:highlight w:val="none"/>
              </w:rPr>
              <w:t>人。讲解演示结束后按要求解答磋商小组提问。</w:t>
            </w:r>
          </w:p>
          <w:p w14:paraId="231021AF">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adjustRightInd w:val="0"/>
              <w:snapToGrid w:val="0"/>
              <w:spacing w:line="360" w:lineRule="exact"/>
              <w:rPr>
                <w:rFonts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93" w:type="dxa"/>
            <w:vMerge w:val="restart"/>
            <w:vAlign w:val="center"/>
          </w:tcPr>
          <w:p w14:paraId="33F4FB86">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供应商应当提供的资格、资信证明文件</w:t>
            </w:r>
          </w:p>
        </w:tc>
        <w:tc>
          <w:tcPr>
            <w:tcW w:w="6927" w:type="dxa"/>
            <w:vAlign w:val="center"/>
          </w:tcPr>
          <w:p w14:paraId="4EA72031">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adjustRightInd w:val="0"/>
              <w:snapToGrid w:val="0"/>
              <w:spacing w:line="360" w:lineRule="exact"/>
              <w:jc w:val="center"/>
              <w:rPr>
                <w:rFonts w:ascii="宋体" w:hAnsi="宋体" w:eastAsia="宋体" w:cs="宋体"/>
                <w:color w:val="auto"/>
                <w:sz w:val="24"/>
                <w:szCs w:val="24"/>
                <w:highlight w:val="none"/>
              </w:rPr>
            </w:pPr>
          </w:p>
        </w:tc>
        <w:tc>
          <w:tcPr>
            <w:tcW w:w="2093" w:type="dxa"/>
            <w:vMerge w:val="continue"/>
            <w:vAlign w:val="center"/>
          </w:tcPr>
          <w:p w14:paraId="7C5E022E">
            <w:pPr>
              <w:adjustRightInd w:val="0"/>
              <w:snapToGrid w:val="0"/>
              <w:spacing w:line="360" w:lineRule="exact"/>
              <w:jc w:val="center"/>
              <w:rPr>
                <w:rFonts w:ascii="宋体" w:hAnsi="宋体" w:eastAsia="宋体" w:cs="宋体"/>
                <w:b/>
                <w:color w:val="auto"/>
                <w:sz w:val="24"/>
                <w:szCs w:val="24"/>
                <w:highlight w:val="none"/>
              </w:rPr>
            </w:pPr>
          </w:p>
        </w:tc>
        <w:tc>
          <w:tcPr>
            <w:tcW w:w="6927" w:type="dxa"/>
            <w:vAlign w:val="center"/>
          </w:tcPr>
          <w:p w14:paraId="3E0A44D8">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0" w:hRule="atLeast"/>
          <w:jc w:val="center"/>
        </w:trPr>
        <w:tc>
          <w:tcPr>
            <w:tcW w:w="714" w:type="dxa"/>
            <w:vAlign w:val="center"/>
          </w:tcPr>
          <w:p w14:paraId="23825DA2">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93" w:type="dxa"/>
            <w:vAlign w:val="center"/>
          </w:tcPr>
          <w:p w14:paraId="39CC8776">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adjustRightInd w:val="0"/>
              <w:snapToGrid w:val="0"/>
              <w:spacing w:line="3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21BACE">
            <w:pPr>
              <w:adjustRightInd w:val="0"/>
              <w:snapToGrid w:val="0"/>
              <w:spacing w:line="360" w:lineRule="exact"/>
              <w:rPr>
                <w:color w:val="auto"/>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06" w:hRule="atLeast"/>
          <w:jc w:val="center"/>
        </w:trPr>
        <w:tc>
          <w:tcPr>
            <w:tcW w:w="714" w:type="dxa"/>
            <w:vAlign w:val="center"/>
          </w:tcPr>
          <w:p w14:paraId="6EF56437">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93" w:type="dxa"/>
            <w:vAlign w:val="center"/>
          </w:tcPr>
          <w:p w14:paraId="2518C49B">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adjustRightInd w:val="0"/>
              <w:snapToGrid w:val="0"/>
              <w:spacing w:line="360" w:lineRule="exact"/>
              <w:jc w:val="left"/>
              <w:rPr>
                <w:rFonts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提醒：验收时检测费用由采购人承担，不包含在总价中。</w:t>
            </w:r>
          </w:p>
          <w:p w14:paraId="45ADE666">
            <w:pPr>
              <w:adjustRightInd w:val="0"/>
              <w:snapToGrid w:val="0"/>
              <w:spacing w:line="360" w:lineRule="exact"/>
              <w:jc w:val="left"/>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adjustRightInd w:val="0"/>
              <w:snapToGrid w:val="0"/>
              <w:spacing w:line="360" w:lineRule="exact"/>
              <w:ind w:firstLine="241" w:firstLineChars="100"/>
              <w:jc w:val="left"/>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adjustRightInd w:val="0"/>
              <w:snapToGrid w:val="0"/>
              <w:spacing w:line="360" w:lineRule="exact"/>
              <w:ind w:firstLine="241" w:firstLineChars="100"/>
              <w:jc w:val="left"/>
              <w:rPr>
                <w:rFonts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adjustRightInd w:val="0"/>
              <w:snapToGrid w:val="0"/>
              <w:spacing w:line="360" w:lineRule="exact"/>
              <w:ind w:firstLine="241" w:firstLineChars="100"/>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adjustRightInd w:val="0"/>
              <w:snapToGrid w:val="0"/>
              <w:spacing w:line="360" w:lineRule="exact"/>
              <w:ind w:firstLine="241" w:firstLineChars="100"/>
              <w:rPr>
                <w:rFonts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93" w:type="dxa"/>
            <w:vAlign w:val="center"/>
          </w:tcPr>
          <w:p w14:paraId="27F3C3CF">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adjustRightInd w:val="0"/>
              <w:snapToGrid w:val="0"/>
              <w:spacing w:beforeLines="0" w:afterLines="0" w:line="360" w:lineRule="exact"/>
              <w:rPr>
                <w:rFonts w:hAnsi="宋体" w:cs="宋体"/>
                <w:color w:val="auto"/>
                <w:kern w:val="28"/>
                <w:highlight w:val="none"/>
              </w:rPr>
            </w:pPr>
            <w:r>
              <w:rPr>
                <w:rFonts w:hint="eastAsia" w:hAnsi="宋体" w:cs="宋体"/>
                <w:color w:val="auto"/>
                <w:kern w:val="28"/>
                <w:highlight w:val="none"/>
              </w:rPr>
              <w:t>备份响应文件送达地点：</w:t>
            </w:r>
            <w:r>
              <w:rPr>
                <w:rFonts w:hint="eastAsia" w:hAnsi="宋体" w:cs="宋体"/>
                <w:b/>
                <w:bCs/>
                <w:color w:val="auto"/>
                <w:highlight w:val="none"/>
                <w:u w:val="single"/>
              </w:rPr>
              <w:t>浙江省杭州市大关路179号远洋国际中心A座1706室</w:t>
            </w:r>
            <w:r>
              <w:rPr>
                <w:rFonts w:hint="eastAsia" w:hAnsi="宋体" w:cs="宋体"/>
                <w:color w:val="auto"/>
                <w:highlight w:val="none"/>
                <w:u w:val="single"/>
              </w:rPr>
              <w:t xml:space="preserve"> </w:t>
            </w:r>
            <w:r>
              <w:rPr>
                <w:rFonts w:hint="eastAsia" w:hAnsi="宋体" w:cs="宋体"/>
                <w:color w:val="auto"/>
                <w:kern w:val="28"/>
                <w:highlight w:val="none"/>
              </w:rPr>
              <w:t>；</w:t>
            </w:r>
          </w:p>
          <w:p w14:paraId="0A78F38C">
            <w:pPr>
              <w:pStyle w:val="30"/>
              <w:adjustRightInd w:val="0"/>
              <w:snapToGrid w:val="0"/>
              <w:spacing w:beforeLines="0" w:afterLines="0" w:line="360" w:lineRule="exact"/>
              <w:rPr>
                <w:rFonts w:hAnsi="宋体" w:cs="宋体"/>
                <w:color w:val="auto"/>
                <w:highlight w:val="none"/>
              </w:rPr>
            </w:pPr>
            <w:r>
              <w:rPr>
                <w:rFonts w:hint="eastAsia" w:hAnsi="宋体" w:cs="宋体"/>
                <w:color w:val="auto"/>
                <w:kern w:val="28"/>
                <w:highlight w:val="none"/>
              </w:rPr>
              <w:t>备份响应文件签收人员联系电话：</w:t>
            </w:r>
            <w:r>
              <w:rPr>
                <w:rFonts w:hint="eastAsia" w:hAnsi="宋体" w:cs="宋体"/>
                <w:b/>
                <w:bCs/>
                <w:color w:val="auto"/>
                <w:kern w:val="28"/>
                <w:highlight w:val="none"/>
                <w:u w:val="single"/>
              </w:rPr>
              <w:t xml:space="preserve">陈梦菲，0571-56321030、0571-87981527 </w:t>
            </w:r>
            <w:r>
              <w:rPr>
                <w:rFonts w:hint="eastAsia" w:hAnsi="宋体" w:cs="宋体"/>
                <w:color w:val="auto"/>
                <w:highlight w:val="none"/>
              </w:rPr>
              <w:t>。</w:t>
            </w:r>
          </w:p>
          <w:p w14:paraId="73AEA390">
            <w:pPr>
              <w:pStyle w:val="30"/>
              <w:adjustRightInd w:val="0"/>
              <w:snapToGrid w:val="0"/>
              <w:spacing w:beforeLines="0" w:afterLines="0" w:line="360" w:lineRule="exact"/>
              <w:rPr>
                <w:rFonts w:hAnsi="宋体" w:cs="宋体"/>
                <w:color w:val="auto"/>
                <w:kern w:val="28"/>
                <w:highlight w:val="none"/>
              </w:rPr>
            </w:pPr>
            <w:r>
              <w:rPr>
                <w:rFonts w:hint="eastAsia" w:hAnsi="宋体" w:cs="宋体"/>
                <w:b/>
                <w:color w:val="auto"/>
                <w:highlight w:val="none"/>
              </w:rPr>
              <w:t>采购人、采购代理机构不强制或变相强制供应商提交备份响应文件。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093" w:type="dxa"/>
            <w:vMerge w:val="restart"/>
            <w:vAlign w:val="center"/>
          </w:tcPr>
          <w:p w14:paraId="0EA333DC">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adjustRightInd w:val="0"/>
              <w:snapToGrid w:val="0"/>
              <w:spacing w:line="360" w:lineRule="exact"/>
              <w:rPr>
                <w:rFonts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adjustRightInd w:val="0"/>
              <w:snapToGrid w:val="0"/>
              <w:spacing w:line="360" w:lineRule="exact"/>
              <w:jc w:val="center"/>
              <w:rPr>
                <w:rFonts w:ascii="宋体" w:hAnsi="宋体" w:eastAsia="宋体" w:cs="宋体"/>
                <w:color w:val="auto"/>
                <w:sz w:val="24"/>
                <w:szCs w:val="24"/>
                <w:highlight w:val="none"/>
              </w:rPr>
            </w:pPr>
          </w:p>
        </w:tc>
        <w:tc>
          <w:tcPr>
            <w:tcW w:w="2093" w:type="dxa"/>
            <w:vMerge w:val="continue"/>
            <w:vAlign w:val="center"/>
          </w:tcPr>
          <w:p w14:paraId="4BA44E4D">
            <w:pPr>
              <w:adjustRightInd w:val="0"/>
              <w:snapToGrid w:val="0"/>
              <w:spacing w:line="360" w:lineRule="exact"/>
              <w:jc w:val="center"/>
              <w:rPr>
                <w:rFonts w:ascii="宋体" w:hAnsi="宋体" w:eastAsia="宋体" w:cs="宋体"/>
                <w:b/>
                <w:color w:val="auto"/>
                <w:sz w:val="24"/>
                <w:szCs w:val="24"/>
                <w:highlight w:val="none"/>
              </w:rPr>
            </w:pPr>
          </w:p>
        </w:tc>
        <w:tc>
          <w:tcPr>
            <w:tcW w:w="6927" w:type="dxa"/>
            <w:vAlign w:val="center"/>
          </w:tcPr>
          <w:p w14:paraId="7B4CA211">
            <w:pPr>
              <w:rPr>
                <w:rFonts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72FC0669">
            <w:pPr>
              <w:adjustRightInd w:val="0"/>
              <w:snapToGrid w:val="0"/>
              <w:spacing w:line="360" w:lineRule="exact"/>
              <w:rPr>
                <w:rFonts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93" w:type="dxa"/>
            <w:vAlign w:val="center"/>
          </w:tcPr>
          <w:p w14:paraId="3C1E1C90">
            <w:pPr>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rPr>
              <w:t>成交候选人数量</w:t>
            </w:r>
          </w:p>
        </w:tc>
        <w:tc>
          <w:tcPr>
            <w:tcW w:w="6927" w:type="dxa"/>
            <w:vAlign w:val="center"/>
          </w:tcPr>
          <w:p w14:paraId="2A86CFC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
              </w:rPr>
              <w:t>本项目推荐的成交候选人数量：</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lang w:val="e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093" w:type="dxa"/>
            <w:vAlign w:val="center"/>
          </w:tcPr>
          <w:p w14:paraId="0054C07A">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成交供应商在响应总报价中综合考虑。</w:t>
            </w:r>
          </w:p>
          <w:p w14:paraId="6F635465">
            <w:pPr>
              <w:autoSpaceDE w:val="0"/>
              <w:autoSpaceDN w:val="0"/>
              <w:snapToGrid w:val="0"/>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adjustRightInd w:val="0"/>
              <w:snapToGrid w:val="0"/>
              <w:spacing w:line="360" w:lineRule="exact"/>
              <w:rPr>
                <w:rFonts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93" w:type="dxa"/>
            <w:vAlign w:val="center"/>
          </w:tcPr>
          <w:p w14:paraId="06755BF6">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金额为合同金额的2%</w:t>
            </w:r>
          </w:p>
          <w:p w14:paraId="384B5B58">
            <w:pPr>
              <w:autoSpaceDE w:val="0"/>
              <w:autoSpaceDN w:val="0"/>
              <w:snapToGrid w:val="0"/>
              <w:spacing w:line="276" w:lineRule="auto"/>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2、收到采购人发出的签订合同要约后7天内向采购人缴纳履约保证金，以电汇、汇票、支票形式或银行、保险公司出具的保函形式递交，项目验收结束后无息退还。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093" w:type="dxa"/>
            <w:vAlign w:val="center"/>
          </w:tcPr>
          <w:p w14:paraId="459E0CCF">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审定价的1.5%，</w:t>
            </w:r>
            <w:r>
              <w:rPr>
                <w:rFonts w:hint="eastAsia" w:ascii="宋体" w:hAnsi="宋体" w:eastAsia="宋体" w:cs="宋体"/>
                <w:color w:val="auto"/>
                <w:sz w:val="24"/>
                <w:szCs w:val="24"/>
                <w:highlight w:val="none"/>
              </w:rPr>
              <w:t>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093" w:type="dxa"/>
            <w:vAlign w:val="center"/>
          </w:tcPr>
          <w:p w14:paraId="7FA8266A">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施工水电费按工程竣工</w:t>
            </w:r>
            <w:r>
              <w:rPr>
                <w:rFonts w:hint="eastAsia" w:ascii="宋体" w:hAnsi="宋体" w:eastAsia="宋体" w:cs="宋体"/>
                <w:color w:val="auto"/>
                <w:sz w:val="24"/>
                <w:szCs w:val="24"/>
                <w:highlight w:val="none"/>
              </w:rPr>
              <w:t>结算审定价的1％</w:t>
            </w:r>
            <w:r>
              <w:rPr>
                <w:rFonts w:hint="eastAsia" w:ascii="宋体" w:hAnsi="宋体" w:eastAsia="宋体" w:cs="宋体"/>
                <w:color w:val="auto"/>
                <w:sz w:val="24"/>
                <w:szCs w:val="24"/>
                <w:highlight w:val="none"/>
              </w:rPr>
              <w:t>计算，在结算审定款中直接扣除。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adjustRightInd w:val="0"/>
              <w:snapToGrid w:val="0"/>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093" w:type="dxa"/>
            <w:vAlign w:val="center"/>
          </w:tcPr>
          <w:p w14:paraId="3BA7BBC0">
            <w:pPr>
              <w:adjustRightInd w:val="0"/>
              <w:snapToGrid w:val="0"/>
              <w:spacing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重要提醒</w:t>
            </w:r>
          </w:p>
        </w:tc>
        <w:tc>
          <w:tcPr>
            <w:tcW w:w="6927" w:type="dxa"/>
            <w:shd w:val="clear" w:color="auto" w:fill="auto"/>
            <w:vAlign w:val="center"/>
          </w:tcPr>
          <w:p w14:paraId="638ED673">
            <w:pPr>
              <w:autoSpaceDE w:val="0"/>
              <w:autoSpaceDN w:val="0"/>
              <w:snapToGrid w:val="0"/>
              <w:spacing w:line="276" w:lineRule="auto"/>
              <w:textAlignment w:val="bottom"/>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5F633F9C">
            <w:pPr>
              <w:autoSpaceDE w:val="0"/>
              <w:autoSpaceDN w:val="0"/>
              <w:snapToGrid w:val="0"/>
              <w:spacing w:line="276" w:lineRule="auto"/>
              <w:textAlignment w:val="bottom"/>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auto"/>
                <w:sz w:val="24"/>
                <w:szCs w:val="24"/>
                <w:highlight w:val="none"/>
                <w:u w:val="single"/>
              </w:rPr>
              <w:t>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ascii="宋体" w:hAnsi="宋体" w:eastAsia="宋体" w:cs="宋体"/>
          <w:color w:val="auto"/>
          <w:sz w:val="24"/>
          <w:szCs w:val="24"/>
          <w:highlight w:val="none"/>
        </w:rPr>
      </w:pPr>
    </w:p>
    <w:p w14:paraId="43B0D8EF">
      <w:pPr>
        <w:rPr>
          <w:rFonts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40" w:name="_Toc1514"/>
      <w:bookmarkStart w:id="41" w:name="_Toc29410"/>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adjustRightInd w:val="0"/>
        <w:snapToGrid w:val="0"/>
        <w:spacing w:line="360" w:lineRule="auto"/>
        <w:jc w:val="left"/>
        <w:rPr>
          <w:rFonts w:ascii="宋体" w:hAnsi="宋体" w:eastAsia="宋体" w:cs="宋体"/>
          <w:b/>
          <w:color w:val="auto"/>
          <w:sz w:val="24"/>
          <w:szCs w:val="24"/>
          <w:highlight w:val="none"/>
        </w:rPr>
      </w:pPr>
      <w:bookmarkStart w:id="42" w:name="_Toc18551"/>
      <w:bookmarkStart w:id="43" w:name="_Toc96947061"/>
      <w:bookmarkStart w:id="44" w:name="_Toc29661"/>
      <w:bookmarkStart w:id="45" w:name="_Toc10168"/>
      <w:r>
        <w:rPr>
          <w:rFonts w:hint="eastAsia" w:ascii="宋体" w:hAnsi="宋体" w:eastAsia="宋体" w:cs="宋体"/>
          <w:b/>
          <w:color w:val="auto"/>
          <w:sz w:val="24"/>
          <w:szCs w:val="24"/>
          <w:highlight w:val="none"/>
        </w:rPr>
        <w:t>1. 适用范围</w:t>
      </w:r>
      <w:bookmarkEnd w:id="42"/>
    </w:p>
    <w:p w14:paraId="7065F87E">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adjustRightInd w:val="0"/>
        <w:snapToGrid w:val="0"/>
        <w:spacing w:line="360" w:lineRule="auto"/>
        <w:rPr>
          <w:rFonts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“采购代理机构”系指竞争性磋商公告中载明的本项目的采购代理机构。</w:t>
      </w:r>
    </w:p>
    <w:p w14:paraId="4A1C85D6">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2）。</w:t>
      </w:r>
    </w:p>
    <w:p w14:paraId="21E6E2FB">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2.6“电子交易平台”系指本项目政府采购活动所依托的政府采购云平台（https://www.zcygov.cn/）。</w:t>
      </w:r>
    </w:p>
    <w:p w14:paraId="09EBD7EE">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2.8特别说明：</w:t>
      </w:r>
    </w:p>
    <w:p w14:paraId="73F9E0EC">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2.8.1根据政府采购相关法律、法规、规章、文件规定并满足采购文件规定资格条件的区域性分支机构、个体工商户、个人独资企业、合伙企业参加本项目响应并由单位负责人签署的相关投标资料与本采购文件规定由法定代表人签署的的文件材料具有同等效力。</w:t>
      </w:r>
    </w:p>
    <w:p w14:paraId="4CA65BA2">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2.8.2采购文件中所涉及的产品品牌或型号均为建议性要求或为代替部分技术指标描述，除采购文件明确的品牌外,欢迎其他能满足本项目技术需求且性能与所明确品牌相当的产品参加。</w:t>
      </w:r>
    </w:p>
    <w:p w14:paraId="0DC9F223">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2.8.3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adjustRightInd w:val="0"/>
        <w:snapToGrid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adjustRightInd w:val="0"/>
        <w:snapToGrid w:val="0"/>
        <w:spacing w:line="360" w:lineRule="auto"/>
        <w:ind w:firstLine="480" w:firstLineChars="2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供应商相应的响应产品未获得国家确定的认证机构出具的、处于有效期之内的节能产品认证证书的或未提供响应产品认证证明材料的，投标无效。</w:t>
      </w:r>
    </w:p>
    <w:p w14:paraId="2840E433">
      <w:pPr>
        <w:adjustRightInd w:val="0"/>
        <w:snapToGrid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highlight w:val="none"/>
              </w:rPr>
              <w:t>以“★”标注的为政府强制采购产品）</w:t>
            </w:r>
          </w:p>
        </w:tc>
        <w:tc>
          <w:tcPr>
            <w:tcW w:w="3301" w:type="dxa"/>
            <w:shd w:val="clear" w:color="auto" w:fill="DAEEF3"/>
            <w:vAlign w:val="center"/>
          </w:tcPr>
          <w:p w14:paraId="4558F56F">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ascii="宋体" w:hAnsi="宋体" w:eastAsia="宋体" w:cs="宋体"/>
                <w:color w:val="auto"/>
                <w:w w:val="90"/>
                <w:szCs w:val="21"/>
                <w:highlight w:val="none"/>
              </w:rPr>
            </w:pPr>
          </w:p>
        </w:tc>
        <w:tc>
          <w:tcPr>
            <w:tcW w:w="3301" w:type="dxa"/>
            <w:vAlign w:val="center"/>
          </w:tcPr>
          <w:p w14:paraId="00756B9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ascii="宋体" w:hAnsi="宋体" w:eastAsia="宋体" w:cs="宋体"/>
                <w:color w:val="auto"/>
                <w:w w:val="90"/>
                <w:szCs w:val="21"/>
                <w:highlight w:val="none"/>
              </w:rPr>
            </w:pPr>
          </w:p>
        </w:tc>
        <w:tc>
          <w:tcPr>
            <w:tcW w:w="1933" w:type="dxa"/>
            <w:vMerge w:val="continue"/>
            <w:vAlign w:val="center"/>
          </w:tcPr>
          <w:p w14:paraId="5CB1FAE0">
            <w:pPr>
              <w:jc w:val="left"/>
              <w:rPr>
                <w:rFonts w:ascii="宋体" w:hAnsi="宋体" w:eastAsia="宋体" w:cs="宋体"/>
                <w:color w:val="auto"/>
                <w:w w:val="90"/>
                <w:szCs w:val="21"/>
                <w:highlight w:val="none"/>
              </w:rPr>
            </w:pPr>
          </w:p>
        </w:tc>
        <w:tc>
          <w:tcPr>
            <w:tcW w:w="2334" w:type="dxa"/>
            <w:vAlign w:val="center"/>
          </w:tcPr>
          <w:p w14:paraId="16BDD01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ascii="宋体" w:hAnsi="宋体" w:eastAsia="宋体" w:cs="宋体"/>
                <w:color w:val="auto"/>
                <w:w w:val="90"/>
                <w:szCs w:val="21"/>
                <w:highlight w:val="none"/>
              </w:rPr>
            </w:pPr>
          </w:p>
        </w:tc>
        <w:tc>
          <w:tcPr>
            <w:tcW w:w="3301" w:type="dxa"/>
            <w:vAlign w:val="center"/>
          </w:tcPr>
          <w:p w14:paraId="23101FE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ascii="宋体" w:hAnsi="宋体" w:eastAsia="宋体" w:cs="宋体"/>
                <w:color w:val="auto"/>
                <w:w w:val="90"/>
                <w:szCs w:val="21"/>
                <w:highlight w:val="none"/>
              </w:rPr>
            </w:pPr>
          </w:p>
        </w:tc>
        <w:tc>
          <w:tcPr>
            <w:tcW w:w="1933" w:type="dxa"/>
            <w:vMerge w:val="continue"/>
            <w:vAlign w:val="center"/>
          </w:tcPr>
          <w:p w14:paraId="36D083EF">
            <w:pPr>
              <w:jc w:val="left"/>
              <w:rPr>
                <w:rFonts w:ascii="宋体" w:hAnsi="宋体" w:eastAsia="宋体" w:cs="宋体"/>
                <w:color w:val="auto"/>
                <w:w w:val="90"/>
                <w:szCs w:val="21"/>
                <w:highlight w:val="none"/>
              </w:rPr>
            </w:pPr>
          </w:p>
        </w:tc>
        <w:tc>
          <w:tcPr>
            <w:tcW w:w="2334" w:type="dxa"/>
            <w:vAlign w:val="center"/>
          </w:tcPr>
          <w:p w14:paraId="63604AA6">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ascii="宋体" w:hAnsi="宋体" w:eastAsia="宋体" w:cs="宋体"/>
                <w:color w:val="auto"/>
                <w:w w:val="90"/>
                <w:szCs w:val="21"/>
                <w:highlight w:val="none"/>
              </w:rPr>
            </w:pPr>
          </w:p>
        </w:tc>
        <w:tc>
          <w:tcPr>
            <w:tcW w:w="3301" w:type="dxa"/>
            <w:vAlign w:val="center"/>
          </w:tcPr>
          <w:p w14:paraId="249193C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ascii="宋体" w:hAnsi="宋体" w:eastAsia="宋体" w:cs="宋体"/>
                <w:color w:val="auto"/>
                <w:w w:val="90"/>
                <w:szCs w:val="21"/>
                <w:highlight w:val="none"/>
              </w:rPr>
            </w:pPr>
          </w:p>
        </w:tc>
        <w:tc>
          <w:tcPr>
            <w:tcW w:w="1933" w:type="dxa"/>
            <w:vMerge w:val="continue"/>
            <w:vAlign w:val="center"/>
          </w:tcPr>
          <w:p w14:paraId="373D548C">
            <w:pPr>
              <w:jc w:val="left"/>
              <w:rPr>
                <w:rFonts w:ascii="宋体" w:hAnsi="宋体" w:eastAsia="宋体" w:cs="宋体"/>
                <w:color w:val="auto"/>
                <w:w w:val="90"/>
                <w:szCs w:val="21"/>
                <w:highlight w:val="none"/>
              </w:rPr>
            </w:pPr>
          </w:p>
        </w:tc>
        <w:tc>
          <w:tcPr>
            <w:tcW w:w="2334" w:type="dxa"/>
            <w:vMerge w:val="continue"/>
            <w:vAlign w:val="center"/>
          </w:tcPr>
          <w:p w14:paraId="09726D42">
            <w:pPr>
              <w:jc w:val="left"/>
              <w:rPr>
                <w:rFonts w:ascii="宋体" w:hAnsi="宋体" w:eastAsia="宋体" w:cs="宋体"/>
                <w:color w:val="auto"/>
                <w:w w:val="90"/>
                <w:szCs w:val="21"/>
                <w:highlight w:val="none"/>
              </w:rPr>
            </w:pPr>
          </w:p>
        </w:tc>
        <w:tc>
          <w:tcPr>
            <w:tcW w:w="1682" w:type="dxa"/>
            <w:vAlign w:val="center"/>
          </w:tcPr>
          <w:p w14:paraId="43DD39FD">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ascii="宋体" w:hAnsi="宋体" w:eastAsia="宋体" w:cs="宋体"/>
                <w:color w:val="auto"/>
                <w:w w:val="90"/>
                <w:szCs w:val="21"/>
                <w:highlight w:val="none"/>
              </w:rPr>
            </w:pPr>
          </w:p>
        </w:tc>
        <w:tc>
          <w:tcPr>
            <w:tcW w:w="1933" w:type="dxa"/>
            <w:vMerge w:val="continue"/>
            <w:vAlign w:val="center"/>
          </w:tcPr>
          <w:p w14:paraId="3BE8233D">
            <w:pPr>
              <w:jc w:val="left"/>
              <w:rPr>
                <w:rFonts w:ascii="宋体" w:hAnsi="宋体" w:eastAsia="宋体" w:cs="宋体"/>
                <w:color w:val="auto"/>
                <w:w w:val="90"/>
                <w:szCs w:val="21"/>
                <w:highlight w:val="none"/>
              </w:rPr>
            </w:pPr>
          </w:p>
        </w:tc>
        <w:tc>
          <w:tcPr>
            <w:tcW w:w="2334" w:type="dxa"/>
            <w:vMerge w:val="continue"/>
            <w:vAlign w:val="center"/>
          </w:tcPr>
          <w:p w14:paraId="518A593F">
            <w:pPr>
              <w:jc w:val="left"/>
              <w:rPr>
                <w:rFonts w:ascii="宋体" w:hAnsi="宋体" w:eastAsia="宋体" w:cs="宋体"/>
                <w:color w:val="auto"/>
                <w:w w:val="90"/>
                <w:szCs w:val="21"/>
                <w:highlight w:val="none"/>
              </w:rPr>
            </w:pPr>
          </w:p>
        </w:tc>
        <w:tc>
          <w:tcPr>
            <w:tcW w:w="1682" w:type="dxa"/>
            <w:vAlign w:val="center"/>
          </w:tcPr>
          <w:p w14:paraId="5E12B48E">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ascii="宋体" w:hAnsi="宋体" w:eastAsia="宋体" w:cs="宋体"/>
                <w:color w:val="auto"/>
                <w:w w:val="90"/>
                <w:szCs w:val="21"/>
                <w:highlight w:val="none"/>
              </w:rPr>
            </w:pPr>
          </w:p>
        </w:tc>
        <w:tc>
          <w:tcPr>
            <w:tcW w:w="1933" w:type="dxa"/>
            <w:vMerge w:val="continue"/>
            <w:vAlign w:val="center"/>
          </w:tcPr>
          <w:p w14:paraId="38489892">
            <w:pPr>
              <w:jc w:val="left"/>
              <w:rPr>
                <w:rFonts w:ascii="宋体" w:hAnsi="宋体" w:eastAsia="宋体" w:cs="宋体"/>
                <w:color w:val="auto"/>
                <w:w w:val="90"/>
                <w:szCs w:val="21"/>
                <w:highlight w:val="none"/>
              </w:rPr>
            </w:pPr>
          </w:p>
        </w:tc>
        <w:tc>
          <w:tcPr>
            <w:tcW w:w="2334" w:type="dxa"/>
            <w:vAlign w:val="center"/>
          </w:tcPr>
          <w:p w14:paraId="72426E5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ascii="宋体" w:hAnsi="宋体" w:eastAsia="宋体" w:cs="宋体"/>
                <w:color w:val="auto"/>
                <w:w w:val="90"/>
                <w:szCs w:val="21"/>
                <w:highlight w:val="none"/>
              </w:rPr>
            </w:pPr>
          </w:p>
        </w:tc>
        <w:tc>
          <w:tcPr>
            <w:tcW w:w="1933" w:type="dxa"/>
            <w:vMerge w:val="continue"/>
            <w:vAlign w:val="center"/>
          </w:tcPr>
          <w:p w14:paraId="4C3D76DD">
            <w:pPr>
              <w:jc w:val="left"/>
              <w:rPr>
                <w:rFonts w:ascii="宋体" w:hAnsi="宋体" w:eastAsia="宋体" w:cs="宋体"/>
                <w:color w:val="auto"/>
                <w:w w:val="90"/>
                <w:szCs w:val="21"/>
                <w:highlight w:val="none"/>
              </w:rPr>
            </w:pPr>
          </w:p>
        </w:tc>
        <w:tc>
          <w:tcPr>
            <w:tcW w:w="2334" w:type="dxa"/>
            <w:vAlign w:val="center"/>
          </w:tcPr>
          <w:p w14:paraId="74A1401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ascii="宋体" w:hAnsi="宋体" w:eastAsia="宋体" w:cs="宋体"/>
                <w:color w:val="auto"/>
                <w:w w:val="90"/>
                <w:szCs w:val="21"/>
                <w:highlight w:val="none"/>
              </w:rPr>
            </w:pPr>
          </w:p>
        </w:tc>
        <w:tc>
          <w:tcPr>
            <w:tcW w:w="1682" w:type="dxa"/>
            <w:vAlign w:val="center"/>
          </w:tcPr>
          <w:p w14:paraId="6A04E678">
            <w:pPr>
              <w:jc w:val="center"/>
              <w:rPr>
                <w:rFonts w:ascii="宋体" w:hAnsi="宋体" w:eastAsia="宋体" w:cs="宋体"/>
                <w:color w:val="auto"/>
                <w:w w:val="90"/>
                <w:szCs w:val="21"/>
                <w:highlight w:val="none"/>
              </w:rPr>
            </w:pPr>
          </w:p>
        </w:tc>
        <w:tc>
          <w:tcPr>
            <w:tcW w:w="3301" w:type="dxa"/>
            <w:vAlign w:val="center"/>
          </w:tcPr>
          <w:p w14:paraId="0B64B29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ascii="宋体" w:hAnsi="宋体" w:eastAsia="宋体" w:cs="宋体"/>
                <w:color w:val="auto"/>
                <w:w w:val="90"/>
                <w:szCs w:val="21"/>
                <w:highlight w:val="none"/>
              </w:rPr>
            </w:pPr>
          </w:p>
        </w:tc>
        <w:tc>
          <w:tcPr>
            <w:tcW w:w="1682" w:type="dxa"/>
            <w:vAlign w:val="center"/>
          </w:tcPr>
          <w:p w14:paraId="71A15DC0">
            <w:pPr>
              <w:jc w:val="center"/>
              <w:rPr>
                <w:rFonts w:ascii="宋体" w:hAnsi="宋体" w:eastAsia="宋体" w:cs="宋体"/>
                <w:color w:val="auto"/>
                <w:w w:val="90"/>
                <w:szCs w:val="21"/>
                <w:highlight w:val="none"/>
              </w:rPr>
            </w:pPr>
          </w:p>
        </w:tc>
        <w:tc>
          <w:tcPr>
            <w:tcW w:w="3301" w:type="dxa"/>
            <w:vAlign w:val="center"/>
          </w:tcPr>
          <w:p w14:paraId="3B50644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ascii="宋体" w:hAnsi="宋体" w:eastAsia="宋体" w:cs="宋体"/>
                <w:color w:val="auto"/>
                <w:w w:val="90"/>
                <w:szCs w:val="21"/>
                <w:highlight w:val="none"/>
              </w:rPr>
            </w:pPr>
          </w:p>
        </w:tc>
        <w:tc>
          <w:tcPr>
            <w:tcW w:w="3301" w:type="dxa"/>
            <w:vAlign w:val="center"/>
          </w:tcPr>
          <w:p w14:paraId="1C45374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ascii="宋体" w:hAnsi="宋体" w:eastAsia="宋体" w:cs="宋体"/>
                <w:color w:val="auto"/>
                <w:w w:val="90"/>
                <w:szCs w:val="21"/>
                <w:highlight w:val="none"/>
              </w:rPr>
            </w:pPr>
          </w:p>
        </w:tc>
        <w:tc>
          <w:tcPr>
            <w:tcW w:w="1933" w:type="dxa"/>
            <w:vMerge w:val="continue"/>
            <w:vAlign w:val="center"/>
          </w:tcPr>
          <w:p w14:paraId="2F2E74DD">
            <w:pPr>
              <w:jc w:val="left"/>
              <w:rPr>
                <w:rFonts w:ascii="宋体" w:hAnsi="宋体" w:eastAsia="宋体" w:cs="宋体"/>
                <w:color w:val="auto"/>
                <w:w w:val="90"/>
                <w:szCs w:val="21"/>
                <w:highlight w:val="none"/>
              </w:rPr>
            </w:pPr>
          </w:p>
        </w:tc>
        <w:tc>
          <w:tcPr>
            <w:tcW w:w="2334" w:type="dxa"/>
            <w:vMerge w:val="continue"/>
            <w:vAlign w:val="center"/>
          </w:tcPr>
          <w:p w14:paraId="02983433">
            <w:pPr>
              <w:jc w:val="left"/>
              <w:rPr>
                <w:rFonts w:ascii="宋体" w:hAnsi="宋体" w:eastAsia="宋体" w:cs="宋体"/>
                <w:b/>
                <w:color w:val="auto"/>
                <w:w w:val="90"/>
                <w:szCs w:val="21"/>
                <w:highlight w:val="none"/>
              </w:rPr>
            </w:pPr>
          </w:p>
        </w:tc>
        <w:tc>
          <w:tcPr>
            <w:tcW w:w="1682" w:type="dxa"/>
            <w:vAlign w:val="center"/>
          </w:tcPr>
          <w:p w14:paraId="5D167E93">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ascii="宋体" w:hAnsi="宋体" w:eastAsia="宋体" w:cs="宋体"/>
                <w:color w:val="auto"/>
                <w:w w:val="90"/>
                <w:szCs w:val="21"/>
                <w:highlight w:val="none"/>
              </w:rPr>
            </w:pPr>
          </w:p>
        </w:tc>
        <w:tc>
          <w:tcPr>
            <w:tcW w:w="1933" w:type="dxa"/>
            <w:vMerge w:val="continue"/>
            <w:vAlign w:val="center"/>
          </w:tcPr>
          <w:p w14:paraId="548025FF">
            <w:pPr>
              <w:jc w:val="left"/>
              <w:rPr>
                <w:rFonts w:ascii="宋体" w:hAnsi="宋体" w:eastAsia="宋体" w:cs="宋体"/>
                <w:color w:val="auto"/>
                <w:w w:val="90"/>
                <w:szCs w:val="21"/>
                <w:highlight w:val="none"/>
              </w:rPr>
            </w:pPr>
          </w:p>
        </w:tc>
        <w:tc>
          <w:tcPr>
            <w:tcW w:w="2334" w:type="dxa"/>
            <w:vMerge w:val="continue"/>
            <w:vAlign w:val="center"/>
          </w:tcPr>
          <w:p w14:paraId="0B7FCDC4">
            <w:pPr>
              <w:jc w:val="left"/>
              <w:rPr>
                <w:rFonts w:ascii="宋体" w:hAnsi="宋体" w:eastAsia="宋体" w:cs="宋体"/>
                <w:b/>
                <w:color w:val="auto"/>
                <w:w w:val="90"/>
                <w:szCs w:val="21"/>
                <w:highlight w:val="none"/>
              </w:rPr>
            </w:pPr>
          </w:p>
        </w:tc>
        <w:tc>
          <w:tcPr>
            <w:tcW w:w="1682" w:type="dxa"/>
            <w:vAlign w:val="center"/>
          </w:tcPr>
          <w:p w14:paraId="1F7C0164">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ascii="宋体" w:hAnsi="宋体" w:eastAsia="宋体" w:cs="宋体"/>
                <w:color w:val="auto"/>
                <w:w w:val="90"/>
                <w:szCs w:val="21"/>
                <w:highlight w:val="none"/>
              </w:rPr>
            </w:pPr>
          </w:p>
        </w:tc>
        <w:tc>
          <w:tcPr>
            <w:tcW w:w="1933" w:type="dxa"/>
            <w:vMerge w:val="continue"/>
            <w:vAlign w:val="center"/>
          </w:tcPr>
          <w:p w14:paraId="6B8BBD58">
            <w:pPr>
              <w:jc w:val="left"/>
              <w:rPr>
                <w:rFonts w:ascii="宋体" w:hAnsi="宋体" w:eastAsia="宋体" w:cs="宋体"/>
                <w:color w:val="auto"/>
                <w:w w:val="90"/>
                <w:szCs w:val="21"/>
                <w:highlight w:val="none"/>
              </w:rPr>
            </w:pPr>
          </w:p>
        </w:tc>
        <w:tc>
          <w:tcPr>
            <w:tcW w:w="2334" w:type="dxa"/>
            <w:vMerge w:val="restart"/>
            <w:vAlign w:val="center"/>
          </w:tcPr>
          <w:p w14:paraId="5984D7C1">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ascii="宋体" w:hAnsi="宋体" w:eastAsia="宋体" w:cs="宋体"/>
                <w:color w:val="auto"/>
                <w:w w:val="90"/>
                <w:szCs w:val="21"/>
                <w:highlight w:val="none"/>
              </w:rPr>
            </w:pPr>
          </w:p>
        </w:tc>
        <w:tc>
          <w:tcPr>
            <w:tcW w:w="1933" w:type="dxa"/>
            <w:vMerge w:val="continue"/>
            <w:vAlign w:val="center"/>
          </w:tcPr>
          <w:p w14:paraId="7BE248AA">
            <w:pPr>
              <w:jc w:val="left"/>
              <w:rPr>
                <w:rFonts w:ascii="宋体" w:hAnsi="宋体" w:eastAsia="宋体" w:cs="宋体"/>
                <w:color w:val="auto"/>
                <w:w w:val="90"/>
                <w:szCs w:val="21"/>
                <w:highlight w:val="none"/>
              </w:rPr>
            </w:pPr>
          </w:p>
        </w:tc>
        <w:tc>
          <w:tcPr>
            <w:tcW w:w="2334" w:type="dxa"/>
            <w:vMerge w:val="continue"/>
            <w:vAlign w:val="center"/>
          </w:tcPr>
          <w:p w14:paraId="4F9F3B89">
            <w:pPr>
              <w:jc w:val="left"/>
              <w:rPr>
                <w:rFonts w:ascii="宋体" w:hAnsi="宋体" w:eastAsia="宋体" w:cs="宋体"/>
                <w:b/>
                <w:color w:val="auto"/>
                <w:w w:val="90"/>
                <w:szCs w:val="21"/>
                <w:highlight w:val="none"/>
              </w:rPr>
            </w:pPr>
          </w:p>
        </w:tc>
        <w:tc>
          <w:tcPr>
            <w:tcW w:w="1682" w:type="dxa"/>
            <w:vAlign w:val="center"/>
          </w:tcPr>
          <w:p w14:paraId="1CFE281A">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ascii="宋体" w:hAnsi="宋体" w:eastAsia="宋体" w:cs="宋体"/>
                <w:color w:val="auto"/>
                <w:w w:val="90"/>
                <w:szCs w:val="21"/>
                <w:highlight w:val="none"/>
              </w:rPr>
            </w:pPr>
          </w:p>
        </w:tc>
        <w:tc>
          <w:tcPr>
            <w:tcW w:w="1933" w:type="dxa"/>
            <w:vMerge w:val="continue"/>
            <w:vAlign w:val="center"/>
          </w:tcPr>
          <w:p w14:paraId="7B9F1F36">
            <w:pPr>
              <w:jc w:val="left"/>
              <w:rPr>
                <w:rFonts w:ascii="宋体" w:hAnsi="宋体" w:eastAsia="宋体" w:cs="宋体"/>
                <w:color w:val="auto"/>
                <w:w w:val="90"/>
                <w:szCs w:val="21"/>
                <w:highlight w:val="none"/>
              </w:rPr>
            </w:pPr>
          </w:p>
        </w:tc>
        <w:tc>
          <w:tcPr>
            <w:tcW w:w="2334" w:type="dxa"/>
            <w:vAlign w:val="center"/>
          </w:tcPr>
          <w:p w14:paraId="7A33632B">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ascii="宋体" w:hAnsi="宋体" w:eastAsia="宋体" w:cs="宋体"/>
                <w:color w:val="auto"/>
                <w:w w:val="90"/>
                <w:szCs w:val="21"/>
                <w:highlight w:val="none"/>
              </w:rPr>
            </w:pPr>
          </w:p>
        </w:tc>
        <w:tc>
          <w:tcPr>
            <w:tcW w:w="1933" w:type="dxa"/>
            <w:vMerge w:val="continue"/>
            <w:vAlign w:val="center"/>
          </w:tcPr>
          <w:p w14:paraId="3EF183EA">
            <w:pPr>
              <w:jc w:val="left"/>
              <w:rPr>
                <w:rFonts w:ascii="宋体" w:hAnsi="宋体" w:eastAsia="宋体" w:cs="宋体"/>
                <w:color w:val="auto"/>
                <w:w w:val="90"/>
                <w:szCs w:val="21"/>
                <w:highlight w:val="none"/>
              </w:rPr>
            </w:pPr>
          </w:p>
        </w:tc>
        <w:tc>
          <w:tcPr>
            <w:tcW w:w="2334" w:type="dxa"/>
            <w:vAlign w:val="center"/>
          </w:tcPr>
          <w:p w14:paraId="15CBE2E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ascii="宋体" w:hAnsi="宋体" w:eastAsia="宋体" w:cs="宋体"/>
                <w:color w:val="auto"/>
                <w:w w:val="90"/>
                <w:szCs w:val="21"/>
                <w:highlight w:val="none"/>
              </w:rPr>
            </w:pPr>
          </w:p>
        </w:tc>
        <w:tc>
          <w:tcPr>
            <w:tcW w:w="1682" w:type="dxa"/>
            <w:vAlign w:val="center"/>
          </w:tcPr>
          <w:p w14:paraId="6596369B">
            <w:pPr>
              <w:jc w:val="center"/>
              <w:rPr>
                <w:rFonts w:ascii="宋体" w:hAnsi="宋体" w:eastAsia="宋体" w:cs="宋体"/>
                <w:color w:val="auto"/>
                <w:w w:val="90"/>
                <w:szCs w:val="21"/>
                <w:highlight w:val="none"/>
              </w:rPr>
            </w:pPr>
          </w:p>
        </w:tc>
        <w:tc>
          <w:tcPr>
            <w:tcW w:w="3301" w:type="dxa"/>
            <w:vAlign w:val="center"/>
          </w:tcPr>
          <w:p w14:paraId="65E46948">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ascii="宋体" w:hAnsi="宋体" w:eastAsia="宋体" w:cs="宋体"/>
                <w:color w:val="auto"/>
                <w:w w:val="90"/>
                <w:szCs w:val="21"/>
                <w:highlight w:val="none"/>
              </w:rPr>
            </w:pPr>
          </w:p>
        </w:tc>
        <w:tc>
          <w:tcPr>
            <w:tcW w:w="3301" w:type="dxa"/>
            <w:vAlign w:val="center"/>
          </w:tcPr>
          <w:p w14:paraId="5C430DF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ascii="宋体" w:hAnsi="宋体" w:eastAsia="宋体" w:cs="宋体"/>
                <w:color w:val="auto"/>
                <w:w w:val="90"/>
                <w:szCs w:val="21"/>
                <w:highlight w:val="none"/>
              </w:rPr>
            </w:pPr>
          </w:p>
        </w:tc>
        <w:tc>
          <w:tcPr>
            <w:tcW w:w="3301" w:type="dxa"/>
            <w:vAlign w:val="center"/>
          </w:tcPr>
          <w:p w14:paraId="793C9EF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ascii="宋体" w:hAnsi="宋体" w:eastAsia="宋体" w:cs="宋体"/>
                <w:color w:val="auto"/>
                <w:w w:val="90"/>
                <w:szCs w:val="21"/>
                <w:highlight w:val="none"/>
              </w:rPr>
            </w:pPr>
          </w:p>
        </w:tc>
        <w:tc>
          <w:tcPr>
            <w:tcW w:w="3301" w:type="dxa"/>
            <w:vAlign w:val="center"/>
          </w:tcPr>
          <w:p w14:paraId="6E77B98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ascii="宋体" w:hAnsi="宋体" w:eastAsia="宋体" w:cs="宋体"/>
                <w:color w:val="auto"/>
                <w:w w:val="90"/>
                <w:szCs w:val="21"/>
                <w:highlight w:val="none"/>
              </w:rPr>
            </w:pPr>
          </w:p>
        </w:tc>
        <w:tc>
          <w:tcPr>
            <w:tcW w:w="1933" w:type="dxa"/>
            <w:vMerge w:val="continue"/>
            <w:vAlign w:val="center"/>
          </w:tcPr>
          <w:p w14:paraId="23A47070">
            <w:pPr>
              <w:jc w:val="left"/>
              <w:rPr>
                <w:rFonts w:ascii="宋体" w:hAnsi="宋体" w:eastAsia="宋体" w:cs="宋体"/>
                <w:color w:val="auto"/>
                <w:w w:val="90"/>
                <w:szCs w:val="21"/>
                <w:highlight w:val="none"/>
              </w:rPr>
            </w:pPr>
          </w:p>
        </w:tc>
        <w:tc>
          <w:tcPr>
            <w:tcW w:w="2334" w:type="dxa"/>
            <w:vMerge w:val="restart"/>
            <w:vAlign w:val="center"/>
          </w:tcPr>
          <w:p w14:paraId="2241C10C">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ascii="宋体" w:hAnsi="宋体" w:eastAsia="宋体" w:cs="宋体"/>
                <w:color w:val="auto"/>
                <w:w w:val="90"/>
                <w:szCs w:val="21"/>
                <w:highlight w:val="none"/>
              </w:rPr>
            </w:pPr>
          </w:p>
        </w:tc>
        <w:tc>
          <w:tcPr>
            <w:tcW w:w="1933" w:type="dxa"/>
            <w:vMerge w:val="continue"/>
            <w:vAlign w:val="center"/>
          </w:tcPr>
          <w:p w14:paraId="082FFFAD">
            <w:pPr>
              <w:jc w:val="left"/>
              <w:rPr>
                <w:rFonts w:ascii="宋体" w:hAnsi="宋体" w:eastAsia="宋体" w:cs="宋体"/>
                <w:color w:val="auto"/>
                <w:w w:val="90"/>
                <w:szCs w:val="21"/>
                <w:highlight w:val="none"/>
              </w:rPr>
            </w:pPr>
          </w:p>
        </w:tc>
        <w:tc>
          <w:tcPr>
            <w:tcW w:w="2334" w:type="dxa"/>
            <w:vMerge w:val="continue"/>
            <w:vAlign w:val="center"/>
          </w:tcPr>
          <w:p w14:paraId="118D1F59">
            <w:pPr>
              <w:jc w:val="left"/>
              <w:rPr>
                <w:rFonts w:ascii="宋体" w:hAnsi="宋体" w:eastAsia="宋体" w:cs="宋体"/>
                <w:b/>
                <w:color w:val="auto"/>
                <w:w w:val="90"/>
                <w:szCs w:val="21"/>
                <w:highlight w:val="none"/>
              </w:rPr>
            </w:pPr>
          </w:p>
        </w:tc>
        <w:tc>
          <w:tcPr>
            <w:tcW w:w="1682" w:type="dxa"/>
            <w:vAlign w:val="center"/>
          </w:tcPr>
          <w:p w14:paraId="2051678A">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ascii="宋体" w:hAnsi="宋体" w:eastAsia="宋体" w:cs="宋体"/>
                <w:color w:val="auto"/>
                <w:w w:val="90"/>
                <w:szCs w:val="21"/>
                <w:highlight w:val="none"/>
              </w:rPr>
            </w:pPr>
          </w:p>
        </w:tc>
        <w:tc>
          <w:tcPr>
            <w:tcW w:w="1933" w:type="dxa"/>
            <w:vMerge w:val="continue"/>
            <w:vAlign w:val="center"/>
          </w:tcPr>
          <w:p w14:paraId="0BF6F7C9">
            <w:pPr>
              <w:jc w:val="left"/>
              <w:rPr>
                <w:rFonts w:ascii="宋体" w:hAnsi="宋体" w:eastAsia="宋体" w:cs="宋体"/>
                <w:color w:val="auto"/>
                <w:w w:val="90"/>
                <w:szCs w:val="21"/>
                <w:highlight w:val="none"/>
              </w:rPr>
            </w:pPr>
          </w:p>
        </w:tc>
        <w:tc>
          <w:tcPr>
            <w:tcW w:w="2334" w:type="dxa"/>
            <w:vMerge w:val="continue"/>
            <w:vAlign w:val="center"/>
          </w:tcPr>
          <w:p w14:paraId="0FA83EB2">
            <w:pPr>
              <w:jc w:val="left"/>
              <w:rPr>
                <w:rFonts w:ascii="宋体" w:hAnsi="宋体" w:eastAsia="宋体" w:cs="宋体"/>
                <w:b/>
                <w:color w:val="auto"/>
                <w:w w:val="90"/>
                <w:szCs w:val="21"/>
                <w:highlight w:val="none"/>
              </w:rPr>
            </w:pPr>
          </w:p>
        </w:tc>
        <w:tc>
          <w:tcPr>
            <w:tcW w:w="1682" w:type="dxa"/>
            <w:vAlign w:val="center"/>
          </w:tcPr>
          <w:p w14:paraId="7A8D5085">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ascii="宋体" w:hAnsi="宋体" w:eastAsia="宋体" w:cs="宋体"/>
                <w:color w:val="auto"/>
                <w:w w:val="90"/>
                <w:szCs w:val="21"/>
                <w:highlight w:val="none"/>
              </w:rPr>
            </w:pPr>
          </w:p>
        </w:tc>
        <w:tc>
          <w:tcPr>
            <w:tcW w:w="1933" w:type="dxa"/>
            <w:vMerge w:val="continue"/>
            <w:vAlign w:val="center"/>
          </w:tcPr>
          <w:p w14:paraId="6BC8AC0B">
            <w:pPr>
              <w:jc w:val="left"/>
              <w:rPr>
                <w:rFonts w:ascii="宋体" w:hAnsi="宋体" w:eastAsia="宋体" w:cs="宋体"/>
                <w:color w:val="auto"/>
                <w:w w:val="90"/>
                <w:szCs w:val="21"/>
                <w:highlight w:val="none"/>
              </w:rPr>
            </w:pPr>
          </w:p>
        </w:tc>
        <w:tc>
          <w:tcPr>
            <w:tcW w:w="2334" w:type="dxa"/>
            <w:vAlign w:val="center"/>
          </w:tcPr>
          <w:p w14:paraId="7B69D89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ascii="宋体" w:hAnsi="宋体" w:eastAsia="宋体" w:cs="宋体"/>
                <w:color w:val="auto"/>
                <w:w w:val="90"/>
                <w:szCs w:val="21"/>
                <w:highlight w:val="none"/>
              </w:rPr>
            </w:pPr>
          </w:p>
        </w:tc>
        <w:tc>
          <w:tcPr>
            <w:tcW w:w="3301" w:type="dxa"/>
            <w:vAlign w:val="center"/>
          </w:tcPr>
          <w:p w14:paraId="6C57A11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ascii="宋体" w:hAnsi="宋体" w:eastAsia="宋体" w:cs="宋体"/>
                <w:color w:val="auto"/>
                <w:w w:val="90"/>
                <w:szCs w:val="21"/>
                <w:highlight w:val="none"/>
              </w:rPr>
            </w:pPr>
          </w:p>
        </w:tc>
        <w:tc>
          <w:tcPr>
            <w:tcW w:w="1933" w:type="dxa"/>
            <w:vMerge w:val="continue"/>
            <w:vAlign w:val="center"/>
          </w:tcPr>
          <w:p w14:paraId="1AB93737">
            <w:pPr>
              <w:jc w:val="left"/>
              <w:rPr>
                <w:rFonts w:ascii="宋体" w:hAnsi="宋体" w:eastAsia="宋体" w:cs="宋体"/>
                <w:color w:val="auto"/>
                <w:w w:val="90"/>
                <w:szCs w:val="21"/>
                <w:highlight w:val="none"/>
              </w:rPr>
            </w:pPr>
          </w:p>
        </w:tc>
        <w:tc>
          <w:tcPr>
            <w:tcW w:w="2334" w:type="dxa"/>
            <w:vMerge w:val="restart"/>
            <w:vAlign w:val="center"/>
          </w:tcPr>
          <w:p w14:paraId="6EFDF7C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ascii="宋体" w:hAnsi="宋体" w:eastAsia="宋体" w:cs="宋体"/>
                <w:color w:val="auto"/>
                <w:w w:val="90"/>
                <w:szCs w:val="21"/>
                <w:highlight w:val="none"/>
              </w:rPr>
            </w:pPr>
          </w:p>
        </w:tc>
        <w:tc>
          <w:tcPr>
            <w:tcW w:w="1933" w:type="dxa"/>
            <w:vMerge w:val="continue"/>
            <w:vAlign w:val="center"/>
          </w:tcPr>
          <w:p w14:paraId="566FE412">
            <w:pPr>
              <w:jc w:val="left"/>
              <w:rPr>
                <w:rFonts w:ascii="宋体" w:hAnsi="宋体" w:eastAsia="宋体" w:cs="宋体"/>
                <w:color w:val="auto"/>
                <w:w w:val="90"/>
                <w:szCs w:val="21"/>
                <w:highlight w:val="none"/>
              </w:rPr>
            </w:pPr>
          </w:p>
        </w:tc>
        <w:tc>
          <w:tcPr>
            <w:tcW w:w="2334" w:type="dxa"/>
            <w:vMerge w:val="continue"/>
            <w:vAlign w:val="center"/>
          </w:tcPr>
          <w:p w14:paraId="79337A67">
            <w:pPr>
              <w:jc w:val="left"/>
              <w:rPr>
                <w:rFonts w:ascii="宋体" w:hAnsi="宋体" w:eastAsia="宋体" w:cs="宋体"/>
                <w:color w:val="auto"/>
                <w:w w:val="90"/>
                <w:szCs w:val="21"/>
                <w:highlight w:val="none"/>
              </w:rPr>
            </w:pPr>
          </w:p>
        </w:tc>
        <w:tc>
          <w:tcPr>
            <w:tcW w:w="1682" w:type="dxa"/>
            <w:vAlign w:val="center"/>
          </w:tcPr>
          <w:p w14:paraId="66D39A1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ascii="宋体" w:hAnsi="宋体" w:eastAsia="宋体" w:cs="宋体"/>
                <w:color w:val="auto"/>
                <w:w w:val="90"/>
                <w:szCs w:val="21"/>
                <w:highlight w:val="none"/>
              </w:rPr>
            </w:pPr>
          </w:p>
        </w:tc>
        <w:tc>
          <w:tcPr>
            <w:tcW w:w="1933" w:type="dxa"/>
            <w:vMerge w:val="continue"/>
            <w:vAlign w:val="center"/>
          </w:tcPr>
          <w:p w14:paraId="4213B515">
            <w:pPr>
              <w:jc w:val="left"/>
              <w:rPr>
                <w:rFonts w:ascii="宋体" w:hAnsi="宋体" w:eastAsia="宋体" w:cs="宋体"/>
                <w:color w:val="auto"/>
                <w:w w:val="90"/>
                <w:szCs w:val="21"/>
                <w:highlight w:val="none"/>
              </w:rPr>
            </w:pPr>
          </w:p>
        </w:tc>
        <w:tc>
          <w:tcPr>
            <w:tcW w:w="2334" w:type="dxa"/>
            <w:vMerge w:val="continue"/>
            <w:vAlign w:val="center"/>
          </w:tcPr>
          <w:p w14:paraId="20C57C14">
            <w:pPr>
              <w:jc w:val="left"/>
              <w:rPr>
                <w:rFonts w:ascii="宋体" w:hAnsi="宋体" w:eastAsia="宋体" w:cs="宋体"/>
                <w:color w:val="auto"/>
                <w:w w:val="90"/>
                <w:szCs w:val="21"/>
                <w:highlight w:val="none"/>
              </w:rPr>
            </w:pPr>
          </w:p>
        </w:tc>
        <w:tc>
          <w:tcPr>
            <w:tcW w:w="1682" w:type="dxa"/>
            <w:vAlign w:val="center"/>
          </w:tcPr>
          <w:p w14:paraId="19E8087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ascii="宋体" w:hAnsi="宋体" w:eastAsia="宋体" w:cs="宋体"/>
                <w:color w:val="auto"/>
                <w:w w:val="90"/>
                <w:szCs w:val="21"/>
                <w:highlight w:val="none"/>
              </w:rPr>
            </w:pPr>
          </w:p>
        </w:tc>
        <w:tc>
          <w:tcPr>
            <w:tcW w:w="1933" w:type="dxa"/>
            <w:vMerge w:val="continue"/>
            <w:vAlign w:val="center"/>
          </w:tcPr>
          <w:p w14:paraId="6CD09084">
            <w:pPr>
              <w:jc w:val="left"/>
              <w:rPr>
                <w:rFonts w:ascii="宋体" w:hAnsi="宋体" w:eastAsia="宋体" w:cs="宋体"/>
                <w:color w:val="auto"/>
                <w:w w:val="90"/>
                <w:szCs w:val="21"/>
                <w:highlight w:val="none"/>
              </w:rPr>
            </w:pPr>
          </w:p>
        </w:tc>
        <w:tc>
          <w:tcPr>
            <w:tcW w:w="2334" w:type="dxa"/>
            <w:vMerge w:val="continue"/>
            <w:vAlign w:val="center"/>
          </w:tcPr>
          <w:p w14:paraId="42182B2E">
            <w:pPr>
              <w:jc w:val="left"/>
              <w:rPr>
                <w:rFonts w:ascii="宋体" w:hAnsi="宋体" w:eastAsia="宋体" w:cs="宋体"/>
                <w:color w:val="auto"/>
                <w:w w:val="90"/>
                <w:szCs w:val="21"/>
                <w:highlight w:val="none"/>
              </w:rPr>
            </w:pPr>
          </w:p>
        </w:tc>
        <w:tc>
          <w:tcPr>
            <w:tcW w:w="1682" w:type="dxa"/>
            <w:vAlign w:val="center"/>
          </w:tcPr>
          <w:p w14:paraId="4605894D">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ascii="宋体" w:hAnsi="宋体" w:eastAsia="宋体" w:cs="宋体"/>
                <w:color w:val="auto"/>
                <w:w w:val="90"/>
                <w:szCs w:val="21"/>
                <w:highlight w:val="none"/>
              </w:rPr>
            </w:pPr>
          </w:p>
        </w:tc>
        <w:tc>
          <w:tcPr>
            <w:tcW w:w="3301" w:type="dxa"/>
            <w:vAlign w:val="center"/>
          </w:tcPr>
          <w:p w14:paraId="0A7883E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ascii="宋体" w:hAnsi="宋体" w:eastAsia="宋体" w:cs="宋体"/>
                <w:color w:val="auto"/>
                <w:w w:val="90"/>
                <w:szCs w:val="21"/>
                <w:highlight w:val="none"/>
              </w:rPr>
            </w:pPr>
          </w:p>
        </w:tc>
        <w:tc>
          <w:tcPr>
            <w:tcW w:w="1933" w:type="dxa"/>
            <w:vMerge w:val="continue"/>
            <w:vAlign w:val="center"/>
          </w:tcPr>
          <w:p w14:paraId="1620E967">
            <w:pPr>
              <w:jc w:val="left"/>
              <w:rPr>
                <w:rFonts w:ascii="宋体" w:hAnsi="宋体" w:eastAsia="宋体" w:cs="宋体"/>
                <w:color w:val="auto"/>
                <w:w w:val="90"/>
                <w:szCs w:val="21"/>
                <w:highlight w:val="none"/>
              </w:rPr>
            </w:pPr>
          </w:p>
        </w:tc>
        <w:tc>
          <w:tcPr>
            <w:tcW w:w="2334" w:type="dxa"/>
            <w:vAlign w:val="center"/>
          </w:tcPr>
          <w:p w14:paraId="729F402C">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ascii="宋体" w:hAnsi="宋体" w:eastAsia="宋体" w:cs="宋体"/>
                <w:color w:val="auto"/>
                <w:w w:val="90"/>
                <w:szCs w:val="21"/>
                <w:highlight w:val="none"/>
              </w:rPr>
            </w:pPr>
          </w:p>
        </w:tc>
        <w:tc>
          <w:tcPr>
            <w:tcW w:w="3301" w:type="dxa"/>
            <w:vAlign w:val="center"/>
          </w:tcPr>
          <w:p w14:paraId="5ABC39C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ascii="宋体" w:hAnsi="宋体" w:eastAsia="宋体" w:cs="宋体"/>
                <w:color w:val="auto"/>
                <w:w w:val="90"/>
                <w:szCs w:val="21"/>
                <w:highlight w:val="none"/>
              </w:rPr>
            </w:pPr>
          </w:p>
        </w:tc>
        <w:tc>
          <w:tcPr>
            <w:tcW w:w="1933" w:type="dxa"/>
            <w:vMerge w:val="continue"/>
            <w:vAlign w:val="center"/>
          </w:tcPr>
          <w:p w14:paraId="75BB092E">
            <w:pPr>
              <w:jc w:val="left"/>
              <w:rPr>
                <w:rFonts w:ascii="宋体" w:hAnsi="宋体" w:eastAsia="宋体" w:cs="宋体"/>
                <w:color w:val="auto"/>
                <w:w w:val="90"/>
                <w:szCs w:val="21"/>
                <w:highlight w:val="none"/>
              </w:rPr>
            </w:pPr>
          </w:p>
        </w:tc>
        <w:tc>
          <w:tcPr>
            <w:tcW w:w="2334" w:type="dxa"/>
            <w:vAlign w:val="center"/>
          </w:tcPr>
          <w:p w14:paraId="10C0A88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ascii="宋体" w:hAnsi="宋体" w:eastAsia="宋体" w:cs="宋体"/>
                <w:color w:val="auto"/>
                <w:w w:val="90"/>
                <w:szCs w:val="21"/>
                <w:highlight w:val="none"/>
              </w:rPr>
            </w:pPr>
          </w:p>
        </w:tc>
        <w:tc>
          <w:tcPr>
            <w:tcW w:w="3301" w:type="dxa"/>
            <w:vAlign w:val="center"/>
          </w:tcPr>
          <w:p w14:paraId="56B118D3">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ascii="宋体" w:hAnsi="宋体" w:eastAsia="宋体" w:cs="宋体"/>
                <w:color w:val="auto"/>
                <w:w w:val="90"/>
                <w:szCs w:val="21"/>
                <w:highlight w:val="none"/>
              </w:rPr>
            </w:pPr>
          </w:p>
        </w:tc>
        <w:tc>
          <w:tcPr>
            <w:tcW w:w="1933" w:type="dxa"/>
            <w:vMerge w:val="continue"/>
            <w:vAlign w:val="center"/>
          </w:tcPr>
          <w:p w14:paraId="06121EDB">
            <w:pPr>
              <w:jc w:val="left"/>
              <w:rPr>
                <w:rFonts w:ascii="宋体" w:hAnsi="宋体" w:eastAsia="宋体" w:cs="宋体"/>
                <w:color w:val="auto"/>
                <w:w w:val="90"/>
                <w:szCs w:val="21"/>
                <w:highlight w:val="none"/>
              </w:rPr>
            </w:pPr>
          </w:p>
        </w:tc>
        <w:tc>
          <w:tcPr>
            <w:tcW w:w="2334" w:type="dxa"/>
            <w:vAlign w:val="center"/>
          </w:tcPr>
          <w:p w14:paraId="15A11FF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ascii="宋体" w:hAnsi="宋体" w:eastAsia="宋体" w:cs="宋体"/>
                <w:color w:val="auto"/>
                <w:w w:val="90"/>
                <w:szCs w:val="21"/>
                <w:highlight w:val="none"/>
              </w:rPr>
            </w:pPr>
          </w:p>
        </w:tc>
        <w:tc>
          <w:tcPr>
            <w:tcW w:w="3301" w:type="dxa"/>
            <w:vAlign w:val="center"/>
          </w:tcPr>
          <w:p w14:paraId="468DE70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ascii="宋体" w:hAnsi="宋体" w:eastAsia="宋体" w:cs="宋体"/>
                <w:color w:val="auto"/>
                <w:w w:val="90"/>
                <w:szCs w:val="21"/>
                <w:highlight w:val="none"/>
              </w:rPr>
            </w:pPr>
          </w:p>
        </w:tc>
        <w:tc>
          <w:tcPr>
            <w:tcW w:w="3301" w:type="dxa"/>
            <w:vAlign w:val="center"/>
          </w:tcPr>
          <w:p w14:paraId="5D9B76D6">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ascii="宋体" w:hAnsi="宋体" w:eastAsia="宋体" w:cs="宋体"/>
                <w:color w:val="auto"/>
                <w:w w:val="90"/>
                <w:szCs w:val="21"/>
                <w:highlight w:val="none"/>
              </w:rPr>
            </w:pPr>
          </w:p>
        </w:tc>
        <w:tc>
          <w:tcPr>
            <w:tcW w:w="3301" w:type="dxa"/>
            <w:vAlign w:val="center"/>
          </w:tcPr>
          <w:p w14:paraId="50334F6E">
            <w:pPr>
              <w:jc w:val="left"/>
              <w:rPr>
                <w:rFonts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ascii="宋体" w:hAnsi="宋体" w:eastAsia="宋体" w:cs="宋体"/>
                <w:color w:val="auto"/>
                <w:w w:val="90"/>
                <w:szCs w:val="21"/>
                <w:highlight w:val="none"/>
              </w:rPr>
            </w:pPr>
          </w:p>
        </w:tc>
        <w:tc>
          <w:tcPr>
            <w:tcW w:w="3301" w:type="dxa"/>
            <w:vAlign w:val="center"/>
          </w:tcPr>
          <w:p w14:paraId="55F265A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ascii="宋体" w:hAnsi="宋体" w:eastAsia="宋体" w:cs="宋体"/>
                <w:color w:val="auto"/>
                <w:w w:val="90"/>
                <w:szCs w:val="21"/>
                <w:highlight w:val="none"/>
              </w:rPr>
            </w:pPr>
          </w:p>
        </w:tc>
        <w:tc>
          <w:tcPr>
            <w:tcW w:w="1933" w:type="dxa"/>
            <w:vMerge w:val="continue"/>
            <w:vAlign w:val="center"/>
          </w:tcPr>
          <w:p w14:paraId="68B4F2B1">
            <w:pPr>
              <w:jc w:val="left"/>
              <w:rPr>
                <w:rFonts w:ascii="宋体" w:hAnsi="宋体" w:eastAsia="宋体" w:cs="宋体"/>
                <w:b/>
                <w:color w:val="auto"/>
                <w:w w:val="90"/>
                <w:szCs w:val="21"/>
                <w:highlight w:val="none"/>
              </w:rPr>
            </w:pPr>
          </w:p>
        </w:tc>
        <w:tc>
          <w:tcPr>
            <w:tcW w:w="2334" w:type="dxa"/>
            <w:vAlign w:val="center"/>
          </w:tcPr>
          <w:p w14:paraId="3555ED4B">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ascii="宋体" w:hAnsi="宋体" w:eastAsia="宋体" w:cs="宋体"/>
                <w:color w:val="auto"/>
                <w:w w:val="90"/>
                <w:szCs w:val="21"/>
                <w:highlight w:val="none"/>
              </w:rPr>
            </w:pPr>
          </w:p>
        </w:tc>
        <w:tc>
          <w:tcPr>
            <w:tcW w:w="3301" w:type="dxa"/>
            <w:vAlign w:val="center"/>
          </w:tcPr>
          <w:p w14:paraId="67ED69E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ascii="宋体" w:hAnsi="宋体" w:eastAsia="宋体" w:cs="宋体"/>
                <w:color w:val="auto"/>
                <w:w w:val="90"/>
                <w:szCs w:val="21"/>
                <w:highlight w:val="none"/>
              </w:rPr>
            </w:pPr>
          </w:p>
        </w:tc>
        <w:tc>
          <w:tcPr>
            <w:tcW w:w="1933" w:type="dxa"/>
            <w:vMerge w:val="continue"/>
            <w:vAlign w:val="center"/>
          </w:tcPr>
          <w:p w14:paraId="5DC56C7B">
            <w:pPr>
              <w:jc w:val="left"/>
              <w:rPr>
                <w:rFonts w:ascii="宋体" w:hAnsi="宋体" w:eastAsia="宋体" w:cs="宋体"/>
                <w:b/>
                <w:color w:val="auto"/>
                <w:w w:val="90"/>
                <w:szCs w:val="21"/>
                <w:highlight w:val="none"/>
              </w:rPr>
            </w:pPr>
          </w:p>
        </w:tc>
        <w:tc>
          <w:tcPr>
            <w:tcW w:w="2334" w:type="dxa"/>
            <w:vAlign w:val="center"/>
          </w:tcPr>
          <w:p w14:paraId="4C894497">
            <w:pPr>
              <w:jc w:val="left"/>
              <w:rPr>
                <w:rFonts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ascii="宋体" w:hAnsi="宋体" w:eastAsia="宋体" w:cs="宋体"/>
                <w:color w:val="auto"/>
                <w:w w:val="90"/>
                <w:szCs w:val="21"/>
                <w:highlight w:val="none"/>
              </w:rPr>
            </w:pPr>
          </w:p>
        </w:tc>
        <w:tc>
          <w:tcPr>
            <w:tcW w:w="3301" w:type="dxa"/>
            <w:vAlign w:val="center"/>
          </w:tcPr>
          <w:p w14:paraId="0F1B1A85">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ascii="宋体" w:hAnsi="宋体" w:eastAsia="宋体" w:cs="宋体"/>
                <w:color w:val="auto"/>
                <w:w w:val="90"/>
                <w:szCs w:val="21"/>
                <w:highlight w:val="none"/>
              </w:rPr>
            </w:pPr>
          </w:p>
        </w:tc>
        <w:tc>
          <w:tcPr>
            <w:tcW w:w="1682" w:type="dxa"/>
            <w:vAlign w:val="center"/>
          </w:tcPr>
          <w:p w14:paraId="24B95DCB">
            <w:pPr>
              <w:jc w:val="center"/>
              <w:rPr>
                <w:rFonts w:ascii="宋体" w:hAnsi="宋体" w:eastAsia="宋体" w:cs="宋体"/>
                <w:color w:val="auto"/>
                <w:w w:val="90"/>
                <w:szCs w:val="21"/>
                <w:highlight w:val="none"/>
              </w:rPr>
            </w:pPr>
          </w:p>
        </w:tc>
        <w:tc>
          <w:tcPr>
            <w:tcW w:w="3301" w:type="dxa"/>
            <w:vAlign w:val="center"/>
          </w:tcPr>
          <w:p w14:paraId="78810F4B">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ascii="宋体" w:hAnsi="宋体" w:eastAsia="宋体" w:cs="宋体"/>
                <w:color w:val="auto"/>
                <w:w w:val="90"/>
                <w:szCs w:val="21"/>
                <w:highlight w:val="none"/>
              </w:rPr>
            </w:pPr>
          </w:p>
        </w:tc>
        <w:tc>
          <w:tcPr>
            <w:tcW w:w="1682" w:type="dxa"/>
            <w:vAlign w:val="center"/>
          </w:tcPr>
          <w:p w14:paraId="20346BF2">
            <w:pPr>
              <w:jc w:val="center"/>
              <w:rPr>
                <w:rFonts w:ascii="宋体" w:hAnsi="宋体" w:eastAsia="宋体" w:cs="宋体"/>
                <w:color w:val="auto"/>
                <w:w w:val="90"/>
                <w:szCs w:val="21"/>
                <w:highlight w:val="none"/>
              </w:rPr>
            </w:pPr>
          </w:p>
        </w:tc>
        <w:tc>
          <w:tcPr>
            <w:tcW w:w="3301" w:type="dxa"/>
            <w:vAlign w:val="center"/>
          </w:tcPr>
          <w:p w14:paraId="141DD020">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ascii="宋体" w:hAnsi="宋体" w:eastAsia="宋体" w:cs="宋体"/>
                <w:color w:val="auto"/>
                <w:w w:val="90"/>
                <w:szCs w:val="21"/>
                <w:highlight w:val="none"/>
              </w:rPr>
            </w:pPr>
          </w:p>
        </w:tc>
        <w:tc>
          <w:tcPr>
            <w:tcW w:w="1682" w:type="dxa"/>
            <w:vAlign w:val="center"/>
          </w:tcPr>
          <w:p w14:paraId="2F344F2A">
            <w:pPr>
              <w:jc w:val="center"/>
              <w:rPr>
                <w:rFonts w:ascii="宋体" w:hAnsi="宋体" w:eastAsia="宋体" w:cs="宋体"/>
                <w:color w:val="auto"/>
                <w:w w:val="90"/>
                <w:szCs w:val="21"/>
                <w:highlight w:val="none"/>
              </w:rPr>
            </w:pPr>
          </w:p>
        </w:tc>
        <w:tc>
          <w:tcPr>
            <w:tcW w:w="3301" w:type="dxa"/>
            <w:vAlign w:val="center"/>
          </w:tcPr>
          <w:p w14:paraId="06947E51">
            <w:pPr>
              <w:jc w:val="left"/>
              <w:rPr>
                <w:rFonts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ascii="宋体" w:hAnsi="宋体" w:cs="宋体"/>
          <w:color w:val="auto"/>
          <w:sz w:val="24"/>
          <w:highlight w:val="none"/>
        </w:rPr>
      </w:pPr>
    </w:p>
    <w:p w14:paraId="380B6A37">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3.4.1首台套、“制造精品”、“专精特新”等创新产品按规定享受政府采购支持政策。</w:t>
      </w:r>
    </w:p>
    <w:p w14:paraId="783EC285">
      <w:pPr>
        <w:adjustRightInd w:val="0"/>
        <w:snapToGrid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3.4.2</w:t>
      </w:r>
      <w:r>
        <w:rPr>
          <w:rFonts w:hint="eastAsia" w:ascii="宋体" w:hAnsi="宋体" w:eastAsia="宋体" w:cs="仿宋"/>
          <w:color w:val="auto"/>
          <w:sz w:val="24"/>
          <w:szCs w:val="24"/>
          <w:highlight w:val="none"/>
        </w:rPr>
        <w:t>采购人应当贯彻落实知识产权保护相关法律法规，应当采购使用正版软件</w:t>
      </w:r>
      <w:r>
        <w:rPr>
          <w:rFonts w:hint="eastAsia" w:ascii="宋体" w:hAnsi="宋体" w:eastAsia="宋体" w:cs="宋体"/>
          <w:color w:val="auto"/>
          <w:sz w:val="24"/>
          <w:szCs w:val="24"/>
          <w:highlight w:val="none"/>
        </w:rPr>
        <w:t>。</w:t>
      </w:r>
    </w:p>
    <w:p w14:paraId="235728C6">
      <w:pPr>
        <w:adjustRightInd w:val="0"/>
        <w:snapToGrid w:val="0"/>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adjustRightInd w:val="0"/>
        <w:snapToGrid w:val="0"/>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rPr>
        <w:t>4.1在线询问、质疑、投诉</w:t>
      </w:r>
    </w:p>
    <w:p w14:paraId="7451CAD8">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autoSpaceDE w:val="0"/>
        <w:autoSpaceDN w:val="0"/>
        <w:adjustRightInd w:val="0"/>
        <w:snapToGri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autoSpaceDE w:val="0"/>
        <w:autoSpaceDN w:val="0"/>
        <w:adjustRightInd w:val="0"/>
        <w:snapToGri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autoSpaceDE w:val="0"/>
        <w:autoSpaceDN w:val="0"/>
        <w:adjustRightInd w:val="0"/>
        <w:snapToGrid w:val="0"/>
        <w:spacing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adjustRightInd w:val="0"/>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lang w:val="zh-CN"/>
        </w:rPr>
        <w:t>4.3</w:t>
      </w:r>
      <w:r>
        <w:rPr>
          <w:rFonts w:hint="eastAsia" w:hAnsi="宋体" w:cs="宋体"/>
          <w:color w:val="auto"/>
          <w:highlight w:val="none"/>
        </w:rPr>
        <w:t>.1提出质疑的供应商应当是参与所质疑项目采购活动的供应商。潜在供应商已依法获取其可质疑的采购文件的，可以对该文件提出质疑。</w:t>
      </w:r>
    </w:p>
    <w:p w14:paraId="109C63A4">
      <w:pPr>
        <w:pStyle w:val="30"/>
        <w:adjustRightInd w:val="0"/>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lang w:val="zh-CN"/>
        </w:rPr>
        <w:t>4.3</w:t>
      </w:r>
      <w:r>
        <w:rPr>
          <w:rFonts w:hint="eastAsia" w:hAnsi="宋体" w:cs="宋体"/>
          <w:color w:val="auto"/>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5A2D44B">
      <w:pPr>
        <w:pStyle w:val="16"/>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4.3.2.1对采购文件提出质疑的，质疑期限为供应商获得采购文件之日或者采购文件公告期限届满之日起计算。</w:t>
      </w:r>
    </w:p>
    <w:p w14:paraId="3EF87108">
      <w:pPr>
        <w:pStyle w:val="30"/>
        <w:adjustRightInd w:val="0"/>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4.3.2.2对采购过程提出质疑的，质疑期限为各采购程序环节结束之日起计算。</w:t>
      </w:r>
    </w:p>
    <w:p w14:paraId="668E7C74">
      <w:pPr>
        <w:pStyle w:val="30"/>
        <w:adjustRightInd w:val="0"/>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4.3.2.3对采购结果提出质疑的，质疑期限自采购结果公告期限届满之日起计算。</w:t>
      </w:r>
    </w:p>
    <w:p w14:paraId="4364B883">
      <w:pPr>
        <w:pStyle w:val="30"/>
        <w:adjustRightInd w:val="0"/>
        <w:snapToGrid w:val="0"/>
        <w:spacing w:beforeLines="0" w:afterLines="0" w:line="360" w:lineRule="auto"/>
        <w:ind w:firstLine="480" w:firstLineChars="200"/>
        <w:rPr>
          <w:rFonts w:hAnsi="宋体" w:cs="宋体"/>
          <w:color w:val="auto"/>
          <w:highlight w:val="none"/>
          <w:lang w:val="zh-CN"/>
        </w:rPr>
      </w:pPr>
      <w:r>
        <w:rPr>
          <w:rFonts w:hint="eastAsia" w:hAnsi="宋体" w:cs="宋体"/>
          <w:color w:val="auto"/>
          <w:highlight w:val="none"/>
          <w:lang w:val="zh-CN"/>
        </w:rPr>
        <w:t>4.3.3</w:t>
      </w:r>
      <w:r>
        <w:rPr>
          <w:rFonts w:hint="eastAsia" w:hAnsi="宋体" w:cs="宋体"/>
          <w:color w:val="auto"/>
          <w:highlight w:val="none"/>
        </w:rPr>
        <w:t>供应商提出质疑应当提交质疑函和必要的证明材料。质疑函应当包括下列内容：</w:t>
      </w:r>
    </w:p>
    <w:p w14:paraId="21B94418">
      <w:pPr>
        <w:pStyle w:val="30"/>
        <w:adjustRightInd w:val="0"/>
        <w:snapToGrid w:val="0"/>
        <w:spacing w:beforeLines="0" w:afterLines="0" w:line="360" w:lineRule="auto"/>
        <w:ind w:firstLine="720" w:firstLineChars="300"/>
        <w:rPr>
          <w:rFonts w:hAnsi="宋体" w:cs="宋体"/>
          <w:color w:val="auto"/>
          <w:highlight w:val="none"/>
          <w:lang w:val="zh-CN"/>
        </w:rPr>
      </w:pPr>
      <w:r>
        <w:rPr>
          <w:rFonts w:hint="eastAsia" w:hAnsi="宋体" w:cs="宋体"/>
          <w:color w:val="auto"/>
          <w:highlight w:val="none"/>
          <w:lang w:val="zh-CN"/>
        </w:rPr>
        <w:t>4.3.3.1供应商的姓名或者名称、地址、邮编、联系人及联系电话；</w:t>
      </w:r>
    </w:p>
    <w:p w14:paraId="786E511C">
      <w:pPr>
        <w:pStyle w:val="30"/>
        <w:adjustRightInd w:val="0"/>
        <w:snapToGrid w:val="0"/>
        <w:spacing w:beforeLines="0" w:afterLines="0" w:line="360" w:lineRule="auto"/>
        <w:ind w:firstLine="720" w:firstLineChars="300"/>
        <w:rPr>
          <w:rFonts w:hAnsi="宋体" w:cs="宋体"/>
          <w:color w:val="auto"/>
          <w:highlight w:val="none"/>
          <w:lang w:val="zh-CN"/>
        </w:rPr>
      </w:pPr>
      <w:r>
        <w:rPr>
          <w:rFonts w:hint="eastAsia" w:hAnsi="宋体" w:cs="宋体"/>
          <w:color w:val="auto"/>
          <w:highlight w:val="none"/>
          <w:lang w:val="zh-CN"/>
        </w:rPr>
        <w:t>4.3.3.2质疑项目的名称、编号；</w:t>
      </w:r>
    </w:p>
    <w:p w14:paraId="7718E06B">
      <w:pPr>
        <w:pStyle w:val="30"/>
        <w:adjustRightInd w:val="0"/>
        <w:snapToGrid w:val="0"/>
        <w:spacing w:beforeLines="0" w:afterLines="0" w:line="360" w:lineRule="auto"/>
        <w:ind w:firstLine="720" w:firstLineChars="300"/>
        <w:rPr>
          <w:rFonts w:hAnsi="宋体" w:cs="宋体"/>
          <w:color w:val="auto"/>
          <w:highlight w:val="none"/>
          <w:lang w:val="zh-CN"/>
        </w:rPr>
      </w:pPr>
      <w:r>
        <w:rPr>
          <w:rFonts w:hint="eastAsia" w:hAnsi="宋体" w:cs="宋体"/>
          <w:color w:val="auto"/>
          <w:highlight w:val="none"/>
          <w:lang w:val="zh-CN"/>
        </w:rPr>
        <w:t>4.3.3.3具体、明确的质疑事项和与质疑事项相关的请求；</w:t>
      </w:r>
    </w:p>
    <w:p w14:paraId="292FB12D">
      <w:pPr>
        <w:pStyle w:val="30"/>
        <w:adjustRightInd w:val="0"/>
        <w:snapToGrid w:val="0"/>
        <w:spacing w:beforeLines="0" w:afterLines="0" w:line="360" w:lineRule="auto"/>
        <w:ind w:firstLine="720" w:firstLineChars="300"/>
        <w:rPr>
          <w:rFonts w:hAnsi="宋体" w:cs="宋体"/>
          <w:color w:val="auto"/>
          <w:highlight w:val="none"/>
          <w:lang w:val="zh-CN"/>
        </w:rPr>
      </w:pPr>
      <w:r>
        <w:rPr>
          <w:rFonts w:hint="eastAsia" w:hAnsi="宋体" w:cs="宋体"/>
          <w:color w:val="auto"/>
          <w:highlight w:val="none"/>
          <w:lang w:val="zh-CN"/>
        </w:rPr>
        <w:t>4.3.3.4事实依据；</w:t>
      </w:r>
    </w:p>
    <w:p w14:paraId="2429805A">
      <w:pPr>
        <w:pStyle w:val="30"/>
        <w:adjustRightInd w:val="0"/>
        <w:snapToGrid w:val="0"/>
        <w:spacing w:beforeLines="0" w:afterLines="0" w:line="360" w:lineRule="auto"/>
        <w:ind w:firstLine="720" w:firstLineChars="300"/>
        <w:rPr>
          <w:rFonts w:hAnsi="宋体" w:cs="宋体"/>
          <w:color w:val="auto"/>
          <w:highlight w:val="none"/>
          <w:lang w:val="zh-CN"/>
        </w:rPr>
      </w:pPr>
      <w:r>
        <w:rPr>
          <w:rFonts w:hint="eastAsia" w:hAnsi="宋体" w:cs="宋体"/>
          <w:color w:val="auto"/>
          <w:highlight w:val="none"/>
          <w:lang w:val="zh-CN"/>
        </w:rPr>
        <w:t>4.3.3.5必要的法律依据；</w:t>
      </w:r>
    </w:p>
    <w:p w14:paraId="155BA9D8">
      <w:pPr>
        <w:pStyle w:val="30"/>
        <w:adjustRightInd w:val="0"/>
        <w:snapToGrid w:val="0"/>
        <w:spacing w:beforeLines="0" w:afterLines="0" w:line="360" w:lineRule="auto"/>
        <w:ind w:firstLine="720" w:firstLineChars="300"/>
        <w:rPr>
          <w:rFonts w:hAnsi="宋体" w:cs="宋体"/>
          <w:color w:val="auto"/>
          <w:highlight w:val="none"/>
          <w:lang w:val="zh-CN"/>
        </w:rPr>
      </w:pPr>
      <w:r>
        <w:rPr>
          <w:rFonts w:hint="eastAsia" w:hAnsi="宋体" w:cs="宋体"/>
          <w:color w:val="auto"/>
          <w:highlight w:val="none"/>
          <w:lang w:val="zh-CN"/>
        </w:rPr>
        <w:t>4.3.3.6提出质疑的日期。</w:t>
      </w:r>
    </w:p>
    <w:p w14:paraId="47F272AF">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rPr>
        <w:t>4.3.4对同一采购程序环节的质疑，供应商须在法定质疑期内一次性提出。</w:t>
      </w:r>
    </w:p>
    <w:p w14:paraId="7B649E8B">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lang w:val="zh-CN"/>
        </w:rPr>
        <w:t>4.3</w:t>
      </w:r>
      <w:r>
        <w:rPr>
          <w:rFonts w:hint="eastAsia" w:eastAsia="宋体"/>
          <w:color w:val="auto"/>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4F546E6F">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lang w:val="zh-CN"/>
        </w:rPr>
        <w:t>4.3</w:t>
      </w:r>
      <w:r>
        <w:rPr>
          <w:rFonts w:hint="eastAsia" w:eastAsia="宋体"/>
          <w:color w:val="auto"/>
          <w:szCs w:val="24"/>
          <w:highlight w:val="none"/>
        </w:rPr>
        <w:t>.6询问或者质疑事项可能影响采购结果的，采购人应当暂停签订合同，已经签订合同的，应当中止履行合同。</w:t>
      </w:r>
    </w:p>
    <w:p w14:paraId="0A95CAEF">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lang w:val="zh-CN"/>
        </w:rPr>
      </w:pPr>
      <w:r>
        <w:rPr>
          <w:rFonts w:hint="eastAsia" w:eastAsia="宋体"/>
          <w:color w:val="auto"/>
          <w:szCs w:val="24"/>
          <w:highlight w:val="none"/>
          <w:lang w:val="zh-CN"/>
        </w:rPr>
        <w:t>4.4供应商投诉</w:t>
      </w:r>
    </w:p>
    <w:p w14:paraId="669731EB">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24345C0">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rPr>
        <w:t>4.4.</w:t>
      </w:r>
      <w:r>
        <w:rPr>
          <w:rFonts w:hint="eastAsia" w:eastAsia="宋体"/>
          <w:color w:val="auto"/>
          <w:szCs w:val="24"/>
          <w:highlight w:val="none"/>
          <w:lang w:val="zh-CN"/>
        </w:rPr>
        <w:t>2</w:t>
      </w:r>
      <w:r>
        <w:rPr>
          <w:rFonts w:hint="eastAsia" w:eastAsia="宋体"/>
          <w:color w:val="auto"/>
          <w:szCs w:val="24"/>
          <w:highlight w:val="none"/>
        </w:rPr>
        <w:t>供应商投诉的事项不得超出已质疑事项的范围，基于质疑答复内容提出的投诉事项除外。</w:t>
      </w:r>
    </w:p>
    <w:p w14:paraId="1AA0E172">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rPr>
        <w:t>4.4.3供应商投诉应当有明确的请求和必要的证明材料。</w:t>
      </w:r>
    </w:p>
    <w:p w14:paraId="60346D9B">
      <w:pPr>
        <w:pStyle w:val="1026"/>
        <w:shd w:val="clear" w:color="auto" w:fill="FFFFFF"/>
        <w:adjustRightInd w:val="0"/>
        <w:snapToGrid w:val="0"/>
        <w:spacing w:before="0" w:beforeAutospacing="0" w:after="0" w:afterAutospacing="0" w:line="360" w:lineRule="auto"/>
        <w:ind w:firstLine="480" w:firstLineChars="200"/>
        <w:contextualSpacing/>
        <w:rPr>
          <w:rFonts w:eastAsia="宋体"/>
          <w:color w:val="auto"/>
          <w:szCs w:val="24"/>
          <w:highlight w:val="none"/>
        </w:rPr>
      </w:pPr>
      <w:r>
        <w:rPr>
          <w:rFonts w:hint="eastAsia" w:eastAsia="宋体"/>
          <w:color w:val="auto"/>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49" w:name="_Toc16263"/>
      <w:bookmarkStart w:id="50" w:name="_Toc22410"/>
      <w:r>
        <w:rPr>
          <w:rFonts w:hint="eastAsia" w:ascii="宋体" w:hAnsi="宋体" w:eastAsia="宋体" w:cs="宋体"/>
          <w:b/>
          <w:bCs/>
          <w:color w:val="auto"/>
          <w:sz w:val="28"/>
          <w:szCs w:val="28"/>
          <w:highlight w:val="none"/>
        </w:rPr>
        <w:t>二、采购文件的构成、澄清、修改</w:t>
      </w:r>
      <w:bookmarkEnd w:id="49"/>
      <w:bookmarkEnd w:id="50"/>
    </w:p>
    <w:p w14:paraId="16BCB50F">
      <w:pPr>
        <w:pStyle w:val="30"/>
        <w:adjustRightInd w:val="0"/>
        <w:snapToGrid w:val="0"/>
        <w:spacing w:beforeLines="0" w:afterLines="0" w:line="360" w:lineRule="auto"/>
        <w:rPr>
          <w:rFonts w:hAnsi="宋体" w:cs="宋体"/>
          <w:b/>
          <w:color w:val="auto"/>
          <w:highlight w:val="none"/>
        </w:rPr>
      </w:pPr>
      <w:bookmarkStart w:id="51" w:name="_Toc96947064"/>
      <w:bookmarkStart w:id="52" w:name="_Toc82338242"/>
      <w:bookmarkStart w:id="53" w:name="_Toc82873325"/>
      <w:r>
        <w:rPr>
          <w:rFonts w:hint="eastAsia" w:hAnsi="宋体" w:cs="宋体"/>
          <w:b/>
          <w:color w:val="auto"/>
          <w:highlight w:val="none"/>
        </w:rPr>
        <w:t>5．采购文件的构成</w:t>
      </w:r>
    </w:p>
    <w:p w14:paraId="16D762A3">
      <w:pPr>
        <w:pStyle w:val="30"/>
        <w:adjustRightInd w:val="0"/>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5.1 采购文件包括下列文件及附件：</w:t>
      </w:r>
    </w:p>
    <w:p w14:paraId="032D6E18">
      <w:pPr>
        <w:pStyle w:val="30"/>
        <w:tabs>
          <w:tab w:val="left" w:pos="840"/>
        </w:tabs>
        <w:adjustRightInd w:val="0"/>
        <w:snapToGrid w:val="0"/>
        <w:spacing w:beforeLines="0" w:afterLines="0" w:line="360" w:lineRule="auto"/>
        <w:ind w:firstLine="960" w:firstLineChars="400"/>
        <w:rPr>
          <w:rFonts w:hAnsi="宋体" w:cs="宋体"/>
          <w:color w:val="auto"/>
          <w:highlight w:val="none"/>
        </w:rPr>
      </w:pPr>
      <w:r>
        <w:rPr>
          <w:rFonts w:hint="eastAsia" w:hAnsi="宋体" w:cs="宋体"/>
          <w:color w:val="auto"/>
          <w:highlight w:val="none"/>
        </w:rPr>
        <w:t>5.1.1竞争性磋商公告；</w:t>
      </w:r>
    </w:p>
    <w:p w14:paraId="7EF02B2E">
      <w:pPr>
        <w:pStyle w:val="30"/>
        <w:tabs>
          <w:tab w:val="left" w:pos="840"/>
        </w:tabs>
        <w:adjustRightInd w:val="0"/>
        <w:snapToGrid w:val="0"/>
        <w:spacing w:beforeLines="0" w:afterLines="0" w:line="360" w:lineRule="auto"/>
        <w:ind w:firstLine="960" w:firstLineChars="400"/>
        <w:rPr>
          <w:rFonts w:hAnsi="宋体" w:cs="宋体"/>
          <w:color w:val="auto"/>
          <w:highlight w:val="none"/>
        </w:rPr>
      </w:pPr>
      <w:r>
        <w:rPr>
          <w:rFonts w:hint="eastAsia" w:hAnsi="宋体" w:cs="宋体"/>
          <w:color w:val="auto"/>
          <w:highlight w:val="none"/>
        </w:rPr>
        <w:t>5.1.2供应商须知；</w:t>
      </w:r>
    </w:p>
    <w:p w14:paraId="73333F32">
      <w:pPr>
        <w:pStyle w:val="30"/>
        <w:tabs>
          <w:tab w:val="left" w:pos="840"/>
        </w:tabs>
        <w:adjustRightInd w:val="0"/>
        <w:snapToGrid w:val="0"/>
        <w:spacing w:beforeLines="0" w:afterLines="0" w:line="360" w:lineRule="auto"/>
        <w:ind w:firstLine="960" w:firstLineChars="400"/>
        <w:rPr>
          <w:rFonts w:hAnsi="宋体" w:cs="宋体"/>
          <w:color w:val="auto"/>
          <w:highlight w:val="none"/>
        </w:rPr>
      </w:pPr>
      <w:r>
        <w:rPr>
          <w:rFonts w:hint="eastAsia" w:hAnsi="宋体" w:cs="宋体"/>
          <w:color w:val="auto"/>
          <w:highlight w:val="none"/>
        </w:rPr>
        <w:t>5.1.3采购需求；</w:t>
      </w:r>
    </w:p>
    <w:p w14:paraId="17C02A10">
      <w:pPr>
        <w:pStyle w:val="30"/>
        <w:tabs>
          <w:tab w:val="left" w:pos="840"/>
        </w:tabs>
        <w:adjustRightInd w:val="0"/>
        <w:snapToGrid w:val="0"/>
        <w:spacing w:beforeLines="0" w:afterLines="0" w:line="360" w:lineRule="auto"/>
        <w:ind w:firstLine="960" w:firstLineChars="400"/>
        <w:rPr>
          <w:rFonts w:hAnsi="宋体" w:cs="宋体"/>
          <w:color w:val="auto"/>
          <w:highlight w:val="none"/>
        </w:rPr>
      </w:pPr>
      <w:r>
        <w:rPr>
          <w:rFonts w:hint="eastAsia" w:hAnsi="宋体" w:cs="宋体"/>
          <w:color w:val="auto"/>
          <w:highlight w:val="none"/>
        </w:rPr>
        <w:t>5.1.4评审办法；</w:t>
      </w:r>
    </w:p>
    <w:p w14:paraId="15F6BA21">
      <w:pPr>
        <w:pStyle w:val="30"/>
        <w:tabs>
          <w:tab w:val="left" w:pos="840"/>
        </w:tabs>
        <w:adjustRightInd w:val="0"/>
        <w:snapToGrid w:val="0"/>
        <w:spacing w:beforeLines="0" w:afterLines="0" w:line="360" w:lineRule="auto"/>
        <w:ind w:firstLine="960" w:firstLineChars="400"/>
        <w:rPr>
          <w:rFonts w:hAnsi="宋体" w:cs="宋体"/>
          <w:color w:val="auto"/>
          <w:highlight w:val="none"/>
        </w:rPr>
      </w:pPr>
      <w:r>
        <w:rPr>
          <w:rFonts w:hint="eastAsia" w:hAnsi="宋体" w:cs="宋体"/>
          <w:color w:val="auto"/>
          <w:highlight w:val="none"/>
        </w:rPr>
        <w:t>5.1.5拟签订的合同文本；</w:t>
      </w:r>
    </w:p>
    <w:p w14:paraId="615791AC">
      <w:pPr>
        <w:pStyle w:val="30"/>
        <w:tabs>
          <w:tab w:val="left" w:pos="840"/>
        </w:tabs>
        <w:adjustRightInd w:val="0"/>
        <w:snapToGrid w:val="0"/>
        <w:spacing w:beforeLines="0" w:afterLines="0" w:line="360" w:lineRule="auto"/>
        <w:ind w:firstLine="960" w:firstLineChars="400"/>
        <w:rPr>
          <w:rFonts w:hAnsi="宋体" w:cs="宋体"/>
          <w:color w:val="auto"/>
          <w:highlight w:val="none"/>
        </w:rPr>
      </w:pPr>
      <w:r>
        <w:rPr>
          <w:rFonts w:hint="eastAsia" w:hAnsi="宋体" w:cs="宋体"/>
          <w:color w:val="auto"/>
          <w:highlight w:val="none"/>
        </w:rPr>
        <w:t>5.1.6应提交的有关格式范例。</w:t>
      </w:r>
    </w:p>
    <w:p w14:paraId="50EFAC04">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adjustRightInd w:val="0"/>
        <w:snapToGrid w:val="0"/>
        <w:spacing w:beforeLines="0" w:afterLines="0" w:line="360" w:lineRule="auto"/>
        <w:rPr>
          <w:rFonts w:hAnsi="宋体" w:cs="宋体"/>
          <w:b/>
          <w:color w:val="auto"/>
          <w:highlight w:val="none"/>
        </w:rPr>
      </w:pPr>
      <w:r>
        <w:rPr>
          <w:rFonts w:hint="eastAsia" w:hAnsi="宋体" w:cs="宋体"/>
          <w:b/>
          <w:color w:val="auto"/>
          <w:highlight w:val="none"/>
        </w:rPr>
        <w:t>6. 采购文件的澄清、修改</w:t>
      </w:r>
    </w:p>
    <w:p w14:paraId="5288D232">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6.1已获取采购文件的潜在供应商，若有问题需要澄清，应于响应文件提交（上传）截止时间前，以书面形式向采购代理机构提出。</w:t>
      </w:r>
    </w:p>
    <w:p w14:paraId="70207D8E">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54" w:name="_Toc23546"/>
      <w:bookmarkStart w:id="55" w:name="_Toc28351"/>
      <w:r>
        <w:rPr>
          <w:rFonts w:hint="eastAsia" w:ascii="宋体" w:hAnsi="宋体" w:eastAsia="宋体" w:cs="宋体"/>
          <w:b/>
          <w:bCs/>
          <w:color w:val="auto"/>
          <w:sz w:val="28"/>
          <w:szCs w:val="28"/>
          <w:highlight w:val="none"/>
        </w:rPr>
        <w:t>三、提交响应文件</w:t>
      </w:r>
      <w:bookmarkEnd w:id="54"/>
      <w:bookmarkEnd w:id="55"/>
    </w:p>
    <w:p w14:paraId="2DD6B819">
      <w:pPr>
        <w:pStyle w:val="30"/>
        <w:adjustRightInd w:val="0"/>
        <w:snapToGrid w:val="0"/>
        <w:spacing w:beforeLines="0" w:afterLines="0" w:line="360" w:lineRule="auto"/>
        <w:rPr>
          <w:rFonts w:hAnsi="宋体" w:cs="宋体"/>
          <w:b/>
          <w:color w:val="auto"/>
          <w:highlight w:val="none"/>
        </w:rPr>
      </w:pPr>
      <w:r>
        <w:rPr>
          <w:rFonts w:hint="eastAsia" w:hAnsi="宋体" w:cs="宋体"/>
          <w:b/>
          <w:color w:val="auto"/>
          <w:highlight w:val="none"/>
        </w:rPr>
        <w:t>7. 采购文件的获取</w:t>
      </w:r>
    </w:p>
    <w:p w14:paraId="14C6F934">
      <w:pPr>
        <w:adjustRightInd w:val="0"/>
        <w:snapToGrid w:val="0"/>
        <w:spacing w:line="360" w:lineRule="auto"/>
        <w:ind w:firstLine="480" w:firstLineChars="200"/>
        <w:rPr>
          <w:rFonts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adjustRightInd w:val="0"/>
        <w:snapToGrid w:val="0"/>
        <w:spacing w:beforeLines="0" w:afterLines="0" w:line="360" w:lineRule="auto"/>
        <w:rPr>
          <w:rFonts w:hAnsi="宋体" w:cs="宋体"/>
          <w:b/>
          <w:color w:val="auto"/>
          <w:highlight w:val="none"/>
        </w:rPr>
      </w:pPr>
      <w:r>
        <w:rPr>
          <w:rFonts w:hint="eastAsia" w:hAnsi="宋体" w:cs="宋体"/>
          <w:b/>
          <w:color w:val="auto"/>
          <w:highlight w:val="none"/>
        </w:rPr>
        <w:t>8.磋商前答疑会或现场考察</w:t>
      </w:r>
    </w:p>
    <w:p w14:paraId="002EBC32">
      <w:pPr>
        <w:pStyle w:val="30"/>
        <w:adjustRightInd w:val="0"/>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采购人组织潜在供应商现场考察或者召开磋商前答疑会的，潜在供应商按第二部分供应商须知前附表的规定参加现场考察或者磋商前答疑会。</w:t>
      </w:r>
    </w:p>
    <w:p w14:paraId="242C4A53">
      <w:pPr>
        <w:pStyle w:val="30"/>
        <w:adjustRightInd w:val="0"/>
        <w:snapToGrid w:val="0"/>
        <w:spacing w:beforeLines="0" w:afterLines="0" w:line="360" w:lineRule="auto"/>
        <w:rPr>
          <w:rFonts w:hAnsi="宋体" w:cs="宋体"/>
          <w:b/>
          <w:color w:val="auto"/>
          <w:highlight w:val="none"/>
        </w:rPr>
      </w:pPr>
      <w:r>
        <w:rPr>
          <w:rFonts w:hint="eastAsia" w:hAnsi="宋体" w:cs="宋体"/>
          <w:b/>
          <w:color w:val="auto"/>
          <w:kern w:val="28"/>
          <w:highlight w:val="none"/>
        </w:rPr>
        <w:t>9.磋商保证金</w:t>
      </w:r>
    </w:p>
    <w:p w14:paraId="22AA62DB">
      <w:pPr>
        <w:pStyle w:val="16"/>
        <w:adjustRightInd w:val="0"/>
        <w:snapToGrid w:val="0"/>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adjustRightInd w:val="0"/>
        <w:snapToGrid w:val="0"/>
        <w:spacing w:beforeLines="0" w:afterLines="0" w:line="360" w:lineRule="auto"/>
        <w:rPr>
          <w:rFonts w:hAnsi="宋体" w:cs="宋体"/>
          <w:b/>
          <w:color w:val="auto"/>
          <w:highlight w:val="none"/>
        </w:rPr>
      </w:pPr>
      <w:r>
        <w:rPr>
          <w:rFonts w:hint="eastAsia" w:hAnsi="宋体" w:cs="宋体"/>
          <w:b/>
          <w:color w:val="auto"/>
          <w:highlight w:val="none"/>
        </w:rPr>
        <w:t>10. 响应文件的语言</w:t>
      </w:r>
    </w:p>
    <w:p w14:paraId="64A80310">
      <w:pPr>
        <w:autoSpaceDE w:val="0"/>
        <w:autoSpaceDN w:val="0"/>
        <w:adjustRightInd w:val="0"/>
        <w:snapToGrid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adjustRightInd w:val="0"/>
        <w:snapToGrid w:val="0"/>
        <w:spacing w:beforeLines="0" w:afterLines="0" w:line="360" w:lineRule="auto"/>
        <w:rPr>
          <w:rFonts w:hAnsi="宋体" w:cs="宋体"/>
          <w:b/>
          <w:color w:val="auto"/>
          <w:highlight w:val="none"/>
        </w:rPr>
      </w:pPr>
      <w:r>
        <w:rPr>
          <w:rFonts w:hint="eastAsia" w:hAnsi="宋体" w:cs="宋体"/>
          <w:b/>
          <w:color w:val="auto"/>
          <w:highlight w:val="none"/>
        </w:rPr>
        <w:t>11. 响应文件的组成</w:t>
      </w:r>
    </w:p>
    <w:p w14:paraId="75127994">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adjustRightInd w:val="0"/>
        <w:snapToGrid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adjustRightInd w:val="0"/>
        <w:snapToGrid w:val="0"/>
        <w:spacing w:line="360" w:lineRule="auto"/>
        <w:ind w:firstLine="960" w:firstLineChars="4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adjustRightInd w:val="0"/>
        <w:snapToGrid w:val="0"/>
        <w:spacing w:line="360" w:lineRule="auto"/>
        <w:ind w:firstLine="480" w:firstLineChars="200"/>
        <w:rPr>
          <w:rFonts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11.3.2已标价工程量清单（格式以计价软件导出的格式为准）；</w:t>
      </w:r>
    </w:p>
    <w:p w14:paraId="53DCAD4E">
      <w:pPr>
        <w:adjustRightInd w:val="0"/>
        <w:snapToGrid w:val="0"/>
        <w:spacing w:line="360" w:lineRule="auto"/>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供应商可事先在公开官网查询、核对相关证书和报告内容，确保投标（响应）文件资料准确无误。供应商应对响应文件中材料的真实性、合法性负责。</w:t>
      </w:r>
    </w:p>
    <w:p w14:paraId="77A82B6B">
      <w:pPr>
        <w:pStyle w:val="356"/>
        <w:adjustRightInd w:val="0"/>
        <w:snapToGrid w:val="0"/>
        <w:spacing w:before="0"/>
        <w:ind w:firstLine="0" w:firstLineChars="0"/>
        <w:rPr>
          <w:rFonts w:ascii="宋体" w:hAnsi="宋体" w:eastAsia="宋体"/>
          <w:b/>
          <w:color w:val="auto"/>
          <w:szCs w:val="24"/>
          <w:highlight w:val="none"/>
        </w:rPr>
      </w:pPr>
      <w:bookmarkStart w:id="58" w:name="_Toc31882"/>
      <w:r>
        <w:rPr>
          <w:rFonts w:hint="eastAsia" w:ascii="宋体" w:hAnsi="宋体" w:eastAsia="宋体"/>
          <w:b/>
          <w:color w:val="auto"/>
          <w:szCs w:val="24"/>
          <w:highlight w:val="none"/>
        </w:rPr>
        <w:t>12</w:t>
      </w:r>
      <w:r>
        <w:rPr>
          <w:rFonts w:hint="eastAsia" w:ascii="宋体" w:hAnsi="宋体" w:eastAsia="宋体"/>
          <w:b/>
          <w:color w:val="auto"/>
          <w:kern w:val="0"/>
          <w:szCs w:val="24"/>
          <w:highlight w:val="none"/>
          <w:lang w:val="zh-CN"/>
        </w:rPr>
        <w:t xml:space="preserve">. </w:t>
      </w:r>
      <w:r>
        <w:rPr>
          <w:rFonts w:hint="eastAsia" w:ascii="宋体" w:hAnsi="宋体" w:eastAsia="宋体"/>
          <w:b/>
          <w:color w:val="auto"/>
          <w:szCs w:val="24"/>
          <w:highlight w:val="none"/>
        </w:rPr>
        <w:t>响应文件的编制</w:t>
      </w:r>
      <w:bookmarkEnd w:id="58"/>
    </w:p>
    <w:p w14:paraId="41F55609">
      <w:pPr>
        <w:adjustRightInd w:val="0"/>
        <w:snapToGrid w:val="0"/>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adjustRightInd w:val="0"/>
        <w:snapToGrid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adjustRightInd w:val="0"/>
        <w:snapToGrid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adjustRightInd w:val="0"/>
        <w:snapToGrid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adjustRightInd w:val="0"/>
        <w:snapToGrid w:val="0"/>
        <w:spacing w:before="0"/>
        <w:ind w:firstLine="480"/>
        <w:rPr>
          <w:rFonts w:ascii="宋体" w:hAnsi="宋体" w:eastAsia="宋体"/>
          <w:b/>
          <w:color w:val="auto"/>
          <w:szCs w:val="24"/>
          <w:highlight w:val="none"/>
        </w:rPr>
      </w:pPr>
      <w:r>
        <w:rPr>
          <w:rFonts w:hint="eastAsia" w:ascii="宋体" w:hAnsi="宋体" w:eastAsia="宋体"/>
          <w:color w:val="auto"/>
          <w:szCs w:val="24"/>
          <w:highlight w:val="none"/>
        </w:rPr>
        <w:t>13.1响应文件按照采购文件第六部分格式要求进行签署、盖章。</w:t>
      </w:r>
      <w:r>
        <w:rPr>
          <w:rFonts w:hint="eastAsia" w:ascii="宋体" w:hAnsi="宋体" w:eastAsia="宋体"/>
          <w:b/>
          <w:color w:val="auto"/>
          <w:szCs w:val="24"/>
          <w:highlight w:val="none"/>
        </w:rPr>
        <w:t>▲供应商的响应文件未按照采购文件要求签署、盖章的，其响应文件无效</w:t>
      </w:r>
      <w:r>
        <w:rPr>
          <w:rFonts w:hint="eastAsia" w:ascii="宋体" w:hAnsi="宋体" w:eastAsia="宋体"/>
          <w:color w:val="auto"/>
          <w:szCs w:val="24"/>
          <w:highlight w:val="none"/>
        </w:rPr>
        <w:t>。</w:t>
      </w:r>
    </w:p>
    <w:p w14:paraId="5F69B7D0">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13.3采购文件对响应文件签署、盖章的要求适用于电子签名。</w:t>
      </w:r>
    </w:p>
    <w:p w14:paraId="3A580EAB">
      <w:pPr>
        <w:pStyle w:val="356"/>
        <w:adjustRightInd w:val="0"/>
        <w:snapToGrid w:val="0"/>
        <w:spacing w:before="0"/>
        <w:ind w:firstLine="0" w:firstLineChars="0"/>
        <w:rPr>
          <w:rFonts w:ascii="宋体" w:hAnsi="宋体" w:eastAsia="宋体"/>
          <w:b/>
          <w:color w:val="auto"/>
          <w:szCs w:val="24"/>
          <w:highlight w:val="none"/>
        </w:rPr>
      </w:pPr>
      <w:r>
        <w:rPr>
          <w:rFonts w:hint="eastAsia" w:ascii="宋体" w:hAnsi="宋体" w:eastAsia="宋体"/>
          <w:b/>
          <w:color w:val="auto"/>
          <w:szCs w:val="24"/>
          <w:highlight w:val="none"/>
        </w:rPr>
        <w:t>14. 响应文件的提交、补充、修改、撤回</w:t>
      </w:r>
    </w:p>
    <w:p w14:paraId="41972402">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43F7F99">
      <w:pPr>
        <w:pStyle w:val="30"/>
        <w:adjustRightInd w:val="0"/>
        <w:snapToGrid w:val="0"/>
        <w:spacing w:beforeLines="0" w:afterLines="0" w:line="360" w:lineRule="auto"/>
        <w:rPr>
          <w:rFonts w:hAnsi="宋体" w:cs="宋体"/>
          <w:b/>
          <w:color w:val="auto"/>
          <w:highlight w:val="none"/>
        </w:rPr>
      </w:pPr>
      <w:r>
        <w:rPr>
          <w:rFonts w:hint="eastAsia" w:hAnsi="宋体" w:cs="宋体"/>
          <w:b/>
          <w:color w:val="auto"/>
          <w:highlight w:val="none"/>
        </w:rPr>
        <w:t>15.备份响应文件</w:t>
      </w:r>
    </w:p>
    <w:p w14:paraId="17D65356">
      <w:pPr>
        <w:pStyle w:val="30"/>
        <w:adjustRightInd w:val="0"/>
        <w:snapToGrid w:val="0"/>
        <w:spacing w:beforeLines="0" w:afterLines="0" w:line="360" w:lineRule="auto"/>
        <w:ind w:firstLine="360" w:firstLineChars="150"/>
        <w:rPr>
          <w:rFonts w:hAnsi="宋体" w:cs="宋体"/>
          <w:b/>
          <w:color w:val="auto"/>
          <w:highlight w:val="none"/>
        </w:rPr>
      </w:pPr>
      <w:r>
        <w:rPr>
          <w:rFonts w:hint="eastAsia" w:hAnsi="宋体" w:cs="宋体"/>
          <w:color w:val="auto"/>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highlight w:val="none"/>
        </w:rPr>
        <w:t>但采购人、采购代理机构不强制或变相强制供应商提交备份响应文件。</w:t>
      </w:r>
    </w:p>
    <w:p w14:paraId="4880C73D">
      <w:pPr>
        <w:pStyle w:val="30"/>
        <w:adjustRightInd w:val="0"/>
        <w:snapToGrid w:val="0"/>
        <w:spacing w:beforeLines="0" w:afterLines="0" w:line="360" w:lineRule="auto"/>
        <w:ind w:firstLine="480" w:firstLineChars="200"/>
        <w:rPr>
          <w:rFonts w:hAnsi="宋体" w:cs="宋体"/>
          <w:b/>
          <w:color w:val="auto"/>
          <w:highlight w:val="none"/>
        </w:rPr>
      </w:pPr>
      <w:r>
        <w:rPr>
          <w:rFonts w:hint="eastAsia" w:hAnsi="宋体" w:cs="宋体"/>
          <w:color w:val="auto"/>
          <w:highlight w:val="none"/>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highlight w:val="none"/>
        </w:rPr>
        <w:t>不符合上述制作、存储、密封规定的备份响应文件将被视为无效或者被拒绝接收。</w:t>
      </w:r>
    </w:p>
    <w:p w14:paraId="231062D2">
      <w:pPr>
        <w:pStyle w:val="30"/>
        <w:adjustRightInd w:val="0"/>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26FDE84E">
      <w:pPr>
        <w:pStyle w:val="30"/>
        <w:adjustRightInd w:val="0"/>
        <w:snapToGrid w:val="0"/>
        <w:spacing w:beforeLines="0" w:afterLines="0" w:line="360" w:lineRule="auto"/>
        <w:ind w:firstLine="480" w:firstLineChars="200"/>
        <w:rPr>
          <w:rFonts w:hAnsi="宋体" w:cs="宋体"/>
          <w:color w:val="auto"/>
          <w:highlight w:val="none"/>
        </w:rPr>
      </w:pPr>
      <w:r>
        <w:rPr>
          <w:rFonts w:hint="eastAsia" w:hAnsi="宋体" w:cs="宋体"/>
          <w:color w:val="auto"/>
          <w:highlight w:val="none"/>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991C70F">
      <w:pPr>
        <w:pStyle w:val="30"/>
        <w:adjustRightInd w:val="0"/>
        <w:snapToGrid w:val="0"/>
        <w:spacing w:beforeLines="0" w:afterLines="0" w:line="360" w:lineRule="auto"/>
        <w:ind w:firstLine="479" w:firstLineChars="199"/>
        <w:rPr>
          <w:rFonts w:hAnsi="宋体" w:cs="宋体"/>
          <w:b/>
          <w:color w:val="auto"/>
          <w:highlight w:val="none"/>
        </w:rPr>
      </w:pPr>
      <w:r>
        <w:rPr>
          <w:rFonts w:hint="eastAsia" w:hAnsi="宋体" w:cs="宋体"/>
          <w:b/>
          <w:color w:val="auto"/>
          <w:highlight w:val="none"/>
        </w:rPr>
        <w:t>15.5供应商仅提交备份响应文件，未在电子交易平台传输递交响应文件的，响应文件无效。</w:t>
      </w:r>
    </w:p>
    <w:p w14:paraId="5F45D46E">
      <w:pPr>
        <w:pStyle w:val="356"/>
        <w:adjustRightInd w:val="0"/>
        <w:snapToGrid w:val="0"/>
        <w:spacing w:before="0"/>
        <w:ind w:firstLine="0" w:firstLineChars="0"/>
        <w:rPr>
          <w:rFonts w:ascii="宋体" w:hAnsi="宋体" w:eastAsia="宋体"/>
          <w:b/>
          <w:color w:val="auto"/>
          <w:szCs w:val="24"/>
          <w:highlight w:val="none"/>
        </w:rPr>
      </w:pPr>
      <w:r>
        <w:rPr>
          <w:rFonts w:hint="eastAsia" w:ascii="宋体" w:hAnsi="宋体" w:eastAsia="宋体"/>
          <w:b/>
          <w:color w:val="auto"/>
          <w:szCs w:val="24"/>
          <w:highlight w:val="none"/>
        </w:rPr>
        <w:t>16.响应文件的无效处理</w:t>
      </w:r>
    </w:p>
    <w:p w14:paraId="594CDC7F">
      <w:pPr>
        <w:pStyle w:val="2"/>
        <w:adjustRightInd w:val="0"/>
        <w:snapToGrid w:val="0"/>
        <w:spacing w:line="360" w:lineRule="auto"/>
        <w:ind w:firstLine="348" w:firstLineChars="150"/>
        <w:rPr>
          <w:rFonts w:hAnsi="宋体" w:cs="宋体"/>
          <w:color w:val="auto"/>
          <w:sz w:val="24"/>
          <w:szCs w:val="24"/>
          <w:highlight w:val="none"/>
        </w:rPr>
      </w:pPr>
      <w:r>
        <w:rPr>
          <w:rFonts w:hint="eastAsia" w:hAnsi="宋体" w:cs="宋体"/>
          <w:color w:val="auto"/>
          <w:sz w:val="24"/>
          <w:szCs w:val="24"/>
          <w:highlight w:val="none"/>
        </w:rPr>
        <w:t>有采购文件第四部分4.2规定的情形之一的，响应文件无效：</w:t>
      </w:r>
    </w:p>
    <w:p w14:paraId="6628F336">
      <w:pPr>
        <w:pStyle w:val="356"/>
        <w:adjustRightInd w:val="0"/>
        <w:snapToGrid w:val="0"/>
        <w:spacing w:before="0"/>
        <w:ind w:firstLine="0" w:firstLineChars="0"/>
        <w:rPr>
          <w:rFonts w:ascii="宋体" w:hAnsi="宋体" w:eastAsia="宋体"/>
          <w:b/>
          <w:color w:val="auto"/>
          <w:szCs w:val="24"/>
          <w:highlight w:val="none"/>
        </w:rPr>
      </w:pPr>
      <w:r>
        <w:rPr>
          <w:rFonts w:hint="eastAsia" w:ascii="宋体" w:hAnsi="宋体" w:eastAsia="宋体"/>
          <w:b/>
          <w:color w:val="auto"/>
          <w:szCs w:val="24"/>
          <w:highlight w:val="none"/>
        </w:rPr>
        <w:t>17.响应文件有效期</w:t>
      </w:r>
    </w:p>
    <w:p w14:paraId="622C0847">
      <w:pPr>
        <w:adjustRightInd w:val="0"/>
        <w:snapToGrid w:val="0"/>
        <w:spacing w:line="360" w:lineRule="auto"/>
        <w:ind w:firstLine="480" w:firstLineChars="200"/>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17.2响应文件合格投递后，自响应文件提交截止时间起，在响应文件有效期内有效。</w:t>
      </w:r>
    </w:p>
    <w:p w14:paraId="4703FA16">
      <w:pPr>
        <w:pStyle w:val="356"/>
        <w:adjustRightInd w:val="0"/>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59" w:name="_Toc5741"/>
      <w:bookmarkStart w:id="60" w:name="_Toc28816"/>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snapToGrid w:val="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27CE8838">
      <w:pPr>
        <w:pStyle w:val="644"/>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148BAA02">
      <w:pPr>
        <w:pStyle w:val="644"/>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3D271BD7">
      <w:pPr>
        <w:pStyle w:val="644"/>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snapToGrid w:val="0"/>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09451807">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采购人、采购代理机构或磋商小组依据法律法规和采购文件的规定，对供应商的资格进行审查。</w:t>
      </w:r>
    </w:p>
    <w:p w14:paraId="51A87A61">
      <w:pPr>
        <w:pStyle w:val="356"/>
        <w:adjustRightInd w:val="0"/>
        <w:snapToGrid w:val="0"/>
        <w:spacing w:before="0"/>
        <w:ind w:firstLine="480"/>
        <w:rPr>
          <w:rFonts w:ascii="宋体" w:hAnsi="宋体" w:eastAsia="宋体"/>
          <w:color w:val="auto"/>
          <w:highlight w:val="none"/>
        </w:rPr>
      </w:pPr>
      <w:r>
        <w:rPr>
          <w:rFonts w:hint="eastAsia" w:ascii="宋体" w:hAnsi="宋体" w:eastAsia="宋体"/>
          <w:color w:val="auto"/>
          <w:kern w:val="0"/>
          <w:szCs w:val="24"/>
          <w:highlight w:val="none"/>
        </w:rPr>
        <w:t>19.2供应商未按照采购文件要求提供与</w:t>
      </w:r>
      <w:r>
        <w:rPr>
          <w:rFonts w:hint="eastAsia" w:ascii="宋体" w:hAnsi="宋体" w:eastAsia="宋体"/>
          <w:color w:val="auto"/>
          <w:highlight w:val="none"/>
        </w:rPr>
        <w:t>资格条件相应的</w:t>
      </w:r>
      <w:r>
        <w:rPr>
          <w:rFonts w:hint="eastAsia" w:ascii="宋体" w:hAnsi="宋体" w:eastAsia="宋体"/>
          <w:color w:val="auto"/>
          <w:kern w:val="0"/>
          <w:szCs w:val="24"/>
          <w:highlight w:val="none"/>
        </w:rPr>
        <w:t>有效资格证明材料的，视为</w:t>
      </w:r>
      <w:r>
        <w:rPr>
          <w:rFonts w:hint="eastAsia" w:ascii="宋体" w:hAnsi="宋体" w:eastAsia="宋体"/>
          <w:color w:val="auto"/>
          <w:highlight w:val="none"/>
        </w:rPr>
        <w:t>供应商不具备采购文件中规定的资格要求，其响应文件无效。</w:t>
      </w:r>
    </w:p>
    <w:p w14:paraId="51B3BB8C">
      <w:pPr>
        <w:pStyle w:val="356"/>
        <w:adjustRightInd w:val="0"/>
        <w:snapToGrid w:val="0"/>
        <w:spacing w:before="0"/>
        <w:ind w:firstLine="480"/>
        <w:rPr>
          <w:rFonts w:ascii="宋体" w:hAnsi="宋体" w:eastAsia="宋体"/>
          <w:color w:val="auto"/>
          <w:highlight w:val="none"/>
        </w:rPr>
      </w:pPr>
      <w:r>
        <w:rPr>
          <w:rFonts w:hint="eastAsia" w:ascii="宋体" w:hAnsi="宋体" w:eastAsia="宋体"/>
          <w:color w:val="auto"/>
          <w:kern w:val="0"/>
          <w:szCs w:val="24"/>
          <w:highlight w:val="none"/>
        </w:rPr>
        <w:t>19.</w:t>
      </w:r>
      <w:r>
        <w:rPr>
          <w:rFonts w:hint="eastAsia" w:ascii="宋体" w:hAnsi="宋体" w:eastAsia="宋体"/>
          <w:color w:val="auto"/>
          <w:highlight w:val="none"/>
        </w:rPr>
        <w:t>3对未通过资格审查的供应商，采购人或采购代理机构告知其未通过的原因。</w:t>
      </w:r>
    </w:p>
    <w:p w14:paraId="55271E94">
      <w:pPr>
        <w:pStyle w:val="356"/>
        <w:adjustRightInd w:val="0"/>
        <w:snapToGrid w:val="0"/>
        <w:spacing w:before="0"/>
        <w:ind w:firstLine="480"/>
        <w:rPr>
          <w:rFonts w:ascii="宋体" w:hAnsi="宋体" w:eastAsia="宋体"/>
          <w:color w:val="auto"/>
          <w:highlight w:val="none"/>
        </w:rPr>
      </w:pPr>
      <w:r>
        <w:rPr>
          <w:rFonts w:hint="eastAsia" w:ascii="宋体" w:hAnsi="宋体" w:eastAsia="宋体"/>
          <w:color w:val="auto"/>
          <w:kern w:val="0"/>
          <w:szCs w:val="24"/>
          <w:highlight w:val="none"/>
        </w:rPr>
        <w:t>19.</w:t>
      </w:r>
      <w:r>
        <w:rPr>
          <w:rFonts w:hint="eastAsia" w:ascii="宋体" w:hAnsi="宋体" w:eastAsia="宋体"/>
          <w:color w:val="auto"/>
          <w:highlight w:val="none"/>
        </w:rPr>
        <w:t>4合格供应商不足3家的，不再评审。</w:t>
      </w:r>
    </w:p>
    <w:p w14:paraId="292E3272">
      <w:pPr>
        <w:pStyle w:val="356"/>
        <w:adjustRightInd w:val="0"/>
        <w:snapToGrid w:val="0"/>
        <w:spacing w:before="0"/>
        <w:ind w:firstLine="0" w:firstLineChars="0"/>
        <w:rPr>
          <w:rFonts w:ascii="宋体" w:hAnsi="宋体" w:eastAsia="宋体"/>
          <w:b/>
          <w:color w:val="auto"/>
          <w:szCs w:val="24"/>
          <w:highlight w:val="none"/>
        </w:rPr>
      </w:pPr>
      <w:r>
        <w:rPr>
          <w:rFonts w:hint="eastAsia" w:ascii="宋体" w:hAnsi="宋体" w:eastAsia="宋体"/>
          <w:b/>
          <w:color w:val="auto"/>
          <w:szCs w:val="24"/>
          <w:highlight w:val="none"/>
        </w:rPr>
        <w:t>20、信用信息查询</w:t>
      </w:r>
    </w:p>
    <w:p w14:paraId="7BADC415">
      <w:pPr>
        <w:pStyle w:val="356"/>
        <w:adjustRightInd w:val="0"/>
        <w:snapToGrid w:val="0"/>
        <w:spacing w:before="0"/>
        <w:ind w:firstLine="495" w:firstLineChars="0"/>
        <w:rPr>
          <w:rFonts w:ascii="宋体" w:hAnsi="宋体" w:eastAsia="宋体"/>
          <w:color w:val="auto"/>
          <w:kern w:val="0"/>
          <w:szCs w:val="24"/>
          <w:highlight w:val="none"/>
        </w:rPr>
      </w:pPr>
      <w:r>
        <w:rPr>
          <w:rFonts w:hint="eastAsia" w:ascii="宋体" w:hAnsi="宋体" w:eastAsia="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0EBAAD13">
      <w:pPr>
        <w:pStyle w:val="356"/>
        <w:adjustRightInd w:val="0"/>
        <w:snapToGrid w:val="0"/>
        <w:spacing w:before="0"/>
        <w:ind w:firstLine="495" w:firstLineChars="0"/>
        <w:rPr>
          <w:rFonts w:ascii="宋体" w:hAnsi="宋体" w:eastAsia="宋体"/>
          <w:color w:val="auto"/>
          <w:kern w:val="0"/>
          <w:szCs w:val="24"/>
          <w:highlight w:val="none"/>
        </w:rPr>
      </w:pPr>
      <w:r>
        <w:rPr>
          <w:rFonts w:hint="eastAsia" w:ascii="宋体" w:hAnsi="宋体" w:eastAsia="宋体"/>
          <w:color w:val="auto"/>
          <w:kern w:val="0"/>
          <w:szCs w:val="24"/>
          <w:highlight w:val="none"/>
        </w:rPr>
        <w:t>20.2信用信息查询记录和证据留存的具体方式：现场查询的供应商的信用记录、查询结果经确认后将与采购文件一起存档。</w:t>
      </w:r>
    </w:p>
    <w:p w14:paraId="3731BB4E">
      <w:pPr>
        <w:pStyle w:val="356"/>
        <w:adjustRightInd w:val="0"/>
        <w:snapToGrid w:val="0"/>
        <w:spacing w:before="0"/>
        <w:ind w:firstLine="495" w:firstLineChars="0"/>
        <w:rPr>
          <w:rFonts w:ascii="宋体" w:hAnsi="宋体" w:eastAsia="宋体"/>
          <w:color w:val="auto"/>
          <w:kern w:val="0"/>
          <w:szCs w:val="24"/>
          <w:highlight w:val="none"/>
        </w:rPr>
      </w:pPr>
      <w:r>
        <w:rPr>
          <w:rFonts w:hint="eastAsia" w:ascii="宋体" w:hAnsi="宋体" w:eastAsia="宋体"/>
          <w:color w:val="auto"/>
          <w:kern w:val="0"/>
          <w:szCs w:val="24"/>
          <w:highlight w:val="none"/>
        </w:rPr>
        <w:t>20.3信用信息的使用规则：经查询列入失信被执行人名单、重大税收违法案件失信主体、政府采购严重违法失信行为记录名单的供应商将被拒绝参与政府采购活动。</w:t>
      </w:r>
    </w:p>
    <w:p w14:paraId="387330AB">
      <w:pPr>
        <w:pStyle w:val="356"/>
        <w:adjustRightInd w:val="0"/>
        <w:snapToGrid w:val="0"/>
        <w:spacing w:before="0"/>
        <w:ind w:firstLine="480"/>
        <w:rPr>
          <w:rFonts w:ascii="宋体" w:hAnsi="宋体" w:eastAsia="宋体"/>
          <w:color w:val="auto"/>
          <w:highlight w:val="none"/>
        </w:rPr>
      </w:pPr>
      <w:r>
        <w:rPr>
          <w:rFonts w:hint="eastAsia" w:ascii="宋体" w:hAnsi="宋体" w:eastAsia="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olor w:val="auto"/>
          <w:highlight w:val="none"/>
        </w:rPr>
        <w:t>。</w:t>
      </w:r>
      <w:bookmarkStart w:id="61" w:name="_Toc1665"/>
    </w:p>
    <w:p w14:paraId="5556AFBD">
      <w:pPr>
        <w:pStyle w:val="356"/>
        <w:adjustRightInd w:val="0"/>
        <w:snapToGrid w:val="0"/>
        <w:spacing w:before="0"/>
        <w:ind w:firstLine="482"/>
        <w:rPr>
          <w:rFonts w:ascii="宋体" w:hAnsi="宋体" w:eastAsia="宋体"/>
          <w:b/>
          <w:color w:val="auto"/>
          <w:sz w:val="32"/>
          <w:szCs w:val="20"/>
          <w:highlight w:val="none"/>
        </w:rPr>
      </w:pPr>
      <w:r>
        <w:rPr>
          <w:rFonts w:hint="eastAsia" w:ascii="宋体" w:hAnsi="宋体" w:eastAsia="宋体"/>
          <w:b/>
          <w:bCs/>
          <w:color w:val="auto"/>
          <w:kern w:val="0"/>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adjustRightInd w:val="0"/>
        <w:snapToGrid w:val="0"/>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63" w:name="_Toc11200"/>
      <w:bookmarkStart w:id="64" w:name="_Toc2604"/>
      <w:r>
        <w:rPr>
          <w:rFonts w:hint="eastAsia" w:ascii="宋体" w:hAnsi="宋体" w:eastAsia="宋体" w:cs="宋体"/>
          <w:b/>
          <w:bCs/>
          <w:color w:val="auto"/>
          <w:sz w:val="28"/>
          <w:szCs w:val="28"/>
          <w:highlight w:val="none"/>
        </w:rPr>
        <w:t>六、成交供应商确定</w:t>
      </w:r>
      <w:bookmarkEnd w:id="63"/>
      <w:bookmarkEnd w:id="64"/>
    </w:p>
    <w:p w14:paraId="56B6211F">
      <w:pPr>
        <w:adjustRightInd w:val="0"/>
        <w:snapToGrid w:val="0"/>
        <w:spacing w:line="360" w:lineRule="auto"/>
        <w:ind w:firstLine="480" w:firstLineChars="200"/>
        <w:rPr>
          <w:rFonts w:ascii="宋体" w:hAnsi="宋体" w:eastAsia="宋体" w:cs="宋体"/>
          <w:color w:val="auto"/>
          <w:kern w:val="0"/>
          <w:sz w:val="24"/>
          <w:szCs w:val="24"/>
          <w:highlight w:val="none"/>
        </w:rPr>
      </w:pPr>
      <w:bookmarkStart w:id="65" w:name="_Toc35391900"/>
      <w:r>
        <w:rPr>
          <w:rFonts w:hint="eastAsia" w:ascii="宋体" w:hAnsi="宋体" w:eastAsia="宋体" w:cs="宋体"/>
          <w:color w:val="auto"/>
          <w:kern w:val="0"/>
          <w:sz w:val="24"/>
          <w:szCs w:val="24"/>
          <w:highlight w:val="none"/>
        </w:rPr>
        <w:t>22.1采购人依法确定1名中标人。确定中标人后2个工作日内，代理机构以书面（纸质）形式发出《中标通知书》，并同时在相关网站上发布中标公告。</w:t>
      </w:r>
    </w:p>
    <w:p w14:paraId="5DE840E4">
      <w:pPr>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66" w:name="_Toc3966"/>
      <w:bookmarkStart w:id="67" w:name="_Toc32593"/>
      <w:r>
        <w:rPr>
          <w:rFonts w:hint="eastAsia" w:ascii="宋体" w:hAnsi="宋体" w:eastAsia="宋体" w:cs="宋体"/>
          <w:b/>
          <w:bCs/>
          <w:color w:val="auto"/>
          <w:sz w:val="28"/>
          <w:szCs w:val="28"/>
          <w:highlight w:val="none"/>
        </w:rPr>
        <w:t>七、合同授予</w:t>
      </w:r>
      <w:bookmarkEnd w:id="66"/>
      <w:bookmarkEnd w:id="67"/>
    </w:p>
    <w:p w14:paraId="751F5A3B">
      <w:pPr>
        <w:pStyle w:val="2"/>
        <w:snapToGrid w:val="0"/>
        <w:spacing w:line="360" w:lineRule="auto"/>
        <w:ind w:left="464" w:hanging="464" w:hangingChars="199"/>
        <w:rPr>
          <w:rFonts w:hAnsi="宋体" w:cs="宋体"/>
          <w:b/>
          <w:color w:val="auto"/>
          <w:sz w:val="24"/>
          <w:szCs w:val="24"/>
          <w:highlight w:val="none"/>
        </w:rPr>
      </w:pPr>
      <w:r>
        <w:rPr>
          <w:rFonts w:hint="eastAsia" w:hAnsi="宋体" w:cs="宋体"/>
          <w:b/>
          <w:color w:val="auto"/>
          <w:sz w:val="24"/>
          <w:szCs w:val="24"/>
          <w:highlight w:val="none"/>
        </w:rPr>
        <w:t xml:space="preserve">23. </w:t>
      </w:r>
      <w:r>
        <w:rPr>
          <w:rFonts w:hint="eastAsia" w:hAnsi="宋体" w:cs="宋体"/>
          <w:color w:val="auto"/>
          <w:sz w:val="24"/>
          <w:szCs w:val="24"/>
          <w:highlight w:val="none"/>
        </w:rPr>
        <w:t>合同主要条款详见第五部分拟签订的合同文本。</w:t>
      </w:r>
    </w:p>
    <w:p w14:paraId="763B6630">
      <w:pPr>
        <w:pStyle w:val="2"/>
        <w:snapToGrid w:val="0"/>
        <w:spacing w:line="360" w:lineRule="auto"/>
        <w:ind w:left="464" w:hanging="464" w:hangingChars="199"/>
        <w:rPr>
          <w:rFonts w:hAnsi="宋体" w:cs="宋体"/>
          <w:b/>
          <w:color w:val="auto"/>
          <w:sz w:val="24"/>
          <w:szCs w:val="24"/>
          <w:highlight w:val="none"/>
        </w:rPr>
      </w:pPr>
      <w:r>
        <w:rPr>
          <w:rFonts w:hint="eastAsia" w:hAnsi="宋体" w:cs="宋体"/>
          <w:b/>
          <w:color w:val="auto"/>
          <w:sz w:val="24"/>
          <w:szCs w:val="24"/>
          <w:highlight w:val="none"/>
        </w:rPr>
        <w:t>23. 合同的签订</w:t>
      </w:r>
    </w:p>
    <w:p w14:paraId="44D7D29D">
      <w:pPr>
        <w:widowControl/>
        <w:shd w:val="clear" w:color="auto" w:fill="FFFFFF"/>
        <w:snapToGrid w:val="0"/>
        <w:spacing w:line="360" w:lineRule="auto"/>
        <w:ind w:firstLine="480"/>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ascii="宋体" w:hAnsi="宋体" w:eastAsia="宋体"/>
          <w:color w:val="auto"/>
          <w:kern w:val="0"/>
          <w:szCs w:val="24"/>
          <w:highlight w:val="none"/>
        </w:rPr>
      </w:pPr>
      <w:r>
        <w:rPr>
          <w:rFonts w:hint="eastAsia" w:ascii="宋体" w:hAnsi="宋体" w:eastAsia="宋体"/>
          <w:color w:val="auto"/>
          <w:kern w:val="0"/>
          <w:szCs w:val="24"/>
          <w:highlight w:val="none"/>
          <w:lang w:val="zh-CN"/>
        </w:rPr>
        <w:t>2</w:t>
      </w:r>
      <w:r>
        <w:rPr>
          <w:rFonts w:hint="eastAsia" w:ascii="宋体" w:hAnsi="宋体" w:eastAsia="宋体"/>
          <w:color w:val="auto"/>
          <w:kern w:val="0"/>
          <w:szCs w:val="24"/>
          <w:highlight w:val="none"/>
        </w:rPr>
        <w:t>3</w:t>
      </w:r>
      <w:r>
        <w:rPr>
          <w:rFonts w:hint="eastAsia" w:ascii="宋体" w:hAnsi="宋体" w:eastAsia="宋体"/>
          <w:color w:val="auto"/>
          <w:kern w:val="0"/>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23.3如签订合同并生效后，供应商无故拒绝或延期，除按照合同条款处理外，列入不良行为记录一次，并给予通报。</w:t>
      </w:r>
    </w:p>
    <w:p w14:paraId="1E4EAE58">
      <w:pPr>
        <w:pStyle w:val="356"/>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23.4成交供应商拒绝与采购人签订合同的，采购人可以按照评审报告推荐的成交候选人名单排序，确定下一候选人为成交供应商，也可以重新开展政府采购活动。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23.5采购合同由采购人与成交供应商根据采购文件、响应文件等内容通过政府采购电子交易平台在线签订，自动备案。</w:t>
      </w:r>
    </w:p>
    <w:p w14:paraId="58BBAB91">
      <w:pPr>
        <w:pStyle w:val="2"/>
        <w:snapToGrid w:val="0"/>
        <w:spacing w:line="360" w:lineRule="auto"/>
        <w:ind w:left="464" w:hanging="464" w:hangingChars="199"/>
        <w:rPr>
          <w:rFonts w:hAnsi="宋体" w:cs="宋体"/>
          <w:b/>
          <w:color w:val="auto"/>
          <w:sz w:val="24"/>
          <w:szCs w:val="24"/>
          <w:highlight w:val="none"/>
        </w:rPr>
      </w:pPr>
      <w:r>
        <w:rPr>
          <w:rFonts w:hint="eastAsia" w:hAnsi="宋体" w:cs="宋体"/>
          <w:b/>
          <w:color w:val="auto"/>
          <w:sz w:val="24"/>
          <w:szCs w:val="24"/>
          <w:highlight w:val="none"/>
        </w:rPr>
        <w:t>24. 履约保证金</w:t>
      </w:r>
    </w:p>
    <w:p w14:paraId="24FDE5E7">
      <w:pPr>
        <w:tabs>
          <w:tab w:val="left" w:pos="0"/>
        </w:tabs>
        <w:adjustRightInd w:val="0"/>
        <w:snapToGrid w:val="0"/>
        <w:spacing w:line="36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tabs>
          <w:tab w:val="left" w:pos="0"/>
        </w:tabs>
        <w:adjustRightInd w:val="0"/>
        <w:snapToGrid w:val="0"/>
        <w:spacing w:line="360" w:lineRule="auto"/>
        <w:ind w:firstLine="482"/>
        <w:rPr>
          <w:rFonts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69" w:name="_Toc26794"/>
      <w:bookmarkStart w:id="70" w:name="_Toc28049"/>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ascii="宋体" w:hAnsi="宋体" w:eastAsia="宋体"/>
          <w:color w:val="auto"/>
          <w:szCs w:val="24"/>
          <w:highlight w:val="none"/>
        </w:rPr>
      </w:pPr>
      <w:r>
        <w:rPr>
          <w:rFonts w:hint="eastAsia" w:ascii="宋体" w:hAnsi="宋体" w:eastAsia="宋体"/>
          <w:b/>
          <w:bCs/>
          <w:color w:val="auto"/>
          <w:szCs w:val="24"/>
          <w:highlight w:val="none"/>
        </w:rPr>
        <w:t>25</w:t>
      </w:r>
      <w:r>
        <w:rPr>
          <w:rFonts w:hint="eastAsia" w:ascii="宋体" w:hAnsi="宋体" w:eastAsia="宋体"/>
          <w:b/>
          <w:color w:val="auto"/>
          <w:szCs w:val="24"/>
          <w:highlight w:val="none"/>
        </w:rPr>
        <w:t>. 电子交易活动的中止。</w:t>
      </w:r>
      <w:r>
        <w:rPr>
          <w:rFonts w:hint="eastAsia" w:ascii="宋体" w:hAnsi="宋体" w:eastAsia="宋体"/>
          <w:color w:val="auto"/>
          <w:szCs w:val="24"/>
          <w:highlight w:val="none"/>
        </w:rPr>
        <w:t>采购过程中出现以下情形，导致电子交易平台无法正常运行，或者无法保证电子交易的公平、公正和安全时，采购代理机构可中止电子交易活动：</w:t>
      </w:r>
    </w:p>
    <w:p w14:paraId="04D9F94E">
      <w:pPr>
        <w:pStyle w:val="356"/>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 xml:space="preserve">25.1电子交易平台发生故障而无法登录访问的； </w:t>
      </w:r>
    </w:p>
    <w:p w14:paraId="187E30F7">
      <w:pPr>
        <w:pStyle w:val="356"/>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25.2电子交易平台应用或数据库出现错误，不能进行正常操作的；</w:t>
      </w:r>
    </w:p>
    <w:p w14:paraId="72F9390C">
      <w:pPr>
        <w:pStyle w:val="356"/>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25.3电子交易平台发现严重安全漏洞，有潜在泄密危险的；</w:t>
      </w:r>
    </w:p>
    <w:p w14:paraId="251123FD">
      <w:pPr>
        <w:pStyle w:val="356"/>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 xml:space="preserve">25.4病毒发作导致不能进行正常操作的； </w:t>
      </w:r>
    </w:p>
    <w:p w14:paraId="721ABFD2">
      <w:pPr>
        <w:pStyle w:val="356"/>
        <w:snapToGrid w:val="0"/>
        <w:spacing w:before="0"/>
        <w:ind w:firstLine="480"/>
        <w:rPr>
          <w:rFonts w:ascii="宋体" w:hAnsi="宋体" w:eastAsia="宋体"/>
          <w:color w:val="auto"/>
          <w:szCs w:val="24"/>
          <w:highlight w:val="none"/>
        </w:rPr>
      </w:pPr>
      <w:r>
        <w:rPr>
          <w:rFonts w:hint="eastAsia" w:ascii="宋体" w:hAnsi="宋体" w:eastAsia="宋体"/>
          <w:color w:val="auto"/>
          <w:szCs w:val="24"/>
          <w:highlight w:val="none"/>
        </w:rPr>
        <w:t>25.5其他无法保证电子交易的公平、公正和安全的情况。</w:t>
      </w:r>
    </w:p>
    <w:p w14:paraId="6BC4B763">
      <w:pPr>
        <w:pStyle w:val="356"/>
        <w:snapToGrid w:val="0"/>
        <w:spacing w:before="0"/>
        <w:ind w:firstLine="0" w:firstLineChars="0"/>
        <w:rPr>
          <w:rFonts w:ascii="宋体" w:hAnsi="宋体" w:eastAsia="宋体"/>
          <w:color w:val="auto"/>
          <w:szCs w:val="24"/>
          <w:highlight w:val="none"/>
        </w:rPr>
      </w:pPr>
      <w:r>
        <w:rPr>
          <w:rFonts w:hint="eastAsia" w:ascii="宋体" w:hAnsi="宋体" w:eastAsia="宋体"/>
          <w:color w:val="auto"/>
          <w:szCs w:val="24"/>
          <w:highlight w:val="none"/>
        </w:rPr>
        <w:t>26.出现以上情形，不影响采购公平、公正性的，采购组织机构可以待上述情形消除后继续组织电子交易活动，也可以决定某些环节以纸质形式进行；影响或可能影响采购公平、公正性的，应当重新采购。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ascii="宋体" w:hAnsi="宋体" w:eastAsia="宋体" w:cs="宋体"/>
          <w:b/>
          <w:bCs/>
          <w:color w:val="auto"/>
          <w:sz w:val="28"/>
          <w:szCs w:val="28"/>
          <w:highlight w:val="none"/>
        </w:rPr>
      </w:pPr>
      <w:bookmarkStart w:id="71" w:name="_Toc3062"/>
      <w:bookmarkStart w:id="72" w:name="_Toc7107"/>
      <w:r>
        <w:rPr>
          <w:rFonts w:hint="eastAsia" w:ascii="宋体" w:hAnsi="宋体" w:eastAsia="宋体" w:cs="宋体"/>
          <w:b/>
          <w:bCs/>
          <w:color w:val="auto"/>
          <w:sz w:val="28"/>
          <w:szCs w:val="28"/>
          <w:highlight w:val="none"/>
        </w:rPr>
        <w:t>九、验收</w:t>
      </w:r>
      <w:bookmarkEnd w:id="71"/>
      <w:bookmarkEnd w:id="72"/>
    </w:p>
    <w:p w14:paraId="318BE9C4">
      <w:pPr>
        <w:pStyle w:val="2"/>
        <w:spacing w:line="360" w:lineRule="auto"/>
        <w:ind w:firstLine="0"/>
        <w:rPr>
          <w:rFonts w:hAnsi="宋体" w:cs="宋体"/>
          <w:b/>
          <w:color w:val="auto"/>
          <w:sz w:val="24"/>
          <w:szCs w:val="24"/>
          <w:highlight w:val="none"/>
        </w:rPr>
      </w:pPr>
      <w:r>
        <w:rPr>
          <w:rFonts w:hint="eastAsia" w:hAnsi="宋体" w:cs="宋体"/>
          <w:b/>
          <w:color w:val="auto"/>
          <w:sz w:val="24"/>
          <w:szCs w:val="24"/>
          <w:highlight w:val="none"/>
        </w:rPr>
        <w:t>27.验收</w:t>
      </w:r>
    </w:p>
    <w:p w14:paraId="001FBC00">
      <w:pPr>
        <w:tabs>
          <w:tab w:val="left" w:pos="0"/>
        </w:tabs>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20" w:beforeLines="50" w:after="120" w:afterLines="50" w:line="360" w:lineRule="auto"/>
        <w:jc w:val="center"/>
        <w:outlineLvl w:val="0"/>
        <w:rPr>
          <w:rFonts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rPr>
        <w:t>第三部分 采购需求</w:t>
      </w:r>
      <w:bookmarkEnd w:id="73"/>
    </w:p>
    <w:p w14:paraId="2B132921">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浙江工业大学精密设备室七氟丙烷气体灭火系统改造工程</w:t>
      </w:r>
      <w:r>
        <w:rPr>
          <w:rFonts w:hint="eastAsia" w:ascii="宋体" w:hAnsi="宋体" w:eastAsia="宋体" w:cs="宋体"/>
          <w:color w:val="auto"/>
          <w:sz w:val="24"/>
          <w:szCs w:val="24"/>
          <w:highlight w:val="none"/>
        </w:rPr>
        <w:t>。</w:t>
      </w:r>
    </w:p>
    <w:p w14:paraId="7F53151C">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179758C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浙江工业大学莫干山校区分析测试中心透射电镜室、扫描电镜室、光电子能谱室、色谱质谱实验室，分别位于浙江工业大学莫干山校区化工5号楼A区一楼的</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110室、</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108室、</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107室和二楼的A208室，区域面积约300平方米，一楼建筑层高5.1米，二楼建筑层高4.2米。一楼的三个房间新设备还未进场，处于空置状态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二楼的A208室内有五套精密设备，每台设备价值约200万元。</w:t>
      </w:r>
      <w:r>
        <w:rPr>
          <w:rFonts w:hint="eastAsia" w:ascii="宋体" w:hAnsi="宋体" w:eastAsia="宋体" w:cs="宋体"/>
          <w:b/>
          <w:bCs/>
          <w:color w:val="auto"/>
          <w:sz w:val="24"/>
          <w:szCs w:val="24"/>
          <w:highlight w:val="none"/>
        </w:rPr>
        <w:t>项目需要拆除A108原有的水喷淋系统，在A110、A108、A107室和A208室安装无管网的七氟丙烷气体灭火系统，并将系统联网到学校消控室，另外需要安装消防排烟系统</w:t>
      </w:r>
      <w:r>
        <w:rPr>
          <w:rFonts w:hint="eastAsia" w:ascii="宋体" w:hAnsi="宋体" w:eastAsia="宋体" w:cs="宋体"/>
          <w:color w:val="auto"/>
          <w:sz w:val="24"/>
          <w:szCs w:val="24"/>
          <w:highlight w:val="none"/>
        </w:rPr>
        <w:t>。</w:t>
      </w:r>
    </w:p>
    <w:p w14:paraId="19B89449">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（1）已具备施工条件，但施工不能影响师生正常的生活、工作。</w:t>
      </w:r>
    </w:p>
    <w:p w14:paraId="43CEDB72">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本项目位于</w:t>
      </w:r>
      <w:r>
        <w:rPr>
          <w:rFonts w:hint="eastAsia" w:ascii="宋体" w:hAnsi="宋体" w:eastAsia="宋体" w:cs="宋体"/>
          <w:color w:val="auto"/>
          <w:sz w:val="24"/>
          <w:szCs w:val="24"/>
          <w:highlight w:val="none"/>
        </w:rPr>
        <w:t>浙江工业大学莫干山校区</w:t>
      </w:r>
      <w:r>
        <w:rPr>
          <w:rFonts w:hint="eastAsia" w:ascii="宋体" w:hAnsi="宋体" w:eastAsia="宋体" w:cs="宋体"/>
          <w:color w:val="auto"/>
          <w:sz w:val="24"/>
          <w:szCs w:val="24"/>
          <w:highlight w:val="none"/>
        </w:rPr>
        <w:t>，本项目</w:t>
      </w:r>
      <w:r>
        <w:rPr>
          <w:rFonts w:hint="eastAsia" w:ascii="宋体" w:hAnsi="宋体" w:eastAsia="宋体" w:cs="宋体"/>
          <w:bCs/>
          <w:color w:val="auto"/>
          <w:sz w:val="24"/>
          <w:szCs w:val="24"/>
          <w:highlight w:val="none"/>
        </w:rPr>
        <w:t>踏勘联</w:t>
      </w:r>
      <w:r>
        <w:rPr>
          <w:rFonts w:hint="eastAsia" w:ascii="宋体" w:hAnsi="宋体" w:eastAsia="宋体" w:cs="宋体"/>
          <w:color w:val="auto"/>
          <w:sz w:val="24"/>
          <w:szCs w:val="24"/>
          <w:highlight w:val="none"/>
        </w:rPr>
        <w:t>联系人：杨倩，联系电话：0572-8813976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0571-88320961</w:t>
      </w:r>
      <w:r>
        <w:rPr>
          <w:rFonts w:hint="eastAsia" w:ascii="宋体" w:hAnsi="宋体" w:eastAsia="宋体" w:cs="宋体"/>
          <w:bCs/>
          <w:color w:val="auto"/>
          <w:sz w:val="24"/>
          <w:szCs w:val="24"/>
          <w:highlight w:val="none"/>
        </w:rPr>
        <w:t>。</w:t>
      </w:r>
    </w:p>
    <w:p w14:paraId="460FDE38">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64119E50">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20日历天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006881F0">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4C8698D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4300D853">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3B833CC6">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357412BD">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0E0E3F4A">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69359099">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1D9E85E9">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45919AEF">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7E594F34">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31314176">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04DCF7D2">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58B37B80">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54ED9AF3">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adjustRightInd w:val="0"/>
        <w:snapToGrid w:val="0"/>
        <w:spacing w:after="0"/>
        <w:rPr>
          <w:rFonts w:ascii="宋体" w:hAnsi="宋体" w:cs="宋体"/>
          <w:color w:val="auto"/>
          <w:sz w:val="24"/>
          <w:highlight w:val="none"/>
        </w:rPr>
      </w:pPr>
    </w:p>
    <w:p w14:paraId="6D487FF9">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A98DA6E">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1、服从当地政府有关部门在社会治安、综合治理、计划生育、交通管理、环境保护等的管理规定，成交供应商应设专职人员负责本条款的执行，采购人有权对此监督检查；</w:t>
      </w:r>
    </w:p>
    <w:p w14:paraId="675A081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2、响应文件中提供详细的施工安全措施和安全管理组织及配备专职负责人的说明和承诺；</w:t>
      </w:r>
    </w:p>
    <w:p w14:paraId="6F4062F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3、工程施工期间必须配备专职用电管理员全面负责施工用电的管理；</w:t>
      </w:r>
    </w:p>
    <w:p w14:paraId="3509EE84">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276FCD5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5、工程施工过程中因成交供应商原因造成的一切安全事故，成交供应商承担全部经济责任和法律责任；</w:t>
      </w:r>
    </w:p>
    <w:p w14:paraId="04DDCBC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现场做好标准化，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44E3D306">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7、施工单位在校内须严格遵守国家相关法律法规，严格遵守学校有关意识形态、宗教管理教育工作等相关规定；</w:t>
      </w:r>
    </w:p>
    <w:p w14:paraId="143C5CF5">
      <w:pPr>
        <w:spacing w:line="360" w:lineRule="auto"/>
        <w:ind w:firstLine="480" w:firstLineChars="200"/>
        <w:jc w:val="left"/>
        <w:rPr>
          <w:color w:val="auto"/>
          <w:highlight w:val="none"/>
        </w:rPr>
      </w:pPr>
      <w:r>
        <w:rPr>
          <w:rFonts w:hint="eastAsia" w:ascii="宋体" w:hAnsi="宋体" w:eastAsia="宋体" w:cs="宋体"/>
          <w:color w:val="auto"/>
          <w:sz w:val="24"/>
          <w:szCs w:val="24"/>
          <w:highlight w:val="none"/>
        </w:rPr>
        <w:t>8、供应商应充分考虑材料供应紧张的因素，提前做好各类材料的备货工作，成交后不得以此原因提出工期延误及费用调整。</w:t>
      </w:r>
    </w:p>
    <w:p w14:paraId="63BEDEC2">
      <w:pPr>
        <w:spacing w:line="360" w:lineRule="auto"/>
        <w:ind w:firstLine="480" w:firstLineChars="200"/>
        <w:jc w:val="left"/>
        <w:rPr>
          <w:rFonts w:ascii="宋体" w:hAnsi="宋体" w:eastAsia="宋体" w:cs="宋体"/>
          <w:color w:val="auto"/>
          <w:sz w:val="24"/>
          <w:szCs w:val="24"/>
          <w:highlight w:val="none"/>
        </w:rPr>
      </w:pPr>
    </w:p>
    <w:p w14:paraId="711CEBD7">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w:t>
      </w:r>
      <w:r>
        <w:rPr>
          <w:rFonts w:hint="eastAsia" w:ascii="宋体" w:hAnsi="宋体" w:eastAsia="宋体" w:cs="宋体"/>
          <w:color w:val="auto"/>
          <w:sz w:val="24"/>
          <w:szCs w:val="24"/>
          <w:highlight w:val="none"/>
        </w:rPr>
        <w:t>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7B9D94D0">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136127B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287F728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4A1F13F1">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tbl>
      <w:tblPr>
        <w:tblStyle w:val="62"/>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471"/>
        <w:gridCol w:w="3633"/>
        <w:gridCol w:w="1380"/>
      </w:tblGrid>
      <w:tr w14:paraId="0CB7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9" w:type="dxa"/>
            <w:vAlign w:val="center"/>
          </w:tcPr>
          <w:p w14:paraId="1BFD3D66">
            <w:pPr>
              <w:adjustRightInd w:val="0"/>
              <w:snapToGrid w:val="0"/>
              <w:spacing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3471" w:type="dxa"/>
            <w:vAlign w:val="center"/>
          </w:tcPr>
          <w:p w14:paraId="5D29289A">
            <w:pPr>
              <w:adjustRightInd w:val="0"/>
              <w:snapToGrid w:val="0"/>
              <w:spacing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材料(设备)名称</w:t>
            </w:r>
          </w:p>
        </w:tc>
        <w:tc>
          <w:tcPr>
            <w:tcW w:w="3633" w:type="dxa"/>
            <w:vAlign w:val="center"/>
          </w:tcPr>
          <w:p w14:paraId="0F077EC7">
            <w:pPr>
              <w:adjustRightInd w:val="0"/>
              <w:snapToGrid w:val="0"/>
              <w:spacing w:line="400" w:lineRule="exact"/>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推荐品牌</w:t>
            </w:r>
          </w:p>
        </w:tc>
        <w:tc>
          <w:tcPr>
            <w:tcW w:w="1380" w:type="dxa"/>
            <w:vAlign w:val="center"/>
          </w:tcPr>
          <w:p w14:paraId="5438BC76">
            <w:pPr>
              <w:adjustRightInd w:val="0"/>
              <w:snapToGrid w:val="0"/>
              <w:spacing w:line="4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401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14:paraId="239E0F92">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71" w:type="dxa"/>
            <w:shd w:val="clear" w:color="auto" w:fill="auto"/>
            <w:vAlign w:val="center"/>
          </w:tcPr>
          <w:p w14:paraId="01C828D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柜式七氟丙烷气体灭火装置</w:t>
            </w:r>
          </w:p>
        </w:tc>
        <w:tc>
          <w:tcPr>
            <w:tcW w:w="3633" w:type="dxa"/>
            <w:shd w:val="clear" w:color="auto" w:fill="auto"/>
            <w:vAlign w:val="center"/>
          </w:tcPr>
          <w:p w14:paraId="76D44B1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上海金盾，博海消防，</w:t>
            </w:r>
            <w:r>
              <w:rPr>
                <w:rFonts w:hint="eastAsia" w:ascii="宋体" w:hAnsi="宋体" w:eastAsia="宋体" w:cs="宋体"/>
                <w:color w:val="auto"/>
                <w:sz w:val="24"/>
                <w:szCs w:val="24"/>
                <w:highlight w:val="none"/>
                <w:lang w:val="en-US" w:eastAsia="zh-CN"/>
              </w:rPr>
              <w:t>湖南磐龙</w:t>
            </w:r>
          </w:p>
        </w:tc>
        <w:tc>
          <w:tcPr>
            <w:tcW w:w="1380" w:type="dxa"/>
            <w:shd w:val="clear" w:color="auto" w:fill="auto"/>
            <w:vAlign w:val="center"/>
          </w:tcPr>
          <w:p w14:paraId="0709524D">
            <w:pPr>
              <w:widowControl/>
              <w:spacing w:line="400" w:lineRule="exact"/>
              <w:jc w:val="center"/>
              <w:rPr>
                <w:rFonts w:ascii="宋体" w:hAnsi="宋体" w:eastAsia="宋体" w:cs="宋体"/>
                <w:color w:val="auto"/>
                <w:sz w:val="24"/>
                <w:szCs w:val="24"/>
                <w:highlight w:val="none"/>
              </w:rPr>
            </w:pPr>
          </w:p>
        </w:tc>
      </w:tr>
      <w:tr w14:paraId="6DAA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14:paraId="4268027D">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71" w:type="dxa"/>
            <w:shd w:val="clear" w:color="auto" w:fill="auto"/>
            <w:vAlign w:val="center"/>
          </w:tcPr>
          <w:p w14:paraId="2B3444D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电磁阀</w:t>
            </w:r>
          </w:p>
        </w:tc>
        <w:tc>
          <w:tcPr>
            <w:tcW w:w="3633" w:type="dxa"/>
            <w:shd w:val="clear" w:color="auto" w:fill="auto"/>
            <w:vAlign w:val="center"/>
          </w:tcPr>
          <w:p w14:paraId="0F418DE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上海金盾，博海消防，</w:t>
            </w:r>
            <w:r>
              <w:rPr>
                <w:rFonts w:hint="eastAsia" w:ascii="宋体" w:hAnsi="宋体" w:eastAsia="宋体" w:cs="宋体"/>
                <w:color w:val="auto"/>
                <w:sz w:val="24"/>
                <w:szCs w:val="24"/>
                <w:highlight w:val="none"/>
                <w:lang w:val="en-US" w:eastAsia="zh-CN"/>
              </w:rPr>
              <w:t>湖南磐龙</w:t>
            </w:r>
          </w:p>
        </w:tc>
        <w:tc>
          <w:tcPr>
            <w:tcW w:w="1380" w:type="dxa"/>
            <w:shd w:val="clear" w:color="auto" w:fill="auto"/>
            <w:vAlign w:val="center"/>
          </w:tcPr>
          <w:p w14:paraId="08D5E520">
            <w:pPr>
              <w:widowControl/>
              <w:spacing w:line="400" w:lineRule="exact"/>
              <w:jc w:val="center"/>
              <w:rPr>
                <w:rFonts w:ascii="宋体" w:hAnsi="宋体" w:eastAsia="宋体" w:cs="宋体"/>
                <w:color w:val="auto"/>
                <w:sz w:val="24"/>
                <w:szCs w:val="24"/>
                <w:highlight w:val="none"/>
              </w:rPr>
            </w:pPr>
          </w:p>
        </w:tc>
      </w:tr>
      <w:tr w14:paraId="0608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14:paraId="136D3BAB">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471" w:type="dxa"/>
            <w:shd w:val="clear" w:color="auto" w:fill="auto"/>
            <w:vAlign w:val="center"/>
          </w:tcPr>
          <w:p w14:paraId="6096D1A8">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气体灭火报警控制器</w:t>
            </w:r>
          </w:p>
        </w:tc>
        <w:tc>
          <w:tcPr>
            <w:tcW w:w="3633" w:type="dxa"/>
            <w:shd w:val="clear" w:color="auto" w:fill="auto"/>
            <w:vAlign w:val="center"/>
          </w:tcPr>
          <w:p w14:paraId="14F5FF4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北大青鸟，北京利达，</w:t>
            </w:r>
            <w:r>
              <w:rPr>
                <w:rFonts w:hint="eastAsia" w:ascii="宋体" w:hAnsi="宋体" w:eastAsia="宋体" w:cs="宋体"/>
                <w:color w:val="auto"/>
                <w:sz w:val="24"/>
                <w:szCs w:val="24"/>
                <w:highlight w:val="none"/>
                <w:lang w:val="en-US" w:eastAsia="zh-CN"/>
              </w:rPr>
              <w:t>西门子</w:t>
            </w:r>
          </w:p>
        </w:tc>
        <w:tc>
          <w:tcPr>
            <w:tcW w:w="1380" w:type="dxa"/>
            <w:shd w:val="clear" w:color="auto" w:fill="auto"/>
            <w:vAlign w:val="center"/>
          </w:tcPr>
          <w:p w14:paraId="2F60DF26">
            <w:pPr>
              <w:widowControl/>
              <w:spacing w:line="400" w:lineRule="exact"/>
              <w:jc w:val="center"/>
              <w:rPr>
                <w:rFonts w:ascii="宋体" w:hAnsi="宋体" w:eastAsia="宋体" w:cs="宋体"/>
                <w:color w:val="auto"/>
                <w:sz w:val="24"/>
                <w:szCs w:val="24"/>
                <w:highlight w:val="none"/>
              </w:rPr>
            </w:pPr>
          </w:p>
        </w:tc>
      </w:tr>
      <w:tr w14:paraId="3EEE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14:paraId="282C8959">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471" w:type="dxa"/>
            <w:shd w:val="clear" w:color="auto" w:fill="auto"/>
            <w:vAlign w:val="center"/>
          </w:tcPr>
          <w:p w14:paraId="4F9DD5C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声光报警器</w:t>
            </w:r>
          </w:p>
        </w:tc>
        <w:tc>
          <w:tcPr>
            <w:tcW w:w="3633" w:type="dxa"/>
            <w:shd w:val="clear" w:color="auto" w:fill="auto"/>
            <w:vAlign w:val="center"/>
          </w:tcPr>
          <w:p w14:paraId="751F00D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北大青鸟，北京利达，</w:t>
            </w:r>
            <w:r>
              <w:rPr>
                <w:rFonts w:hint="eastAsia" w:ascii="宋体" w:hAnsi="宋体" w:eastAsia="宋体" w:cs="宋体"/>
                <w:color w:val="auto"/>
                <w:sz w:val="24"/>
                <w:szCs w:val="24"/>
                <w:highlight w:val="none"/>
                <w:lang w:val="en-US" w:eastAsia="zh-CN"/>
              </w:rPr>
              <w:t>西门子</w:t>
            </w:r>
          </w:p>
        </w:tc>
        <w:tc>
          <w:tcPr>
            <w:tcW w:w="1380" w:type="dxa"/>
            <w:shd w:val="clear" w:color="auto" w:fill="auto"/>
            <w:vAlign w:val="center"/>
          </w:tcPr>
          <w:p w14:paraId="56EA4A67">
            <w:pPr>
              <w:widowControl/>
              <w:spacing w:line="400" w:lineRule="exact"/>
              <w:jc w:val="center"/>
              <w:rPr>
                <w:rFonts w:ascii="宋体" w:hAnsi="宋体" w:eastAsia="宋体" w:cs="宋体"/>
                <w:color w:val="auto"/>
                <w:sz w:val="24"/>
                <w:szCs w:val="24"/>
                <w:highlight w:val="none"/>
              </w:rPr>
            </w:pPr>
          </w:p>
        </w:tc>
      </w:tr>
      <w:tr w14:paraId="1F1F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14:paraId="092A20A7">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71" w:type="dxa"/>
            <w:shd w:val="clear" w:color="auto" w:fill="auto"/>
            <w:vAlign w:val="center"/>
          </w:tcPr>
          <w:p w14:paraId="30336BC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防火阀</w:t>
            </w:r>
          </w:p>
        </w:tc>
        <w:tc>
          <w:tcPr>
            <w:tcW w:w="3633" w:type="dxa"/>
            <w:shd w:val="clear" w:color="auto" w:fill="auto"/>
            <w:vAlign w:val="center"/>
          </w:tcPr>
          <w:p w14:paraId="3FB990B9">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上海盈达，上虞英达，德州国为</w:t>
            </w:r>
          </w:p>
        </w:tc>
        <w:tc>
          <w:tcPr>
            <w:tcW w:w="1380" w:type="dxa"/>
            <w:shd w:val="clear" w:color="auto" w:fill="auto"/>
            <w:vAlign w:val="center"/>
          </w:tcPr>
          <w:p w14:paraId="5C5852AD">
            <w:pPr>
              <w:widowControl/>
              <w:spacing w:line="400" w:lineRule="exact"/>
              <w:jc w:val="center"/>
              <w:rPr>
                <w:rFonts w:ascii="宋体" w:hAnsi="宋体" w:eastAsia="宋体" w:cs="宋体"/>
                <w:color w:val="auto"/>
                <w:sz w:val="24"/>
                <w:szCs w:val="24"/>
                <w:highlight w:val="none"/>
              </w:rPr>
            </w:pPr>
          </w:p>
        </w:tc>
      </w:tr>
      <w:tr w14:paraId="61C3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14:paraId="752785F8">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471" w:type="dxa"/>
            <w:shd w:val="clear" w:color="auto" w:fill="auto"/>
            <w:vAlign w:val="center"/>
          </w:tcPr>
          <w:p w14:paraId="084B7D9F">
            <w:pPr>
              <w:jc w:val="center"/>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管道式离心风机</w:t>
            </w:r>
          </w:p>
        </w:tc>
        <w:tc>
          <w:tcPr>
            <w:tcW w:w="3633" w:type="dxa"/>
            <w:shd w:val="clear" w:color="auto" w:fill="auto"/>
            <w:vAlign w:val="center"/>
          </w:tcPr>
          <w:p w14:paraId="531F006C">
            <w:pPr>
              <w:jc w:val="center"/>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上海盈达，上虞英达，德州国为</w:t>
            </w:r>
          </w:p>
        </w:tc>
        <w:tc>
          <w:tcPr>
            <w:tcW w:w="1380" w:type="dxa"/>
            <w:shd w:val="clear" w:color="auto" w:fill="auto"/>
            <w:vAlign w:val="center"/>
          </w:tcPr>
          <w:p w14:paraId="52D57D2E">
            <w:pPr>
              <w:widowControl/>
              <w:spacing w:line="400" w:lineRule="exact"/>
              <w:jc w:val="center"/>
              <w:textAlignment w:val="center"/>
              <w:rPr>
                <w:rFonts w:ascii="宋体" w:hAnsi="宋体" w:eastAsia="宋体" w:cs="宋体"/>
                <w:color w:val="auto"/>
                <w:kern w:val="0"/>
                <w:sz w:val="24"/>
                <w:szCs w:val="24"/>
                <w:highlight w:val="none"/>
              </w:rPr>
            </w:pPr>
          </w:p>
        </w:tc>
      </w:tr>
    </w:tbl>
    <w:p w14:paraId="4F8D09F2">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3、磋商供应商应选择该品牌（或厂家）的中档以上型号并满足招标人技术要求，并在报价中予以考虑。</w:t>
      </w:r>
    </w:p>
    <w:p w14:paraId="50B07F6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4、请在响应文件项目实施方案中列明主要施工材料选用的品牌。</w:t>
      </w:r>
    </w:p>
    <w:p w14:paraId="46421B7F">
      <w:pPr>
        <w:spacing w:line="360" w:lineRule="auto"/>
        <w:ind w:firstLine="480" w:firstLineChars="200"/>
        <w:jc w:val="left"/>
        <w:rPr>
          <w:rFonts w:ascii="宋体" w:hAnsi="宋体" w:eastAsia="宋体" w:cs="宋体"/>
          <w:color w:val="auto"/>
          <w:sz w:val="24"/>
          <w:szCs w:val="24"/>
          <w:highlight w:val="none"/>
        </w:rPr>
      </w:pPr>
    </w:p>
    <w:p w14:paraId="4B96B3F6">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20C07A7A">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4、施工水电费按工程竣工结算审定价的1％计算，在结算审定款中直接扣除。</w:t>
      </w:r>
    </w:p>
    <w:p w14:paraId="5F90F5A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29CDFEA">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8、供应商不得使用采购人2024年新购置的客运电梯搬运建筑垃圾、装修材料等，以免造成电梯损坏。由此产生或增加的相关费用供应商在报价中综合考虑。若因违规使用产生的损失由供应商承担（如有）。</w:t>
      </w:r>
    </w:p>
    <w:p w14:paraId="0DA42A58">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adjustRightInd w:val="0"/>
        <w:snapToGrid w:val="0"/>
        <w:spacing w:after="0"/>
        <w:rPr>
          <w:rFonts w:ascii="宋体" w:hAnsi="宋体" w:cs="宋体"/>
          <w:color w:val="auto"/>
          <w:sz w:val="24"/>
          <w:highlight w:val="none"/>
        </w:rPr>
      </w:pPr>
    </w:p>
    <w:p w14:paraId="6DBA7F15">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质保期：2年</w:t>
      </w:r>
    </w:p>
    <w:p w14:paraId="12E7ABD5">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质保金退还：工程竣工验收合格之日起满两年且回访质量符合要求后一次性付清（无息），如保修期间产生维修费、赔偿金等则扣除相应的维修费、赔偿金等款项后退还。</w:t>
      </w:r>
    </w:p>
    <w:p w14:paraId="1E4595B5">
      <w:pPr>
        <w:pStyle w:val="23"/>
        <w:adjustRightInd w:val="0"/>
        <w:snapToGrid w:val="0"/>
        <w:spacing w:after="0"/>
        <w:rPr>
          <w:rFonts w:ascii="宋体" w:hAnsi="宋体" w:cs="宋体"/>
          <w:color w:val="auto"/>
          <w:sz w:val="24"/>
          <w:highlight w:val="none"/>
        </w:rPr>
      </w:pPr>
    </w:p>
    <w:p w14:paraId="7CE7FF40">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4EDADAE4">
      <w:pPr>
        <w:spacing w:line="360" w:lineRule="auto"/>
        <w:ind w:firstLine="480" w:firstLineChars="200"/>
        <w:jc w:val="lef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1、供应商在施工时需针对高校特点合理安排施工时间及噪音控制；</w:t>
      </w:r>
    </w:p>
    <w:p w14:paraId="0056717D">
      <w:pPr>
        <w:spacing w:line="360" w:lineRule="auto"/>
        <w:ind w:firstLine="480" w:firstLineChars="200"/>
        <w:jc w:val="lef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2、供应商在施工时需严格做好施工现场管理的安全管理，如防火、防盗等；</w:t>
      </w:r>
    </w:p>
    <w:p w14:paraId="5EFF2E06">
      <w:pPr>
        <w:spacing w:line="360" w:lineRule="auto"/>
        <w:ind w:firstLine="480" w:firstLineChars="200"/>
        <w:jc w:val="lef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3、供应商需在竣工后及时供给水、电，做好卫生保洁工作。</w:t>
      </w:r>
    </w:p>
    <w:p w14:paraId="041FB3BD">
      <w:pPr>
        <w:spacing w:line="360" w:lineRule="auto"/>
        <w:ind w:firstLine="480" w:firstLineChars="200"/>
        <w:jc w:val="lef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4、工程完工后，供应商需精细保洁后移交给用户单位使用，保洁范围包含吊顶、墙面、地面、门窗、灯具、开关插座面板及卫生间洁具等所有施工区域，高标准交付。</w:t>
      </w:r>
    </w:p>
    <w:p w14:paraId="090A5159">
      <w:pPr>
        <w:spacing w:line="360" w:lineRule="auto"/>
        <w:ind w:firstLine="480" w:firstLineChars="200"/>
        <w:jc w:val="lef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项目完工后，采购人将委托第三方检测单位进行室内空气质量检测，空气质量检测合格方可申请竣工验收。如完工后室内空气质量检测不合格的，供应商需进行空气治理，直至检测合格为止，相关治理费用由供应商承担。</w:t>
      </w:r>
    </w:p>
    <w:p w14:paraId="29B6221F">
      <w:pPr>
        <w:spacing w:line="360" w:lineRule="auto"/>
        <w:ind w:firstLine="480" w:firstLineChars="200"/>
        <w:jc w:val="lef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6、工程移交前，供应商需编制修缮工程使用说明书，明确各房间装修或改造情况、使用注意事项、主要设施设备品牌、工程质量保修期限及范围等内容。</w:t>
      </w:r>
    </w:p>
    <w:p w14:paraId="042B4A24">
      <w:pPr>
        <w:spacing w:line="360" w:lineRule="auto"/>
        <w:ind w:firstLine="480" w:firstLineChars="200"/>
        <w:jc w:val="lef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7、供应商在校内须严格遵守国家相关法律法规、严格遵守学校有关意识形态、宗教管理教育工作等相关规定。</w:t>
      </w:r>
    </w:p>
    <w:p w14:paraId="6596BB20">
      <w:pPr>
        <w:spacing w:line="360" w:lineRule="auto"/>
        <w:ind w:firstLine="480" w:firstLineChars="200"/>
        <w:jc w:val="lef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8、本项目成交后采购人根据实际情况，可能变更设计；如变更设计，则按调整后图纸施工、结算。</w:t>
      </w:r>
    </w:p>
    <w:p w14:paraId="7A9C0D2D">
      <w:pPr>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9、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w:t>
      </w:r>
      <w:r>
        <w:rPr>
          <w:rFonts w:hint="eastAsia" w:ascii="宋体" w:hAnsi="宋体" w:eastAsia="宋体" w:cs="宋体"/>
          <w:snapToGrid w:val="0"/>
          <w:color w:val="auto"/>
          <w:sz w:val="24"/>
          <w:szCs w:val="24"/>
          <w:highlight w:val="none"/>
          <w:lang w:val="en-US" w:eastAsia="zh-CN"/>
        </w:rPr>
        <w:t>实验室设备防护及降损方案</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71567319">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10、本项目施工过程中部分实验设备不进行搬离，供应商应做好实验室设备保护工作，因保护不当等原因导致设备损坏的责任由供应商承担。</w:t>
      </w:r>
    </w:p>
    <w:p w14:paraId="122EA793">
      <w:pPr>
        <w:spacing w:line="360" w:lineRule="auto"/>
        <w:ind w:firstLine="482" w:firstLineChars="200"/>
        <w:jc w:val="left"/>
        <w:rPr>
          <w:rFonts w:ascii="宋体" w:hAnsi="宋体" w:eastAsia="宋体" w:cs="宋体"/>
          <w:b/>
          <w:bCs/>
          <w:snapToGrid w:val="0"/>
          <w:color w:val="auto"/>
          <w:sz w:val="24"/>
          <w:szCs w:val="24"/>
          <w:highlight w:val="none"/>
        </w:rPr>
      </w:pPr>
    </w:p>
    <w:p w14:paraId="2FD79391">
      <w:pPr>
        <w:spacing w:line="360" w:lineRule="auto"/>
        <w:ind w:firstLine="482" w:firstLineChars="200"/>
        <w:jc w:val="left"/>
        <w:rPr>
          <w:rFonts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八、本章未尽内容按“第五章 合同主要条款”。</w:t>
      </w:r>
    </w:p>
    <w:p w14:paraId="737DC45E">
      <w:pPr>
        <w:autoSpaceDN w:val="0"/>
        <w:snapToGrid w:val="0"/>
        <w:spacing w:line="360" w:lineRule="auto"/>
        <w:ind w:left="238"/>
        <w:jc w:val="center"/>
        <w:outlineLvl w:val="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74" w:name="_Toc24558"/>
      <w:r>
        <w:rPr>
          <w:rFonts w:hint="eastAsia" w:ascii="宋体" w:hAnsi="宋体" w:eastAsia="宋体" w:cs="宋体"/>
          <w:b/>
          <w:color w:val="auto"/>
          <w:sz w:val="24"/>
          <w:szCs w:val="24"/>
          <w:highlight w:val="none"/>
        </w:rPr>
        <w:t>第四部分 评标标准</w:t>
      </w:r>
      <w:bookmarkEnd w:id="74"/>
    </w:p>
    <w:p w14:paraId="2DE0D604">
      <w:pPr>
        <w:snapToGrid w:val="0"/>
        <w:spacing w:line="360" w:lineRule="auto"/>
        <w:jc w:val="center"/>
        <w:rPr>
          <w:rFonts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100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5396"/>
        <w:gridCol w:w="793"/>
        <w:gridCol w:w="2133"/>
      </w:tblGrid>
      <w:tr w14:paraId="512F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vAlign w:val="center"/>
          </w:tcPr>
          <w:p w14:paraId="3099E2B9">
            <w:pPr>
              <w:snapToGrid w:val="0"/>
              <w:jc w:val="center"/>
              <w:outlineLvl w:val="0"/>
              <w:rPr>
                <w:rFonts w:ascii="宋体" w:hAnsi="宋体" w:eastAsia="宋体" w:cs="宋体"/>
                <w:bCs/>
                <w:color w:val="auto"/>
                <w:sz w:val="24"/>
                <w:szCs w:val="24"/>
                <w:highlight w:val="none"/>
              </w:rPr>
            </w:pPr>
            <w:bookmarkStart w:id="77" w:name="_Toc20461"/>
            <w:bookmarkStart w:id="78" w:name="_Toc25748"/>
            <w:r>
              <w:rPr>
                <w:rFonts w:hint="eastAsia" w:ascii="宋体" w:hAnsi="宋体" w:eastAsia="宋体" w:cs="宋体"/>
                <w:bCs/>
                <w:color w:val="auto"/>
                <w:sz w:val="24"/>
                <w:szCs w:val="24"/>
                <w:highlight w:val="none"/>
              </w:rPr>
              <w:t>序号</w:t>
            </w:r>
            <w:bookmarkEnd w:id="77"/>
            <w:bookmarkEnd w:id="78"/>
          </w:p>
        </w:tc>
        <w:tc>
          <w:tcPr>
            <w:tcW w:w="6464" w:type="dxa"/>
            <w:gridSpan w:val="2"/>
            <w:vAlign w:val="center"/>
          </w:tcPr>
          <w:p w14:paraId="7A23E0EB">
            <w:pPr>
              <w:snapToGrid w:val="0"/>
              <w:jc w:val="center"/>
              <w:outlineLvl w:val="0"/>
              <w:rPr>
                <w:rFonts w:ascii="宋体" w:hAnsi="宋体" w:eastAsia="宋体" w:cs="宋体"/>
                <w:bCs/>
                <w:color w:val="auto"/>
                <w:sz w:val="24"/>
                <w:szCs w:val="24"/>
                <w:highlight w:val="none"/>
              </w:rPr>
            </w:pPr>
            <w:bookmarkStart w:id="79" w:name="_Toc8101"/>
            <w:bookmarkStart w:id="80" w:name="_Toc22750"/>
            <w:r>
              <w:rPr>
                <w:rFonts w:hint="eastAsia" w:ascii="宋体" w:hAnsi="宋体" w:eastAsia="宋体" w:cs="宋体"/>
                <w:bCs/>
                <w:color w:val="auto"/>
                <w:sz w:val="24"/>
                <w:szCs w:val="24"/>
                <w:highlight w:val="none"/>
              </w:rPr>
              <w:t>评审标准</w:t>
            </w:r>
            <w:bookmarkEnd w:id="79"/>
            <w:bookmarkEnd w:id="80"/>
          </w:p>
        </w:tc>
        <w:tc>
          <w:tcPr>
            <w:tcW w:w="793" w:type="dxa"/>
            <w:vAlign w:val="center"/>
          </w:tcPr>
          <w:p w14:paraId="0BDFCE46">
            <w:pPr>
              <w:snapToGrid w:val="0"/>
              <w:jc w:val="center"/>
              <w:outlineLvl w:val="0"/>
              <w:rPr>
                <w:rFonts w:ascii="宋体" w:hAnsi="宋体" w:eastAsia="宋体" w:cs="宋体"/>
                <w:bCs/>
                <w:color w:val="auto"/>
                <w:sz w:val="24"/>
                <w:szCs w:val="24"/>
                <w:highlight w:val="none"/>
              </w:rPr>
            </w:pPr>
            <w:bookmarkStart w:id="81" w:name="_Toc20436"/>
            <w:bookmarkStart w:id="82" w:name="_Toc6272"/>
            <w:r>
              <w:rPr>
                <w:rFonts w:hint="eastAsia" w:ascii="宋体" w:hAnsi="宋体" w:eastAsia="宋体" w:cs="宋体"/>
                <w:bCs/>
                <w:color w:val="auto"/>
                <w:sz w:val="24"/>
                <w:szCs w:val="24"/>
                <w:highlight w:val="none"/>
              </w:rPr>
              <w:t>权重</w:t>
            </w:r>
            <w:bookmarkEnd w:id="81"/>
            <w:bookmarkEnd w:id="82"/>
          </w:p>
        </w:tc>
        <w:tc>
          <w:tcPr>
            <w:tcW w:w="2133" w:type="dxa"/>
          </w:tcPr>
          <w:p w14:paraId="75C88D53">
            <w:pPr>
              <w:snapToGrid w:val="0"/>
              <w:outlineLvl w:val="0"/>
              <w:rPr>
                <w:rFonts w:ascii="宋体" w:hAnsi="宋体" w:eastAsia="宋体" w:cs="宋体"/>
                <w:bCs/>
                <w:color w:val="auto"/>
                <w:sz w:val="24"/>
                <w:szCs w:val="24"/>
                <w:highlight w:val="none"/>
              </w:rPr>
            </w:pPr>
            <w:bookmarkStart w:id="83" w:name="_Toc15463"/>
            <w:bookmarkStart w:id="84" w:name="_Toc9678"/>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83"/>
            <w:bookmarkEnd w:id="84"/>
          </w:p>
        </w:tc>
      </w:tr>
      <w:tr w14:paraId="3305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60" w:type="dxa"/>
            <w:vAlign w:val="center"/>
          </w:tcPr>
          <w:p w14:paraId="344D0A02">
            <w:pPr>
              <w:snapToGrid w:val="0"/>
              <w:jc w:val="center"/>
              <w:outlineLvl w:val="0"/>
              <w:rPr>
                <w:rFonts w:ascii="宋体" w:hAnsi="宋体" w:eastAsia="宋体" w:cs="宋体"/>
                <w:color w:val="auto"/>
                <w:sz w:val="24"/>
                <w:szCs w:val="24"/>
                <w:highlight w:val="none"/>
              </w:rPr>
            </w:pPr>
            <w:bookmarkStart w:id="85" w:name="_Toc4155"/>
            <w:bookmarkStart w:id="86" w:name="_Toc4544"/>
            <w:r>
              <w:rPr>
                <w:rFonts w:hint="eastAsia" w:ascii="宋体" w:hAnsi="宋体" w:eastAsia="宋体" w:cs="宋体"/>
                <w:color w:val="auto"/>
                <w:sz w:val="24"/>
                <w:szCs w:val="24"/>
                <w:highlight w:val="none"/>
              </w:rPr>
              <w:t>1</w:t>
            </w:r>
            <w:bookmarkEnd w:id="85"/>
            <w:bookmarkEnd w:id="86"/>
          </w:p>
        </w:tc>
        <w:tc>
          <w:tcPr>
            <w:tcW w:w="1068" w:type="dxa"/>
            <w:vMerge w:val="restart"/>
            <w:vAlign w:val="center"/>
          </w:tcPr>
          <w:p w14:paraId="4A25EDAD">
            <w:pPr>
              <w:snapToGrid w:val="0"/>
              <w:jc w:val="center"/>
              <w:outlineLvl w:val="0"/>
              <w:rPr>
                <w:rFonts w:ascii="宋体" w:hAnsi="宋体" w:eastAsia="宋体" w:cs="宋体"/>
                <w:color w:val="auto"/>
                <w:sz w:val="24"/>
                <w:szCs w:val="24"/>
                <w:highlight w:val="none"/>
              </w:rPr>
            </w:pPr>
            <w:bookmarkStart w:id="87" w:name="_Toc27670"/>
            <w:r>
              <w:rPr>
                <w:rFonts w:hint="eastAsia" w:ascii="宋体" w:hAnsi="宋体" w:eastAsia="宋体" w:cs="宋体"/>
                <w:color w:val="auto"/>
                <w:szCs w:val="21"/>
                <w:highlight w:val="none"/>
              </w:rPr>
              <w:t>业绩</w:t>
            </w:r>
            <w:bookmarkEnd w:id="87"/>
          </w:p>
        </w:tc>
        <w:tc>
          <w:tcPr>
            <w:tcW w:w="5396" w:type="dxa"/>
            <w:vAlign w:val="center"/>
          </w:tcPr>
          <w:p w14:paraId="46BBFA1F">
            <w:pPr>
              <w:rPr>
                <w:rFonts w:ascii="宋体" w:hAnsi="宋体" w:eastAsia="宋体" w:cs="宋体"/>
                <w:color w:val="auto"/>
                <w:sz w:val="24"/>
                <w:szCs w:val="24"/>
                <w:highlight w:val="none"/>
              </w:rPr>
            </w:pPr>
            <w:r>
              <w:rPr>
                <w:rFonts w:hint="eastAsia" w:ascii="宋体" w:hAnsi="宋体" w:eastAsia="宋体" w:cs="宋体"/>
                <w:color w:val="auto"/>
                <w:szCs w:val="21"/>
                <w:highlight w:val="none"/>
              </w:rPr>
              <w:t>供应商自2022年1月1日以来（以合同签订时间为准）类似合同业绩（以提供的合同及对应分部分项竣工验收报告/竣工验收报告扫描件为准）：每提供1份业绩证明得0.25分（最高得1分）</w:t>
            </w:r>
          </w:p>
        </w:tc>
        <w:tc>
          <w:tcPr>
            <w:tcW w:w="793" w:type="dxa"/>
            <w:vAlign w:val="center"/>
          </w:tcPr>
          <w:p w14:paraId="53A5E60B">
            <w:pPr>
              <w:jc w:val="center"/>
              <w:rPr>
                <w:rFonts w:ascii="宋体" w:hAnsi="宋体" w:eastAsia="宋体" w:cs="宋体"/>
                <w:bCs/>
                <w:color w:val="auto"/>
                <w:sz w:val="24"/>
                <w:szCs w:val="24"/>
                <w:highlight w:val="none"/>
              </w:rPr>
            </w:pPr>
            <w:r>
              <w:rPr>
                <w:rFonts w:hint="eastAsia" w:ascii="宋体" w:hAnsi="宋体" w:eastAsia="宋体" w:cs="宋体"/>
                <w:color w:val="auto"/>
                <w:szCs w:val="21"/>
                <w:highlight w:val="none"/>
              </w:rPr>
              <w:t>1</w:t>
            </w:r>
          </w:p>
        </w:tc>
        <w:tc>
          <w:tcPr>
            <w:tcW w:w="2133" w:type="dxa"/>
            <w:vAlign w:val="center"/>
          </w:tcPr>
          <w:p w14:paraId="4E2D7F1A">
            <w:pPr>
              <w:snapToGrid w:val="0"/>
              <w:outlineLvl w:val="0"/>
              <w:rPr>
                <w:rFonts w:ascii="宋体" w:hAnsi="宋体" w:eastAsia="宋体" w:cs="宋体"/>
                <w:color w:val="auto"/>
                <w:sz w:val="24"/>
                <w:szCs w:val="24"/>
                <w:highlight w:val="none"/>
              </w:rPr>
            </w:pPr>
          </w:p>
        </w:tc>
      </w:tr>
      <w:tr w14:paraId="2C8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60" w:type="dxa"/>
            <w:vAlign w:val="center"/>
          </w:tcPr>
          <w:p w14:paraId="5A843AEF">
            <w:pPr>
              <w:snapToGrid w:val="0"/>
              <w:jc w:val="center"/>
              <w:outlineLvl w:val="0"/>
              <w:rPr>
                <w:rFonts w:ascii="宋体" w:hAnsi="宋体" w:eastAsia="宋体" w:cs="宋体"/>
                <w:color w:val="auto"/>
                <w:sz w:val="24"/>
                <w:szCs w:val="24"/>
                <w:highlight w:val="none"/>
              </w:rPr>
            </w:pPr>
            <w:bookmarkStart w:id="88" w:name="_Toc9874"/>
            <w:bookmarkStart w:id="89" w:name="_Toc21053"/>
            <w:r>
              <w:rPr>
                <w:rFonts w:hint="eastAsia" w:ascii="宋体" w:hAnsi="宋体" w:eastAsia="宋体" w:cs="宋体"/>
                <w:color w:val="auto"/>
                <w:sz w:val="24"/>
                <w:szCs w:val="24"/>
                <w:highlight w:val="none"/>
              </w:rPr>
              <w:t>2</w:t>
            </w:r>
            <w:bookmarkEnd w:id="88"/>
          </w:p>
        </w:tc>
        <w:tc>
          <w:tcPr>
            <w:tcW w:w="1068" w:type="dxa"/>
            <w:vMerge w:val="continue"/>
            <w:vAlign w:val="center"/>
          </w:tcPr>
          <w:p w14:paraId="19B42D0D">
            <w:pPr>
              <w:snapToGrid w:val="0"/>
              <w:outlineLvl w:val="0"/>
              <w:rPr>
                <w:rFonts w:ascii="宋体" w:hAnsi="宋体" w:eastAsia="宋体" w:cs="宋体"/>
                <w:color w:val="auto"/>
                <w:sz w:val="24"/>
                <w:szCs w:val="24"/>
                <w:highlight w:val="none"/>
              </w:rPr>
            </w:pPr>
          </w:p>
        </w:tc>
        <w:tc>
          <w:tcPr>
            <w:tcW w:w="5396" w:type="dxa"/>
            <w:vAlign w:val="center"/>
          </w:tcPr>
          <w:p w14:paraId="1448D592">
            <w:pPr>
              <w:rPr>
                <w:rFonts w:ascii="宋体" w:hAnsi="宋体" w:eastAsia="宋体" w:cs="宋体"/>
                <w:color w:val="auto"/>
                <w:szCs w:val="21"/>
                <w:highlight w:val="none"/>
              </w:rPr>
            </w:pPr>
            <w:r>
              <w:rPr>
                <w:rFonts w:hint="eastAsia" w:ascii="宋体" w:hAnsi="宋体" w:eastAsia="宋体" w:cs="宋体"/>
                <w:color w:val="auto"/>
                <w:szCs w:val="21"/>
                <w:highlight w:val="none"/>
              </w:rPr>
              <w:t>拟派项目经理自2022年1月1日以来（以合同签订时间为准）以项目经理身份参与的类似项目业绩（以提供的合同及对应分部分项竣工验收报告/竣工验收报告扫描件为准，合同中无法体现项目经理姓名的可提供业主证明材料作为补充）：每提供1份业绩证明得0.25分（最高得0.5分）</w:t>
            </w:r>
          </w:p>
          <w:p w14:paraId="549D0BC5">
            <w:pPr>
              <w:rPr>
                <w:rFonts w:ascii="宋体" w:hAnsi="宋体" w:eastAsia="宋体" w:cs="宋体"/>
                <w:color w:val="auto"/>
                <w:sz w:val="24"/>
                <w:szCs w:val="24"/>
                <w:highlight w:val="none"/>
              </w:rPr>
            </w:pPr>
            <w:r>
              <w:rPr>
                <w:rFonts w:hint="eastAsia" w:ascii="宋体" w:hAnsi="宋体" w:eastAsia="宋体" w:cs="宋体"/>
                <w:color w:val="auto"/>
                <w:szCs w:val="21"/>
                <w:highlight w:val="none"/>
              </w:rPr>
              <w:t>说明：拟派项目经理业绩与前述供应商业绩不重复计分。</w:t>
            </w:r>
          </w:p>
        </w:tc>
        <w:tc>
          <w:tcPr>
            <w:tcW w:w="793" w:type="dxa"/>
            <w:vAlign w:val="center"/>
          </w:tcPr>
          <w:p w14:paraId="11C611E1">
            <w:pPr>
              <w:jc w:val="center"/>
              <w:rPr>
                <w:rFonts w:ascii="宋体" w:hAnsi="宋体" w:eastAsia="宋体" w:cs="宋体"/>
                <w:bCs/>
                <w:color w:val="auto"/>
                <w:sz w:val="24"/>
                <w:szCs w:val="24"/>
                <w:highlight w:val="none"/>
              </w:rPr>
            </w:pPr>
            <w:r>
              <w:rPr>
                <w:rFonts w:hint="eastAsia" w:ascii="宋体" w:hAnsi="宋体" w:eastAsia="宋体" w:cs="宋体"/>
                <w:color w:val="auto"/>
                <w:szCs w:val="21"/>
                <w:highlight w:val="none"/>
              </w:rPr>
              <w:t>0.5</w:t>
            </w:r>
          </w:p>
        </w:tc>
        <w:tc>
          <w:tcPr>
            <w:tcW w:w="2133" w:type="dxa"/>
            <w:vAlign w:val="center"/>
          </w:tcPr>
          <w:p w14:paraId="12DC54CB">
            <w:pPr>
              <w:snapToGrid w:val="0"/>
              <w:outlineLvl w:val="0"/>
              <w:rPr>
                <w:rFonts w:ascii="宋体" w:hAnsi="宋体" w:eastAsia="宋体" w:cs="宋体"/>
                <w:color w:val="auto"/>
                <w:sz w:val="24"/>
                <w:szCs w:val="24"/>
                <w:highlight w:val="none"/>
              </w:rPr>
            </w:pPr>
          </w:p>
        </w:tc>
      </w:tr>
      <w:tr w14:paraId="7432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60" w:type="dxa"/>
            <w:vAlign w:val="center"/>
          </w:tcPr>
          <w:p w14:paraId="67614FDA">
            <w:pPr>
              <w:snapToGrid w:val="0"/>
              <w:jc w:val="center"/>
              <w:outlineLvl w:val="0"/>
              <w:rPr>
                <w:rFonts w:ascii="宋体" w:hAnsi="宋体" w:eastAsia="宋体" w:cs="宋体"/>
                <w:color w:val="auto"/>
                <w:sz w:val="24"/>
                <w:szCs w:val="24"/>
                <w:highlight w:val="none"/>
              </w:rPr>
            </w:pPr>
            <w:bookmarkStart w:id="90" w:name="_Toc28328"/>
            <w:r>
              <w:rPr>
                <w:rFonts w:hint="eastAsia" w:ascii="宋体" w:hAnsi="宋体" w:eastAsia="宋体" w:cs="宋体"/>
                <w:color w:val="auto"/>
                <w:sz w:val="24"/>
                <w:szCs w:val="24"/>
                <w:highlight w:val="none"/>
              </w:rPr>
              <w:t>3</w:t>
            </w:r>
            <w:bookmarkEnd w:id="90"/>
          </w:p>
        </w:tc>
        <w:tc>
          <w:tcPr>
            <w:tcW w:w="1068" w:type="dxa"/>
            <w:vAlign w:val="center"/>
          </w:tcPr>
          <w:p w14:paraId="155A49BF">
            <w:pPr>
              <w:snapToGrid w:val="0"/>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体系认证</w:t>
            </w:r>
          </w:p>
        </w:tc>
        <w:tc>
          <w:tcPr>
            <w:tcW w:w="5396" w:type="dxa"/>
            <w:vAlign w:val="center"/>
          </w:tcPr>
          <w:p w14:paraId="58F99F88">
            <w:pPr>
              <w:rPr>
                <w:rFonts w:ascii="宋体" w:hAnsi="宋体" w:eastAsia="宋体" w:cs="宋体"/>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93" w:type="dxa"/>
            <w:vAlign w:val="center"/>
          </w:tcPr>
          <w:p w14:paraId="53B59DD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14FC1140">
            <w:pPr>
              <w:snapToGrid w:val="0"/>
              <w:outlineLvl w:val="0"/>
              <w:rPr>
                <w:rFonts w:ascii="宋体" w:hAnsi="宋体" w:eastAsia="宋体" w:cs="宋体"/>
                <w:color w:val="auto"/>
                <w:sz w:val="24"/>
                <w:szCs w:val="24"/>
                <w:highlight w:val="none"/>
              </w:rPr>
            </w:pPr>
          </w:p>
        </w:tc>
      </w:tr>
      <w:tr w14:paraId="3800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vAlign w:val="center"/>
          </w:tcPr>
          <w:p w14:paraId="116F9779">
            <w:pPr>
              <w:snapToGrid w:val="0"/>
              <w:jc w:val="center"/>
              <w:rPr>
                <w:rFonts w:ascii="宋体" w:hAnsi="宋体" w:eastAsia="宋体" w:cs="宋体"/>
                <w:color w:val="auto"/>
                <w:sz w:val="24"/>
                <w:szCs w:val="24"/>
                <w:highlight w:val="none"/>
              </w:rPr>
            </w:pPr>
            <w:r>
              <w:rPr>
                <w:rFonts w:hint="eastAsia" w:ascii="宋体" w:hAnsi="宋体" w:eastAsia="宋体" w:cs="宋体"/>
                <w:color w:val="auto"/>
                <w:szCs w:val="21"/>
                <w:highlight w:val="none"/>
              </w:rPr>
              <w:t>4</w:t>
            </w:r>
          </w:p>
        </w:tc>
        <w:tc>
          <w:tcPr>
            <w:tcW w:w="1068" w:type="dxa"/>
            <w:vAlign w:val="center"/>
          </w:tcPr>
          <w:p w14:paraId="0D06C146">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5396" w:type="dxa"/>
            <w:vAlign w:val="center"/>
          </w:tcPr>
          <w:p w14:paraId="03B29745">
            <w:pPr>
              <w:rPr>
                <w:rFonts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产品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7963778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33" w:type="dxa"/>
            <w:vAlign w:val="center"/>
          </w:tcPr>
          <w:p w14:paraId="0B87A199">
            <w:pPr>
              <w:snapToGrid w:val="0"/>
              <w:outlineLvl w:val="0"/>
              <w:rPr>
                <w:rFonts w:ascii="宋体" w:hAnsi="宋体" w:eastAsia="宋体" w:cs="宋体"/>
                <w:color w:val="auto"/>
                <w:sz w:val="24"/>
                <w:szCs w:val="24"/>
                <w:highlight w:val="none"/>
              </w:rPr>
            </w:pPr>
          </w:p>
        </w:tc>
      </w:tr>
      <w:tr w14:paraId="77B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0" w:type="dxa"/>
            <w:vAlign w:val="center"/>
          </w:tcPr>
          <w:p w14:paraId="29B93246">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068" w:type="dxa"/>
            <w:vMerge w:val="restart"/>
            <w:vAlign w:val="center"/>
          </w:tcPr>
          <w:p w14:paraId="4EFB1AA1">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项目实施</w:t>
            </w:r>
          </w:p>
        </w:tc>
        <w:tc>
          <w:tcPr>
            <w:tcW w:w="5396" w:type="dxa"/>
            <w:vAlign w:val="center"/>
          </w:tcPr>
          <w:p w14:paraId="0F4C92B6">
            <w:pPr>
              <w:rPr>
                <w:rFonts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（评审分值为3分或2分或1分或0分）</w:t>
            </w:r>
          </w:p>
        </w:tc>
        <w:tc>
          <w:tcPr>
            <w:tcW w:w="793" w:type="dxa"/>
            <w:vAlign w:val="center"/>
          </w:tcPr>
          <w:p w14:paraId="557433F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E841DCA">
            <w:pPr>
              <w:snapToGrid w:val="0"/>
              <w:outlineLvl w:val="0"/>
              <w:rPr>
                <w:rFonts w:ascii="宋体" w:hAnsi="宋体" w:eastAsia="宋体" w:cs="宋体"/>
                <w:color w:val="auto"/>
                <w:sz w:val="24"/>
                <w:szCs w:val="24"/>
                <w:highlight w:val="none"/>
              </w:rPr>
            </w:pPr>
          </w:p>
        </w:tc>
      </w:tr>
      <w:tr w14:paraId="378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0" w:type="dxa"/>
            <w:vAlign w:val="center"/>
          </w:tcPr>
          <w:p w14:paraId="539E3523">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068" w:type="dxa"/>
            <w:vMerge w:val="continue"/>
            <w:vAlign w:val="center"/>
          </w:tcPr>
          <w:p w14:paraId="7A0A37E2">
            <w:pPr>
              <w:snapToGrid w:val="0"/>
              <w:jc w:val="center"/>
              <w:rPr>
                <w:rFonts w:ascii="宋体" w:hAnsi="宋体" w:eastAsia="宋体" w:cs="宋体"/>
                <w:color w:val="auto"/>
                <w:szCs w:val="21"/>
                <w:highlight w:val="none"/>
              </w:rPr>
            </w:pPr>
          </w:p>
        </w:tc>
        <w:tc>
          <w:tcPr>
            <w:tcW w:w="5396" w:type="dxa"/>
            <w:vAlign w:val="center"/>
          </w:tcPr>
          <w:p w14:paraId="0B77E2AD">
            <w:pPr>
              <w:rPr>
                <w:rFonts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793" w:type="dxa"/>
            <w:vAlign w:val="center"/>
          </w:tcPr>
          <w:p w14:paraId="0C4965C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35745D24">
            <w:pPr>
              <w:snapToGrid w:val="0"/>
              <w:outlineLvl w:val="0"/>
              <w:rPr>
                <w:rFonts w:ascii="宋体" w:hAnsi="宋体" w:eastAsia="宋体" w:cs="宋体"/>
                <w:color w:val="auto"/>
                <w:sz w:val="24"/>
                <w:szCs w:val="24"/>
                <w:highlight w:val="none"/>
              </w:rPr>
            </w:pPr>
          </w:p>
        </w:tc>
      </w:tr>
      <w:tr w14:paraId="4E8B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0" w:type="dxa"/>
            <w:vAlign w:val="center"/>
          </w:tcPr>
          <w:p w14:paraId="160203E9">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068" w:type="dxa"/>
            <w:vMerge w:val="continue"/>
            <w:vAlign w:val="center"/>
          </w:tcPr>
          <w:p w14:paraId="4D0430D0">
            <w:pPr>
              <w:snapToGrid w:val="0"/>
              <w:jc w:val="center"/>
              <w:rPr>
                <w:rFonts w:ascii="宋体" w:hAnsi="宋体" w:eastAsia="宋体" w:cs="宋体"/>
                <w:color w:val="auto"/>
                <w:szCs w:val="21"/>
                <w:highlight w:val="none"/>
              </w:rPr>
            </w:pPr>
          </w:p>
        </w:tc>
        <w:tc>
          <w:tcPr>
            <w:tcW w:w="5396" w:type="dxa"/>
            <w:vAlign w:val="center"/>
          </w:tcPr>
          <w:p w14:paraId="70B9BC20">
            <w:pPr>
              <w:rPr>
                <w:rFonts w:ascii="宋体" w:hAnsi="宋体" w:eastAsia="宋体" w:cs="宋体"/>
                <w:color w:val="auto"/>
                <w:highlight w:val="none"/>
              </w:rPr>
            </w:pPr>
            <w:r>
              <w:rPr>
                <w:rFonts w:hint="eastAsia" w:ascii="宋体" w:hAnsi="宋体" w:eastAsia="宋体" w:cs="宋体"/>
                <w:color w:val="auto"/>
                <w:szCs w:val="21"/>
                <w:highlight w:val="none"/>
              </w:rPr>
              <w:t>施工方案重难点分析及对应控制措施：根据分析方案完善、合理、针对性进行评审。</w:t>
            </w:r>
            <w:r>
              <w:rPr>
                <w:rFonts w:hint="eastAsia" w:ascii="宋体" w:hAnsi="宋体" w:eastAsia="宋体" w:cs="宋体"/>
                <w:color w:val="auto"/>
                <w:highlight w:val="none"/>
              </w:rPr>
              <w:t>（评审分值为3分或2分或1分或0分）</w:t>
            </w:r>
          </w:p>
        </w:tc>
        <w:tc>
          <w:tcPr>
            <w:tcW w:w="793" w:type="dxa"/>
            <w:vAlign w:val="center"/>
          </w:tcPr>
          <w:p w14:paraId="1986B85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F3F3D8F">
            <w:pPr>
              <w:snapToGrid w:val="0"/>
              <w:outlineLvl w:val="0"/>
              <w:rPr>
                <w:rFonts w:ascii="宋体" w:hAnsi="宋体" w:eastAsia="宋体" w:cs="宋体"/>
                <w:color w:val="auto"/>
                <w:sz w:val="24"/>
                <w:szCs w:val="24"/>
                <w:highlight w:val="none"/>
              </w:rPr>
            </w:pPr>
          </w:p>
        </w:tc>
      </w:tr>
      <w:tr w14:paraId="5F72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60" w:type="dxa"/>
            <w:vAlign w:val="center"/>
          </w:tcPr>
          <w:p w14:paraId="2D857EB3">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1068" w:type="dxa"/>
            <w:vMerge w:val="continue"/>
            <w:vAlign w:val="center"/>
          </w:tcPr>
          <w:p w14:paraId="6B7618F4">
            <w:pPr>
              <w:snapToGrid w:val="0"/>
              <w:jc w:val="center"/>
              <w:rPr>
                <w:rFonts w:ascii="宋体" w:hAnsi="宋体" w:eastAsia="宋体" w:cs="宋体"/>
                <w:color w:val="auto"/>
                <w:szCs w:val="21"/>
                <w:highlight w:val="none"/>
              </w:rPr>
            </w:pPr>
          </w:p>
        </w:tc>
        <w:tc>
          <w:tcPr>
            <w:tcW w:w="5396" w:type="dxa"/>
            <w:vAlign w:val="center"/>
          </w:tcPr>
          <w:p w14:paraId="11AF3911">
            <w:pPr>
              <w:rPr>
                <w:rFonts w:ascii="宋体" w:hAnsi="宋体" w:eastAsia="宋体" w:cs="宋体"/>
                <w:color w:val="auto"/>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793" w:type="dxa"/>
            <w:vAlign w:val="center"/>
          </w:tcPr>
          <w:p w14:paraId="2D9057B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4B649C9">
            <w:pPr>
              <w:snapToGrid w:val="0"/>
              <w:outlineLvl w:val="0"/>
              <w:rPr>
                <w:rFonts w:ascii="宋体" w:hAnsi="宋体" w:eastAsia="宋体" w:cs="宋体"/>
                <w:color w:val="auto"/>
                <w:sz w:val="24"/>
                <w:szCs w:val="24"/>
                <w:highlight w:val="none"/>
              </w:rPr>
            </w:pPr>
          </w:p>
        </w:tc>
      </w:tr>
      <w:tr w14:paraId="678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59D9054D">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1068" w:type="dxa"/>
            <w:vMerge w:val="continue"/>
            <w:vAlign w:val="center"/>
          </w:tcPr>
          <w:p w14:paraId="0DD4C7B7">
            <w:pPr>
              <w:snapToGrid w:val="0"/>
              <w:jc w:val="center"/>
              <w:rPr>
                <w:rFonts w:ascii="宋体" w:hAnsi="宋体" w:eastAsia="宋体" w:cs="宋体"/>
                <w:color w:val="auto"/>
                <w:szCs w:val="21"/>
                <w:highlight w:val="none"/>
              </w:rPr>
            </w:pPr>
          </w:p>
        </w:tc>
        <w:tc>
          <w:tcPr>
            <w:tcW w:w="5396" w:type="dxa"/>
            <w:vAlign w:val="center"/>
          </w:tcPr>
          <w:p w14:paraId="397045D7">
            <w:pPr>
              <w:rPr>
                <w:rFonts w:ascii="宋体" w:hAnsi="宋体" w:eastAsia="宋体" w:cs="宋体"/>
                <w:color w:val="auto"/>
                <w:highlight w:val="none"/>
              </w:rPr>
            </w:pPr>
            <w:r>
              <w:rPr>
                <w:rFonts w:hint="eastAsia" w:ascii="宋体" w:hAnsi="宋体" w:eastAsia="宋体" w:cs="宋体"/>
                <w:color w:val="auto"/>
                <w:szCs w:val="21"/>
                <w:highlight w:val="none"/>
              </w:rPr>
              <w:t>项目需采取的专门施工组织措施方案：根据方案完善程度、合理性、针对性、可行性进行评审。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793" w:type="dxa"/>
            <w:vAlign w:val="center"/>
          </w:tcPr>
          <w:p w14:paraId="1086E36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5299F384">
            <w:pPr>
              <w:snapToGrid w:val="0"/>
              <w:outlineLvl w:val="0"/>
              <w:rPr>
                <w:rFonts w:ascii="宋体" w:hAnsi="宋体" w:eastAsia="宋体" w:cs="宋体"/>
                <w:color w:val="auto"/>
                <w:sz w:val="24"/>
                <w:szCs w:val="24"/>
                <w:highlight w:val="none"/>
              </w:rPr>
            </w:pPr>
          </w:p>
        </w:tc>
      </w:tr>
      <w:tr w14:paraId="6801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60" w:type="dxa"/>
            <w:vAlign w:val="center"/>
          </w:tcPr>
          <w:p w14:paraId="2BCEAC20">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p>
        </w:tc>
        <w:tc>
          <w:tcPr>
            <w:tcW w:w="1068" w:type="dxa"/>
            <w:vMerge w:val="continue"/>
            <w:vAlign w:val="center"/>
          </w:tcPr>
          <w:p w14:paraId="24D56F66">
            <w:pPr>
              <w:snapToGrid w:val="0"/>
              <w:jc w:val="center"/>
              <w:rPr>
                <w:rFonts w:ascii="宋体" w:hAnsi="宋体" w:eastAsia="宋体" w:cs="宋体"/>
                <w:color w:val="auto"/>
                <w:szCs w:val="21"/>
                <w:highlight w:val="none"/>
              </w:rPr>
            </w:pPr>
          </w:p>
        </w:tc>
        <w:tc>
          <w:tcPr>
            <w:tcW w:w="5396" w:type="dxa"/>
            <w:vAlign w:val="center"/>
          </w:tcPr>
          <w:p w14:paraId="5BA707FB">
            <w:pPr>
              <w:rPr>
                <w:rFonts w:ascii="宋体" w:hAnsi="宋体" w:eastAsia="宋体" w:cs="宋体"/>
                <w:color w:val="auto"/>
                <w:highlight w:val="none"/>
              </w:rPr>
            </w:pPr>
            <w:r>
              <w:rPr>
                <w:rFonts w:hint="eastAsia" w:ascii="宋体" w:hAnsi="宋体" w:eastAsia="宋体" w:cs="宋体"/>
                <w:color w:val="auto"/>
                <w:szCs w:val="21"/>
                <w:highlight w:val="none"/>
              </w:rPr>
              <w:t>施工各阶段进度计划及施工施工进度计划网络图：根据施工进度计划的合理性、可行性、对本项目的针对性以及网络图表达的清晰程度、内容完善度以及内容的合理性、可行性进行评审。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4分或3分或2分或1分或0分</w:t>
            </w:r>
            <w:r>
              <w:rPr>
                <w:rFonts w:hint="eastAsia" w:ascii="宋体" w:hAnsi="宋体" w:eastAsia="宋体" w:cs="宋体"/>
                <w:color w:val="auto"/>
                <w:highlight w:val="none"/>
              </w:rPr>
              <w:t>）</w:t>
            </w:r>
          </w:p>
        </w:tc>
        <w:tc>
          <w:tcPr>
            <w:tcW w:w="793" w:type="dxa"/>
            <w:vAlign w:val="center"/>
          </w:tcPr>
          <w:p w14:paraId="12B7D21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33" w:type="dxa"/>
            <w:vAlign w:val="center"/>
          </w:tcPr>
          <w:p w14:paraId="3F5A36DE">
            <w:pPr>
              <w:snapToGrid w:val="0"/>
              <w:outlineLvl w:val="0"/>
              <w:rPr>
                <w:rFonts w:ascii="宋体" w:hAnsi="宋体" w:eastAsia="宋体" w:cs="宋体"/>
                <w:color w:val="auto"/>
                <w:sz w:val="24"/>
                <w:szCs w:val="24"/>
                <w:highlight w:val="none"/>
              </w:rPr>
            </w:pPr>
          </w:p>
        </w:tc>
      </w:tr>
      <w:tr w14:paraId="19A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60" w:type="dxa"/>
            <w:vAlign w:val="center"/>
          </w:tcPr>
          <w:p w14:paraId="6CC69D2B">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1068" w:type="dxa"/>
            <w:vMerge w:val="continue"/>
            <w:vAlign w:val="center"/>
          </w:tcPr>
          <w:p w14:paraId="50A3E362">
            <w:pPr>
              <w:snapToGrid w:val="0"/>
              <w:jc w:val="center"/>
              <w:rPr>
                <w:rFonts w:ascii="宋体" w:hAnsi="宋体" w:eastAsia="宋体" w:cs="宋体"/>
                <w:color w:val="auto"/>
                <w:szCs w:val="21"/>
                <w:highlight w:val="none"/>
              </w:rPr>
            </w:pPr>
          </w:p>
        </w:tc>
        <w:tc>
          <w:tcPr>
            <w:tcW w:w="5396" w:type="dxa"/>
            <w:vAlign w:val="center"/>
          </w:tcPr>
          <w:p w14:paraId="582B070C">
            <w:pPr>
              <w:rPr>
                <w:rFonts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793" w:type="dxa"/>
            <w:vAlign w:val="center"/>
          </w:tcPr>
          <w:p w14:paraId="1876070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5D7C6AF">
            <w:pPr>
              <w:snapToGrid w:val="0"/>
              <w:outlineLvl w:val="0"/>
              <w:rPr>
                <w:rFonts w:ascii="宋体" w:hAnsi="宋体" w:eastAsia="宋体" w:cs="宋体"/>
                <w:color w:val="auto"/>
                <w:sz w:val="24"/>
                <w:szCs w:val="24"/>
                <w:highlight w:val="none"/>
              </w:rPr>
            </w:pPr>
          </w:p>
        </w:tc>
      </w:tr>
      <w:tr w14:paraId="596E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60" w:type="dxa"/>
            <w:vAlign w:val="center"/>
          </w:tcPr>
          <w:p w14:paraId="6FF7CCD3">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1068" w:type="dxa"/>
            <w:vMerge w:val="continue"/>
            <w:vAlign w:val="center"/>
          </w:tcPr>
          <w:p w14:paraId="60D51D31">
            <w:pPr>
              <w:snapToGrid w:val="0"/>
              <w:jc w:val="center"/>
              <w:rPr>
                <w:rFonts w:ascii="宋体" w:hAnsi="宋体" w:eastAsia="宋体" w:cs="宋体"/>
                <w:color w:val="auto"/>
                <w:szCs w:val="21"/>
                <w:highlight w:val="none"/>
              </w:rPr>
            </w:pPr>
          </w:p>
        </w:tc>
        <w:tc>
          <w:tcPr>
            <w:tcW w:w="5396" w:type="dxa"/>
            <w:vAlign w:val="center"/>
          </w:tcPr>
          <w:p w14:paraId="289EC15D">
            <w:pPr>
              <w:rPr>
                <w:rFonts w:ascii="宋体" w:hAnsi="宋体" w:eastAsia="宋体" w:cs="宋体"/>
                <w:color w:val="auto"/>
                <w:highlight w:val="none"/>
              </w:rPr>
            </w:pPr>
            <w:r>
              <w:rPr>
                <w:rFonts w:hint="eastAsia" w:ascii="宋体" w:hAnsi="宋体" w:eastAsia="宋体" w:cs="宋体"/>
                <w:color w:val="auto"/>
                <w:szCs w:val="21"/>
                <w:highlight w:val="none"/>
              </w:rPr>
              <w:t>施工材料选用、品牌情况；根据选用的施工材料（</w:t>
            </w:r>
            <w:r>
              <w:rPr>
                <w:rFonts w:hint="eastAsia" w:ascii="宋体" w:hAnsi="宋体" w:eastAsia="宋体" w:cs="宋体"/>
                <w:color w:val="auto"/>
                <w:szCs w:val="21"/>
                <w:highlight w:val="none"/>
              </w:rPr>
              <w:t>柜式七氟丙烷气体灭火装置除外）</w:t>
            </w:r>
            <w:r>
              <w:rPr>
                <w:rFonts w:hint="eastAsia" w:ascii="宋体" w:hAnsi="宋体" w:eastAsia="宋体" w:cs="宋体"/>
                <w:color w:val="auto"/>
                <w:szCs w:val="21"/>
                <w:highlight w:val="none"/>
              </w:rPr>
              <w:t>对项目需求的满足程度，拟投入设备配置的科学性、合理性，对项目实施的有利程度进行评审。</w:t>
            </w:r>
            <w:r>
              <w:rPr>
                <w:rFonts w:hint="eastAsia" w:ascii="宋体" w:hAnsi="宋体" w:eastAsia="宋体" w:cs="宋体"/>
                <w:color w:val="auto"/>
                <w:highlight w:val="none"/>
              </w:rPr>
              <w:t>（评审分值为3分或2分或1分或0分）</w:t>
            </w:r>
          </w:p>
        </w:tc>
        <w:tc>
          <w:tcPr>
            <w:tcW w:w="793" w:type="dxa"/>
            <w:vAlign w:val="center"/>
          </w:tcPr>
          <w:p w14:paraId="63A5DBF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ADE8C8B">
            <w:pPr>
              <w:snapToGrid w:val="0"/>
              <w:outlineLvl w:val="0"/>
              <w:rPr>
                <w:rFonts w:ascii="宋体" w:hAnsi="宋体" w:eastAsia="宋体" w:cs="宋体"/>
                <w:color w:val="auto"/>
                <w:sz w:val="24"/>
                <w:szCs w:val="24"/>
                <w:highlight w:val="none"/>
              </w:rPr>
            </w:pPr>
          </w:p>
        </w:tc>
      </w:tr>
      <w:tr w14:paraId="68FB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60" w:type="dxa"/>
            <w:vAlign w:val="center"/>
          </w:tcPr>
          <w:p w14:paraId="1DA06520">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1068" w:type="dxa"/>
            <w:vMerge w:val="continue"/>
            <w:vAlign w:val="center"/>
          </w:tcPr>
          <w:p w14:paraId="75BAD5A7">
            <w:pPr>
              <w:snapToGrid w:val="0"/>
              <w:jc w:val="center"/>
              <w:rPr>
                <w:rFonts w:ascii="宋体" w:hAnsi="宋体" w:eastAsia="宋体" w:cs="宋体"/>
                <w:color w:val="auto"/>
                <w:szCs w:val="21"/>
                <w:highlight w:val="none"/>
              </w:rPr>
            </w:pPr>
          </w:p>
        </w:tc>
        <w:tc>
          <w:tcPr>
            <w:tcW w:w="5396" w:type="dxa"/>
            <w:vAlign w:val="center"/>
          </w:tcPr>
          <w:p w14:paraId="4AA9A203">
            <w:pPr>
              <w:rPr>
                <w:rFonts w:ascii="宋体" w:hAnsi="宋体" w:eastAsia="宋体" w:cs="宋体"/>
                <w:color w:val="auto"/>
                <w:szCs w:val="21"/>
                <w:highlight w:val="none"/>
              </w:rPr>
            </w:pPr>
            <w:r>
              <w:rPr>
                <w:rFonts w:hint="eastAsia" w:ascii="宋体" w:hAnsi="宋体" w:eastAsia="宋体" w:cs="宋体"/>
                <w:color w:val="auto"/>
                <w:szCs w:val="21"/>
                <w:highlight w:val="none"/>
              </w:rPr>
              <w:t>柜式七氟丙烷气体灭火装置产品功能及配置：根据产品功能、配置的先进性、完整性和适用性进行评审。</w:t>
            </w:r>
            <w:r>
              <w:rPr>
                <w:rFonts w:hint="eastAsia" w:ascii="宋体" w:hAnsi="宋体" w:eastAsia="宋体" w:cs="宋体"/>
                <w:color w:val="auto"/>
                <w:highlight w:val="none"/>
              </w:rPr>
              <w:t>（评审分值为3分或2分或1分或0分）</w:t>
            </w:r>
          </w:p>
        </w:tc>
        <w:tc>
          <w:tcPr>
            <w:tcW w:w="793" w:type="dxa"/>
            <w:vAlign w:val="center"/>
          </w:tcPr>
          <w:p w14:paraId="2A7BCF4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0ED88276">
            <w:pPr>
              <w:snapToGrid w:val="0"/>
              <w:outlineLvl w:val="0"/>
              <w:rPr>
                <w:rFonts w:ascii="宋体" w:hAnsi="宋体" w:eastAsia="宋体" w:cs="宋体"/>
                <w:color w:val="auto"/>
                <w:sz w:val="24"/>
                <w:szCs w:val="24"/>
                <w:highlight w:val="none"/>
              </w:rPr>
            </w:pPr>
          </w:p>
        </w:tc>
      </w:tr>
      <w:tr w14:paraId="063E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6657474C">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1068" w:type="dxa"/>
            <w:vMerge w:val="continue"/>
            <w:vAlign w:val="center"/>
          </w:tcPr>
          <w:p w14:paraId="411BF583">
            <w:pPr>
              <w:snapToGrid w:val="0"/>
              <w:jc w:val="center"/>
              <w:rPr>
                <w:rFonts w:ascii="宋体" w:hAnsi="宋体" w:eastAsia="宋体" w:cs="宋体"/>
                <w:color w:val="auto"/>
                <w:szCs w:val="21"/>
                <w:highlight w:val="none"/>
              </w:rPr>
            </w:pPr>
          </w:p>
        </w:tc>
        <w:tc>
          <w:tcPr>
            <w:tcW w:w="5396" w:type="dxa"/>
            <w:vAlign w:val="center"/>
          </w:tcPr>
          <w:p w14:paraId="5CF3A584">
            <w:pPr>
              <w:rPr>
                <w:rFonts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793" w:type="dxa"/>
            <w:vAlign w:val="center"/>
          </w:tcPr>
          <w:p w14:paraId="3EEF00C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7BE6CF1">
            <w:pPr>
              <w:snapToGrid w:val="0"/>
              <w:outlineLvl w:val="0"/>
              <w:rPr>
                <w:rFonts w:ascii="宋体" w:hAnsi="宋体" w:eastAsia="宋体" w:cs="宋体"/>
                <w:color w:val="auto"/>
                <w:sz w:val="24"/>
                <w:szCs w:val="24"/>
                <w:highlight w:val="none"/>
              </w:rPr>
            </w:pPr>
          </w:p>
        </w:tc>
      </w:tr>
      <w:tr w14:paraId="2640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0" w:type="dxa"/>
            <w:vAlign w:val="center"/>
          </w:tcPr>
          <w:p w14:paraId="1A604747">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p>
        </w:tc>
        <w:tc>
          <w:tcPr>
            <w:tcW w:w="1068" w:type="dxa"/>
            <w:vMerge w:val="restart"/>
            <w:vAlign w:val="center"/>
          </w:tcPr>
          <w:p w14:paraId="16D4D0EF">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5396" w:type="dxa"/>
            <w:vAlign w:val="center"/>
          </w:tcPr>
          <w:p w14:paraId="0E5BB202">
            <w:pPr>
              <w:rPr>
                <w:rFonts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2904162D">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33" w:type="dxa"/>
            <w:vAlign w:val="center"/>
          </w:tcPr>
          <w:p w14:paraId="39A900AD">
            <w:pPr>
              <w:snapToGrid w:val="0"/>
              <w:outlineLvl w:val="0"/>
              <w:rPr>
                <w:rFonts w:ascii="宋体" w:hAnsi="宋体" w:eastAsia="宋体" w:cs="宋体"/>
                <w:color w:val="auto"/>
                <w:sz w:val="24"/>
                <w:szCs w:val="24"/>
                <w:highlight w:val="none"/>
              </w:rPr>
            </w:pPr>
          </w:p>
        </w:tc>
      </w:tr>
      <w:tr w14:paraId="06C8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0" w:type="dxa"/>
            <w:vAlign w:val="center"/>
          </w:tcPr>
          <w:p w14:paraId="3D3CEDC2">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p>
        </w:tc>
        <w:tc>
          <w:tcPr>
            <w:tcW w:w="1068" w:type="dxa"/>
            <w:vMerge w:val="continue"/>
            <w:vAlign w:val="center"/>
          </w:tcPr>
          <w:p w14:paraId="062424AE">
            <w:pPr>
              <w:snapToGrid w:val="0"/>
              <w:jc w:val="center"/>
              <w:rPr>
                <w:rFonts w:ascii="宋体" w:hAnsi="宋体" w:eastAsia="宋体" w:cs="宋体"/>
                <w:color w:val="auto"/>
                <w:szCs w:val="21"/>
                <w:highlight w:val="none"/>
              </w:rPr>
            </w:pPr>
          </w:p>
        </w:tc>
        <w:tc>
          <w:tcPr>
            <w:tcW w:w="5396" w:type="dxa"/>
            <w:vAlign w:val="center"/>
          </w:tcPr>
          <w:p w14:paraId="6A60EA60">
            <w:pPr>
              <w:rPr>
                <w:rFonts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0486D64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72E3D053">
            <w:pPr>
              <w:snapToGrid w:val="0"/>
              <w:outlineLvl w:val="0"/>
              <w:rPr>
                <w:rFonts w:ascii="宋体" w:hAnsi="宋体" w:eastAsia="宋体" w:cs="宋体"/>
                <w:color w:val="auto"/>
                <w:sz w:val="24"/>
                <w:szCs w:val="24"/>
                <w:highlight w:val="none"/>
              </w:rPr>
            </w:pPr>
          </w:p>
        </w:tc>
      </w:tr>
      <w:tr w14:paraId="041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4483E7BA">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p>
        </w:tc>
        <w:tc>
          <w:tcPr>
            <w:tcW w:w="1068" w:type="dxa"/>
            <w:vMerge w:val="continue"/>
            <w:vAlign w:val="center"/>
          </w:tcPr>
          <w:p w14:paraId="74236358">
            <w:pPr>
              <w:snapToGrid w:val="0"/>
              <w:jc w:val="center"/>
              <w:rPr>
                <w:rFonts w:ascii="宋体" w:hAnsi="宋体" w:eastAsia="宋体" w:cs="宋体"/>
                <w:color w:val="auto"/>
                <w:szCs w:val="21"/>
                <w:highlight w:val="none"/>
              </w:rPr>
            </w:pPr>
          </w:p>
        </w:tc>
        <w:tc>
          <w:tcPr>
            <w:tcW w:w="5396" w:type="dxa"/>
            <w:vAlign w:val="center"/>
          </w:tcPr>
          <w:p w14:paraId="2607C9F5">
            <w:pPr>
              <w:rPr>
                <w:rFonts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547C191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AEA50B1">
            <w:pPr>
              <w:snapToGrid w:val="0"/>
              <w:outlineLvl w:val="0"/>
              <w:rPr>
                <w:rFonts w:ascii="宋体" w:hAnsi="宋体" w:eastAsia="宋体" w:cs="宋体"/>
                <w:color w:val="auto"/>
                <w:sz w:val="24"/>
                <w:szCs w:val="24"/>
                <w:highlight w:val="none"/>
              </w:rPr>
            </w:pPr>
          </w:p>
        </w:tc>
      </w:tr>
      <w:tr w14:paraId="674B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6B19E960">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068" w:type="dxa"/>
            <w:vMerge w:val="continue"/>
            <w:vAlign w:val="center"/>
          </w:tcPr>
          <w:p w14:paraId="6599E453">
            <w:pPr>
              <w:snapToGrid w:val="0"/>
              <w:jc w:val="center"/>
              <w:rPr>
                <w:rFonts w:ascii="宋体" w:hAnsi="宋体" w:eastAsia="宋体" w:cs="宋体"/>
                <w:color w:val="auto"/>
                <w:szCs w:val="21"/>
                <w:highlight w:val="none"/>
              </w:rPr>
            </w:pPr>
          </w:p>
        </w:tc>
        <w:tc>
          <w:tcPr>
            <w:tcW w:w="5396" w:type="dxa"/>
            <w:vAlign w:val="center"/>
          </w:tcPr>
          <w:p w14:paraId="3A1209D1">
            <w:pP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实验室设备防护及降损方案：根据措施的全面性、科学性、合理性及针对性、可操作性进行评审。（评审分值为3分或2分或1分或0分）</w:t>
            </w:r>
          </w:p>
        </w:tc>
        <w:tc>
          <w:tcPr>
            <w:tcW w:w="793" w:type="dxa"/>
            <w:vAlign w:val="center"/>
          </w:tcPr>
          <w:p w14:paraId="7EB4C9F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2133" w:type="dxa"/>
            <w:vAlign w:val="center"/>
          </w:tcPr>
          <w:p w14:paraId="4FA86066">
            <w:pPr>
              <w:snapToGrid w:val="0"/>
              <w:outlineLvl w:val="0"/>
              <w:rPr>
                <w:rFonts w:ascii="宋体" w:hAnsi="宋体" w:eastAsia="宋体" w:cs="宋体"/>
                <w:color w:val="auto"/>
                <w:sz w:val="24"/>
                <w:szCs w:val="24"/>
                <w:highlight w:val="none"/>
              </w:rPr>
            </w:pPr>
          </w:p>
        </w:tc>
      </w:tr>
      <w:tr w14:paraId="1527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08A7349B">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068" w:type="dxa"/>
            <w:vMerge w:val="continue"/>
            <w:vAlign w:val="center"/>
          </w:tcPr>
          <w:p w14:paraId="7B20300D">
            <w:pPr>
              <w:snapToGrid w:val="0"/>
              <w:jc w:val="center"/>
              <w:rPr>
                <w:rFonts w:ascii="宋体" w:hAnsi="宋体" w:eastAsia="宋体" w:cs="宋体"/>
                <w:color w:val="auto"/>
                <w:szCs w:val="21"/>
                <w:highlight w:val="none"/>
              </w:rPr>
            </w:pPr>
          </w:p>
        </w:tc>
        <w:tc>
          <w:tcPr>
            <w:tcW w:w="5396" w:type="dxa"/>
            <w:vAlign w:val="center"/>
          </w:tcPr>
          <w:p w14:paraId="190238EA">
            <w:pPr>
              <w:rPr>
                <w:rFonts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43D30369">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33" w:type="dxa"/>
            <w:vAlign w:val="center"/>
          </w:tcPr>
          <w:p w14:paraId="4D45CEF6">
            <w:pPr>
              <w:snapToGrid w:val="0"/>
              <w:outlineLvl w:val="0"/>
              <w:rPr>
                <w:rFonts w:ascii="宋体" w:hAnsi="宋体" w:eastAsia="宋体" w:cs="宋体"/>
                <w:color w:val="auto"/>
                <w:sz w:val="24"/>
                <w:szCs w:val="24"/>
                <w:highlight w:val="none"/>
              </w:rPr>
            </w:pPr>
          </w:p>
        </w:tc>
      </w:tr>
      <w:tr w14:paraId="70BF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60" w:type="dxa"/>
            <w:vAlign w:val="center"/>
          </w:tcPr>
          <w:p w14:paraId="08276A59">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068" w:type="dxa"/>
            <w:vMerge w:val="continue"/>
            <w:vAlign w:val="center"/>
          </w:tcPr>
          <w:p w14:paraId="52FE19D0">
            <w:pPr>
              <w:snapToGrid w:val="0"/>
              <w:jc w:val="center"/>
              <w:rPr>
                <w:rFonts w:ascii="宋体" w:hAnsi="宋体" w:eastAsia="宋体" w:cs="宋体"/>
                <w:color w:val="auto"/>
                <w:szCs w:val="21"/>
                <w:highlight w:val="none"/>
              </w:rPr>
            </w:pPr>
          </w:p>
        </w:tc>
        <w:tc>
          <w:tcPr>
            <w:tcW w:w="5396" w:type="dxa"/>
            <w:vAlign w:val="center"/>
          </w:tcPr>
          <w:p w14:paraId="23AA1929">
            <w:pPr>
              <w:rPr>
                <w:rFonts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服从采购人协调和统一管理及配合措施、特殊服务承诺情况：根据措施的全面性、科学性、合理性及</w:t>
            </w:r>
            <w:r>
              <w:rPr>
                <w:rFonts w:hint="eastAsia" w:ascii="宋体" w:hAnsi="宋体" w:eastAsia="宋体" w:cs="宋体"/>
                <w:color w:val="auto"/>
                <w:highlight w:val="none"/>
              </w:rPr>
              <w:t>针对性、可操作性以及服务承诺对采购项目的有利程度进行评审。（评审分值为3分或2分或1分或0分）</w:t>
            </w:r>
          </w:p>
        </w:tc>
        <w:tc>
          <w:tcPr>
            <w:tcW w:w="793" w:type="dxa"/>
            <w:vAlign w:val="center"/>
          </w:tcPr>
          <w:p w14:paraId="6EE69E2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6B797C7">
            <w:pPr>
              <w:snapToGrid w:val="0"/>
              <w:outlineLvl w:val="0"/>
              <w:rPr>
                <w:rFonts w:ascii="宋体" w:hAnsi="宋体" w:eastAsia="宋体" w:cs="宋体"/>
                <w:color w:val="auto"/>
                <w:sz w:val="24"/>
                <w:szCs w:val="24"/>
                <w:highlight w:val="none"/>
              </w:rPr>
            </w:pPr>
          </w:p>
        </w:tc>
      </w:tr>
      <w:tr w14:paraId="692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2D62CA6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068" w:type="dxa"/>
            <w:vMerge w:val="continue"/>
            <w:vAlign w:val="center"/>
          </w:tcPr>
          <w:p w14:paraId="72894D24">
            <w:pPr>
              <w:snapToGrid w:val="0"/>
              <w:jc w:val="center"/>
              <w:rPr>
                <w:rFonts w:ascii="宋体" w:hAnsi="宋体" w:eastAsia="宋体" w:cs="宋体"/>
                <w:color w:val="auto"/>
                <w:szCs w:val="21"/>
                <w:highlight w:val="none"/>
              </w:rPr>
            </w:pPr>
          </w:p>
        </w:tc>
        <w:tc>
          <w:tcPr>
            <w:tcW w:w="5396" w:type="dxa"/>
            <w:vAlign w:val="center"/>
          </w:tcPr>
          <w:p w14:paraId="406BF622">
            <w:pPr>
              <w:rPr>
                <w:rFonts w:ascii="宋体" w:hAnsi="宋体" w:eastAsia="宋体" w:cs="宋体"/>
                <w:color w:val="auto"/>
                <w:szCs w:val="21"/>
                <w:highlight w:val="none"/>
              </w:rPr>
            </w:pPr>
            <w:r>
              <w:rPr>
                <w:rFonts w:hint="eastAsia" w:ascii="宋体" w:hAnsi="宋体" w:eastAsia="宋体" w:cs="宋体"/>
                <w:color w:val="auto"/>
                <w:szCs w:val="21"/>
                <w:highlight w:val="none"/>
              </w:rPr>
              <w:t>对成品保护、工程移交方案及保证措施：根据措施的全面性、科学性、合理性及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038379A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2B2C3C9">
            <w:pPr>
              <w:snapToGrid w:val="0"/>
              <w:outlineLvl w:val="0"/>
              <w:rPr>
                <w:rFonts w:ascii="宋体" w:hAnsi="宋体" w:eastAsia="宋体" w:cs="宋体"/>
                <w:color w:val="auto"/>
                <w:sz w:val="24"/>
                <w:szCs w:val="24"/>
                <w:highlight w:val="none"/>
              </w:rPr>
            </w:pPr>
          </w:p>
        </w:tc>
      </w:tr>
      <w:tr w14:paraId="62F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60" w:type="dxa"/>
            <w:vAlign w:val="center"/>
          </w:tcPr>
          <w:p w14:paraId="040E0EAB">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068" w:type="dxa"/>
            <w:vMerge w:val="restart"/>
            <w:vAlign w:val="center"/>
          </w:tcPr>
          <w:p w14:paraId="68E513E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5396" w:type="dxa"/>
            <w:vAlign w:val="center"/>
          </w:tcPr>
          <w:p w14:paraId="10112ED3">
            <w:pPr>
              <w:rPr>
                <w:rFonts w:ascii="宋体" w:hAnsi="宋体" w:eastAsia="宋体" w:cs="宋体"/>
                <w:color w:val="auto"/>
                <w:szCs w:val="21"/>
                <w:highlight w:val="none"/>
              </w:rPr>
            </w:pPr>
            <w:r>
              <w:rPr>
                <w:rFonts w:hint="eastAsia" w:ascii="宋体" w:hAnsi="宋体" w:eastAsia="宋体" w:cs="宋体"/>
                <w:color w:val="auto"/>
                <w:szCs w:val="21"/>
                <w:highlight w:val="none"/>
              </w:rPr>
              <w:t>项目经理职称。项目经理具有中级职称的得1分；项目经理具有副高级及以上职称的得2分；提供有效的职称证书及在本单位缴纳社保的证明材料（开标前三月任意一月社保缴纳证明），不提供不得分。</w:t>
            </w:r>
          </w:p>
        </w:tc>
        <w:tc>
          <w:tcPr>
            <w:tcW w:w="793" w:type="dxa"/>
            <w:vAlign w:val="center"/>
          </w:tcPr>
          <w:p w14:paraId="26E7FC4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3DD0CAF9">
            <w:pPr>
              <w:snapToGrid w:val="0"/>
              <w:outlineLvl w:val="0"/>
              <w:rPr>
                <w:rFonts w:ascii="宋体" w:hAnsi="宋体" w:eastAsia="宋体" w:cs="宋体"/>
                <w:color w:val="auto"/>
                <w:sz w:val="24"/>
                <w:szCs w:val="24"/>
                <w:highlight w:val="none"/>
              </w:rPr>
            </w:pPr>
          </w:p>
        </w:tc>
      </w:tr>
      <w:tr w14:paraId="446E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60" w:type="dxa"/>
            <w:vAlign w:val="center"/>
          </w:tcPr>
          <w:p w14:paraId="6F327C4C">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068" w:type="dxa"/>
            <w:vMerge w:val="continue"/>
            <w:vAlign w:val="center"/>
          </w:tcPr>
          <w:p w14:paraId="0423347A">
            <w:pPr>
              <w:snapToGrid w:val="0"/>
              <w:jc w:val="center"/>
              <w:rPr>
                <w:rFonts w:ascii="宋体" w:hAnsi="宋体" w:eastAsia="宋体" w:cs="宋体"/>
                <w:color w:val="auto"/>
                <w:szCs w:val="21"/>
                <w:highlight w:val="none"/>
              </w:rPr>
            </w:pPr>
          </w:p>
        </w:tc>
        <w:tc>
          <w:tcPr>
            <w:tcW w:w="5396" w:type="dxa"/>
            <w:vAlign w:val="center"/>
          </w:tcPr>
          <w:p w14:paraId="5737E15E">
            <w:pPr>
              <w:rPr>
                <w:rFonts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项目经理承诺到位率。承诺到位率达到85%及以上的得1分；达到90%及以上的，得2分；达到95%及以上的，得3分。</w:t>
            </w:r>
          </w:p>
        </w:tc>
        <w:tc>
          <w:tcPr>
            <w:tcW w:w="793" w:type="dxa"/>
            <w:vAlign w:val="center"/>
          </w:tcPr>
          <w:p w14:paraId="4ABD6B0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7C1357C4">
            <w:pPr>
              <w:snapToGrid w:val="0"/>
              <w:outlineLvl w:val="0"/>
              <w:rPr>
                <w:rFonts w:ascii="宋体" w:hAnsi="宋体" w:eastAsia="宋体" w:cs="宋体"/>
                <w:color w:val="auto"/>
                <w:sz w:val="24"/>
                <w:szCs w:val="24"/>
                <w:highlight w:val="none"/>
              </w:rPr>
            </w:pPr>
          </w:p>
        </w:tc>
      </w:tr>
      <w:tr w14:paraId="741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60" w:type="dxa"/>
            <w:vAlign w:val="center"/>
          </w:tcPr>
          <w:p w14:paraId="4E9111A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068" w:type="dxa"/>
            <w:vMerge w:val="continue"/>
            <w:vAlign w:val="center"/>
          </w:tcPr>
          <w:p w14:paraId="65598BAE">
            <w:pPr>
              <w:snapToGrid w:val="0"/>
              <w:jc w:val="center"/>
              <w:rPr>
                <w:rFonts w:ascii="宋体" w:hAnsi="宋体" w:eastAsia="宋体" w:cs="宋体"/>
                <w:color w:val="auto"/>
                <w:szCs w:val="21"/>
                <w:highlight w:val="none"/>
              </w:rPr>
            </w:pPr>
          </w:p>
        </w:tc>
        <w:tc>
          <w:tcPr>
            <w:tcW w:w="5396" w:type="dxa"/>
            <w:vAlign w:val="center"/>
          </w:tcPr>
          <w:p w14:paraId="199C3FDE">
            <w:pPr>
              <w:rPr>
                <w:rFonts w:ascii="宋体" w:hAnsi="宋体" w:eastAsia="宋体" w:cs="宋体"/>
                <w:color w:val="auto"/>
                <w:szCs w:val="21"/>
                <w:highlight w:val="none"/>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及在本单位缴纳社保的证明材料（开标前三月任意一月社保缴纳证明）</w:t>
            </w:r>
          </w:p>
        </w:tc>
        <w:tc>
          <w:tcPr>
            <w:tcW w:w="793" w:type="dxa"/>
            <w:vAlign w:val="center"/>
          </w:tcPr>
          <w:p w14:paraId="564A425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E479E37">
            <w:pPr>
              <w:snapToGrid w:val="0"/>
              <w:outlineLvl w:val="0"/>
              <w:rPr>
                <w:rFonts w:ascii="宋体" w:hAnsi="宋体" w:eastAsia="宋体" w:cs="宋体"/>
                <w:color w:val="auto"/>
                <w:sz w:val="24"/>
                <w:szCs w:val="24"/>
                <w:highlight w:val="none"/>
              </w:rPr>
            </w:pPr>
          </w:p>
        </w:tc>
      </w:tr>
      <w:tr w14:paraId="2375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60" w:type="dxa"/>
            <w:vAlign w:val="center"/>
          </w:tcPr>
          <w:p w14:paraId="0B2404CF">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068" w:type="dxa"/>
            <w:vMerge w:val="restart"/>
            <w:vAlign w:val="center"/>
          </w:tcPr>
          <w:p w14:paraId="6E84AF9A">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5396" w:type="dxa"/>
            <w:vAlign w:val="center"/>
          </w:tcPr>
          <w:p w14:paraId="125F68DC">
            <w:pPr>
              <w:rPr>
                <w:rFonts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工程保修期、维护响应时间：根据工程保修期承诺情况以及保修期内维护响应时间的及时性、合理性进行评审。（评审分值为3分或2分或1分或0分）</w:t>
            </w:r>
          </w:p>
        </w:tc>
        <w:tc>
          <w:tcPr>
            <w:tcW w:w="793" w:type="dxa"/>
            <w:vAlign w:val="center"/>
          </w:tcPr>
          <w:p w14:paraId="400381E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12F4D44">
            <w:pPr>
              <w:snapToGrid w:val="0"/>
              <w:outlineLvl w:val="0"/>
              <w:rPr>
                <w:rFonts w:ascii="宋体" w:hAnsi="宋体" w:eastAsia="宋体" w:cs="宋体"/>
                <w:color w:val="auto"/>
                <w:sz w:val="24"/>
                <w:szCs w:val="24"/>
                <w:highlight w:val="none"/>
              </w:rPr>
            </w:pPr>
          </w:p>
        </w:tc>
      </w:tr>
      <w:tr w14:paraId="61BA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14:paraId="7A0AA85F">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068" w:type="dxa"/>
            <w:vMerge w:val="continue"/>
            <w:vAlign w:val="center"/>
          </w:tcPr>
          <w:p w14:paraId="1F248780">
            <w:pPr>
              <w:snapToGrid w:val="0"/>
              <w:jc w:val="center"/>
              <w:rPr>
                <w:rFonts w:ascii="宋体" w:hAnsi="宋体" w:eastAsia="宋体" w:cs="宋体"/>
                <w:color w:val="auto"/>
                <w:szCs w:val="21"/>
                <w:highlight w:val="none"/>
              </w:rPr>
            </w:pPr>
          </w:p>
        </w:tc>
        <w:tc>
          <w:tcPr>
            <w:tcW w:w="5396" w:type="dxa"/>
            <w:vAlign w:val="center"/>
          </w:tcPr>
          <w:p w14:paraId="2EA03DAF">
            <w:pPr>
              <w:rPr>
                <w:rFonts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服务方式、特别承诺：根据供应商对本项目提出的售后服务相关承诺对项目实施的有利程度、可行度进行评审。（评审分值为3分或2分或1分或0分）</w:t>
            </w:r>
          </w:p>
        </w:tc>
        <w:tc>
          <w:tcPr>
            <w:tcW w:w="793" w:type="dxa"/>
            <w:vAlign w:val="center"/>
          </w:tcPr>
          <w:p w14:paraId="7ACA8CB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AD98B64">
            <w:pPr>
              <w:snapToGrid w:val="0"/>
              <w:outlineLvl w:val="0"/>
              <w:rPr>
                <w:rFonts w:ascii="宋体" w:hAnsi="宋体" w:eastAsia="宋体" w:cs="宋体"/>
                <w:color w:val="auto"/>
                <w:sz w:val="24"/>
                <w:szCs w:val="24"/>
                <w:highlight w:val="none"/>
              </w:rPr>
            </w:pPr>
          </w:p>
        </w:tc>
      </w:tr>
      <w:bookmarkEnd w:id="89"/>
      <w:tr w14:paraId="0F88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660" w:type="dxa"/>
            <w:vAlign w:val="center"/>
          </w:tcPr>
          <w:p w14:paraId="3A4C4FD3">
            <w:pPr>
              <w:snapToGrid w:val="0"/>
              <w:jc w:val="center"/>
              <w:outlineLvl w:val="0"/>
              <w:rPr>
                <w:rFonts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6464" w:type="dxa"/>
            <w:gridSpan w:val="2"/>
            <w:vAlign w:val="center"/>
          </w:tcPr>
          <w:p w14:paraId="6C6282BE">
            <w:pPr>
              <w:snapToGrid w:val="0"/>
              <w:outlineLvl w:val="0"/>
              <w:rPr>
                <w:rFonts w:ascii="宋体" w:hAnsi="宋体" w:eastAsia="宋体" w:cs="宋体"/>
                <w:color w:val="auto"/>
                <w:szCs w:val="21"/>
                <w:highlight w:val="none"/>
              </w:rPr>
            </w:pPr>
            <w:bookmarkStart w:id="91" w:name="_Toc13738"/>
            <w:bookmarkStart w:id="92" w:name="_Toc2241"/>
            <w:r>
              <w:rPr>
                <w:rFonts w:hint="eastAsia" w:ascii="宋体" w:hAnsi="宋体" w:eastAsia="宋体" w:cs="宋体"/>
                <w:color w:val="auto"/>
                <w:szCs w:val="21"/>
                <w:highlight w:val="none"/>
              </w:rPr>
              <w:t>有效最后报价的最低价作为评审基准价，其最低报价为满分；按［最后报价得分=（评审基准价/最后报价）*30］的计算公式计算。</w:t>
            </w:r>
            <w:bookmarkEnd w:id="91"/>
            <w:bookmarkEnd w:id="92"/>
          </w:p>
          <w:p w14:paraId="32C61AE4">
            <w:pPr>
              <w:widowControl/>
              <w:shd w:val="clear" w:color="auto" w:fill="FFFFFF"/>
              <w:snapToGrid w:val="0"/>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评审过程中，不得去掉报价中的最高报价和最低报价。</w:t>
            </w:r>
          </w:p>
          <w:p w14:paraId="11F16B93">
            <w:pPr>
              <w:widowControl/>
              <w:shd w:val="clear" w:color="auto" w:fill="FFFFFF"/>
              <w:snapToGrid w:val="0"/>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因落实政府采购政策需要进行价格调整的，以调整后的价格计算评审基准价和最后报价。</w:t>
            </w:r>
            <w:r>
              <w:rPr>
                <w:rFonts w:hint="eastAsia" w:ascii="宋体" w:hAnsi="宋体" w:eastAsia="宋体" w:cs="宋体"/>
                <w:b/>
                <w:bCs/>
                <w:color w:val="auto"/>
                <w:szCs w:val="21"/>
                <w:highlight w:val="none"/>
              </w:rPr>
              <w:t>本项目为专门面向中小企业采购项目，价格分评审时不进行价格扣除。</w:t>
            </w:r>
          </w:p>
        </w:tc>
        <w:tc>
          <w:tcPr>
            <w:tcW w:w="793" w:type="dxa"/>
            <w:vAlign w:val="center"/>
          </w:tcPr>
          <w:p w14:paraId="5747DB41">
            <w:pPr>
              <w:snapToGrid w:val="0"/>
              <w:jc w:val="center"/>
              <w:outlineLvl w:val="0"/>
              <w:rPr>
                <w:rFonts w:ascii="宋体" w:hAnsi="宋体" w:eastAsia="宋体" w:cs="宋体"/>
                <w:bCs/>
                <w:color w:val="auto"/>
                <w:szCs w:val="21"/>
                <w:highlight w:val="none"/>
              </w:rPr>
            </w:pPr>
            <w:bookmarkStart w:id="93" w:name="_Toc10221"/>
            <w:bookmarkStart w:id="94" w:name="_Toc19048"/>
            <w:r>
              <w:rPr>
                <w:rFonts w:hint="eastAsia" w:ascii="宋体" w:hAnsi="宋体" w:eastAsia="宋体" w:cs="宋体"/>
                <w:bCs/>
                <w:color w:val="auto"/>
                <w:szCs w:val="21"/>
                <w:highlight w:val="none"/>
              </w:rPr>
              <w:t>30</w:t>
            </w:r>
            <w:bookmarkEnd w:id="93"/>
            <w:bookmarkEnd w:id="94"/>
          </w:p>
        </w:tc>
        <w:tc>
          <w:tcPr>
            <w:tcW w:w="2133" w:type="dxa"/>
            <w:vAlign w:val="center"/>
          </w:tcPr>
          <w:p w14:paraId="4970C829">
            <w:pPr>
              <w:snapToGrid w:val="0"/>
              <w:jc w:val="center"/>
              <w:outlineLvl w:val="0"/>
              <w:rPr>
                <w:rFonts w:ascii="宋体" w:hAnsi="宋体" w:eastAsia="宋体" w:cs="宋体"/>
                <w:color w:val="auto"/>
                <w:szCs w:val="21"/>
                <w:highlight w:val="none"/>
              </w:rPr>
            </w:pPr>
            <w:bookmarkStart w:id="95" w:name="_Toc31453"/>
            <w:bookmarkStart w:id="96" w:name="_Toc26385"/>
            <w:r>
              <w:rPr>
                <w:rFonts w:hint="eastAsia" w:ascii="宋体" w:hAnsi="宋体" w:eastAsia="宋体" w:cs="宋体"/>
                <w:color w:val="auto"/>
                <w:szCs w:val="21"/>
                <w:highlight w:val="none"/>
              </w:rPr>
              <w:t>/</w:t>
            </w:r>
            <w:bookmarkEnd w:id="95"/>
            <w:bookmarkEnd w:id="96"/>
          </w:p>
        </w:tc>
      </w:tr>
      <w:tr w14:paraId="0F8B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vAlign w:val="center"/>
          </w:tcPr>
          <w:p w14:paraId="52312ECC">
            <w:pPr>
              <w:snapToGrid w:val="0"/>
              <w:ind w:firstLine="210" w:firstLineChars="100"/>
              <w:outlineLvl w:val="0"/>
              <w:rPr>
                <w:rFonts w:ascii="宋体" w:hAnsi="宋体" w:eastAsia="宋体" w:cs="宋体"/>
                <w:color w:val="auto"/>
                <w:szCs w:val="21"/>
                <w:highlight w:val="none"/>
              </w:rPr>
            </w:pPr>
          </w:p>
        </w:tc>
        <w:tc>
          <w:tcPr>
            <w:tcW w:w="6464" w:type="dxa"/>
            <w:gridSpan w:val="2"/>
            <w:vAlign w:val="center"/>
          </w:tcPr>
          <w:p w14:paraId="77BAA063">
            <w:pPr>
              <w:widowControl/>
              <w:shd w:val="clear" w:color="auto" w:fill="FFFFFF"/>
              <w:snapToGrid w:val="0"/>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注意：不得以特定金额的业绩作为评审因素</w:t>
            </w:r>
          </w:p>
        </w:tc>
        <w:tc>
          <w:tcPr>
            <w:tcW w:w="793" w:type="dxa"/>
            <w:vAlign w:val="center"/>
          </w:tcPr>
          <w:p w14:paraId="41915B98">
            <w:pPr>
              <w:snapToGrid w:val="0"/>
              <w:ind w:firstLine="105" w:firstLineChars="50"/>
              <w:outlineLvl w:val="0"/>
              <w:rPr>
                <w:rFonts w:ascii="宋体" w:hAnsi="宋体" w:eastAsia="宋体" w:cs="宋体"/>
                <w:color w:val="auto"/>
                <w:szCs w:val="21"/>
                <w:highlight w:val="none"/>
              </w:rPr>
            </w:pPr>
          </w:p>
        </w:tc>
        <w:tc>
          <w:tcPr>
            <w:tcW w:w="2133" w:type="dxa"/>
            <w:vAlign w:val="center"/>
          </w:tcPr>
          <w:p w14:paraId="7C1F1640">
            <w:pPr>
              <w:snapToGrid w:val="0"/>
              <w:jc w:val="center"/>
              <w:outlineLvl w:val="0"/>
              <w:rPr>
                <w:rFonts w:ascii="宋体" w:hAnsi="宋体" w:eastAsia="宋体" w:cs="宋体"/>
                <w:color w:val="auto"/>
                <w:szCs w:val="21"/>
                <w:highlight w:val="none"/>
              </w:rPr>
            </w:pPr>
          </w:p>
        </w:tc>
      </w:tr>
    </w:tbl>
    <w:p w14:paraId="532B779A">
      <w:pPr>
        <w:snapToGrid w:val="0"/>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spacing w:line="360" w:lineRule="auto"/>
        <w:ind w:firstLine="472" w:firstLineChars="196"/>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ascii="宋体" w:hAnsi="宋体" w:eastAsia="宋体" w:cs="宋体"/>
          <w:b/>
          <w:color w:val="auto"/>
          <w:sz w:val="24"/>
          <w:szCs w:val="24"/>
          <w:highlight w:val="none"/>
        </w:rPr>
      </w:pPr>
    </w:p>
    <w:p w14:paraId="65811DB2">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ascii="宋体" w:hAnsi="宋体" w:eastAsia="宋体" w:cs="宋体"/>
          <w:b/>
          <w:color w:val="auto"/>
          <w:sz w:val="24"/>
          <w:szCs w:val="24"/>
          <w:highlight w:val="none"/>
        </w:rPr>
      </w:pPr>
    </w:p>
    <w:p w14:paraId="4706384E">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已提交响应文件的供应商，在提交最后报价之前，可以根据磋商情况退出磋商。</w:t>
      </w:r>
    </w:p>
    <w:p w14:paraId="58244A3A">
      <w:pPr>
        <w:spacing w:line="360" w:lineRule="auto"/>
        <w:ind w:firstLine="472" w:firstLineChars="196"/>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ascii="宋体" w:hAnsi="宋体" w:eastAsia="宋体"/>
          <w:color w:val="auto"/>
          <w:kern w:val="0"/>
          <w:szCs w:val="24"/>
          <w:highlight w:val="none"/>
        </w:rPr>
      </w:pPr>
      <w:r>
        <w:rPr>
          <w:rFonts w:hint="eastAsia" w:ascii="宋体" w:hAnsi="宋体" w:eastAsia="宋体"/>
          <w:color w:val="auto"/>
          <w:kern w:val="0"/>
          <w:szCs w:val="24"/>
          <w:highlight w:val="none"/>
        </w:rPr>
        <w:t>3.6.1响应文件报价出现前后不一致的，按照下列规定修正：</w:t>
      </w:r>
    </w:p>
    <w:p w14:paraId="6C26EA68">
      <w:pPr>
        <w:pStyle w:val="356"/>
        <w:spacing w:before="0"/>
        <w:ind w:firstLine="480"/>
        <w:rPr>
          <w:rFonts w:ascii="宋体" w:hAnsi="宋体" w:eastAsia="宋体"/>
          <w:color w:val="auto"/>
          <w:kern w:val="0"/>
          <w:szCs w:val="24"/>
          <w:highlight w:val="none"/>
        </w:rPr>
      </w:pPr>
      <w:r>
        <w:rPr>
          <w:rFonts w:hint="eastAsia" w:ascii="宋体" w:hAnsi="宋体" w:eastAsia="宋体"/>
          <w:color w:val="auto"/>
          <w:kern w:val="0"/>
          <w:szCs w:val="24"/>
          <w:highlight w:val="none"/>
        </w:rPr>
        <w:t>3.6.1.1响应文件中已标价工程量清单内容与响应文件中相应内容不一致的，以已标价工程量清单为准;</w:t>
      </w:r>
    </w:p>
    <w:p w14:paraId="19962BB4">
      <w:pPr>
        <w:pStyle w:val="356"/>
        <w:spacing w:before="0"/>
        <w:ind w:firstLine="480"/>
        <w:rPr>
          <w:rFonts w:ascii="宋体" w:hAnsi="宋体" w:eastAsia="宋体"/>
          <w:color w:val="auto"/>
          <w:kern w:val="0"/>
          <w:szCs w:val="24"/>
          <w:highlight w:val="none"/>
        </w:rPr>
      </w:pPr>
      <w:r>
        <w:rPr>
          <w:rFonts w:hint="eastAsia" w:ascii="宋体" w:hAnsi="宋体" w:eastAsia="宋体"/>
          <w:color w:val="auto"/>
          <w:kern w:val="0"/>
          <w:szCs w:val="24"/>
          <w:highlight w:val="none"/>
        </w:rPr>
        <w:t>3.6.1.2大写金额和小写金额不一致的，以大写金额为准;</w:t>
      </w:r>
    </w:p>
    <w:p w14:paraId="77777FA6">
      <w:pPr>
        <w:pStyle w:val="356"/>
        <w:spacing w:before="0"/>
        <w:ind w:firstLine="480"/>
        <w:rPr>
          <w:rFonts w:ascii="宋体" w:hAnsi="宋体" w:eastAsia="宋体"/>
          <w:color w:val="auto"/>
          <w:kern w:val="0"/>
          <w:szCs w:val="24"/>
          <w:highlight w:val="none"/>
        </w:rPr>
      </w:pPr>
      <w:r>
        <w:rPr>
          <w:rFonts w:hint="eastAsia" w:ascii="宋体" w:hAnsi="宋体" w:eastAsia="宋体"/>
          <w:color w:val="auto"/>
          <w:kern w:val="0"/>
          <w:szCs w:val="24"/>
          <w:highlight w:val="none"/>
        </w:rPr>
        <w:t>3.6.1.3单价金额小数点或者百分比有明显错位的，以已标价工程量清单的总价为准，并修改单价;</w:t>
      </w:r>
    </w:p>
    <w:p w14:paraId="66707EA9">
      <w:pPr>
        <w:pStyle w:val="356"/>
        <w:spacing w:before="0"/>
        <w:ind w:firstLine="480"/>
        <w:rPr>
          <w:rFonts w:ascii="宋体" w:hAnsi="宋体" w:eastAsia="宋体"/>
          <w:color w:val="auto"/>
          <w:kern w:val="0"/>
          <w:szCs w:val="24"/>
          <w:highlight w:val="none"/>
        </w:rPr>
      </w:pPr>
      <w:r>
        <w:rPr>
          <w:rFonts w:hint="eastAsia" w:ascii="宋体" w:hAnsi="宋体" w:eastAsia="宋体"/>
          <w:color w:val="auto"/>
          <w:kern w:val="0"/>
          <w:szCs w:val="24"/>
          <w:highlight w:val="none"/>
        </w:rPr>
        <w:t>3.6.1.4总价金额与按单价汇总金额不一致的，以单价金额计算结果为准。</w:t>
      </w:r>
    </w:p>
    <w:p w14:paraId="4D83DA6A">
      <w:pPr>
        <w:pStyle w:val="356"/>
        <w:spacing w:before="0"/>
        <w:ind w:firstLine="480"/>
        <w:rPr>
          <w:rFonts w:ascii="宋体" w:hAnsi="宋体" w:eastAsia="宋体"/>
          <w:color w:val="auto"/>
          <w:kern w:val="0"/>
          <w:szCs w:val="24"/>
          <w:highlight w:val="none"/>
        </w:rPr>
      </w:pPr>
      <w:r>
        <w:rPr>
          <w:rFonts w:hint="eastAsia" w:ascii="宋体" w:hAnsi="宋体" w:eastAsia="宋体"/>
          <w:color w:val="auto"/>
          <w:kern w:val="0"/>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ascii="宋体" w:hAnsi="宋体" w:eastAsia="宋体"/>
          <w:color w:val="auto"/>
          <w:kern w:val="0"/>
          <w:szCs w:val="24"/>
          <w:highlight w:val="none"/>
        </w:rPr>
      </w:pPr>
      <w:r>
        <w:rPr>
          <w:rFonts w:hint="eastAsia" w:ascii="宋体" w:hAnsi="宋体" w:eastAsia="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7CB736E">
      <w:pPr>
        <w:spacing w:line="360" w:lineRule="auto"/>
        <w:ind w:firstLine="472" w:firstLineChars="196"/>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ascii="宋体" w:hAnsi="宋体" w:eastAsia="宋体" w:cs="宋体"/>
          <w:b/>
          <w:color w:val="auto"/>
          <w:sz w:val="24"/>
          <w:szCs w:val="24"/>
          <w:highlight w:val="none"/>
        </w:rPr>
      </w:pPr>
    </w:p>
    <w:p w14:paraId="2F8B7928">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ascii="宋体" w:hAnsi="宋体" w:eastAsia="宋体"/>
          <w:color w:val="auto"/>
          <w:kern w:val="0"/>
          <w:szCs w:val="24"/>
          <w:highlight w:val="none"/>
        </w:rPr>
      </w:pPr>
      <w:r>
        <w:rPr>
          <w:rFonts w:hint="eastAsia" w:ascii="宋体" w:hAnsi="宋体" w:eastAsia="宋体"/>
          <w:b/>
          <w:color w:val="auto"/>
          <w:kern w:val="0"/>
          <w:szCs w:val="24"/>
          <w:highlight w:val="none"/>
        </w:rPr>
        <w:t>4.1供应商澄清、说明或者补正。</w:t>
      </w:r>
      <w:r>
        <w:rPr>
          <w:rFonts w:hint="eastAsia" w:ascii="宋体" w:hAnsi="宋体" w:eastAsia="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
        <w:spacing w:line="360" w:lineRule="auto"/>
        <w:ind w:left="954" w:leftChars="226" w:hanging="479"/>
        <w:rPr>
          <w:rFonts w:hAnsi="宋体" w:cs="宋体"/>
          <w:color w:val="auto"/>
          <w:sz w:val="24"/>
          <w:szCs w:val="24"/>
          <w:highlight w:val="none"/>
        </w:rPr>
      </w:pPr>
      <w:r>
        <w:rPr>
          <w:rFonts w:hint="eastAsia" w:hAnsi="宋体" w:cs="宋体"/>
          <w:b/>
          <w:color w:val="auto"/>
          <w:sz w:val="24"/>
          <w:szCs w:val="24"/>
          <w:highlight w:val="none"/>
        </w:rPr>
        <w:t>4.2响应文件无效。</w:t>
      </w:r>
      <w:r>
        <w:rPr>
          <w:rFonts w:hint="eastAsia" w:hAnsi="宋体" w:cs="宋体"/>
          <w:color w:val="auto"/>
          <w:sz w:val="24"/>
          <w:szCs w:val="24"/>
          <w:highlight w:val="none"/>
        </w:rPr>
        <w:t>有下列情形之一的，响应文件无效：</w:t>
      </w:r>
    </w:p>
    <w:p w14:paraId="0D929179">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4.2.3采购人拟采购的产品属于政府强制采购的节能产品品目清单范围的，供应商相应的响应产品未获得国家确定的认证机构出具的、处于有效期之内的节能产品认证书的或未提供响应产品认证证明材料的；</w:t>
      </w:r>
    </w:p>
    <w:p w14:paraId="751A4E31">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4.2.14</w:t>
      </w:r>
      <w:r>
        <w:rPr>
          <w:rFonts w:hint="eastAsia" w:ascii="宋体" w:hAnsi="宋体" w:eastAsia="宋体" w:cs="宋体"/>
          <w:b/>
          <w:bCs/>
          <w:color w:val="auto"/>
          <w:kern w:val="0"/>
          <w:sz w:val="24"/>
          <w:szCs w:val="24"/>
          <w:highlight w:val="none"/>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4.2.15法律、法规、规章（适用本市的）及省级以上规范性文件（适用本市的）规定的其他无效情形。</w:t>
      </w:r>
    </w:p>
    <w:p w14:paraId="4305E461">
      <w:pPr>
        <w:pStyle w:val="2"/>
        <w:snapToGrid w:val="0"/>
        <w:spacing w:line="360" w:lineRule="auto"/>
        <w:ind w:firstLine="457" w:firstLineChars="196"/>
        <w:rPr>
          <w:rFonts w:hAnsi="宋体" w:cs="宋体"/>
          <w:color w:val="auto"/>
          <w:sz w:val="24"/>
          <w:szCs w:val="24"/>
          <w:highlight w:val="none"/>
        </w:rPr>
      </w:pPr>
      <w:r>
        <w:rPr>
          <w:rFonts w:hint="eastAsia" w:hAnsi="宋体" w:cs="宋体"/>
          <w:b/>
          <w:color w:val="auto"/>
          <w:sz w:val="24"/>
          <w:szCs w:val="24"/>
          <w:highlight w:val="none"/>
        </w:rPr>
        <w:t>5.终止竞争性磋商采购活动。</w:t>
      </w:r>
      <w:r>
        <w:rPr>
          <w:rFonts w:hint="eastAsia" w:hAnsi="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5.1因情况变化，不再符合规定的竞争性磋商采购方式适用情形的；</w:t>
      </w:r>
    </w:p>
    <w:p w14:paraId="10909549">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5.2出现影响采购公正的违法、违规行为的；</w:t>
      </w:r>
    </w:p>
    <w:p w14:paraId="34CD1A14">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
        <w:snapToGrid w:val="0"/>
        <w:spacing w:line="360" w:lineRule="auto"/>
        <w:ind w:firstLine="482"/>
        <w:rPr>
          <w:rFonts w:hAnsi="宋体" w:cs="宋体"/>
          <w:color w:val="auto"/>
          <w:sz w:val="24"/>
          <w:szCs w:val="24"/>
          <w:highlight w:val="none"/>
        </w:rPr>
      </w:pPr>
      <w:r>
        <w:rPr>
          <w:rFonts w:hint="eastAsia" w:hAnsi="宋体" w:cs="宋体"/>
          <w:b/>
          <w:color w:val="auto"/>
          <w:sz w:val="24"/>
          <w:szCs w:val="24"/>
          <w:highlight w:val="none"/>
        </w:rPr>
        <w:t>6.重新开展采购。</w:t>
      </w:r>
      <w:r>
        <w:rPr>
          <w:rFonts w:hint="eastAsia" w:hAnsi="宋体" w:cs="宋体"/>
          <w:color w:val="auto"/>
          <w:sz w:val="24"/>
          <w:szCs w:val="24"/>
          <w:highlight w:val="none"/>
        </w:rPr>
        <w:t>有政府采购法第七十一条、第七十二条规定的违法行为之一，影响或者可能影响成交结果的，依照下列规定处理：</w:t>
      </w:r>
    </w:p>
    <w:p w14:paraId="6E201D22">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6.1未确定成交供应商的，终止本次政府采购活动，重新开展政府采购活动。</w:t>
      </w:r>
    </w:p>
    <w:p w14:paraId="1A84182A">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6.4政府采购合同已经履行，给采购人、供应商造成损失的，由责任人承担赔偿责任。</w:t>
      </w:r>
    </w:p>
    <w:p w14:paraId="7B4AAFC5">
      <w:pPr>
        <w:pStyle w:val="2"/>
        <w:snapToGrid w:val="0"/>
        <w:spacing w:line="360" w:lineRule="auto"/>
        <w:rPr>
          <w:rFonts w:hAnsi="宋体" w:cs="宋体"/>
          <w:color w:val="auto"/>
          <w:sz w:val="24"/>
          <w:szCs w:val="24"/>
          <w:highlight w:val="none"/>
        </w:rPr>
      </w:pPr>
      <w:r>
        <w:rPr>
          <w:rFonts w:hint="eastAsia" w:hAnsi="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
        <w:snapToGrid w:val="0"/>
        <w:spacing w:line="360" w:lineRule="auto"/>
        <w:ind w:firstLine="0"/>
        <w:rPr>
          <w:rFonts w:hAnsi="宋体" w:cs="宋体"/>
          <w:color w:val="auto"/>
          <w:sz w:val="24"/>
          <w:szCs w:val="24"/>
          <w:highlight w:val="none"/>
        </w:rPr>
        <w:sectPr>
          <w:footerReference r:id="rId6" w:type="first"/>
          <w:footerReference r:id="rId5" w:type="default"/>
          <w:pgSz w:w="11905" w:h="16838"/>
          <w:pgMar w:top="1417" w:right="1417" w:bottom="1417" w:left="1417" w:header="851" w:footer="992" w:gutter="0"/>
          <w:cols w:space="0" w:num="1"/>
          <w:titlePg/>
        </w:sectPr>
      </w:pPr>
    </w:p>
    <w:p w14:paraId="193CBA1C">
      <w:pPr>
        <w:autoSpaceDN w:val="0"/>
        <w:adjustRightInd w:val="0"/>
        <w:snapToGrid w:val="0"/>
        <w:spacing w:line="360" w:lineRule="auto"/>
        <w:jc w:val="center"/>
        <w:outlineLvl w:val="0"/>
        <w:rPr>
          <w:rFonts w:ascii="宋体" w:hAnsi="宋体" w:eastAsia="宋体" w:cs="宋体"/>
          <w:b/>
          <w:color w:val="auto"/>
          <w:sz w:val="32"/>
          <w:szCs w:val="32"/>
          <w:highlight w:val="none"/>
        </w:rPr>
      </w:pPr>
      <w:bookmarkStart w:id="97" w:name="_Toc3891"/>
      <w:bookmarkStart w:id="98" w:name="_Hlk97732490"/>
      <w:r>
        <w:rPr>
          <w:rFonts w:hint="eastAsia" w:ascii="宋体" w:hAnsi="宋体" w:eastAsia="宋体" w:cs="宋体"/>
          <w:b/>
          <w:color w:val="auto"/>
          <w:sz w:val="32"/>
          <w:szCs w:val="32"/>
          <w:highlight w:val="none"/>
        </w:rPr>
        <w:t>第五部分 合同</w:t>
      </w:r>
      <w:bookmarkEnd w:id="97"/>
    </w:p>
    <w:bookmarkEnd w:id="76"/>
    <w:bookmarkEnd w:id="98"/>
    <w:p w14:paraId="380C6FCF">
      <w:pPr>
        <w:spacing w:line="288" w:lineRule="auto"/>
        <w:ind w:firstLine="458" w:firstLineChars="200"/>
        <w:jc w:val="center"/>
        <w:rPr>
          <w:rFonts w:ascii="宋体" w:hAnsi="宋体" w:eastAsia="宋体" w:cs="宋体"/>
          <w:color w:val="auto"/>
          <w:spacing w:val="-6"/>
          <w:sz w:val="24"/>
          <w:szCs w:val="24"/>
          <w:highlight w:val="none"/>
        </w:rPr>
      </w:pPr>
      <w:bookmarkStart w:id="99" w:name="_Toc351203642"/>
      <w:bookmarkEnd w:id="99"/>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rPr>
          <w:rFonts w:ascii="宋体" w:hAnsi="宋体" w:eastAsia="宋体" w:cs="宋体"/>
          <w:b/>
          <w:bCs/>
          <w:color w:val="auto"/>
          <w:szCs w:val="21"/>
          <w:highlight w:val="none"/>
        </w:rPr>
      </w:pPr>
    </w:p>
    <w:p w14:paraId="7149C46E">
      <w:pPr>
        <w:spacing w:line="288" w:lineRule="auto"/>
        <w:ind w:firstLine="5040" w:firstLineChars="2400"/>
        <w:rPr>
          <w:rFonts w:ascii="宋体" w:hAnsi="宋体" w:eastAsia="宋体" w:cs="宋体"/>
          <w:color w:val="auto"/>
          <w:szCs w:val="21"/>
          <w:highlight w:val="none"/>
        </w:rPr>
      </w:pPr>
      <w:r>
        <w:rPr>
          <w:rFonts w:hint="eastAsia" w:ascii="宋体" w:hAnsi="宋体" w:eastAsia="宋体" w:cs="宋体"/>
          <w:color w:val="auto"/>
          <w:szCs w:val="21"/>
          <w:highlight w:val="none"/>
        </w:rPr>
        <w:t>项目编号：HSZB-2025-387</w:t>
      </w:r>
    </w:p>
    <w:p w14:paraId="5CD7EC25">
      <w:pPr>
        <w:spacing w:line="288" w:lineRule="auto"/>
        <w:ind w:firstLine="5040" w:firstLineChars="2400"/>
        <w:rPr>
          <w:rFonts w:ascii="宋体" w:hAnsi="宋体" w:eastAsia="宋体" w:cs="宋体"/>
          <w:color w:val="auto"/>
          <w:szCs w:val="21"/>
          <w:highlight w:val="none"/>
        </w:rPr>
      </w:pPr>
      <w:r>
        <w:rPr>
          <w:rFonts w:hint="eastAsia" w:ascii="宋体" w:hAnsi="宋体" w:eastAsia="宋体" w:cs="宋体"/>
          <w:color w:val="auto"/>
          <w:szCs w:val="21"/>
          <w:highlight w:val="none"/>
        </w:rPr>
        <w:t>确认书号：</w:t>
      </w:r>
      <w:r>
        <w:rPr>
          <w:color w:val="auto"/>
          <w:highlight w:val="none"/>
        </w:rPr>
        <w:fldChar w:fldCharType="begin"/>
      </w:r>
      <w:r>
        <w:rPr>
          <w:color w:val="auto"/>
          <w:highlight w:val="none"/>
        </w:rPr>
        <w:instrText xml:space="preserve"> HYPERLINK "https://pay.zcygov.cn/purchaseplan_front/" \l "/plan/list/view?id=1000000000014811975" \t "https://www.zcygov.cn/delegation-order/_procurement_/order/orderInfo/detail/_blank" </w:instrText>
      </w:r>
      <w:r>
        <w:rPr>
          <w:color w:val="auto"/>
          <w:highlight w:val="none"/>
        </w:rPr>
        <w:fldChar w:fldCharType="separate"/>
      </w:r>
      <w:r>
        <w:rPr>
          <w:rFonts w:hint="eastAsia" w:ascii="宋体" w:hAnsi="宋体" w:eastAsia="宋体" w:cs="宋体"/>
          <w:color w:val="auto"/>
          <w:szCs w:val="21"/>
          <w:highlight w:val="none"/>
        </w:rPr>
        <w:t>[2025]14878号</w:t>
      </w:r>
      <w:r>
        <w:rPr>
          <w:rFonts w:hint="eastAsia" w:ascii="宋体" w:hAnsi="宋体" w:eastAsia="宋体" w:cs="宋体"/>
          <w:color w:val="auto"/>
          <w:szCs w:val="21"/>
          <w:highlight w:val="none"/>
        </w:rPr>
        <w:fldChar w:fldCharType="end"/>
      </w:r>
    </w:p>
    <w:p w14:paraId="130DAF8B">
      <w:pPr>
        <w:spacing w:line="288" w:lineRule="auto"/>
        <w:ind w:firstLine="5040" w:firstLineChars="2400"/>
        <w:rPr>
          <w:rFonts w:ascii="宋体" w:hAnsi="宋体" w:eastAsia="宋体" w:cs="宋体"/>
          <w:color w:val="auto"/>
          <w:szCs w:val="21"/>
          <w:highlight w:val="none"/>
        </w:rPr>
      </w:pPr>
      <w:r>
        <w:rPr>
          <w:rFonts w:hint="eastAsia" w:ascii="宋体" w:hAnsi="宋体" w:eastAsia="宋体" w:cs="宋体"/>
          <w:color w:val="auto"/>
          <w:szCs w:val="21"/>
          <w:highlight w:val="none"/>
        </w:rPr>
        <w:t>委托编号：ZJGDZC(W)-2025-HS008</w:t>
      </w:r>
      <w:bookmarkStart w:id="138" w:name="_GoBack"/>
      <w:bookmarkEnd w:id="138"/>
    </w:p>
    <w:p w14:paraId="58D35323">
      <w:pPr>
        <w:spacing w:line="288"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p>
    <w:p w14:paraId="40AB79A6">
      <w:pPr>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lang w:eastAsia="zh-CN"/>
        </w:rPr>
        <w:t>浙江工业大学精密设备室七氟丙烷气体灭火系统改造工程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eastAsia="宋体" w:cs="宋体"/>
          <w:color w:val="auto"/>
          <w:szCs w:val="21"/>
          <w:highlight w:val="none"/>
          <w:lang w:eastAsia="zh-CN"/>
        </w:rPr>
        <w:t>浙江工业大学精密设备室七氟丙烷气体灭火系统改造工程</w:t>
      </w:r>
    </w:p>
    <w:p w14:paraId="75383623">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日历天，工期总日历天数与根据前述计划开竣工日期计算的工期天数不一致的，以工期总日历天数为准。</w:t>
      </w:r>
    </w:p>
    <w:p w14:paraId="565030A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ascii="宋体" w:hAnsi="宋体" w:eastAsia="宋体" w:cs="宋体"/>
          <w:color w:val="auto"/>
          <w:szCs w:val="21"/>
          <w:highlight w:val="none"/>
        </w:rPr>
      </w:pPr>
    </w:p>
    <w:p w14:paraId="7862B6B5">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ascii="宋体" w:hAnsi="宋体" w:eastAsia="宋体" w:cs="宋体"/>
          <w:color w:val="auto"/>
          <w:szCs w:val="21"/>
          <w:highlight w:val="none"/>
        </w:rPr>
      </w:pPr>
    </w:p>
    <w:p w14:paraId="79B76B1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35"/>
        <w:spacing w:line="360" w:lineRule="auto"/>
        <w:ind w:firstLine="480"/>
        <w:rPr>
          <w:rFonts w:ascii="宋体" w:hAnsi="宋体" w:cs="宋体"/>
          <w:color w:val="auto"/>
          <w:szCs w:val="21"/>
          <w:highlight w:val="none"/>
          <w:u w:val="single"/>
        </w:rPr>
      </w:pPr>
    </w:p>
    <w:p w14:paraId="4B26F07D">
      <w:pPr>
        <w:spacing w:line="400" w:lineRule="atLeast"/>
        <w:ind w:firstLine="570"/>
        <w:rPr>
          <w:rFonts w:ascii="宋体" w:hAnsi="宋体" w:eastAsia="宋体" w:cs="宋体"/>
          <w:color w:val="auto"/>
          <w:szCs w:val="21"/>
          <w:highlight w:val="none"/>
        </w:rPr>
      </w:pPr>
    </w:p>
    <w:p w14:paraId="7621EA79">
      <w:pPr>
        <w:spacing w:line="400" w:lineRule="atLeast"/>
        <w:rPr>
          <w:rFonts w:ascii="宋体" w:hAnsi="宋体" w:eastAsia="宋体" w:cs="宋体"/>
          <w:color w:val="auto"/>
          <w:szCs w:val="21"/>
          <w:highlight w:val="none"/>
        </w:rPr>
      </w:pPr>
    </w:p>
    <w:p w14:paraId="1903545D">
      <w:pPr>
        <w:snapToGrid w:val="0"/>
        <w:spacing w:line="360" w:lineRule="auto"/>
        <w:jc w:val="center"/>
        <w:rPr>
          <w:rFonts w:ascii="宋体" w:hAnsi="宋体" w:eastAsia="宋体" w:cs="宋体"/>
          <w:b/>
          <w:bCs/>
          <w:color w:val="auto"/>
          <w:szCs w:val="21"/>
          <w:highlight w:val="none"/>
        </w:rPr>
      </w:pPr>
    </w:p>
    <w:p w14:paraId="68381BA2">
      <w:pPr>
        <w:snapToGrid w:val="0"/>
        <w:spacing w:line="360" w:lineRule="auto"/>
        <w:jc w:val="center"/>
        <w:rPr>
          <w:rFonts w:ascii="宋体" w:hAnsi="宋体" w:eastAsia="宋体" w:cs="宋体"/>
          <w:b/>
          <w:bCs/>
          <w:color w:val="auto"/>
          <w:szCs w:val="21"/>
          <w:highlight w:val="none"/>
        </w:rPr>
      </w:pPr>
    </w:p>
    <w:p w14:paraId="55C83900">
      <w:pPr>
        <w:pStyle w:val="30"/>
        <w:snapToGrid w:val="0"/>
        <w:spacing w:before="120" w:after="120" w:line="360" w:lineRule="auto"/>
        <w:rPr>
          <w:rFonts w:hAnsi="宋体" w:cs="宋体"/>
          <w:b/>
          <w:bCs/>
          <w:color w:val="auto"/>
          <w:sz w:val="21"/>
          <w:szCs w:val="21"/>
          <w:highlight w:val="none"/>
        </w:rPr>
      </w:pPr>
    </w:p>
    <w:p w14:paraId="3038A7B0">
      <w:pPr>
        <w:pStyle w:val="30"/>
        <w:snapToGrid w:val="0"/>
        <w:spacing w:before="120" w:after="120" w:line="360" w:lineRule="auto"/>
        <w:rPr>
          <w:rFonts w:hAnsi="宋体" w:cs="宋体"/>
          <w:b/>
          <w:bCs/>
          <w:color w:val="auto"/>
          <w:sz w:val="21"/>
          <w:szCs w:val="21"/>
          <w:highlight w:val="none"/>
        </w:rPr>
      </w:pPr>
    </w:p>
    <w:p w14:paraId="70C892E9">
      <w:pPr>
        <w:pStyle w:val="30"/>
        <w:snapToGrid w:val="0"/>
        <w:spacing w:before="120" w:after="120" w:line="360" w:lineRule="auto"/>
        <w:rPr>
          <w:rFonts w:hAnsi="宋体" w:cs="宋体"/>
          <w:b/>
          <w:bCs/>
          <w:color w:val="auto"/>
          <w:sz w:val="21"/>
          <w:szCs w:val="21"/>
          <w:highlight w:val="none"/>
        </w:rPr>
      </w:pPr>
    </w:p>
    <w:p w14:paraId="6F472149">
      <w:pPr>
        <w:pStyle w:val="30"/>
        <w:snapToGrid w:val="0"/>
        <w:spacing w:before="120" w:after="120" w:line="360" w:lineRule="auto"/>
        <w:rPr>
          <w:rFonts w:hAnsi="宋体" w:cs="宋体"/>
          <w:b/>
          <w:bCs/>
          <w:color w:val="auto"/>
          <w:sz w:val="21"/>
          <w:szCs w:val="21"/>
          <w:highlight w:val="none"/>
        </w:rPr>
      </w:pPr>
    </w:p>
    <w:p w14:paraId="33086D03">
      <w:pPr>
        <w:pStyle w:val="30"/>
        <w:snapToGrid w:val="0"/>
        <w:spacing w:before="120" w:after="120" w:line="360" w:lineRule="auto"/>
        <w:rPr>
          <w:rFonts w:hAnsi="宋体" w:cs="宋体"/>
          <w:b/>
          <w:bCs/>
          <w:color w:val="auto"/>
          <w:sz w:val="21"/>
          <w:szCs w:val="21"/>
          <w:highlight w:val="none"/>
        </w:rPr>
      </w:pPr>
    </w:p>
    <w:p w14:paraId="1D23A197">
      <w:pPr>
        <w:rPr>
          <w:rFonts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br w:type="page"/>
      </w:r>
    </w:p>
    <w:p w14:paraId="6292791E">
      <w:pPr>
        <w:pStyle w:val="55"/>
        <w:spacing w:line="440" w:lineRule="exact"/>
        <w:jc w:val="center"/>
        <w:rPr>
          <w:rFonts w:cs="宋体"/>
          <w:b/>
          <w:bCs/>
          <w:color w:val="auto"/>
          <w:sz w:val="32"/>
          <w:szCs w:val="32"/>
          <w:highlight w:val="none"/>
        </w:rPr>
      </w:pPr>
      <w:r>
        <w:rPr>
          <w:rFonts w:hint="eastAsia" w:cs="宋体"/>
          <w:b/>
          <w:snapToGrid w:val="0"/>
          <w:color w:val="auto"/>
          <w:sz w:val="28"/>
          <w:szCs w:val="28"/>
          <w:highlight w:val="none"/>
        </w:rPr>
        <w:t>第二部分  通用条款</w:t>
      </w:r>
    </w:p>
    <w:p w14:paraId="0A20D849">
      <w:pPr>
        <w:pStyle w:val="55"/>
        <w:spacing w:line="440" w:lineRule="exact"/>
        <w:ind w:firstLine="420" w:firstLineChars="200"/>
        <w:rPr>
          <w:rFonts w:cs="宋体"/>
          <w:color w:val="auto"/>
          <w:sz w:val="21"/>
          <w:szCs w:val="21"/>
          <w:highlight w:val="none"/>
        </w:rPr>
      </w:pPr>
      <w:r>
        <w:rPr>
          <w:rFonts w:hint="eastAsia" w:cs="宋体"/>
          <w:color w:val="auto"/>
          <w:sz w:val="21"/>
          <w:szCs w:val="21"/>
          <w:highlight w:val="none"/>
        </w:rPr>
        <w:t>详见《建设工程施工合同（示范文本）》（GF-2017-0201）第二部分 通用合同条款。</w:t>
      </w:r>
    </w:p>
    <w:p w14:paraId="1919B5F4">
      <w:pPr>
        <w:pStyle w:val="55"/>
        <w:spacing w:line="440" w:lineRule="exact"/>
        <w:jc w:val="center"/>
        <w:rPr>
          <w:rFonts w:cs="宋体"/>
          <w:b/>
          <w:snapToGrid w:val="0"/>
          <w:color w:val="auto"/>
          <w:sz w:val="28"/>
          <w:szCs w:val="28"/>
          <w:highlight w:val="none"/>
        </w:rPr>
      </w:pPr>
      <w:r>
        <w:rPr>
          <w:rFonts w:hint="eastAsia" w:cs="宋体"/>
          <w:b/>
          <w:snapToGrid w:val="0"/>
          <w:color w:val="auto"/>
          <w:sz w:val="28"/>
          <w:szCs w:val="28"/>
          <w:highlight w:val="none"/>
        </w:rPr>
        <w:t>第三部分  专用条款</w:t>
      </w:r>
    </w:p>
    <w:p w14:paraId="13D7F77A">
      <w:pPr>
        <w:pStyle w:val="555"/>
        <w:adjustRightInd w:val="0"/>
        <w:snapToGrid w:val="0"/>
        <w:spacing w:before="0" w:after="0" w:line="36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 词语定义</w:t>
      </w:r>
    </w:p>
    <w:p w14:paraId="18C08EDC">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1.1.1合同</w:t>
      </w:r>
    </w:p>
    <w:p w14:paraId="7FA73461">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1.1.1.10其他合同文件包括：</w:t>
      </w:r>
      <w:r>
        <w:rPr>
          <w:rFonts w:hint="eastAsia" w:ascii="宋体" w:hAnsi="宋体" w:cs="宋体"/>
          <w:color w:val="auto"/>
          <w:highlight w:val="none"/>
          <w:u w:val="single"/>
        </w:rPr>
        <w:t xml:space="preserve">           /      </w:t>
      </w:r>
    </w:p>
    <w:p w14:paraId="7CE2C68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 合同当事人及其他相关方</w:t>
      </w:r>
    </w:p>
    <w:p w14:paraId="7A645F16">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1.1.2.4监理人：</w:t>
      </w:r>
    </w:p>
    <w:p w14:paraId="45061EB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BDFB8F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EA68D14">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FAC4F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159528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08BE56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1.1.2.5 设计人：</w:t>
      </w:r>
    </w:p>
    <w:p w14:paraId="304B1296">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9AB74F">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4D8085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6EB871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3DBE5E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D24782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1.1.3 工程和设备</w:t>
      </w:r>
    </w:p>
    <w:p w14:paraId="076B2FE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22FA942">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2AA13EA5">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6064088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1.3法律 </w:t>
      </w:r>
    </w:p>
    <w:p w14:paraId="1CEA5BD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适用于合同的其他规范性文件：</w:t>
      </w:r>
    </w:p>
    <w:p w14:paraId="0E44729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1.3.1《关于贯彻《省厅调整安全文明施工费的通知》的通知》(杭建市发〔2022)54号〕；</w:t>
      </w:r>
    </w:p>
    <w:p w14:paraId="1084620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1.3.2省市建设行政部门颁发的其他现行有效文件(包括但不仅限于以下文件)；</w:t>
      </w:r>
    </w:p>
    <w:p w14:paraId="2B359717">
      <w:pPr>
        <w:pStyle w:val="135"/>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(1)其他：</w:t>
      </w:r>
      <w:r>
        <w:rPr>
          <w:rFonts w:hint="eastAsia" w:ascii="宋体" w:hAnsi="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cs="宋体"/>
          <w:color w:val="auto"/>
          <w:highlight w:val="none"/>
          <w:u w:val="single"/>
        </w:rPr>
        <w:t>。</w:t>
      </w:r>
    </w:p>
    <w:p w14:paraId="33034E9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1.3.6 新工艺、新技术的约定：：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2C5FC0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1.3.7 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0FDD7C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 标准和规范</w:t>
      </w:r>
    </w:p>
    <w:p w14:paraId="35D916F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b/>
          <w:bCs/>
          <w:color w:val="auto"/>
          <w:highlight w:val="none"/>
          <w:u w:val="single"/>
        </w:rPr>
        <w:t>按通用条款约定</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5EEE2830">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1.4.2 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4C7085AF">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62EABC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108A636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b/>
          <w:bCs/>
          <w:color w:val="auto"/>
          <w:highlight w:val="none"/>
          <w:u w:val="single"/>
        </w:rPr>
        <w:t>按磋商文件第三章采购需求书中的技术标准约定</w:t>
      </w:r>
      <w:r>
        <w:rPr>
          <w:rFonts w:hint="eastAsia" w:ascii="宋体" w:hAnsi="宋体" w:cs="宋体"/>
          <w:color w:val="auto"/>
          <w:highlight w:val="none"/>
        </w:rPr>
        <w:t>。</w:t>
      </w:r>
    </w:p>
    <w:p w14:paraId="1A7703B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 合同文件的优先顺序</w:t>
      </w:r>
    </w:p>
    <w:p w14:paraId="6BB99B1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cs="宋体"/>
          <w:color w:val="auto"/>
          <w:highlight w:val="none"/>
        </w:rPr>
        <w:t>。</w:t>
      </w:r>
    </w:p>
    <w:p w14:paraId="6DA761F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 图纸和承包人文件</w:t>
      </w:r>
      <w:r>
        <w:rPr>
          <w:rFonts w:hint="eastAsia" w:ascii="宋体" w:hAnsi="宋体" w:cs="宋体"/>
          <w:color w:val="auto"/>
          <w:highlight w:val="none"/>
        </w:rPr>
        <w:tab/>
      </w:r>
    </w:p>
    <w:p w14:paraId="41AD2B6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1.6.1 图纸的提供</w:t>
      </w:r>
    </w:p>
    <w:p w14:paraId="75017DE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7E8DCFE">
      <w:pPr>
        <w:pStyle w:val="129"/>
        <w:adjustRightInd w:val="0"/>
        <w:snapToGrid w:val="0"/>
        <w:spacing w:line="360" w:lineRule="exact"/>
        <w:ind w:firstLine="420" w:firstLineChars="200"/>
        <w:rPr>
          <w:rFonts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35"/>
        <w:adjustRightInd w:val="0"/>
        <w:snapToGrid w:val="0"/>
        <w:spacing w:line="360" w:lineRule="exact"/>
        <w:ind w:firstLine="420" w:firstLineChars="200"/>
        <w:rPr>
          <w:rFonts w:ascii="宋体" w:hAnsi="宋体" w:cs="宋体"/>
          <w:color w:val="auto"/>
          <w:kern w:val="0"/>
          <w:highlight w:val="none"/>
          <w:u w:val="singl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1DB2095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1.6.4 承包人文件</w:t>
      </w:r>
    </w:p>
    <w:p w14:paraId="3D5A2033">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b/>
          <w:bCs/>
          <w:color w:val="auto"/>
          <w:highlight w:val="none"/>
          <w:u w:val="single"/>
        </w:rPr>
        <w:t>施工组织设计（施工方案）和进度计划</w:t>
      </w:r>
      <w:r>
        <w:rPr>
          <w:rFonts w:hint="eastAsia" w:ascii="宋体" w:hAnsi="宋体" w:cs="宋体"/>
          <w:color w:val="auto"/>
          <w:highlight w:val="none"/>
        </w:rPr>
        <w:t>；</w:t>
      </w:r>
    </w:p>
    <w:p w14:paraId="418BE3A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b/>
          <w:bCs/>
          <w:color w:val="auto"/>
          <w:highlight w:val="none"/>
          <w:u w:val="single"/>
        </w:rPr>
        <w:t>开工前7天提供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2F1B21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b/>
          <w:bCs/>
          <w:color w:val="auto"/>
          <w:highlight w:val="none"/>
          <w:u w:val="single"/>
        </w:rPr>
        <w:t xml:space="preserve">三套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EE04E2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b/>
          <w:bCs/>
          <w:color w:val="auto"/>
          <w:highlight w:val="none"/>
          <w:u w:val="single"/>
        </w:rPr>
        <w:t>书面文件</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0B422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b/>
          <w:bCs/>
          <w:color w:val="auto"/>
          <w:highlight w:val="none"/>
          <w:u w:val="single"/>
        </w:rPr>
        <w:t>收到报告后7天内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4A7EF9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1.6.5 现场图纸准备</w:t>
      </w:r>
    </w:p>
    <w:p w14:paraId="3758F1D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b/>
          <w:bCs/>
          <w:color w:val="auto"/>
          <w:highlight w:val="none"/>
          <w:u w:val="single"/>
        </w:rPr>
        <w:t>按通用合同条款第1.6.5条规定执行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96CF0D4">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 联络</w:t>
      </w:r>
    </w:p>
    <w:p w14:paraId="58DD9E15">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b/>
          <w:bCs/>
          <w:color w:val="auto"/>
          <w:highlight w:val="none"/>
          <w:u w:val="single"/>
        </w:rPr>
        <w:t>7</w:t>
      </w:r>
      <w:r>
        <w:rPr>
          <w:rFonts w:hint="eastAsia" w:ascii="宋体" w:hAnsi="宋体" w:cs="宋体"/>
          <w:color w:val="auto"/>
          <w:highlight w:val="none"/>
          <w:u w:val="single"/>
        </w:rPr>
        <w:t xml:space="preserve">  </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75BAD394">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b/>
          <w:bCs/>
          <w:color w:val="auto"/>
          <w:highlight w:val="none"/>
          <w:u w:val="single"/>
        </w:rPr>
        <w:t>施工现场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653E9E63">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02A56A21">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b/>
          <w:bCs/>
          <w:color w:val="auto"/>
          <w:highlight w:val="none"/>
          <w:u w:val="single"/>
        </w:rPr>
        <w:t>施工现场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280EAE44">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166FC892">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b/>
          <w:bCs/>
          <w:color w:val="auto"/>
          <w:highlight w:val="none"/>
          <w:u w:val="single"/>
        </w:rPr>
        <w:t>施工现场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FDAFBCE">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FF5CF8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1.10 交通运输</w:t>
      </w:r>
    </w:p>
    <w:p w14:paraId="3053170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1.10.1 出入现场的权利</w:t>
      </w:r>
    </w:p>
    <w:p w14:paraId="35E9F00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b/>
          <w:bCs/>
          <w:color w:val="auto"/>
          <w:highlight w:val="none"/>
          <w:u w:val="single"/>
        </w:rPr>
        <w:t>按通用合同条款第1.10.1条规定执行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DFECA7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1.10.3 场内交通</w:t>
      </w:r>
    </w:p>
    <w:p w14:paraId="3FC11170">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b/>
          <w:bCs/>
          <w:color w:val="auto"/>
          <w:highlight w:val="none"/>
          <w:u w:val="single"/>
        </w:rPr>
        <w:t>施工范围内的场地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F6B01BD">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cs="宋体"/>
          <w:color w:val="auto"/>
          <w:highlight w:val="none"/>
        </w:rPr>
        <w:t xml:space="preserve">。  </w:t>
      </w:r>
    </w:p>
    <w:p w14:paraId="4DF2CB77">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1.10.4超大件和超重件的运输</w:t>
      </w:r>
    </w:p>
    <w:p w14:paraId="691D7167">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承包人</w:t>
      </w:r>
      <w:r>
        <w:rPr>
          <w:rFonts w:hint="eastAsia" w:ascii="宋体" w:hAnsi="宋体" w:cs="宋体"/>
          <w:color w:val="auto"/>
          <w:highlight w:val="none"/>
          <w:u w:val="single"/>
        </w:rPr>
        <w:t xml:space="preserve"> </w:t>
      </w:r>
      <w:r>
        <w:rPr>
          <w:rFonts w:hint="eastAsia" w:ascii="宋体" w:hAnsi="宋体" w:cs="宋体"/>
          <w:color w:val="auto"/>
          <w:highlight w:val="none"/>
        </w:rPr>
        <w:t>承担。</w:t>
      </w:r>
    </w:p>
    <w:p w14:paraId="10A7A2D6">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本工程的超大件：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059EF2CA">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本工程的超重件：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3B4FE1A6">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 知识产权</w:t>
      </w:r>
    </w:p>
    <w:p w14:paraId="52959C2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highlight w:val="none"/>
          <w:u w:val="single"/>
        </w:rPr>
        <w:t>按通用合同条款第1.11.1条规定执行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0C29B8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1D2AE8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按通用合同条款第1.11.2条规定执行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D72EAE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D7D8B0D">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cs="宋体"/>
          <w:color w:val="auto"/>
          <w:kern w:val="0"/>
          <w:highlight w:val="none"/>
        </w:rPr>
        <w:t>。</w:t>
      </w:r>
    </w:p>
    <w:p w14:paraId="40945FB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1.13工程量清单错误的修正</w:t>
      </w:r>
    </w:p>
    <w:p w14:paraId="4A623A2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b/>
          <w:bCs/>
          <w:color w:val="auto"/>
          <w:highlight w:val="none"/>
          <w:u w:val="single"/>
        </w:rPr>
        <w:t xml:space="preserve">但单价不作调整 </w:t>
      </w:r>
      <w:r>
        <w:rPr>
          <w:rFonts w:hint="eastAsia" w:ascii="宋体" w:hAnsi="宋体" w:cs="宋体"/>
          <w:color w:val="auto"/>
          <w:kern w:val="0"/>
          <w:highlight w:val="none"/>
        </w:rPr>
        <w:t>。</w:t>
      </w:r>
    </w:p>
    <w:p w14:paraId="779986F6">
      <w:pPr>
        <w:pStyle w:val="135"/>
        <w:adjustRightInd w:val="0"/>
        <w:snapToGrid w:val="0"/>
        <w:spacing w:line="360" w:lineRule="exact"/>
        <w:ind w:firstLine="420"/>
        <w:rPr>
          <w:rFonts w:ascii="宋体" w:hAnsi="宋体" w:cs="宋体"/>
          <w:color w:val="auto"/>
          <w:kern w:val="0"/>
          <w:highlight w:val="none"/>
        </w:rPr>
      </w:pPr>
      <w:r>
        <w:rPr>
          <w:rFonts w:hint="eastAsia" w:ascii="宋体" w:hAnsi="宋体" w:cs="宋体"/>
          <w:color w:val="auto"/>
          <w:highlight w:val="none"/>
        </w:rPr>
        <w:t>允许调整合同价格的工程量偏差范围：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53205BF9">
      <w:pPr>
        <w:pStyle w:val="135"/>
        <w:adjustRightInd w:val="0"/>
        <w:snapToGrid w:val="0"/>
        <w:spacing w:line="360" w:lineRule="exact"/>
        <w:ind w:firstLine="420"/>
        <w:rPr>
          <w:rFonts w:ascii="宋体" w:hAnsi="宋体" w:cs="宋体"/>
          <w:color w:val="auto"/>
          <w:kern w:val="0"/>
          <w:highlight w:val="none"/>
        </w:rPr>
      </w:pPr>
      <w:r>
        <w:rPr>
          <w:rFonts w:hint="eastAsia" w:ascii="宋体" w:hAnsi="宋体" w:cs="宋体"/>
          <w:color w:val="auto"/>
          <w:highlight w:val="none"/>
        </w:rPr>
        <w:t>调整合同价格的修正时间：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4D6165E">
      <w:pPr>
        <w:pStyle w:val="555"/>
        <w:adjustRightInd w:val="0"/>
        <w:snapToGrid w:val="0"/>
        <w:spacing w:before="0" w:after="0" w:line="36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2.2 发包人代表</w:t>
      </w:r>
    </w:p>
    <w:p w14:paraId="4159EFC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发包人代表：</w:t>
      </w:r>
    </w:p>
    <w:p w14:paraId="66D6CE8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894F4F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86CBD7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DD7FD3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0E4DA38">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69C5F4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9FED7B2">
      <w:pPr>
        <w:pStyle w:val="135"/>
        <w:adjustRightInd w:val="0"/>
        <w:snapToGrid w:val="0"/>
        <w:spacing w:line="360" w:lineRule="exact"/>
        <w:ind w:firstLine="525" w:firstLineChars="250"/>
        <w:rPr>
          <w:rFonts w:ascii="宋体" w:hAnsi="宋体" w:cs="宋体"/>
          <w:b/>
          <w:bCs/>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5"/>
        <w:adjustRightInd w:val="0"/>
        <w:snapToGrid w:val="0"/>
        <w:spacing w:line="360" w:lineRule="exact"/>
        <w:ind w:firstLine="527" w:firstLineChars="250"/>
        <w:rPr>
          <w:rFonts w:ascii="宋体" w:hAnsi="宋体" w:cs="宋体"/>
          <w:b/>
          <w:bCs/>
          <w:color w:val="auto"/>
          <w:highlight w:val="none"/>
          <w:u w:val="single"/>
        </w:rPr>
      </w:pPr>
      <w:r>
        <w:rPr>
          <w:rFonts w:hint="eastAsia" w:ascii="宋体" w:hAnsi="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9"/>
        <w:adjustRightInd w:val="0"/>
        <w:snapToGrid w:val="0"/>
        <w:spacing w:line="360" w:lineRule="exact"/>
        <w:ind w:firstLine="474" w:firstLineChars="225"/>
        <w:rPr>
          <w:rFonts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2.4 施工现场、施工条件和基础资料的提供</w:t>
      </w:r>
    </w:p>
    <w:p w14:paraId="7420FA8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2.4.1 提供施工现场</w:t>
      </w:r>
    </w:p>
    <w:p w14:paraId="07034A0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开工前7天提供符合施工条件的施工场地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303465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2.4.2 提供施工条件</w:t>
      </w:r>
    </w:p>
    <w:p w14:paraId="7B16B624">
      <w:pPr>
        <w:pStyle w:val="135"/>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除通用合同条款第2.4.2条规定外，开工前7天，完成水准点与坐标点，并进行现场校验</w:t>
      </w:r>
      <w:r>
        <w:rPr>
          <w:rFonts w:hint="eastAsia" w:ascii="宋体" w:hAnsi="宋体" w:cs="宋体"/>
          <w:color w:val="auto"/>
          <w:highlight w:val="none"/>
        </w:rPr>
        <w:t>。</w:t>
      </w:r>
    </w:p>
    <w:p w14:paraId="543A547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2.5 资金来源证明及支付担保</w:t>
      </w:r>
    </w:p>
    <w:p w14:paraId="1FC9666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CF9E3C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8C9934B">
      <w:pPr>
        <w:pStyle w:val="135"/>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DFB7831">
      <w:pPr>
        <w:pStyle w:val="555"/>
        <w:adjustRightInd w:val="0"/>
        <w:snapToGrid w:val="0"/>
        <w:spacing w:before="0" w:after="0" w:line="36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3.1 承包人的一般义务</w:t>
      </w:r>
    </w:p>
    <w:p w14:paraId="1439A529">
      <w:pPr>
        <w:pStyle w:val="135"/>
        <w:adjustRightInd w:val="0"/>
        <w:snapToGrid w:val="0"/>
        <w:spacing w:line="360" w:lineRule="exact"/>
        <w:ind w:firstLine="315" w:firstLineChars="150"/>
        <w:jc w:val="left"/>
        <w:rPr>
          <w:rFonts w:ascii="宋体" w:hAnsi="宋体" w:cs="宋体"/>
          <w:color w:val="auto"/>
          <w:highlight w:val="none"/>
        </w:rPr>
      </w:pPr>
      <w:r>
        <w:rPr>
          <w:rFonts w:hint="eastAsia" w:ascii="宋体" w:hAnsi="宋体" w:cs="宋体"/>
          <w:color w:val="auto"/>
          <w:kern w:val="0"/>
          <w:highlight w:val="none"/>
        </w:rPr>
        <w:t>（5）</w:t>
      </w:r>
      <w:r>
        <w:rPr>
          <w:rFonts w:hint="eastAsia" w:ascii="宋体" w:hAnsi="宋体" w:cs="宋体"/>
          <w:color w:val="auto"/>
          <w:highlight w:val="none"/>
        </w:rPr>
        <w:t>承包人提交的竣工资料的内容：</w:t>
      </w:r>
      <w:r>
        <w:rPr>
          <w:rFonts w:hint="eastAsia" w:ascii="宋体" w:hAnsi="宋体" w:cs="宋体"/>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cs="宋体"/>
          <w:color w:val="auto"/>
          <w:highlight w:val="none"/>
        </w:rPr>
        <w:t>。</w:t>
      </w:r>
    </w:p>
    <w:p w14:paraId="58869A4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EFA12C9">
      <w:pPr>
        <w:pStyle w:val="135"/>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承包人承担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CA8A22E">
      <w:pPr>
        <w:pStyle w:val="135"/>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工程竣工验收合格后15天内</w:t>
      </w:r>
      <w:r>
        <w:rPr>
          <w:rFonts w:hint="eastAsia" w:ascii="宋体" w:hAnsi="宋体" w:cs="宋体"/>
          <w:color w:val="auto"/>
          <w:highlight w:val="none"/>
          <w:u w:val="single"/>
        </w:rPr>
        <w:t>。</w:t>
      </w:r>
    </w:p>
    <w:p w14:paraId="37D6DB4E">
      <w:pPr>
        <w:pStyle w:val="135"/>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b/>
          <w:bCs/>
          <w:color w:val="auto"/>
          <w:highlight w:val="none"/>
          <w:u w:val="single"/>
        </w:rPr>
        <w:t>竣工资料按规范装订成册。</w:t>
      </w:r>
    </w:p>
    <w:p w14:paraId="32A79F1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（6）承包人应履行的其他义务：</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8AF025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3.2 项目经理</w:t>
      </w:r>
    </w:p>
    <w:p w14:paraId="22B94BA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14AC39E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6F70FA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14BF04F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5034D6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9DE8AA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62AE5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1FD58F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4D0EBF6">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DE4C4B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0A05FA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b/>
          <w:bCs/>
          <w:color w:val="auto"/>
          <w:highlight w:val="none"/>
          <w:u w:val="single"/>
        </w:rPr>
        <w:t>项目经理按合同约定组织工程实施</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CEF43BD">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cs="宋体"/>
          <w:b/>
          <w:bCs/>
          <w:color w:val="auto"/>
          <w:highlight w:val="none"/>
          <w:u w:val="single"/>
        </w:rPr>
        <w:t>到位率不低于80%（以供应商承诺到位率为准）。</w:t>
      </w:r>
    </w:p>
    <w:p w14:paraId="42C2A5F2">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由承包人承担违约责任 </w:t>
      </w:r>
      <w:r>
        <w:rPr>
          <w:rFonts w:hint="eastAsia" w:ascii="宋体" w:hAnsi="宋体" w:cs="宋体"/>
          <w:color w:val="auto"/>
          <w:highlight w:val="none"/>
        </w:rPr>
        <w:t>。</w:t>
      </w:r>
    </w:p>
    <w:p w14:paraId="1C26808A">
      <w:pPr>
        <w:pStyle w:val="135"/>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项目经理未经批准，擅自离开施工现场的违约责任：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按500元/次予以处罚</w:t>
      </w:r>
      <w:r>
        <w:rPr>
          <w:rFonts w:hint="eastAsia" w:ascii="宋体" w:hAnsi="宋体" w:cs="宋体"/>
          <w:color w:val="auto"/>
          <w:highlight w:val="none"/>
        </w:rPr>
        <w:t>。</w:t>
      </w:r>
    </w:p>
    <w:p w14:paraId="764B61FB">
      <w:pPr>
        <w:pStyle w:val="129"/>
        <w:adjustRightInd w:val="0"/>
        <w:snapToGrid w:val="0"/>
        <w:spacing w:line="360" w:lineRule="exact"/>
        <w:ind w:firstLine="359" w:firstLineChars="171"/>
        <w:rPr>
          <w:rFonts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29"/>
        <w:numPr>
          <w:ilvl w:val="0"/>
          <w:numId w:val="7"/>
        </w:numPr>
        <w:adjustRightInd w:val="0"/>
        <w:snapToGrid w:val="0"/>
        <w:spacing w:line="360" w:lineRule="exact"/>
        <w:ind w:firstLine="420" w:firstLineChars="200"/>
        <w:rPr>
          <w:rFonts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29"/>
        <w:numPr>
          <w:ilvl w:val="0"/>
          <w:numId w:val="7"/>
        </w:numPr>
        <w:adjustRightInd w:val="0"/>
        <w:snapToGrid w:val="0"/>
        <w:spacing w:line="360" w:lineRule="exact"/>
        <w:ind w:firstLine="420" w:firstLineChars="200"/>
        <w:rPr>
          <w:rFonts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按通用合同条款第3.2.4条规定执行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675179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 承包人人员</w:t>
      </w:r>
    </w:p>
    <w:p w14:paraId="3F7D3EC4">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98697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3.3.2 承包人需更换主要施工管理人员的，继任人员的数量、注册执业资格、管理经验的约定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78D9E0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9586182">
      <w:pPr>
        <w:pStyle w:val="135"/>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按通用合同条款第3.3.4条规定执行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3EE0168">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w:t>
      </w:r>
    </w:p>
    <w:p w14:paraId="1C7F592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b/>
          <w:bCs/>
          <w:color w:val="auto"/>
          <w:highlight w:val="none"/>
          <w:u w:val="single"/>
        </w:rPr>
        <w:t>发包人有权要求更换管理人员</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003E15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3.5 分包</w:t>
      </w:r>
    </w:p>
    <w:p w14:paraId="6BD6A53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3.5.1 分包的一般约定</w:t>
      </w:r>
    </w:p>
    <w:p w14:paraId="1C847682">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b/>
          <w:bCs/>
          <w:color w:val="auto"/>
          <w:highlight w:val="none"/>
          <w:u w:val="single"/>
        </w:rPr>
        <w:t xml:space="preserve"> 未经发包人同意一律不得分包。  </w:t>
      </w:r>
    </w:p>
    <w:p w14:paraId="278782FB">
      <w:pPr>
        <w:pStyle w:val="135"/>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主体结构、关键性工作的范围：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F12B896">
      <w:pPr>
        <w:pStyle w:val="135"/>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3.5.2分包的确定</w:t>
      </w:r>
    </w:p>
    <w:p w14:paraId="1C543C87">
      <w:pPr>
        <w:pStyle w:val="135"/>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1B33C5E">
      <w:pPr>
        <w:pStyle w:val="135"/>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其他关于分包的约定：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6B1258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3.5.4 分包合同价款</w:t>
      </w:r>
    </w:p>
    <w:p w14:paraId="681CFCC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60837E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3.6 工程照管与成品、半成品保护</w:t>
      </w:r>
    </w:p>
    <w:p w14:paraId="69B4A4B3">
      <w:pPr>
        <w:pStyle w:val="135"/>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b/>
          <w:bCs/>
          <w:color w:val="auto"/>
          <w:kern w:val="0"/>
          <w:highlight w:val="none"/>
          <w:u w:val="single"/>
        </w:rPr>
        <w:t>按通用合同条款第3.6条规定执行</w:t>
      </w:r>
      <w:r>
        <w:rPr>
          <w:rFonts w:hint="eastAsia" w:ascii="宋体" w:hAnsi="宋体" w:cs="宋体"/>
          <w:color w:val="auto"/>
          <w:kern w:val="0"/>
          <w:highlight w:val="none"/>
        </w:rPr>
        <w:t>。</w:t>
      </w:r>
    </w:p>
    <w:p w14:paraId="72E30A6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3.7 履约担保</w:t>
      </w:r>
    </w:p>
    <w:p w14:paraId="2D80F170">
      <w:pPr>
        <w:pStyle w:val="135"/>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是</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AECA7EC">
      <w:pPr>
        <w:pStyle w:val="135"/>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承包人提供履约担保的形式、金额及期限的，采用以下第</w:t>
      </w:r>
      <w:r>
        <w:rPr>
          <w:rFonts w:hint="eastAsia" w:ascii="宋体" w:hAnsi="宋体" w:cs="宋体"/>
          <w:color w:val="auto"/>
          <w:highlight w:val="none"/>
          <w:u w:val="single"/>
        </w:rPr>
        <w:t>3</w:t>
      </w:r>
      <w:r>
        <w:rPr>
          <w:rFonts w:hint="eastAsia" w:ascii="宋体" w:hAnsi="宋体" w:cs="宋体"/>
          <w:color w:val="auto"/>
          <w:highlight w:val="none"/>
        </w:rPr>
        <w:t>种方式：</w:t>
      </w:r>
    </w:p>
    <w:p w14:paraId="5EF2D55A">
      <w:pPr>
        <w:pStyle w:val="135"/>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(1)保证保险，金额及期限为：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6C0FD62">
      <w:pPr>
        <w:pStyle w:val="135"/>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(2)银行保函，金额及期限为：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728A604A">
      <w:pPr>
        <w:pStyle w:val="135"/>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kern w:val="0"/>
          <w:szCs w:val="24"/>
          <w:highlight w:val="none"/>
        </w:rPr>
        <w:t>(3)其他方式，</w:t>
      </w:r>
      <w:r>
        <w:rPr>
          <w:rFonts w:hint="eastAsia" w:ascii="宋体" w:hAnsi="宋体" w:cs="宋体"/>
          <w:b/>
          <w:bCs/>
          <w:color w:val="auto"/>
          <w:kern w:val="0"/>
          <w:szCs w:val="24"/>
          <w:highlight w:val="none"/>
          <w:u w:val="single"/>
        </w:rPr>
        <w:t>收到采购人发出的签订合同要约后7天内</w:t>
      </w:r>
      <w:r>
        <w:rPr>
          <w:rFonts w:hint="eastAsia" w:ascii="宋体" w:hAnsi="宋体" w:cs="宋体"/>
          <w:b/>
          <w:bCs/>
          <w:color w:val="auto"/>
          <w:highlight w:val="none"/>
          <w:u w:val="single"/>
        </w:rPr>
        <w:t>，承包人向发包人递交合同价2%的履约保证金（履约担保的形式：电汇、汇票、支票形式或银行、保险公司出具的保函）</w:t>
      </w:r>
      <w:r>
        <w:rPr>
          <w:rFonts w:hint="eastAsia" w:ascii="宋体" w:hAnsi="宋体" w:cs="宋体"/>
          <w:color w:val="auto"/>
          <w:highlight w:val="none"/>
          <w:u w:val="single"/>
        </w:rPr>
        <w:t>。</w:t>
      </w:r>
    </w:p>
    <w:p w14:paraId="268640B6">
      <w:pPr>
        <w:pStyle w:val="135"/>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履约保证金分五部分，其中：</w:t>
      </w:r>
    </w:p>
    <w:p w14:paraId="2BB187F4">
      <w:pPr>
        <w:pStyle w:val="135"/>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（a）质量履约保证金占30%，发生质量事故的，则按磋商文件和合同中相关条款处罚。</w:t>
      </w:r>
    </w:p>
    <w:p w14:paraId="71D60EF2">
      <w:pPr>
        <w:pStyle w:val="135"/>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（b）工期履约保证金占40%，工期以合同为准，若不能按期竣工，则按磋商文件和合同中相关条款处罚。</w:t>
      </w:r>
    </w:p>
    <w:p w14:paraId="7E89EBB6">
      <w:pPr>
        <w:pStyle w:val="135"/>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（c）项目经理及项目班子到位履约保证金占20%。项目经理不能到位，则按磋商文件和合同中相关条款处罚。</w:t>
      </w:r>
    </w:p>
    <w:p w14:paraId="52EB7419">
      <w:pPr>
        <w:pStyle w:val="135"/>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（d）安全生产、文明施工履约保证金占5%。发生重大人身安全事故的，罚没该部分保证金。</w:t>
      </w:r>
    </w:p>
    <w:p w14:paraId="507228D8">
      <w:pPr>
        <w:pStyle w:val="135"/>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（e）廉洁自律、计划生育履约保证金占5%。发生违反廉政合同或计划生育行为的，罚没该部分保证金。</w:t>
      </w:r>
    </w:p>
    <w:p w14:paraId="32ED9032">
      <w:pPr>
        <w:pStyle w:val="135"/>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5"/>
        <w:adjustRightInd w:val="0"/>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 监理人</w:t>
      </w:r>
    </w:p>
    <w:p w14:paraId="4BD9368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4.1监理人的一般规定</w:t>
      </w:r>
    </w:p>
    <w:p w14:paraId="3FF919C7">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b/>
          <w:bCs/>
          <w:color w:val="auto"/>
          <w:highlight w:val="none"/>
          <w:u w:val="single"/>
        </w:rPr>
        <w:t>现场全过程协调，负责质量、安全、投资、进度管理</w:t>
      </w:r>
      <w:r>
        <w:rPr>
          <w:rFonts w:hint="eastAsia" w:ascii="宋体" w:hAnsi="宋体" w:cs="宋体"/>
          <w:color w:val="auto"/>
          <w:highlight w:val="none"/>
        </w:rPr>
        <w:t>。</w:t>
      </w:r>
    </w:p>
    <w:p w14:paraId="2B933DA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b/>
          <w:bCs/>
          <w:color w:val="auto"/>
          <w:highlight w:val="none"/>
          <w:u w:val="single"/>
        </w:rPr>
        <w:t>按监理合同约定实行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72A733F">
      <w:pPr>
        <w:pStyle w:val="129"/>
        <w:adjustRightInd w:val="0"/>
        <w:snapToGrid w:val="0"/>
        <w:spacing w:line="360" w:lineRule="exact"/>
        <w:ind w:firstLine="420" w:firstLineChars="200"/>
        <w:rPr>
          <w:rFonts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b/>
          <w:bCs/>
          <w:color w:val="auto"/>
          <w:highlight w:val="none"/>
          <w:u w:val="single"/>
        </w:rPr>
        <w:t>监理人在施工现场的办公场所、生活场所及发生的水电费由承包人提供和承担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83BACD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4.2 监理人员</w:t>
      </w:r>
    </w:p>
    <w:p w14:paraId="2F7520E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总监理工程师：</w:t>
      </w:r>
    </w:p>
    <w:p w14:paraId="742AF878">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17FC6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7F91F4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BFE7C6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750D8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89B78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5941F9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A97C90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4.4 商定或确定</w:t>
      </w:r>
    </w:p>
    <w:p w14:paraId="769B1B7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4021F2CE">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3AE074C">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90AB072">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64AF633">
      <w:pPr>
        <w:pStyle w:val="555"/>
        <w:adjustRightInd w:val="0"/>
        <w:snapToGrid w:val="0"/>
        <w:spacing w:before="0" w:after="0" w:line="36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5.1 质量要求</w:t>
      </w:r>
    </w:p>
    <w:p w14:paraId="37D9A7B9">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5.1.1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C241031">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关于工程奖项的约定：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D4F557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5.3 隐蔽工程检查</w:t>
      </w:r>
    </w:p>
    <w:p w14:paraId="61292DB4">
      <w:pPr>
        <w:pStyle w:val="135"/>
        <w:adjustRightInd w:val="0"/>
        <w:snapToGrid w:val="0"/>
        <w:spacing w:line="360" w:lineRule="exact"/>
        <w:ind w:firstLine="420" w:firstLineChars="200"/>
        <w:jc w:val="left"/>
        <w:rPr>
          <w:rFonts w:ascii="宋体" w:hAnsi="宋体" w:cs="宋体"/>
          <w:b/>
          <w:bCs/>
          <w:i/>
          <w:iCs/>
          <w:color w:val="auto"/>
          <w:highlight w:val="none"/>
          <w:u w:val="single"/>
        </w:rPr>
      </w:pPr>
      <w:r>
        <w:rPr>
          <w:rFonts w:hint="eastAsia" w:ascii="宋体" w:hAnsi="宋体" w:cs="宋体"/>
          <w:color w:val="auto"/>
          <w:highlight w:val="none"/>
        </w:rPr>
        <w:t>5.3.2承包人提前通知监理人隐蔽工程检查的期限的约定：</w:t>
      </w:r>
      <w:r>
        <w:rPr>
          <w:rFonts w:hint="eastAsia" w:ascii="宋体" w:hAnsi="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24</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6FDA4659">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b/>
          <w:bCs/>
          <w:color w:val="auto"/>
          <w:highlight w:val="none"/>
          <w:u w:val="single"/>
        </w:rPr>
        <w:t xml:space="preserve"> 48</w:t>
      </w:r>
      <w:r>
        <w:rPr>
          <w:rFonts w:hint="eastAsia" w:ascii="宋体" w:hAnsi="宋体" w:cs="宋体"/>
          <w:color w:val="auto"/>
          <w:highlight w:val="none"/>
          <w:u w:val="single"/>
        </w:rPr>
        <w:t xml:space="preserve"> </w:t>
      </w:r>
      <w:r>
        <w:rPr>
          <w:rFonts w:hint="eastAsia" w:ascii="宋体" w:hAnsi="宋体" w:cs="宋体"/>
          <w:color w:val="auto"/>
          <w:highlight w:val="none"/>
        </w:rPr>
        <w:t>小时。</w:t>
      </w:r>
    </w:p>
    <w:p w14:paraId="3AC59102">
      <w:pPr>
        <w:pStyle w:val="555"/>
        <w:adjustRightInd w:val="0"/>
        <w:snapToGrid w:val="0"/>
        <w:spacing w:before="0" w:after="0" w:line="36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6.1安全文明施工</w:t>
      </w:r>
    </w:p>
    <w:p w14:paraId="5E0FC4E1">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6.1.1 项目安全生产的达标目标及相应事项的约定：</w:t>
      </w:r>
      <w:r>
        <w:rPr>
          <w:rFonts w:hint="eastAsia" w:ascii="宋体" w:hAnsi="宋体" w:cs="宋体"/>
          <w:color w:val="auto"/>
          <w:highlight w:val="none"/>
          <w:u w:val="single"/>
        </w:rPr>
        <w:t xml:space="preserve"> 施工现场按照《建筑施工安全检查标准》(JGJ59-2011)评定达到“合格”标准 </w:t>
      </w:r>
      <w:r>
        <w:rPr>
          <w:rFonts w:hint="eastAsia" w:ascii="宋体" w:hAnsi="宋体" w:cs="宋体"/>
          <w:color w:val="auto"/>
          <w:highlight w:val="none"/>
        </w:rPr>
        <w:t>。</w:t>
      </w:r>
    </w:p>
    <w:p w14:paraId="5E2DE7C2">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6.1.4 关于治安保卫的特别约定：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03FB6D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rPr>
        <w:t>。</w:t>
      </w:r>
    </w:p>
    <w:p w14:paraId="1D1F982F">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6.1.5 文明施工</w:t>
      </w:r>
    </w:p>
    <w:p w14:paraId="498C6B9D">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合同当事人对文明施工的要求：</w:t>
      </w:r>
    </w:p>
    <w:p w14:paraId="656700CD">
      <w:pPr>
        <w:pStyle w:val="135"/>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5"/>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（2）承包人应对进入施工现场的施工人员进行安全文明教育，配备必要的劳动保护用具，保证工程的施工安全和人身安全；</w:t>
      </w:r>
    </w:p>
    <w:p w14:paraId="345AAE15">
      <w:pPr>
        <w:pStyle w:val="135"/>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（3）承包人应注意保护施工现场已完建筑物的安全；</w:t>
      </w:r>
    </w:p>
    <w:p w14:paraId="68927429">
      <w:pPr>
        <w:pStyle w:val="135"/>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5"/>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（8）上述手续办理费用约定如下：</w:t>
      </w:r>
      <w:r>
        <w:rPr>
          <w:rFonts w:hint="eastAsia" w:ascii="宋体" w:hAnsi="宋体" w:cs="宋体"/>
          <w:color w:val="auto"/>
          <w:highlight w:val="none"/>
          <w:u w:val="single"/>
        </w:rPr>
        <w:t xml:space="preserve"> 由承包人承担 </w:t>
      </w:r>
      <w:r>
        <w:rPr>
          <w:rFonts w:hint="eastAsia" w:ascii="宋体" w:hAnsi="宋体" w:cs="宋体"/>
          <w:color w:val="auto"/>
          <w:highlight w:val="none"/>
        </w:rPr>
        <w:t>。</w:t>
      </w:r>
    </w:p>
    <w:p w14:paraId="46E24FA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6.1.6 关于安全文明施工费支付比例和支付期限的约定：</w:t>
      </w:r>
      <w:r>
        <w:rPr>
          <w:rFonts w:hint="eastAsia" w:ascii="宋体" w:hAnsi="宋体" w:cs="宋体"/>
          <w:color w:val="auto"/>
          <w:highlight w:val="none"/>
          <w:u w:val="single"/>
        </w:rPr>
        <w:t>按通用合同条款第6.1.6条规定执行</w:t>
      </w:r>
      <w:r>
        <w:rPr>
          <w:rFonts w:hint="eastAsia" w:ascii="宋体" w:hAnsi="宋体" w:cs="宋体"/>
          <w:color w:val="auto"/>
          <w:highlight w:val="none"/>
        </w:rPr>
        <w:t>。</w:t>
      </w:r>
    </w:p>
    <w:p w14:paraId="4836C17B">
      <w:pPr>
        <w:pStyle w:val="555"/>
        <w:adjustRightInd w:val="0"/>
        <w:snapToGrid w:val="0"/>
        <w:spacing w:before="0" w:after="0" w:line="36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7.1 施工组织设计</w:t>
      </w:r>
    </w:p>
    <w:p w14:paraId="1B89A14A">
      <w:pPr>
        <w:pStyle w:val="135"/>
        <w:autoSpaceDE w:val="0"/>
        <w:autoSpaceDN w:val="0"/>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7.1.1 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7291541">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7D9B1008">
      <w:pPr>
        <w:pStyle w:val="135"/>
        <w:autoSpaceDE w:val="0"/>
        <w:autoSpaceDN w:val="0"/>
        <w:adjustRightInd w:val="0"/>
        <w:snapToGrid w:val="0"/>
        <w:spacing w:line="360" w:lineRule="exact"/>
        <w:jc w:val="left"/>
        <w:rPr>
          <w:rFonts w:ascii="宋体" w:hAnsi="宋体" w:cs="宋体"/>
          <w:color w:val="auto"/>
          <w:highlight w:val="none"/>
        </w:rPr>
      </w:pPr>
      <w:r>
        <w:rPr>
          <w:rFonts w:hint="eastAsia" w:ascii="宋体" w:hAnsi="宋体" w:cs="宋体"/>
          <w:color w:val="auto"/>
          <w:kern w:val="0"/>
          <w:highlight w:val="none"/>
        </w:rPr>
        <w:t xml:space="preserve">    承包人提交详细施工组织设计的期限的约定：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开工前7天内提供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30D512">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F92945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7.2 施工进度计划</w:t>
      </w:r>
    </w:p>
    <w:p w14:paraId="2F4434EF">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7.2.2 施工进度计划的修订</w:t>
      </w:r>
    </w:p>
    <w:p w14:paraId="703C1AAE">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接到报告后7天内予以批复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7F71C4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7.3 开工</w:t>
      </w:r>
    </w:p>
    <w:p w14:paraId="7777DA16">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7.3.1 开工准备</w:t>
      </w:r>
    </w:p>
    <w:p w14:paraId="476CF814">
      <w:pPr>
        <w:pStyle w:val="135"/>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关于承包人提交</w:t>
      </w:r>
      <w:r>
        <w:rPr>
          <w:rFonts w:hint="eastAsia" w:ascii="宋体" w:hAnsi="宋体" w:cs="宋体"/>
          <w:color w:val="auto"/>
          <w:kern w:val="0"/>
          <w:highlight w:val="none"/>
        </w:rPr>
        <w:t>工程开工报审表的期限：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开工前7天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F16FFAB">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关于发包人应完成的其他开工准备工作及期限：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7D5455">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关于承包人应完成的其他开工准备工作及期限：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5FE418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7.3.2开工通知</w:t>
      </w:r>
    </w:p>
    <w:p w14:paraId="44DB0FBF">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120 </w:t>
      </w:r>
      <w:r>
        <w:rPr>
          <w:rFonts w:hint="eastAsia" w:ascii="宋体" w:hAnsi="宋体" w:cs="宋体"/>
          <w:color w:val="auto"/>
          <w:highlight w:val="none"/>
          <w:u w:val="single"/>
        </w:rPr>
        <w:t xml:space="preserve"> </w:t>
      </w:r>
      <w:r>
        <w:rPr>
          <w:rFonts w:hint="eastAsia" w:ascii="宋体" w:hAnsi="宋体" w:cs="宋体"/>
          <w:color w:val="auto"/>
          <w:highlight w:val="none"/>
        </w:rPr>
        <w:t>天内发出开工通知的，承包人有权提出价格调整要求，或者解除合同。</w:t>
      </w:r>
    </w:p>
    <w:p w14:paraId="2D231C5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7.4 测量放线</w:t>
      </w:r>
    </w:p>
    <w:p w14:paraId="6EDAAE4F">
      <w:pPr>
        <w:pStyle w:val="135"/>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E1BA87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7.5 工期延误</w:t>
      </w:r>
    </w:p>
    <w:p w14:paraId="4C96DC09">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7.5.1 因发包人原因导致工期延误</w:t>
      </w:r>
    </w:p>
    <w:p w14:paraId="6877121F">
      <w:pPr>
        <w:pStyle w:val="135"/>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（7）因发包人原因导致工期延误的其他情形：</w:t>
      </w:r>
    </w:p>
    <w:p w14:paraId="44DC5C4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①重大设计变更引起的工期延误；</w:t>
      </w:r>
    </w:p>
    <w:p w14:paraId="2DC10E0B">
      <w:pPr>
        <w:pStyle w:val="135"/>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highlight w:val="none"/>
        </w:rPr>
        <w:t>②其他：</w:t>
      </w:r>
      <w:r>
        <w:rPr>
          <w:rFonts w:hint="eastAsia" w:ascii="宋体" w:hAnsi="宋体" w:cs="宋体"/>
          <w:b/>
          <w:bCs/>
          <w:color w:val="auto"/>
          <w:highlight w:val="none"/>
          <w:u w:val="single"/>
        </w:rPr>
        <w:t>由发包人原因造成的工期延误，并经发包人和监理签证确认；</w:t>
      </w:r>
    </w:p>
    <w:p w14:paraId="34FCA5D3">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7.5.2 因承包人原因导致工期延误</w:t>
      </w:r>
    </w:p>
    <w:p w14:paraId="23647CCC">
      <w:pPr>
        <w:pStyle w:val="135"/>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因承包人原因造成工期延误，逾期竣工违约金的计算方法为：</w:t>
      </w:r>
    </w:p>
    <w:p w14:paraId="327B98EC">
      <w:pPr>
        <w:pStyle w:val="135"/>
        <w:adjustRightInd w:val="0"/>
        <w:snapToGrid w:val="0"/>
        <w:spacing w:line="36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u w:val="single"/>
        </w:rPr>
        <w:t>因承包人原因工程不能按合同约定工期竣工，每延误一天，承包人应按每天人民币1000元向发包人支付违约金。</w:t>
      </w:r>
    </w:p>
    <w:p w14:paraId="6DBBDEA3">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扣除全部工期履约保证金</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6B83981">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7.5.3因其他原因导致工期延误</w:t>
      </w:r>
    </w:p>
    <w:p w14:paraId="38BB7FE8">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7.6 不利物质条件</w:t>
      </w:r>
    </w:p>
    <w:p w14:paraId="0D3C0BC0">
      <w:pPr>
        <w:pStyle w:val="135"/>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按通用合同条款第7.6条规定执行</w:t>
      </w:r>
      <w:r>
        <w:rPr>
          <w:rFonts w:hint="eastAsia" w:ascii="宋体" w:hAnsi="宋体" w:cs="宋体"/>
          <w:color w:val="auto"/>
          <w:highlight w:val="none"/>
        </w:rPr>
        <w:t>。</w:t>
      </w:r>
    </w:p>
    <w:p w14:paraId="3FB6C775">
      <w:pPr>
        <w:pStyle w:val="135"/>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szCs w:val="24"/>
          <w:highlight w:val="none"/>
        </w:rPr>
        <w:t>(4)其他：</w:t>
      </w:r>
      <w:r>
        <w:rPr>
          <w:rFonts w:hint="eastAsia" w:ascii="宋体" w:hAnsi="宋体" w:cs="宋体"/>
          <w:b/>
          <w:bCs/>
          <w:color w:val="auto"/>
          <w:highlight w:val="none"/>
          <w:u w:val="single"/>
        </w:rPr>
        <w:t>按通用合同条款第7.6条规定执行</w:t>
      </w:r>
      <w:r>
        <w:rPr>
          <w:rFonts w:hint="eastAsia" w:ascii="宋体" w:hAnsi="宋体" w:cs="宋体"/>
          <w:color w:val="auto"/>
          <w:highlight w:val="none"/>
        </w:rPr>
        <w:t>。</w:t>
      </w:r>
    </w:p>
    <w:p w14:paraId="46F341B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7.7异常恶劣的气候条件</w:t>
      </w:r>
    </w:p>
    <w:p w14:paraId="46A1D930">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p>
    <w:p w14:paraId="096A812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7.9 提前竣工的奖励</w:t>
      </w:r>
    </w:p>
    <w:p w14:paraId="083A3E4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7.9.2提前竣工的奖励：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r>
        <w:rPr>
          <w:rFonts w:hint="eastAsia" w:ascii="宋体" w:hAnsi="宋体" w:cs="宋体"/>
          <w:color w:val="auto"/>
          <w:highlight w:val="none"/>
        </w:rPr>
        <w:t>。</w:t>
      </w:r>
    </w:p>
    <w:p w14:paraId="253B8F5B">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8.4材料与工程设备的保管与使用</w:t>
      </w:r>
    </w:p>
    <w:p w14:paraId="130060D7">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8.4.1发包人供应的材料设备的保管费用的承担：</w:t>
      </w:r>
    </w:p>
    <w:p w14:paraId="4C853362">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1、发包人供应的材料设备保管费用、安装过程中的二次搬运和设备就位费、检验试验费由承包人投标时报价包干；</w:t>
      </w:r>
    </w:p>
    <w:p w14:paraId="217F3805">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2、因承包人原因发生材料丢失损坏，由承包人负责赔偿。</w:t>
      </w:r>
    </w:p>
    <w:p w14:paraId="3CC22D1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8.6 样品</w:t>
      </w:r>
    </w:p>
    <w:p w14:paraId="264F6337">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8.6.1样品的报送与封存</w:t>
      </w:r>
    </w:p>
    <w:p w14:paraId="4834EBAE">
      <w:pPr>
        <w:pStyle w:val="135"/>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按通用合同条款8.6.1条规定执行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3BAECB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8.8 施工设备和临时设施</w:t>
      </w:r>
    </w:p>
    <w:p w14:paraId="5F0BA521">
      <w:pPr>
        <w:pStyle w:val="135"/>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8.8.1 承包人提供的施工设备和临时设施</w:t>
      </w:r>
    </w:p>
    <w:p w14:paraId="50142C44">
      <w:pPr>
        <w:pStyle w:val="135"/>
        <w:autoSpaceDE w:val="0"/>
        <w:autoSpaceDN w:val="0"/>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关于修建临时设施费用承担的约定：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按通用合同条款第8.8.1条规定执行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20A1D0C">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9.1试验设备与试验人员</w:t>
      </w:r>
    </w:p>
    <w:p w14:paraId="6050A13E">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9.1.2 试验设备</w:t>
      </w:r>
    </w:p>
    <w:p w14:paraId="71F36C77">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施工现场需要配置的试验场所：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6297065D">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施工现场需要配备的试验设备：</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138C5DC">
      <w:pPr>
        <w:pStyle w:val="135"/>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FE1959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9.3材料、工程设备和工程的试验和检验</w:t>
      </w:r>
    </w:p>
    <w:p w14:paraId="02540A6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试验、检测单位资质条件约定；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1FF70D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试验、检测单位选择约定：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61395A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试验、检测费用约定：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A99FC58">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9.4 现场工艺试验 </w:t>
      </w:r>
    </w:p>
    <w:p w14:paraId="2E627166">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现场工艺试验的有关约定：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按通用合同条款第9.4条规定执行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7AB8053">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10.1变更的范围</w:t>
      </w:r>
    </w:p>
    <w:p w14:paraId="3CDAE962">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关于变更的范围的约定：</w:t>
      </w:r>
      <w:r>
        <w:rPr>
          <w:rFonts w:hint="eastAsia" w:ascii="宋体" w:hAnsi="宋体" w:cs="宋体"/>
          <w:color w:val="auto"/>
          <w:highlight w:val="none"/>
          <w:u w:val="single"/>
        </w:rPr>
        <w:t>按通用合同条款约定</w:t>
      </w:r>
      <w:r>
        <w:rPr>
          <w:rFonts w:hint="eastAsia" w:ascii="宋体" w:hAnsi="宋体" w:cs="宋体"/>
          <w:color w:val="auto"/>
          <w:highlight w:val="none"/>
        </w:rPr>
        <w:t>。</w:t>
      </w:r>
    </w:p>
    <w:p w14:paraId="13F1790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10.4 变更估价</w:t>
      </w:r>
    </w:p>
    <w:p w14:paraId="637C5663">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10.4.1 变更估价原则</w:t>
      </w:r>
    </w:p>
    <w:p w14:paraId="514BC006">
      <w:pPr>
        <w:pStyle w:val="135"/>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highlight w:val="none"/>
        </w:rPr>
        <w:t>关于变更估价的约定:</w:t>
      </w:r>
      <w:r>
        <w:rPr>
          <w:rFonts w:hint="eastAsia" w:ascii="宋体" w:hAnsi="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10.5承包人的合理化建议</w:t>
      </w:r>
    </w:p>
    <w:p w14:paraId="0B0C810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按通用合同条款第10.5条规定执行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C0A56B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按通用合同条款第10.5条规定执行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1061A3">
      <w:pPr>
        <w:pStyle w:val="135"/>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承包人提出的合理化建议降低了合同价格或者提高了工程经济效益的奖励的方法和金额为：</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另行协商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18E1E2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10.7 暂估价</w:t>
      </w:r>
    </w:p>
    <w:p w14:paraId="266A9E05">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暂估价材料和工程设备的明细：</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08C27AAE">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10.7.1 依法必须招标的暂估价项目</w:t>
      </w:r>
    </w:p>
    <w:p w14:paraId="0A28B3B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73D8CD7E">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10.7.2 不属于依法必须招标的暂估价项目</w:t>
      </w:r>
    </w:p>
    <w:p w14:paraId="620CC4D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63970960">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59D6873D">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承包人直接实施的暂估价项目的约定：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3336EC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10.8 暂列金额</w:t>
      </w:r>
    </w:p>
    <w:p w14:paraId="00E4027D">
      <w:pPr>
        <w:pStyle w:val="135"/>
        <w:autoSpaceDE w:val="0"/>
        <w:autoSpaceDN w:val="0"/>
        <w:adjustRightInd w:val="0"/>
        <w:snapToGrid w:val="0"/>
        <w:spacing w:line="360" w:lineRule="exact"/>
        <w:jc w:val="left"/>
        <w:rPr>
          <w:rFonts w:ascii="宋体" w:hAnsi="宋体" w:cs="宋体"/>
          <w:color w:val="auto"/>
          <w:kern w:val="0"/>
          <w:highlight w:val="none"/>
        </w:rPr>
      </w:pPr>
      <w:r>
        <w:rPr>
          <w:rFonts w:hint="eastAsia" w:ascii="宋体" w:hAnsi="宋体" w:cs="宋体"/>
          <w:color w:val="auto"/>
          <w:kern w:val="0"/>
          <w:highlight w:val="none"/>
        </w:rPr>
        <w:t xml:space="preserve">    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28CD8532">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 市场价格波动引起的调整</w:t>
      </w:r>
    </w:p>
    <w:p w14:paraId="4D117055">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602507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   </w:t>
      </w:r>
      <w:r>
        <w:rPr>
          <w:rFonts w:hint="eastAsia" w:ascii="宋体" w:hAnsi="宋体" w:cs="宋体"/>
          <w:color w:val="auto"/>
          <w:highlight w:val="none"/>
        </w:rPr>
        <w:t>种方式对合同价格进行调整：</w:t>
      </w:r>
    </w:p>
    <w:p w14:paraId="4B30FF12">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第1种方式：采用价格指数进行价格调整。</w:t>
      </w:r>
    </w:p>
    <w:p w14:paraId="4670EB9B">
      <w:pPr>
        <w:pStyle w:val="135"/>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4CFD972E">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第2种方式：采用造价信息进行价格调整。</w:t>
      </w:r>
    </w:p>
    <w:p w14:paraId="0DC340C1">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（2）关于基准价格的约定：</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D5EED76">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3E4F97ED">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%时，材料单价涨幅以已标价工程量清单或预算书中载明材料单价为基础超过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65F02F3F">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51F57933">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第3种方式：其他价格调整方式：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0923D67">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12.1 合同价格形式</w:t>
      </w:r>
    </w:p>
    <w:p w14:paraId="0EFA8FFB">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1、单价合同。</w:t>
      </w:r>
    </w:p>
    <w:p w14:paraId="77094580">
      <w:pPr>
        <w:pStyle w:val="135"/>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highlight w:val="none"/>
        </w:rPr>
        <w:t>综合单价包含的风险范围：</w:t>
      </w:r>
    </w:p>
    <w:p w14:paraId="3D764543">
      <w:pPr>
        <w:spacing w:line="36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35"/>
        <w:adjustRightInd w:val="0"/>
        <w:snapToGrid w:val="0"/>
        <w:spacing w:line="360" w:lineRule="exact"/>
        <w:ind w:firstLine="420"/>
        <w:jc w:val="left"/>
        <w:rPr>
          <w:rFonts w:ascii="宋体" w:hAnsi="宋体" w:cs="宋体"/>
          <w:b/>
          <w:bCs/>
          <w:i/>
          <w:iCs/>
          <w:color w:val="auto"/>
          <w:highlight w:val="none"/>
        </w:rPr>
      </w:pPr>
      <w:r>
        <w:rPr>
          <w:rFonts w:hint="eastAsia" w:ascii="宋体" w:hAnsi="宋体" w:cs="宋体"/>
          <w:bCs/>
          <w:color w:val="auto"/>
          <w:szCs w:val="21"/>
          <w:highlight w:val="none"/>
        </w:rPr>
        <w:t>（2）其他：</w:t>
      </w:r>
      <w:r>
        <w:rPr>
          <w:rFonts w:hint="eastAsia" w:ascii="宋体" w:hAnsi="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cs="宋体"/>
          <w:b/>
          <w:bCs/>
          <w:color w:val="auto"/>
          <w:kern w:val="0"/>
          <w:highlight w:val="none"/>
          <w:u w:val="single"/>
          <w:shd w:val="clear" w:color="auto" w:fill="FFFFFF"/>
        </w:rPr>
        <w:t>。除政府出台价格调整政策且审计单位认为适用情况外，价格不作调整。</w:t>
      </w:r>
    </w:p>
    <w:p w14:paraId="634DBA83">
      <w:pPr>
        <w:pStyle w:val="135"/>
        <w:adjustRightInd w:val="0"/>
        <w:snapToGrid w:val="0"/>
        <w:spacing w:line="360" w:lineRule="exact"/>
        <w:ind w:firstLine="420"/>
        <w:jc w:val="left"/>
        <w:rPr>
          <w:rFonts w:ascii="宋体" w:hAnsi="宋体" w:cs="宋体"/>
          <w:b/>
          <w:bCs/>
          <w:color w:val="auto"/>
          <w:highlight w:val="none"/>
          <w:u w:val="single"/>
        </w:rPr>
      </w:pPr>
      <w:r>
        <w:rPr>
          <w:rFonts w:hint="eastAsia" w:ascii="宋体" w:hAnsi="宋体" w:cs="宋体"/>
          <w:color w:val="auto"/>
          <w:highlight w:val="none"/>
        </w:rPr>
        <w:t>风险费用计算方法：</w:t>
      </w:r>
      <w:r>
        <w:rPr>
          <w:rFonts w:hint="eastAsia" w:ascii="宋体" w:hAnsi="宋体" w:cs="宋体"/>
          <w:b/>
          <w:bCs/>
          <w:color w:val="auto"/>
          <w:highlight w:val="none"/>
          <w:u w:val="single"/>
        </w:rPr>
        <w:t>以上风险费用在投标报价时考虑，不再另行计取。</w:t>
      </w:r>
    </w:p>
    <w:p w14:paraId="793896B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14:paraId="1A0F4479">
      <w:pPr>
        <w:pStyle w:val="135"/>
        <w:adjustRightInd w:val="0"/>
        <w:snapToGrid w:val="0"/>
        <w:spacing w:line="360" w:lineRule="exact"/>
        <w:ind w:firstLine="420" w:firstLineChars="200"/>
        <w:rPr>
          <w:rFonts w:ascii="宋体" w:hAnsi="宋体" w:cs="宋体"/>
          <w:bCs/>
          <w:snapToGrid w:val="0"/>
          <w:color w:val="auto"/>
          <w:kern w:val="0"/>
          <w:szCs w:val="21"/>
          <w:highlight w:val="none"/>
          <w:u w:val="single"/>
        </w:rPr>
      </w:pPr>
      <w:r>
        <w:rPr>
          <w:rFonts w:hint="eastAsia" w:ascii="宋体" w:hAnsi="宋体" w:cs="宋体"/>
          <w:bCs/>
          <w:snapToGrid w:val="0"/>
          <w:color w:val="auto"/>
          <w:kern w:val="0"/>
          <w:szCs w:val="21"/>
          <w:highlight w:val="none"/>
          <w:u w:val="single"/>
        </w:rPr>
        <w:t>（1）市场价格波动引起的调整按本合同11.1第3种方式的约定计算。</w:t>
      </w:r>
    </w:p>
    <w:p w14:paraId="2565E607">
      <w:pPr>
        <w:pStyle w:val="135"/>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bCs/>
          <w:color w:val="auto"/>
          <w:szCs w:val="21"/>
          <w:highlight w:val="none"/>
        </w:rPr>
        <w:t>（2）其他：</w:t>
      </w:r>
      <w:r>
        <w:rPr>
          <w:rFonts w:hint="eastAsia" w:ascii="宋体" w:hAnsi="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2、总价合同。</w:t>
      </w:r>
    </w:p>
    <w:p w14:paraId="66FDDB43">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808BE11">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风险费用的计算方法：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674F96C">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13F765E">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3、其他价格方式：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3B522D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12.2 预付款</w:t>
      </w:r>
    </w:p>
    <w:p w14:paraId="731F566D">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12.2.1 预付款的支付</w:t>
      </w:r>
    </w:p>
    <w:p w14:paraId="2DF710F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合同总价的40%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05D3930">
      <w:pPr>
        <w:spacing w:line="360" w:lineRule="exact"/>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b/>
          <w:bCs/>
          <w:color w:val="auto"/>
          <w:highlight w:val="none"/>
          <w:u w:val="single"/>
        </w:rPr>
        <w:t xml:space="preserve"> 合同签订，承包人递交履约保证金及对等金额的预付款担保后</w:t>
      </w:r>
      <w:r>
        <w:rPr>
          <w:rFonts w:hint="eastAsia" w:ascii="宋体" w:hAnsi="宋体" w:cs="宋体"/>
          <w:color w:val="auto"/>
          <w:highlight w:val="none"/>
        </w:rPr>
        <w:t>。</w:t>
      </w:r>
    </w:p>
    <w:p w14:paraId="1CD51A41">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0836D6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12.2.2 预付款担保</w:t>
      </w:r>
    </w:p>
    <w:p w14:paraId="5734280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承包人提交预付款担保的期限：</w:t>
      </w:r>
      <w:r>
        <w:rPr>
          <w:rFonts w:hint="eastAsia" w:ascii="宋体" w:hAnsi="宋体" w:cs="宋体"/>
          <w:color w:val="auto"/>
          <w:highlight w:val="none"/>
          <w:u w:val="single"/>
        </w:rPr>
        <w:t xml:space="preserve"> 本合同签订之日起7日内承包人向发包人提交担保额度为合同价的40%的无条件的不可撤销的保函 </w:t>
      </w:r>
      <w:r>
        <w:rPr>
          <w:rFonts w:hint="eastAsia" w:ascii="宋体" w:hAnsi="宋体" w:cs="宋体"/>
          <w:color w:val="auto"/>
          <w:highlight w:val="none"/>
        </w:rPr>
        <w:t>。</w:t>
      </w:r>
    </w:p>
    <w:p w14:paraId="65EEC9A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预付款担保的形式为：</w:t>
      </w:r>
      <w:r>
        <w:rPr>
          <w:rFonts w:hint="eastAsia" w:ascii="宋体" w:hAnsi="宋体" w:cs="宋体"/>
          <w:color w:val="auto"/>
          <w:highlight w:val="none"/>
          <w:u w:val="single"/>
        </w:rPr>
        <w:t>银行、保险公司出具的保函</w:t>
      </w:r>
      <w:r>
        <w:rPr>
          <w:rFonts w:hint="eastAsia" w:ascii="宋体" w:hAnsi="宋体" w:cs="宋体"/>
          <w:color w:val="auto"/>
          <w:highlight w:val="none"/>
        </w:rPr>
        <w:t>。</w:t>
      </w:r>
    </w:p>
    <w:p w14:paraId="520024F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12.3 计量</w:t>
      </w:r>
    </w:p>
    <w:p w14:paraId="0D5C99CC">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12.3.1 计量原则</w:t>
      </w:r>
    </w:p>
    <w:p w14:paraId="62B5526F">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工程量计算规则：</w:t>
      </w:r>
    </w:p>
    <w:p w14:paraId="6506A771">
      <w:pPr>
        <w:spacing w:line="360" w:lineRule="exact"/>
        <w:ind w:firstLine="420" w:firstLineChars="200"/>
        <w:rPr>
          <w:rFonts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12.3.2 计量周期</w:t>
      </w:r>
    </w:p>
    <w:p w14:paraId="783C1B5D">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工程量的计量按月进行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AB7A5C1">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12.3.3 单价合同的计量</w:t>
      </w:r>
    </w:p>
    <w:p w14:paraId="198DDB40">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关于单价合同计量的约定：</w:t>
      </w:r>
      <w:r>
        <w:rPr>
          <w:rFonts w:hint="eastAsia" w:ascii="宋体" w:hAnsi="宋体" w:cs="宋体"/>
          <w:b/>
          <w:bCs/>
          <w:color w:val="auto"/>
          <w:highlight w:val="none"/>
          <w:u w:val="single"/>
        </w:rPr>
        <w:t xml:space="preserve">  按通用合同条款第12.3.3条规定执行。</w:t>
      </w:r>
    </w:p>
    <w:p w14:paraId="7A7805C4">
      <w:pPr>
        <w:spacing w:line="360" w:lineRule="exact"/>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12.3.4 总价合同的计量</w:t>
      </w:r>
    </w:p>
    <w:p w14:paraId="21DC20F1">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w:t>
      </w:r>
      <w:r>
        <w:rPr>
          <w:rFonts w:hint="eastAsia" w:ascii="宋体" w:hAnsi="宋体" w:cs="宋体"/>
          <w:color w:val="auto"/>
          <w:highlight w:val="none"/>
        </w:rPr>
        <w:t>。</w:t>
      </w:r>
    </w:p>
    <w:p w14:paraId="3D38F09B">
      <w:pPr>
        <w:spacing w:line="360" w:lineRule="exact"/>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12.3.5总价合同采用支付分解表计量支付的，是否适用第</w:t>
      </w:r>
      <w:r>
        <w:rPr>
          <w:rFonts w:hint="eastAsia" w:ascii="宋体" w:hAnsi="宋体" w:cs="宋体"/>
          <w:color w:val="auto"/>
          <w:kern w:val="0"/>
          <w:highlight w:val="none"/>
        </w:rPr>
        <w:t xml:space="preserve">12.3.4 </w:t>
      </w:r>
      <w:r>
        <w:rPr>
          <w:rFonts w:hint="eastAsia" w:ascii="宋体" w:hAnsi="宋体" w:cs="宋体"/>
          <w:color w:val="auto"/>
          <w:highlight w:val="none"/>
        </w:rPr>
        <w:t>项</w:t>
      </w:r>
      <w:r>
        <w:rPr>
          <w:rFonts w:hint="eastAsia" w:ascii="宋体" w:hAnsi="宋体" w:cs="宋体"/>
          <w:color w:val="auto"/>
          <w:kern w:val="0"/>
          <w:highlight w:val="none"/>
        </w:rPr>
        <w:t>〔总价合同的计量〕</w:t>
      </w:r>
      <w:r>
        <w:rPr>
          <w:rFonts w:hint="eastAsia" w:ascii="宋体" w:hAnsi="宋体" w:cs="宋体"/>
          <w:color w:val="auto"/>
          <w:highlight w:val="none"/>
        </w:rPr>
        <w:t>约定进行计量：</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CCE026C">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12.3.6 其他价格形式合同的计量</w:t>
      </w:r>
    </w:p>
    <w:p w14:paraId="470A677C">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其他价格形式的计量方式和程序：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739A8FF">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12.4 工程进度款支付</w:t>
      </w:r>
    </w:p>
    <w:p w14:paraId="17681B70">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12.4.1 付款周期</w:t>
      </w:r>
    </w:p>
    <w:p w14:paraId="37F0B34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关于付款周期的约定：</w:t>
      </w:r>
    </w:p>
    <w:p w14:paraId="40BA4D6F">
      <w:pPr>
        <w:pStyle w:val="135"/>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1、合同价款内的工程款支付：</w:t>
      </w:r>
    </w:p>
    <w:p w14:paraId="0D875AE1">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（4）施工水电费按工程竣工结算审定价的1％计算，在结算审定款中直接扣除。</w:t>
      </w:r>
    </w:p>
    <w:p w14:paraId="7D90CCDD">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（5）以上款项均不计息。在发包人支付上述款项前，承包人必须开具同等数额的正规税务发票，否则发包人有权拒绝支付。</w:t>
      </w:r>
    </w:p>
    <w:p w14:paraId="2A3748D8">
      <w:pPr>
        <w:pStyle w:val="135"/>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2、合同价款外的工程款支付：因工程变更、工程量清单等引起的工程价款在工程审计审定后支付。</w:t>
      </w:r>
    </w:p>
    <w:p w14:paraId="22B6468F">
      <w:pPr>
        <w:pStyle w:val="135"/>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3、发包人审核的进度款工程量仅作为进度款支付依据，不作为结算依据。</w:t>
      </w:r>
    </w:p>
    <w:p w14:paraId="36777A09">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12.4.2 进度付款申请单的编制</w:t>
      </w:r>
    </w:p>
    <w:p w14:paraId="5CC1F04F">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关于进度付款申请单编制的约定：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按通用合同条款第12.4.2条规定执行。</w:t>
      </w:r>
      <w:r>
        <w:rPr>
          <w:rFonts w:hint="eastAsia" w:ascii="宋体" w:hAnsi="宋体" w:cs="宋体"/>
          <w:color w:val="auto"/>
          <w:highlight w:val="none"/>
          <w:u w:val="single"/>
        </w:rPr>
        <w:t xml:space="preserve"> </w:t>
      </w:r>
    </w:p>
    <w:p w14:paraId="780CE5D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12.4.3 进度付款申请单的提交</w:t>
      </w:r>
    </w:p>
    <w:p w14:paraId="2AA8B1A0">
      <w:pPr>
        <w:pStyle w:val="135"/>
        <w:adjustRightInd w:val="0"/>
        <w:snapToGrid w:val="0"/>
        <w:spacing w:line="360" w:lineRule="exact"/>
        <w:ind w:firstLine="420" w:firstLineChars="200"/>
        <w:jc w:val="left"/>
        <w:rPr>
          <w:rFonts w:ascii="宋体" w:hAnsi="宋体" w:cs="宋体"/>
          <w:b/>
          <w:bCs/>
          <w:i/>
          <w:iCs/>
          <w:color w:val="auto"/>
          <w:highlight w:val="none"/>
          <w:u w:val="single"/>
        </w:rPr>
      </w:pPr>
      <w:r>
        <w:rPr>
          <w:rFonts w:hint="eastAsia" w:ascii="宋体" w:hAnsi="宋体" w:cs="宋体"/>
          <w:color w:val="auto"/>
          <w:highlight w:val="none"/>
        </w:rPr>
        <w:t>（1）单价合同进度付款申请单提交的约定：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2A65850">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04A25F2">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F2F505D">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12.4.4 进度款审核和支付</w:t>
      </w:r>
    </w:p>
    <w:p w14:paraId="50C08D5D">
      <w:pPr>
        <w:pStyle w:val="135"/>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b/>
          <w:bCs/>
          <w:color w:val="auto"/>
          <w:highlight w:val="none"/>
          <w:u w:val="single"/>
        </w:rPr>
        <w:t>7天内完成审查。</w:t>
      </w:r>
    </w:p>
    <w:p w14:paraId="019F4D76">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发包人完成审批并签发进度款支付证书的期限：</w:t>
      </w:r>
      <w:r>
        <w:rPr>
          <w:rFonts w:hint="eastAsia" w:ascii="宋体" w:hAnsi="宋体" w:cs="宋体"/>
          <w:b/>
          <w:bCs/>
          <w:color w:val="auto"/>
          <w:highlight w:val="none"/>
          <w:u w:val="single"/>
        </w:rPr>
        <w:t>收到监理人报送的进度付款申请单及相关资料后7天内。</w:t>
      </w:r>
    </w:p>
    <w:p w14:paraId="4B7C2066">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（2）发包人支付进度款的期限：</w:t>
      </w:r>
      <w:r>
        <w:rPr>
          <w:rFonts w:hint="eastAsia" w:ascii="宋体" w:hAnsi="宋体" w:cs="宋体"/>
          <w:b/>
          <w:bCs/>
          <w:color w:val="auto"/>
          <w:highlight w:val="none"/>
          <w:u w:val="single"/>
        </w:rPr>
        <w:t>/。</w:t>
      </w:r>
    </w:p>
    <w:p w14:paraId="39C26415">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b/>
          <w:bCs/>
          <w:color w:val="auto"/>
          <w:highlight w:val="none"/>
          <w:u w:val="single"/>
        </w:rPr>
        <w:t>/。</w:t>
      </w:r>
    </w:p>
    <w:p w14:paraId="0AC0291D">
      <w:pPr>
        <w:pStyle w:val="135"/>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12.4.6 支付分解表的编制</w:t>
      </w:r>
    </w:p>
    <w:p w14:paraId="31EBCA2B">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2、总价合同支付分解表的编制与审批：</w:t>
      </w:r>
      <w:r>
        <w:rPr>
          <w:rFonts w:hint="eastAsia" w:ascii="宋体" w:hAnsi="宋体" w:cs="宋体"/>
          <w:b/>
          <w:bCs/>
          <w:color w:val="auto"/>
          <w:highlight w:val="none"/>
          <w:u w:val="single"/>
        </w:rPr>
        <w:t>/。</w:t>
      </w:r>
    </w:p>
    <w:p w14:paraId="5C9C3FB0">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3、单价合同的总价项目支付分解表的编制与审批：</w:t>
      </w:r>
      <w:r>
        <w:rPr>
          <w:rFonts w:hint="eastAsia" w:ascii="宋体" w:hAnsi="宋体" w:cs="宋体"/>
          <w:b/>
          <w:bCs/>
          <w:color w:val="auto"/>
          <w:highlight w:val="none"/>
          <w:u w:val="single"/>
        </w:rPr>
        <w:t>按通用合同条款第12.4.6条第3项规定执行。</w:t>
      </w:r>
    </w:p>
    <w:p w14:paraId="5C8CB961">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13.1 分部分项工程验收</w:t>
      </w:r>
    </w:p>
    <w:p w14:paraId="6EB900B2">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24</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2EC46A72">
      <w:pPr>
        <w:pStyle w:val="135"/>
        <w:adjustRightInd w:val="0"/>
        <w:snapToGrid w:val="0"/>
        <w:spacing w:line="360" w:lineRule="exact"/>
        <w:ind w:firstLine="420" w:firstLineChars="200"/>
        <w:jc w:val="left"/>
        <w:rPr>
          <w:rFonts w:ascii="宋体" w:hAnsi="宋体" w:cs="宋体"/>
          <w:b/>
          <w:bCs/>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48 </w:t>
      </w:r>
      <w:r>
        <w:rPr>
          <w:rFonts w:hint="eastAsia" w:ascii="宋体" w:hAnsi="宋体" w:cs="宋体"/>
          <w:color w:val="auto"/>
          <w:highlight w:val="none"/>
          <w:u w:val="single"/>
        </w:rPr>
        <w:t xml:space="preserve"> </w:t>
      </w:r>
      <w:r>
        <w:rPr>
          <w:rFonts w:hint="eastAsia" w:ascii="宋体" w:hAnsi="宋体" w:cs="宋体"/>
          <w:color w:val="auto"/>
          <w:highlight w:val="none"/>
        </w:rPr>
        <w:t>小时。</w:t>
      </w:r>
    </w:p>
    <w:p w14:paraId="3952CC5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13.2 竣工验收</w:t>
      </w:r>
    </w:p>
    <w:p w14:paraId="631235D5">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13.2.2竣工验收程序</w:t>
      </w:r>
    </w:p>
    <w:p w14:paraId="5946CE38">
      <w:pPr>
        <w:pStyle w:val="135"/>
        <w:adjustRightInd w:val="0"/>
        <w:snapToGrid w:val="0"/>
        <w:spacing w:line="360" w:lineRule="exact"/>
        <w:ind w:left="4200" w:hanging="4200" w:hangingChars="2000"/>
        <w:jc w:val="left"/>
        <w:rPr>
          <w:rFonts w:ascii="宋体" w:hAnsi="宋体" w:cs="宋体"/>
          <w:color w:val="auto"/>
          <w:highlight w:val="none"/>
        </w:rPr>
      </w:pPr>
      <w:r>
        <w:rPr>
          <w:rFonts w:hint="eastAsia" w:ascii="宋体" w:hAnsi="宋体" w:cs="宋体"/>
          <w:color w:val="auto"/>
          <w:kern w:val="0"/>
          <w:highlight w:val="none"/>
        </w:rPr>
        <w:t xml:space="preserve">    关于竣工验收程序的约定：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按通用合同条款第13.2.2条规定执行。</w:t>
      </w:r>
    </w:p>
    <w:p w14:paraId="35703EAC">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05EF17A9">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13.2.5移交、接收全部与部分工程</w:t>
      </w:r>
    </w:p>
    <w:p w14:paraId="40087DAA">
      <w:pPr>
        <w:pStyle w:val="135"/>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承包人向发包人移交工程的期限：</w:t>
      </w:r>
      <w:r>
        <w:rPr>
          <w:rFonts w:hint="eastAsia" w:ascii="宋体" w:hAnsi="宋体" w:cs="宋体"/>
          <w:b/>
          <w:bCs/>
          <w:color w:val="auto"/>
          <w:highlight w:val="none"/>
          <w:u w:val="single"/>
        </w:rPr>
        <w:t>竣工验收合格后7天内完成工程的移交。</w:t>
      </w:r>
    </w:p>
    <w:p w14:paraId="7565A62D">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2F81E221">
      <w:pPr>
        <w:pStyle w:val="135"/>
        <w:adjustRightInd w:val="0"/>
        <w:snapToGrid w:val="0"/>
        <w:spacing w:line="360" w:lineRule="exact"/>
        <w:jc w:val="left"/>
        <w:rPr>
          <w:rFonts w:ascii="宋体" w:hAnsi="宋体" w:cs="宋体"/>
          <w:b/>
          <w:bCs/>
          <w:color w:val="auto"/>
          <w:highlight w:val="none"/>
          <w:u w:val="single"/>
        </w:rPr>
      </w:pPr>
      <w:r>
        <w:rPr>
          <w:rFonts w:hint="eastAsia" w:ascii="宋体" w:hAnsi="宋体" w:cs="宋体"/>
          <w:color w:val="auto"/>
          <w:highlight w:val="none"/>
        </w:rPr>
        <w:t xml:space="preserve">    承包人未按时移交工程的，违约金的计算方法为：</w:t>
      </w:r>
      <w:r>
        <w:rPr>
          <w:rFonts w:hint="eastAsia" w:ascii="宋体" w:hAnsi="宋体" w:cs="宋体"/>
          <w:b/>
          <w:bCs/>
          <w:color w:val="auto"/>
          <w:highlight w:val="none"/>
          <w:u w:val="single"/>
        </w:rPr>
        <w:t xml:space="preserve">承担违约责任，每延期一天按每天3000元向发包人支付违约金，在工程结算审定款中扣除。  </w:t>
      </w:r>
    </w:p>
    <w:p w14:paraId="59F7FC0C">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13.3 工程试车</w:t>
      </w:r>
    </w:p>
    <w:p w14:paraId="235CF760">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13.3.1 试车程序</w:t>
      </w:r>
    </w:p>
    <w:p w14:paraId="22AF2873">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试车内容应与承包人承包范围相一致，试车费用由承包人承担。  </w:t>
      </w:r>
    </w:p>
    <w:p w14:paraId="69EFEA59">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5D2B5EEE">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72BD3441">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13.3.3 投料试车</w:t>
      </w:r>
    </w:p>
    <w:p w14:paraId="0F2478CE">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按通用合同条款第13.3.3条规定执行。</w:t>
      </w:r>
    </w:p>
    <w:p w14:paraId="54A19B4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13.6 竣工退场</w:t>
      </w:r>
    </w:p>
    <w:p w14:paraId="16D0B277">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13.6.1 竣工退场</w:t>
      </w:r>
    </w:p>
    <w:p w14:paraId="606908EC">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b/>
          <w:bCs/>
          <w:color w:val="auto"/>
          <w:highlight w:val="none"/>
          <w:u w:val="single"/>
        </w:rPr>
        <w:t xml:space="preserve"> 竣工验收合格后15天内清退全部临时设施、建筑材料、机械设备及建筑垃圾等</w:t>
      </w:r>
      <w:r>
        <w:rPr>
          <w:rFonts w:hint="eastAsia" w:ascii="宋体" w:hAnsi="宋体" w:cs="宋体"/>
          <w:b/>
          <w:bCs/>
          <w:color w:val="auto"/>
          <w:kern w:val="0"/>
          <w:highlight w:val="none"/>
        </w:rPr>
        <w:t>。</w:t>
      </w:r>
    </w:p>
    <w:p w14:paraId="1501B3CE">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14.1 竣工付款申请</w:t>
      </w:r>
    </w:p>
    <w:p w14:paraId="1F1B4213">
      <w:pPr>
        <w:pStyle w:val="135"/>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承包人提交竣工付款申请单的期限：</w:t>
      </w:r>
      <w:r>
        <w:rPr>
          <w:rFonts w:hint="eastAsia" w:ascii="宋体" w:hAnsi="宋体" w:cs="宋体"/>
          <w:b/>
          <w:bCs/>
          <w:color w:val="auto"/>
          <w:highlight w:val="none"/>
          <w:u w:val="single"/>
        </w:rPr>
        <w:t>在工程竣工验收合格并提交以下资料后30天内。</w:t>
      </w:r>
    </w:p>
    <w:p w14:paraId="21BE49CD">
      <w:pPr>
        <w:pStyle w:val="135"/>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竣工付款申请单应包括的内容：</w:t>
      </w:r>
    </w:p>
    <w:p w14:paraId="30A17B32">
      <w:pPr>
        <w:pStyle w:val="135"/>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（1）工程结算审核报告；</w:t>
      </w:r>
    </w:p>
    <w:p w14:paraId="223449F1">
      <w:pPr>
        <w:pStyle w:val="135"/>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（2）纸质竣工图纸、技术资料各3套及电子版(光盘)竣工图2套等相关资料</w:t>
      </w:r>
    </w:p>
    <w:p w14:paraId="734C76F6">
      <w:pPr>
        <w:pStyle w:val="135"/>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（3）发包人已支付承包人的款项；</w:t>
      </w:r>
    </w:p>
    <w:p w14:paraId="631CD04A">
      <w:pPr>
        <w:pStyle w:val="135"/>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 xml:space="preserve">（4）应扣留的质量保证金等； </w:t>
      </w:r>
    </w:p>
    <w:p w14:paraId="1CFB78ED">
      <w:pPr>
        <w:pStyle w:val="135"/>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（5）发包人应支付承包人的价款。</w:t>
      </w:r>
    </w:p>
    <w:p w14:paraId="510B2EA4">
      <w:pPr>
        <w:pStyle w:val="135"/>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工程最终结算价款以政府审计部门确定的为准。政府审计部门审计的期限不受通用条款约定的结算审核期限的限制。</w:t>
      </w:r>
    </w:p>
    <w:p w14:paraId="33371DDF">
      <w:pPr>
        <w:pStyle w:val="135"/>
        <w:adjustRightInd w:val="0"/>
        <w:snapToGrid w:val="0"/>
        <w:spacing w:line="360" w:lineRule="exact"/>
        <w:ind w:firstLine="420" w:firstLineChars="199"/>
        <w:rPr>
          <w:rFonts w:ascii="宋体" w:hAnsi="宋体" w:cs="宋体"/>
          <w:b/>
          <w:bCs/>
          <w:color w:val="auto"/>
          <w:highlight w:val="none"/>
          <w:u w:val="single"/>
        </w:rPr>
      </w:pPr>
      <w:r>
        <w:rPr>
          <w:rFonts w:hint="eastAsia" w:ascii="宋体" w:hAnsi="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14.2 竣工结算审核</w:t>
      </w:r>
    </w:p>
    <w:p w14:paraId="263F6EED">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szCs w:val="24"/>
          <w:highlight w:val="none"/>
        </w:rPr>
        <w:t>发包人审批竣工付款申请单的期限：</w:t>
      </w:r>
      <w:r>
        <w:rPr>
          <w:rFonts w:hint="eastAsia" w:ascii="宋体" w:hAnsi="宋体" w:cs="宋体"/>
          <w:b/>
          <w:bCs/>
          <w:color w:val="auto"/>
          <w:highlight w:val="none"/>
          <w:u w:val="single"/>
        </w:rPr>
        <w:t>在收到承包人提交的全部资料后14天内。</w:t>
      </w:r>
    </w:p>
    <w:p w14:paraId="0A61D2FA">
      <w:pPr>
        <w:spacing w:line="360" w:lineRule="exact"/>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14.4 最终结清</w:t>
      </w:r>
    </w:p>
    <w:p w14:paraId="696BB805">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14.4.1 最终结清申请单</w:t>
      </w:r>
    </w:p>
    <w:p w14:paraId="6A290837">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承包人提交最终结清申请单的份数：</w:t>
      </w:r>
      <w:r>
        <w:rPr>
          <w:rFonts w:hint="eastAsia" w:ascii="宋体" w:hAnsi="宋体" w:cs="宋体"/>
          <w:b/>
          <w:bCs/>
          <w:color w:val="auto"/>
          <w:highlight w:val="none"/>
          <w:u w:val="single"/>
        </w:rPr>
        <w:t>叁份。</w:t>
      </w:r>
    </w:p>
    <w:p w14:paraId="11C6294D">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承包人提交最终结算申请单的期限：</w:t>
      </w:r>
      <w:r>
        <w:rPr>
          <w:rFonts w:hint="eastAsia" w:ascii="宋体" w:hAnsi="宋体" w:cs="宋体"/>
          <w:b/>
          <w:bCs/>
          <w:color w:val="auto"/>
          <w:highlight w:val="none"/>
          <w:u w:val="single"/>
        </w:rPr>
        <w:t xml:space="preserve">在质保期满后7天内。 </w:t>
      </w:r>
    </w:p>
    <w:p w14:paraId="343A9C08">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14.4.2 最终结清证书和支付</w:t>
      </w:r>
    </w:p>
    <w:p w14:paraId="1C33FE9E">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（1）发包人完成最终结清申请单的审批并颁发最终结清证书的期限：</w:t>
      </w:r>
      <w:r>
        <w:rPr>
          <w:rFonts w:hint="eastAsia" w:ascii="宋体" w:hAnsi="宋体" w:cs="宋体"/>
          <w:b/>
          <w:bCs/>
          <w:color w:val="auto"/>
          <w:highlight w:val="none"/>
          <w:u w:val="single"/>
        </w:rPr>
        <w:t>在收到承包人提交的最终结算申请单后14天内。</w:t>
      </w:r>
    </w:p>
    <w:p w14:paraId="343E654A">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highlight w:val="none"/>
        </w:rPr>
        <w:t>（2）发包人完成支付的期限：</w:t>
      </w:r>
      <w:r>
        <w:rPr>
          <w:rFonts w:hint="eastAsia" w:ascii="宋体" w:hAnsi="宋体" w:cs="宋体"/>
          <w:b/>
          <w:bCs/>
          <w:color w:val="auto"/>
          <w:highlight w:val="none"/>
          <w:u w:val="single"/>
        </w:rPr>
        <w:t>在颁发最终结清证书后7天内完成支付。</w:t>
      </w:r>
    </w:p>
    <w:p w14:paraId="5A3850B6">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15.2缺陷责任期</w:t>
      </w:r>
    </w:p>
    <w:p w14:paraId="0B690167">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A61B223">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15.3 质量保证金</w:t>
      </w:r>
    </w:p>
    <w:p w14:paraId="31281FD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125E75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125B8251">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15.3.1 承包人提供质量保证金的方式</w:t>
      </w:r>
    </w:p>
    <w:p w14:paraId="4099BF7C">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（3）</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14:paraId="26917F6B">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（1）质量保证金保函，保证金额为：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462C67FD">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%的工程款；</w:t>
      </w:r>
    </w:p>
    <w:p w14:paraId="450A9806">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（3）其他方式:</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按结算审定价的1.5%缴纳</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356428B1">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15.3.2 质量保证金的扣留 </w:t>
      </w:r>
    </w:p>
    <w:p w14:paraId="38E72FEB">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(3) </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14:paraId="41248BA9">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（1）在支付工程进度款时逐次扣留，在此情形下，质量保证金的计算基数不包括预付款的支付、扣回以及价格调整的金额；</w:t>
      </w:r>
    </w:p>
    <w:p w14:paraId="74A38A73">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（2）工程竣工结算时一次性扣留质量保证金；</w:t>
      </w:r>
    </w:p>
    <w:p w14:paraId="1D560BAF">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（3）其他扣留方式: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4CAC1C1D">
      <w:pPr>
        <w:pStyle w:val="135"/>
        <w:adjustRightInd w:val="0"/>
        <w:snapToGrid w:val="0"/>
        <w:spacing w:line="360" w:lineRule="exact"/>
        <w:ind w:firstLine="630" w:firstLineChars="300"/>
        <w:jc w:val="left"/>
        <w:rPr>
          <w:rFonts w:ascii="宋体" w:hAnsi="宋体" w:cs="宋体"/>
          <w:color w:val="auto"/>
          <w:highlight w:val="none"/>
        </w:rPr>
      </w:pPr>
      <w:r>
        <w:rPr>
          <w:rFonts w:hint="eastAsia" w:ascii="宋体" w:hAnsi="宋体" w:cs="宋体"/>
          <w:color w:val="auto"/>
          <w:highlight w:val="none"/>
        </w:rPr>
        <w:t>关于质量保证金的补充约定：</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按结算审定价的1.5%缴纳 </w:t>
      </w:r>
      <w:r>
        <w:rPr>
          <w:rFonts w:hint="eastAsia" w:ascii="宋体" w:hAnsi="宋体" w:cs="宋体"/>
          <w:color w:val="auto"/>
          <w:kern w:val="0"/>
          <w:highlight w:val="none"/>
        </w:rPr>
        <w:t>。</w:t>
      </w:r>
    </w:p>
    <w:p w14:paraId="3325931E">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15.4保修</w:t>
      </w:r>
    </w:p>
    <w:p w14:paraId="0D7439C0">
      <w:pPr>
        <w:pStyle w:val="135"/>
        <w:adjustRightInd w:val="0"/>
        <w:snapToGrid w:val="0"/>
        <w:spacing w:line="360" w:lineRule="exact"/>
        <w:ind w:firstLine="409" w:firstLineChars="195"/>
        <w:jc w:val="left"/>
        <w:rPr>
          <w:rFonts w:ascii="宋体" w:hAnsi="宋体" w:cs="宋体"/>
          <w:color w:val="auto"/>
          <w:highlight w:val="none"/>
        </w:rPr>
      </w:pPr>
      <w:r>
        <w:rPr>
          <w:rFonts w:hint="eastAsia" w:ascii="宋体" w:hAnsi="宋体" w:cs="宋体"/>
          <w:color w:val="auto"/>
          <w:highlight w:val="none"/>
        </w:rPr>
        <w:t>15.4.1 保修责任</w:t>
      </w:r>
    </w:p>
    <w:p w14:paraId="2BF71178">
      <w:pPr>
        <w:pStyle w:val="135"/>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工程保修期为：</w:t>
      </w:r>
      <w:r>
        <w:rPr>
          <w:rFonts w:hint="eastAsia" w:ascii="宋体" w:hAnsi="宋体" w:cs="宋体"/>
          <w:b/>
          <w:bCs/>
          <w:color w:val="auto"/>
          <w:highlight w:val="none"/>
          <w:u w:val="single"/>
        </w:rPr>
        <w:t>按工程质量保修书规定执行。</w:t>
      </w:r>
    </w:p>
    <w:p w14:paraId="5ABF2C83">
      <w:pPr>
        <w:pStyle w:val="135"/>
        <w:adjustRightInd w:val="0"/>
        <w:snapToGrid w:val="0"/>
        <w:spacing w:line="360" w:lineRule="exact"/>
        <w:ind w:firstLine="409" w:firstLineChars="195"/>
        <w:jc w:val="left"/>
        <w:rPr>
          <w:rFonts w:ascii="宋体" w:hAnsi="宋体" w:cs="宋体"/>
          <w:color w:val="auto"/>
          <w:highlight w:val="none"/>
        </w:rPr>
      </w:pPr>
      <w:r>
        <w:rPr>
          <w:rFonts w:hint="eastAsia" w:ascii="宋体" w:hAnsi="宋体" w:cs="宋体"/>
          <w:color w:val="auto"/>
          <w:highlight w:val="none"/>
        </w:rPr>
        <w:t>15.4.3 修复通知</w:t>
      </w:r>
    </w:p>
    <w:p w14:paraId="7D2A9223">
      <w:pPr>
        <w:pStyle w:val="135"/>
        <w:adjustRightInd w:val="0"/>
        <w:snapToGrid w:val="0"/>
        <w:spacing w:line="360" w:lineRule="exact"/>
        <w:jc w:val="left"/>
        <w:rPr>
          <w:rFonts w:ascii="宋体" w:hAnsi="宋体" w:cs="宋体"/>
          <w:color w:val="auto"/>
          <w:kern w:val="0"/>
          <w:highlight w:val="none"/>
        </w:rPr>
      </w:pPr>
      <w:r>
        <w:rPr>
          <w:rFonts w:hint="eastAsia" w:ascii="宋体" w:hAnsi="宋体" w:cs="宋体"/>
          <w:color w:val="auto"/>
          <w:kern w:val="0"/>
          <w:highlight w:val="none"/>
        </w:rPr>
        <w:t xml:space="preserve">    承包人收到保修通知并到达工程现场的合理时间：</w:t>
      </w:r>
      <w:r>
        <w:rPr>
          <w:rFonts w:hint="eastAsia" w:ascii="宋体" w:hAnsi="宋体" w:cs="宋体"/>
          <w:color w:val="auto"/>
          <w:kern w:val="0"/>
          <w:highlight w:val="none"/>
          <w:u w:val="single"/>
        </w:rPr>
        <w:t xml:space="preserve"> </w:t>
      </w:r>
      <w:r>
        <w:rPr>
          <w:rFonts w:hint="eastAsia" w:ascii="宋体" w:hAnsi="宋体" w:cs="宋体"/>
          <w:b/>
          <w:bCs/>
          <w:color w:val="auto"/>
          <w:highlight w:val="none"/>
          <w:u w:val="single"/>
        </w:rPr>
        <w:t xml:space="preserve"> 2日内。</w:t>
      </w:r>
    </w:p>
    <w:p w14:paraId="41A3C4C6">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16.1 发包人违约</w:t>
      </w:r>
    </w:p>
    <w:p w14:paraId="375FD71C">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16.1.1发包人违约的情形</w:t>
      </w:r>
    </w:p>
    <w:p w14:paraId="6FA924C7">
      <w:pPr>
        <w:pStyle w:val="135"/>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02163454">
      <w:pPr>
        <w:pStyle w:val="135"/>
        <w:adjustRightInd w:val="0"/>
        <w:snapToGrid w:val="0"/>
        <w:spacing w:line="360" w:lineRule="exact"/>
        <w:ind w:left="1050" w:hanging="1050" w:hangingChars="500"/>
        <w:jc w:val="left"/>
        <w:rPr>
          <w:rFonts w:ascii="宋体" w:hAnsi="宋体" w:cs="宋体"/>
          <w:color w:val="auto"/>
          <w:kern w:val="0"/>
          <w:highlight w:val="none"/>
        </w:rPr>
      </w:pPr>
      <w:r>
        <w:rPr>
          <w:rFonts w:hint="eastAsia" w:ascii="宋体" w:hAnsi="宋体" w:cs="宋体"/>
          <w:color w:val="auto"/>
          <w:kern w:val="0"/>
          <w:highlight w:val="none"/>
        </w:rPr>
        <w:t xml:space="preserve">    16.1.2 发包人违约的责任</w:t>
      </w:r>
    </w:p>
    <w:p w14:paraId="7257EDB4">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42B2E8EB">
      <w:pPr>
        <w:pStyle w:val="135"/>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14:paraId="189E1891">
      <w:pPr>
        <w:pStyle w:val="135"/>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49B6536F">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4D05D12E">
      <w:pPr>
        <w:pStyle w:val="135"/>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75ABCBC2">
      <w:pPr>
        <w:pStyle w:val="135"/>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229C452B">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73D3F3CA">
      <w:pPr>
        <w:pStyle w:val="135"/>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（7）其他：</w:t>
      </w:r>
      <w:r>
        <w:rPr>
          <w:rFonts w:hint="eastAsia" w:ascii="宋体" w:hAnsi="宋体" w:cs="宋体"/>
          <w:color w:val="auto"/>
          <w:highlight w:val="none"/>
          <w:u w:val="single"/>
        </w:rPr>
        <w:t xml:space="preserve"> / </w:t>
      </w:r>
    </w:p>
    <w:p w14:paraId="3BFDFCD7">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16.1.3 因发包人违约解除合同</w:t>
      </w:r>
    </w:p>
    <w:p w14:paraId="3A702872">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60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天后发包人仍不纠正其违约行为并致使合同目的不能实现的，承包人有权解除合同。</w:t>
      </w:r>
    </w:p>
    <w:p w14:paraId="728B43FD">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16.2 承包人违约</w:t>
      </w:r>
    </w:p>
    <w:p w14:paraId="144FC306">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16.2.1 承包人违约的情形</w:t>
      </w:r>
    </w:p>
    <w:p w14:paraId="4DC36E25">
      <w:pPr>
        <w:pStyle w:val="135"/>
        <w:adjustRightInd w:val="0"/>
        <w:snapToGrid w:val="0"/>
        <w:spacing w:line="360" w:lineRule="exact"/>
        <w:ind w:left="1050" w:leftChars="200" w:hanging="630" w:hangingChars="300"/>
        <w:jc w:val="left"/>
        <w:rPr>
          <w:rFonts w:ascii="宋体" w:hAnsi="宋体" w:cs="宋体"/>
          <w:color w:val="auto"/>
          <w:kern w:val="0"/>
          <w:highlight w:val="none"/>
        </w:rPr>
      </w:pPr>
      <w:r>
        <w:rPr>
          <w:rFonts w:hint="eastAsia" w:ascii="宋体" w:hAnsi="宋体" w:cs="宋体"/>
          <w:color w:val="auto"/>
          <w:kern w:val="0"/>
          <w:highlight w:val="none"/>
        </w:rPr>
        <w:t>承包人违约的其他情形：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7EA14FE2">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16.2.2承包人违约的责任</w:t>
      </w:r>
    </w:p>
    <w:p w14:paraId="17665815">
      <w:pPr>
        <w:pStyle w:val="135"/>
        <w:adjustRightInd w:val="0"/>
        <w:snapToGrid w:val="0"/>
        <w:spacing w:line="360" w:lineRule="exact"/>
        <w:ind w:left="1050" w:leftChars="200" w:hanging="630" w:hangingChars="300"/>
        <w:jc w:val="left"/>
        <w:rPr>
          <w:rFonts w:ascii="宋体" w:hAnsi="宋体" w:cs="宋体"/>
          <w:color w:val="auto"/>
          <w:kern w:val="0"/>
          <w:highlight w:val="none"/>
          <w:u w:val="single"/>
        </w:rPr>
      </w:pPr>
      <w:r>
        <w:rPr>
          <w:rFonts w:hint="eastAsia" w:ascii="宋体" w:hAnsi="宋体" w:cs="宋体"/>
          <w:color w:val="auto"/>
          <w:kern w:val="0"/>
          <w:highlight w:val="none"/>
        </w:rPr>
        <w:t>承包人违约责任的承担方式和计算方法：</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r>
        <w:rPr>
          <w:rFonts w:hint="eastAsia" w:ascii="宋体" w:hAnsi="宋体" w:cs="宋体"/>
          <w:color w:val="auto"/>
          <w:highlight w:val="none"/>
        </w:rPr>
        <w:t xml:space="preserve">    </w:t>
      </w:r>
    </w:p>
    <w:p w14:paraId="3D7E96F2">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16.2.3 因承包人违约解除合同</w:t>
      </w:r>
    </w:p>
    <w:p w14:paraId="51A8347C">
      <w:pPr>
        <w:pStyle w:val="135"/>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5"/>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2EBF84AD">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17.1 不可抗力的确认</w:t>
      </w:r>
    </w:p>
    <w:p w14:paraId="566F000D">
      <w:pPr>
        <w:pStyle w:val="135"/>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40B757F0">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17.4 因不可抗力解除合同</w:t>
      </w:r>
    </w:p>
    <w:p w14:paraId="4782C6CD">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14:paraId="37DFA4E9">
      <w:pPr>
        <w:pStyle w:val="555"/>
        <w:adjustRightInd w:val="0"/>
        <w:snapToGrid w:val="0"/>
        <w:spacing w:before="0" w:after="0"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18.1 工程保险</w:t>
      </w:r>
    </w:p>
    <w:p w14:paraId="3D2267EB">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98A57CF">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18.3 其他保险</w:t>
      </w:r>
    </w:p>
    <w:p w14:paraId="36048ADB">
      <w:pPr>
        <w:pStyle w:val="135"/>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关于其他保险的约定：</w:t>
      </w:r>
      <w:r>
        <w:rPr>
          <w:rFonts w:hint="eastAsia" w:ascii="宋体" w:hAnsi="宋体" w:cs="宋体"/>
          <w:b/>
          <w:bCs/>
          <w:color w:val="auto"/>
          <w:highlight w:val="none"/>
          <w:u w:val="single"/>
        </w:rPr>
        <w:t>承包人投保建筑工人及管理人员意外伤害保险。</w:t>
      </w:r>
    </w:p>
    <w:p w14:paraId="63B4DE7B">
      <w:pPr>
        <w:pStyle w:val="135"/>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承包人是否应为其施工设备等办理财产保险：</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2E337C9">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18.7 通知义务</w:t>
      </w:r>
    </w:p>
    <w:p w14:paraId="5459F4FA">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关于变更保险合同时的通知义务的约定：</w:t>
      </w:r>
      <w:r>
        <w:rPr>
          <w:rFonts w:hint="eastAsia" w:ascii="宋体" w:hAnsi="宋体" w:cs="宋体"/>
          <w:b/>
          <w:bCs/>
          <w:color w:val="auto"/>
          <w:highlight w:val="none"/>
          <w:u w:val="single"/>
        </w:rPr>
        <w:t>按通用合同条款第18.7条项规定执行。</w:t>
      </w:r>
    </w:p>
    <w:p w14:paraId="3D732795">
      <w:pPr>
        <w:pStyle w:val="555"/>
        <w:adjustRightInd w:val="0"/>
        <w:snapToGrid w:val="0"/>
        <w:spacing w:before="0" w:after="0" w:line="36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20.3 争议评审</w:t>
      </w:r>
    </w:p>
    <w:p w14:paraId="44176692">
      <w:pPr>
        <w:pStyle w:val="135"/>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23A517D2">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20.3.1 争议评审小组的确定</w:t>
      </w:r>
    </w:p>
    <w:p w14:paraId="138A63FA">
      <w:pPr>
        <w:pStyle w:val="135"/>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5AE660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E9273F9">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961C3F4">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41DD992">
      <w:pPr>
        <w:pStyle w:val="135"/>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20.3.2 争议评审小组的决定</w:t>
      </w:r>
    </w:p>
    <w:p w14:paraId="52A1C907">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6F6D946">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20.4仲裁或诉讼</w:t>
      </w:r>
    </w:p>
    <w:p w14:paraId="7DEB3C25">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cs="宋体"/>
          <w:color w:val="auto"/>
          <w:highlight w:val="none"/>
          <w:u w:val="single"/>
        </w:rPr>
        <w:t>（2）</w:t>
      </w:r>
      <w:r>
        <w:rPr>
          <w:rFonts w:hint="eastAsia" w:ascii="宋体" w:hAnsi="宋体" w:cs="宋体"/>
          <w:color w:val="auto"/>
          <w:highlight w:val="none"/>
        </w:rPr>
        <w:t>种方式解决争议的除外：</w:t>
      </w:r>
    </w:p>
    <w:p w14:paraId="3DEB3019">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   </w:t>
      </w:r>
      <w:r>
        <w:rPr>
          <w:rFonts w:hint="eastAsia" w:ascii="宋体" w:hAnsi="宋体" w:cs="宋体"/>
          <w:color w:val="auto"/>
          <w:highlight w:val="none"/>
        </w:rPr>
        <w:t>仲裁委员会申请仲裁；</w:t>
      </w:r>
    </w:p>
    <w:p w14:paraId="62D3C4A0">
      <w:pPr>
        <w:pStyle w:val="135"/>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合同履行地（工程所在地） </w:t>
      </w:r>
      <w:r>
        <w:rPr>
          <w:rFonts w:hint="eastAsia" w:ascii="宋体" w:hAnsi="宋体" w:cs="宋体"/>
          <w:color w:val="auto"/>
          <w:highlight w:val="none"/>
        </w:rPr>
        <w:t>人民法院起诉。</w:t>
      </w:r>
    </w:p>
    <w:p w14:paraId="12CB6FDF">
      <w:pPr>
        <w:pStyle w:val="135"/>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21.其他补充事项的约定</w:t>
      </w:r>
    </w:p>
    <w:p w14:paraId="6804F28D">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21.1进场项目班子应当是承包人建制内的，违法转包、挂靠承包人或临时拼凑的施工班子一经发现并经查实后，</w:t>
      </w:r>
      <w:r>
        <w:rPr>
          <w:rFonts w:hint="eastAsia" w:ascii="宋体" w:hAnsi="宋体" w:cs="宋体"/>
          <w:color w:val="auto"/>
          <w:szCs w:val="21"/>
          <w:highlight w:val="none"/>
        </w:rPr>
        <w:t>除扣罚履约保证金外，</w:t>
      </w:r>
      <w:r>
        <w:rPr>
          <w:rFonts w:hint="eastAsia" w:ascii="宋体" w:hAnsi="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21.3 承包人应按期支付工人的劳动工资，发包人有权监督承包人对于工人工资支付和发放。</w:t>
      </w:r>
    </w:p>
    <w:p w14:paraId="7F35C9D1">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21.4本工程结算造价以审计结果为准。承包人必须保证施工签证的真实性、合理性和合法性并不得与合同约定相违背，否则有权予以调整。</w:t>
      </w:r>
    </w:p>
    <w:p w14:paraId="0E167D90">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21.5 工程变更严格按照变更程序办理，所有的工程变更须经设计、监理及发包人三方确认后实施。</w:t>
      </w:r>
    </w:p>
    <w:p w14:paraId="69399BF2">
      <w:pPr>
        <w:pStyle w:val="135"/>
        <w:adjustRightInd w:val="0"/>
        <w:snapToGrid w:val="0"/>
        <w:spacing w:line="380" w:lineRule="exact"/>
        <w:ind w:firstLine="420" w:firstLineChars="200"/>
        <w:rPr>
          <w:rFonts w:ascii="宋体" w:hAnsi="宋体" w:cs="宋体"/>
          <w:color w:val="auto"/>
          <w:highlight w:val="none"/>
        </w:rPr>
      </w:pPr>
      <w:r>
        <w:rPr>
          <w:rFonts w:hint="eastAsia" w:ascii="宋体" w:hAnsi="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6B50C6D2">
      <w:pPr>
        <w:pStyle w:val="135"/>
        <w:adjustRightInd w:val="0"/>
        <w:snapToGrid w:val="0"/>
        <w:spacing w:line="380" w:lineRule="exact"/>
        <w:ind w:firstLine="420" w:firstLineChars="200"/>
        <w:rPr>
          <w:rFonts w:ascii="宋体" w:hAnsi="宋体" w:cs="宋体"/>
          <w:color w:val="auto"/>
          <w:highlight w:val="none"/>
        </w:rPr>
      </w:pPr>
      <w:r>
        <w:rPr>
          <w:rFonts w:hint="eastAsia" w:ascii="宋体" w:hAnsi="宋体" w:cs="宋体"/>
          <w:color w:val="auto"/>
          <w:highlight w:val="none"/>
        </w:rPr>
        <w:t>本工程未明确的违约赔偿事宜，均在工程竣工结算时处理，在工程结算款中增加或扣减有关费用。</w:t>
      </w:r>
    </w:p>
    <w:p w14:paraId="5A9E27FC">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21.8发包人有权取消或调整合同范围内的任何工程内容，承包人无条件接受，调整部分按实结算，取消部分相应扣除投标相对应的费用。</w:t>
      </w:r>
    </w:p>
    <w:p w14:paraId="4B05DC06">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21.11承包人在踏勘现场时要充分了解现场地理人文条件，合理处理与周边关系。</w:t>
      </w:r>
    </w:p>
    <w:p w14:paraId="792B9DB2">
      <w:pPr>
        <w:pStyle w:val="135"/>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5"/>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5"/>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5"/>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21.15 </w:t>
      </w:r>
      <w:r>
        <w:rPr>
          <w:rFonts w:hint="eastAsia" w:ascii="宋体" w:hAnsi="宋体" w:cs="宋体"/>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ascii="宋体" w:hAnsi="宋体" w:eastAsia="宋体" w:cs="宋体"/>
          <w:color w:val="auto"/>
          <w:highlight w:val="none"/>
        </w:rPr>
      </w:pPr>
      <w:r>
        <w:rPr>
          <w:rFonts w:hint="eastAsia" w:ascii="宋体" w:hAnsi="宋体" w:eastAsia="宋体" w:cs="宋体"/>
          <w:color w:val="auto"/>
          <w:highlight w:val="none"/>
        </w:rPr>
        <w:t>21.16 工程移交前，承包人需编制修缮工程使用说明书，明确本项目改造情况、使用注意事项、主要设施设备品牌、工程,质量保修期限及范围等内容。</w:t>
      </w:r>
    </w:p>
    <w:p w14:paraId="44ECC385">
      <w:pPr>
        <w:pStyle w:val="30"/>
        <w:adjustRightInd w:val="0"/>
        <w:snapToGrid w:val="0"/>
        <w:spacing w:before="120" w:after="120" w:line="276" w:lineRule="auto"/>
        <w:rPr>
          <w:rFonts w:hAnsi="宋体" w:cs="宋体"/>
          <w:b/>
          <w:bCs/>
          <w:color w:val="auto"/>
          <w:highlight w:val="none"/>
        </w:rPr>
      </w:pPr>
    </w:p>
    <w:p w14:paraId="3F477F15">
      <w:pPr>
        <w:pStyle w:val="30"/>
        <w:adjustRightInd w:val="0"/>
        <w:snapToGrid w:val="0"/>
        <w:spacing w:before="120" w:after="120" w:line="276" w:lineRule="auto"/>
        <w:rPr>
          <w:rFonts w:hAnsi="宋体" w:cs="宋体"/>
          <w:color w:val="auto"/>
          <w:highlight w:val="none"/>
        </w:rPr>
      </w:pPr>
      <w:r>
        <w:rPr>
          <w:rFonts w:hint="eastAsia" w:hAnsi="宋体" w:cs="宋体"/>
          <w:b/>
          <w:bCs/>
          <w:color w:val="auto"/>
          <w:highlight w:val="none"/>
        </w:rPr>
        <w:t>附件：</w:t>
      </w:r>
    </w:p>
    <w:p w14:paraId="382154B4">
      <w:pPr>
        <w:adjustRightInd w:val="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附件1：房屋建筑工程质量保修书</w:t>
      </w:r>
    </w:p>
    <w:p w14:paraId="1DB43E8A">
      <w:pPr>
        <w:adjustRightInd w:val="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D84ED7B">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附件3：建筑施工安全责任书 </w:t>
      </w:r>
    </w:p>
    <w:p w14:paraId="5C477633">
      <w:pPr>
        <w:pStyle w:val="30"/>
        <w:spacing w:before="120" w:after="120" w:line="440" w:lineRule="exact"/>
        <w:rPr>
          <w:rFonts w:hAnsi="宋体" w:cs="宋体"/>
          <w:b/>
          <w:bCs/>
          <w:color w:val="auto"/>
          <w:highlight w:val="none"/>
        </w:rPr>
      </w:pPr>
      <w:r>
        <w:rPr>
          <w:rFonts w:hint="eastAsia" w:hAnsi="宋体" w:cs="宋体"/>
          <w:color w:val="auto"/>
          <w:highlight w:val="none"/>
          <w:u w:val="single"/>
        </w:rPr>
        <w:br w:type="page"/>
      </w:r>
      <w:r>
        <w:rPr>
          <w:rFonts w:hint="eastAsia" w:hAnsi="宋体" w:cs="宋体"/>
          <w:b/>
          <w:bCs/>
          <w:color w:val="auto"/>
          <w:highlight w:val="none"/>
        </w:rPr>
        <w:t>附件1:</w:t>
      </w:r>
    </w:p>
    <w:p w14:paraId="3B1C1B4F">
      <w:pPr>
        <w:pStyle w:val="135"/>
        <w:spacing w:before="120" w:beforeLines="50" w:after="120" w:afterLines="50" w:line="44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工程质量保修书</w:t>
      </w:r>
    </w:p>
    <w:p w14:paraId="4177FAF9">
      <w:pPr>
        <w:pStyle w:val="135"/>
        <w:spacing w:line="300" w:lineRule="auto"/>
        <w:ind w:firstLine="420"/>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p>
    <w:p w14:paraId="720C64EA">
      <w:pPr>
        <w:pStyle w:val="135"/>
        <w:spacing w:line="300" w:lineRule="auto"/>
        <w:ind w:firstLine="420"/>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14:paraId="074B8BD5">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5CED331D">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一、工程质量保修范围和内容</w:t>
      </w:r>
    </w:p>
    <w:p w14:paraId="6297BDDF">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2EB2DD6A">
      <w:pPr>
        <w:pStyle w:val="135"/>
        <w:spacing w:line="30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bCs/>
          <w:color w:val="auto"/>
          <w:szCs w:val="21"/>
          <w:highlight w:val="none"/>
          <w:u w:val="single"/>
        </w:rPr>
        <w:t>承包范围内所有工程。</w:t>
      </w:r>
    </w:p>
    <w:p w14:paraId="63227CCD">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二、质量保修期</w:t>
      </w:r>
    </w:p>
    <w:p w14:paraId="509F0C07">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16A04E61">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1、地基基础工程和主体结构工程为设计文件规定的该工程合理使用年限；</w:t>
      </w:r>
    </w:p>
    <w:p w14:paraId="3B55885F">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2、屋面防水工程、有防水要求的卫生间、房间和外墙的防渗漏为</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年；</w:t>
      </w:r>
    </w:p>
    <w:p w14:paraId="530B34E7">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14:paraId="5BE4B601">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14:paraId="3CC56713">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个采暖期、供冷期；</w:t>
      </w:r>
    </w:p>
    <w:p w14:paraId="0B7E7F1F">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p w14:paraId="03A12873">
      <w:pPr>
        <w:pStyle w:val="135"/>
        <w:spacing w:line="30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7、其他项目保修期限约定如下：</w:t>
      </w:r>
      <w:r>
        <w:rPr>
          <w:rFonts w:hint="eastAsia" w:ascii="宋体" w:hAnsi="宋体" w:cs="宋体"/>
          <w:color w:val="auto"/>
          <w:szCs w:val="21"/>
          <w:highlight w:val="none"/>
          <w:u w:val="single"/>
        </w:rPr>
        <w:t xml:space="preserve"> 本项目保修期限为2年  </w:t>
      </w:r>
      <w:r>
        <w:rPr>
          <w:rFonts w:hint="eastAsia" w:ascii="宋体" w:hAnsi="宋体" w:cs="宋体"/>
          <w:color w:val="auto"/>
          <w:szCs w:val="21"/>
          <w:highlight w:val="none"/>
        </w:rPr>
        <w:t>。</w:t>
      </w:r>
    </w:p>
    <w:p w14:paraId="0162E591">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质量保修期自工程竣工验收合格之日起计算，具体期限以承包人承诺的延长质保期为准。</w:t>
      </w:r>
    </w:p>
    <w:p w14:paraId="238B1BBB">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三、缺陷责任期</w:t>
      </w:r>
    </w:p>
    <w:p w14:paraId="0280CBB1">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四、质量保修责任</w:t>
      </w:r>
    </w:p>
    <w:p w14:paraId="4F1B5353">
      <w:pPr>
        <w:pStyle w:val="135"/>
        <w:spacing w:line="300" w:lineRule="auto"/>
        <w:ind w:left="105" w:leftChars="50" w:firstLine="430" w:firstLineChars="205"/>
        <w:rPr>
          <w:rFonts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5"/>
        <w:spacing w:line="300" w:lineRule="auto"/>
        <w:ind w:left="105" w:leftChars="50" w:firstLine="430" w:firstLineChars="205"/>
        <w:rPr>
          <w:rFonts w:ascii="宋体" w:hAnsi="宋体" w:cs="宋体"/>
          <w:color w:val="auto"/>
          <w:szCs w:val="21"/>
          <w:highlight w:val="none"/>
        </w:rPr>
      </w:pPr>
      <w:r>
        <w:rPr>
          <w:rFonts w:hint="eastAsia" w:ascii="宋体" w:hAnsi="宋体" w:cs="宋体"/>
          <w:color w:val="auto"/>
          <w:szCs w:val="21"/>
          <w:highlight w:val="none"/>
        </w:rPr>
        <w:t>2. 发生紧急抢修事故的，承包人在接到事故通知后，应当立即到达事故现场抢修。</w:t>
      </w:r>
    </w:p>
    <w:p w14:paraId="44E657D1">
      <w:pPr>
        <w:pStyle w:val="135"/>
        <w:spacing w:line="300" w:lineRule="auto"/>
        <w:ind w:left="105" w:leftChars="50" w:firstLine="430" w:firstLineChars="205"/>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5"/>
        <w:spacing w:line="300" w:lineRule="auto"/>
        <w:ind w:left="105" w:leftChars="50" w:firstLine="430" w:firstLineChars="205"/>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4DE0B408">
      <w:pPr>
        <w:spacing w:line="300" w:lineRule="auto"/>
        <w:ind w:left="105" w:leftChars="50" w:firstLine="430" w:firstLineChars="205"/>
        <w:rPr>
          <w:rFonts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五、保修费用</w:t>
      </w:r>
    </w:p>
    <w:p w14:paraId="5FFC1AB2">
      <w:pPr>
        <w:pStyle w:val="135"/>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2.工程质量保证金的退还：工程竣工验收合格之日起满两年且回访质量符合要求后一次性付清（无息），如保修期间产生维修费、赔偿金等则扣除相应的维修费、赔偿金等款项后退还</w:t>
      </w:r>
      <w:r>
        <w:rPr>
          <w:rFonts w:hint="eastAsia" w:ascii="宋体" w:hAnsi="宋体" w:eastAsia="宋体" w:cs="宋体"/>
          <w:b/>
          <w:bCs/>
          <w:color w:val="auto"/>
          <w:szCs w:val="21"/>
          <w:highlight w:val="none"/>
          <w:u w:val="single"/>
        </w:rPr>
        <w:t>。</w:t>
      </w:r>
    </w:p>
    <w:p w14:paraId="2003AFBC">
      <w:pPr>
        <w:pStyle w:val="135"/>
        <w:spacing w:line="300" w:lineRule="auto"/>
        <w:ind w:left="105" w:leftChars="50" w:firstLine="373" w:firstLineChars="178"/>
        <w:rPr>
          <w:rFonts w:ascii="宋体" w:hAnsi="宋体" w:cs="宋体"/>
          <w:color w:val="auto"/>
          <w:szCs w:val="21"/>
          <w:highlight w:val="none"/>
        </w:rPr>
      </w:pPr>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无     。</w:t>
      </w:r>
    </w:p>
    <w:p w14:paraId="5872A89D">
      <w:pPr>
        <w:pStyle w:val="135"/>
        <w:spacing w:line="300" w:lineRule="auto"/>
        <w:ind w:left="105" w:leftChars="50" w:firstLine="420" w:firstLineChars="20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21602838">
      <w:pPr>
        <w:pStyle w:val="135"/>
        <w:spacing w:line="300" w:lineRule="auto"/>
        <w:ind w:firstLine="399" w:firstLineChars="190"/>
        <w:rPr>
          <w:rFonts w:ascii="宋体" w:hAnsi="宋体" w:cs="宋体"/>
          <w:color w:val="auto"/>
          <w:szCs w:val="21"/>
          <w:highlight w:val="none"/>
        </w:rPr>
      </w:pPr>
      <w:r>
        <w:rPr>
          <w:rFonts w:hint="eastAsia" w:ascii="宋体" w:hAnsi="宋体" w:cs="宋体"/>
          <w:color w:val="auto"/>
          <w:szCs w:val="21"/>
          <w:highlight w:val="none"/>
        </w:rPr>
        <w:t xml:space="preserve"> </w:t>
      </w:r>
    </w:p>
    <w:p w14:paraId="6EB92FD7">
      <w:pPr>
        <w:pStyle w:val="135"/>
        <w:spacing w:line="400" w:lineRule="exact"/>
        <w:rPr>
          <w:rFonts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73B6B035">
      <w:pPr>
        <w:pStyle w:val="135"/>
        <w:spacing w:line="400" w:lineRule="exac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24FA4D64">
      <w:pPr>
        <w:pStyle w:val="135"/>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0808E0AE">
      <w:pPr>
        <w:pStyle w:val="135"/>
        <w:spacing w:line="400" w:lineRule="exact"/>
        <w:rPr>
          <w:rFonts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18FAECC0">
      <w:pPr>
        <w:pStyle w:val="135"/>
        <w:spacing w:line="400" w:lineRule="exact"/>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29DAE9BD">
      <w:pPr>
        <w:pStyle w:val="135"/>
        <w:spacing w:line="400" w:lineRule="exac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3ACA77D6">
      <w:pPr>
        <w:pStyle w:val="135"/>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0E7A2DE4">
      <w:pPr>
        <w:pStyle w:val="135"/>
        <w:spacing w:line="400" w:lineRule="exact"/>
        <w:rPr>
          <w:rFonts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5909E751">
      <w:pPr>
        <w:pStyle w:val="135"/>
        <w:spacing w:line="400" w:lineRule="exac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6C21FCA6">
      <w:pPr>
        <w:pStyle w:val="30"/>
        <w:spacing w:before="120" w:after="120" w:line="440" w:lineRule="exact"/>
        <w:rPr>
          <w:rFonts w:hAnsi="宋体" w:cs="宋体"/>
          <w:b/>
          <w:bCs/>
          <w:color w:val="auto"/>
          <w:sz w:val="21"/>
          <w:szCs w:val="21"/>
          <w:highlight w:val="none"/>
        </w:rPr>
      </w:pPr>
      <w:r>
        <w:rPr>
          <w:rFonts w:hint="eastAsia" w:hAnsi="宋体" w:cs="宋体"/>
          <w:color w:val="auto"/>
          <w:sz w:val="21"/>
          <w:szCs w:val="21"/>
          <w:highlight w:val="none"/>
        </w:rPr>
        <w:br w:type="page"/>
      </w:r>
      <w:r>
        <w:rPr>
          <w:rFonts w:hint="eastAsia" w:hAnsi="宋体" w:cs="宋体"/>
          <w:b/>
          <w:bCs/>
          <w:color w:val="auto"/>
          <w:sz w:val="21"/>
          <w:szCs w:val="21"/>
          <w:highlight w:val="none"/>
        </w:rPr>
        <w:t xml:space="preserve">附件2： </w:t>
      </w:r>
    </w:p>
    <w:p w14:paraId="4381FB2C">
      <w:pPr>
        <w:topLinePunct/>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58"/>
        <w:spacing w:line="360" w:lineRule="auto"/>
        <w:ind w:firstLine="422"/>
        <w:rPr>
          <w:rFonts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58"/>
        <w:spacing w:line="360" w:lineRule="auto"/>
        <w:ind w:firstLine="42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58"/>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58"/>
        <w:spacing w:line="360" w:lineRule="auto"/>
        <w:ind w:firstLine="1470" w:firstLineChars="700"/>
        <w:rPr>
          <w:rFonts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58"/>
        <w:spacing w:line="360" w:lineRule="auto"/>
        <w:ind w:firstLine="42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建筑施工安全责任书</w:t>
      </w:r>
    </w:p>
    <w:p w14:paraId="10ABCB72">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numPr>
          <w:ilvl w:val="0"/>
          <w:numId w:val="8"/>
        </w:numPr>
        <w:spacing w:line="336"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adjustRightInd w:val="0"/>
        <w:snapToGrid w:val="0"/>
        <w:spacing w:line="336"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adjustRightInd w:val="0"/>
        <w:snapToGrid w:val="0"/>
        <w:spacing w:line="336"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adjustRightInd w:val="0"/>
        <w:snapToGrid w:val="0"/>
        <w:spacing w:line="336"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numPr>
          <w:ilvl w:val="0"/>
          <w:numId w:val="8"/>
        </w:numPr>
        <w:spacing w:line="336"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spacing w:line="336" w:lineRule="auto"/>
        <w:ind w:firstLine="480"/>
        <w:rPr>
          <w:rFonts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spacing w:line="336" w:lineRule="auto"/>
        <w:ind w:firstLine="480"/>
        <w:rPr>
          <w:rFonts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spacing w:line="336" w:lineRule="auto"/>
        <w:ind w:firstLine="480"/>
        <w:rPr>
          <w:rFonts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spacing w:line="336" w:lineRule="auto"/>
        <w:ind w:firstLine="480"/>
        <w:rPr>
          <w:rFonts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spacing w:line="336" w:lineRule="auto"/>
        <w:ind w:firstLine="480"/>
        <w:rPr>
          <w:rFonts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spacing w:line="336" w:lineRule="auto"/>
        <w:ind w:firstLine="480"/>
        <w:rPr>
          <w:rFonts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spacing w:line="336" w:lineRule="auto"/>
        <w:ind w:firstLine="480"/>
        <w:rPr>
          <w:rFonts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spacing w:line="336" w:lineRule="auto"/>
        <w:ind w:firstLine="480"/>
        <w:rPr>
          <w:rFonts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8.以人为本，关心员工，努力做好各种疾病和职业病的防治工作，减少或消除各类疾病和职业病的发生。同时现场员工必须正确使用劳动保护用品，特种作业人员必须持证上岗。</w:t>
      </w:r>
    </w:p>
    <w:p w14:paraId="4D59BA7F">
      <w:pPr>
        <w:spacing w:line="336" w:lineRule="auto"/>
        <w:ind w:right="-607" w:rightChars="-289" w:firstLine="480"/>
        <w:rPr>
          <w:rFonts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spacing w:line="336"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2EE87CD3">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spacing w:line="336" w:lineRule="auto"/>
        <w:ind w:right="-607" w:rightChars="-289"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spacing w:line="336" w:lineRule="auto"/>
        <w:rPr>
          <w:rFonts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spacing w:line="33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spacing w:line="336" w:lineRule="auto"/>
        <w:ind w:firstLine="422" w:firstLineChars="200"/>
        <w:rPr>
          <w:rFonts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spacing w:line="336"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spacing w:line="336"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spacing w:line="336"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spacing w:line="336"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spacing w:line="336" w:lineRule="auto"/>
        <w:ind w:firstLine="4410" w:firstLineChars="2100"/>
        <w:rPr>
          <w:rFonts w:ascii="宋体" w:hAnsi="宋体" w:eastAsia="宋体" w:cs="宋体"/>
          <w:color w:val="auto"/>
          <w:highlight w:val="none"/>
        </w:rPr>
      </w:pPr>
      <w:r>
        <w:rPr>
          <w:rFonts w:hint="eastAsia" w:ascii="宋体" w:hAnsi="宋体" w:eastAsia="宋体" w:cs="宋体"/>
          <w:color w:val="auto"/>
          <w:highlight w:val="none"/>
        </w:rPr>
        <w:t>施工单位（盖章）：</w:t>
      </w:r>
    </w:p>
    <w:p w14:paraId="26A90364">
      <w:pPr>
        <w:autoSpaceDN w:val="0"/>
        <w:snapToGrid w:val="0"/>
        <w:spacing w:line="336" w:lineRule="auto"/>
        <w:ind w:left="238" w:firstLine="4200" w:firstLineChars="2000"/>
        <w:outlineLvl w:val="0"/>
        <w:rPr>
          <w:rFonts w:ascii="宋体" w:hAnsi="宋体" w:eastAsia="宋体" w:cs="宋体"/>
          <w:b/>
          <w:color w:val="auto"/>
          <w:sz w:val="32"/>
          <w:szCs w:val="32"/>
          <w:highlight w:val="none"/>
        </w:rPr>
      </w:pPr>
      <w:bookmarkStart w:id="100" w:name="_Toc3905"/>
      <w:r>
        <w:rPr>
          <w:rFonts w:hint="eastAsia" w:ascii="宋体" w:hAnsi="宋体" w:eastAsia="宋体" w:cs="宋体"/>
          <w:color w:val="auto"/>
          <w:highlight w:val="none"/>
        </w:rPr>
        <w:t>负责人（签字或盖章）：</w:t>
      </w:r>
      <w:bookmarkEnd w:id="100"/>
    </w:p>
    <w:p w14:paraId="0083CAE2">
      <w:pP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409DC29">
      <w:pPr>
        <w:autoSpaceDN w:val="0"/>
        <w:snapToGrid w:val="0"/>
        <w:spacing w:line="360" w:lineRule="auto"/>
        <w:ind w:left="238"/>
        <w:jc w:val="center"/>
        <w:outlineLvl w:val="0"/>
        <w:rPr>
          <w:rFonts w:ascii="宋体" w:hAnsi="宋体" w:eastAsia="宋体" w:cs="宋体"/>
          <w:b/>
          <w:color w:val="auto"/>
          <w:sz w:val="32"/>
          <w:szCs w:val="32"/>
          <w:highlight w:val="none"/>
        </w:rPr>
      </w:pPr>
      <w:bookmarkStart w:id="101" w:name="_Toc3418"/>
      <w:r>
        <w:rPr>
          <w:rFonts w:hint="eastAsia" w:ascii="宋体" w:hAnsi="宋体" w:eastAsia="宋体" w:cs="宋体"/>
          <w:b/>
          <w:color w:val="auto"/>
          <w:sz w:val="32"/>
          <w:szCs w:val="32"/>
          <w:highlight w:val="none"/>
        </w:rPr>
        <w:t>第六部分 响应文件格式</w:t>
      </w:r>
      <w:bookmarkEnd w:id="101"/>
    </w:p>
    <w:p w14:paraId="2C377BF5">
      <w:pPr>
        <w:keepNext/>
        <w:keepLines/>
        <w:autoSpaceDN w:val="0"/>
        <w:spacing w:before="260" w:after="260" w:line="415" w:lineRule="auto"/>
        <w:outlineLvl w:val="1"/>
        <w:rPr>
          <w:rFonts w:ascii="宋体" w:hAnsi="宋体" w:eastAsia="宋体" w:cs="宋体"/>
          <w:b/>
          <w:bCs/>
          <w:color w:val="auto"/>
          <w:sz w:val="24"/>
          <w:szCs w:val="24"/>
          <w:highlight w:val="none"/>
        </w:rPr>
      </w:pPr>
      <w:bookmarkStart w:id="102" w:name="_Toc20118"/>
      <w:bookmarkStart w:id="103" w:name="_Toc14324"/>
      <w:r>
        <w:rPr>
          <w:rFonts w:hint="eastAsia" w:ascii="宋体" w:hAnsi="宋体" w:eastAsia="宋体" w:cs="宋体"/>
          <w:b/>
          <w:bCs/>
          <w:color w:val="auto"/>
          <w:sz w:val="24"/>
          <w:szCs w:val="24"/>
          <w:highlight w:val="none"/>
        </w:rPr>
        <w:t>一、资格文件部分格式</w:t>
      </w:r>
      <w:bookmarkEnd w:id="102"/>
      <w:bookmarkEnd w:id="103"/>
    </w:p>
    <w:p w14:paraId="1675E94F">
      <w:pPr>
        <w:snapToGrid w:val="0"/>
        <w:spacing w:line="360" w:lineRule="auto"/>
        <w:ind w:right="480"/>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我方参与 </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      】政府采购活动，郑重承诺：</w:t>
      </w:r>
    </w:p>
    <w:p w14:paraId="0B5019DF">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（二）未被信用中国（www.creditchina.gov.cn)、中国政府采购网（www.ccgp.gov.cn）列入失信被执行人、重大税收违法案件失信主体、政府采购严重违法失信行为记录名单。</w:t>
      </w:r>
    </w:p>
    <w:p w14:paraId="3F652BD0">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[以联合体形式参与的，提供联合协议（附件3）；本项目不接受联合体或者供应商不以联合体形式投参与的，则不需要提供]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.专门面向中小企业，工程全部由符合政策要求的中小企业（或小微企业）承建的，提供相应的中小企业声明函（附件5）。</w:t>
      </w:r>
    </w:p>
    <w:p w14:paraId="17180529">
      <w:pPr>
        <w:widowControl/>
        <w:spacing w:line="360" w:lineRule="auto"/>
        <w:ind w:firstLine="480"/>
        <w:jc w:val="left"/>
        <w:rPr>
          <w:rFonts w:ascii="宋体" w:hAnsi="宋体" w:eastAsia="宋体" w:cs="宋体"/>
          <w:color w:val="auto"/>
          <w:sz w:val="24"/>
          <w:szCs w:val="24"/>
          <w:highlight w:val="none"/>
        </w:rPr>
      </w:pPr>
    </w:p>
    <w:p w14:paraId="43A164B5">
      <w:pPr>
        <w:widowControl/>
        <w:spacing w:line="360" w:lineRule="auto"/>
        <w:ind w:firstLine="472" w:firstLineChars="196"/>
        <w:jc w:val="left"/>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要求以联合体形式参加的，提供联合协议（附件3）和中小企业声明函（附件5），联合协议中中小企业合同金额应当达到竞争性磋商公告载明的比例；如果供应商本身提供所有标的均由中小企业承建的，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ascii="宋体" w:hAnsi="宋体" w:eastAsia="宋体" w:cs="宋体"/>
          <w:color w:val="auto"/>
          <w:sz w:val="24"/>
          <w:szCs w:val="24"/>
          <w:highlight w:val="none"/>
        </w:rPr>
      </w:pPr>
    </w:p>
    <w:p w14:paraId="78DDEBC6">
      <w:pPr>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要求合同分包的，提供分包意向协议（附件4）和中小企业声明函（附件5），分包意向协议中中小企业合同金额应当达到竞争性磋商公告载明的比例；如果供应商本身提供所有标的均由中小企业承建，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23C4C9FF">
      <w:pPr>
        <w:rPr>
          <w:rFonts w:ascii="宋体" w:hAnsi="宋体" w:cs="宋体"/>
          <w:color w:val="auto"/>
          <w:highlight w:val="none"/>
        </w:rPr>
      </w:pPr>
    </w:p>
    <w:p w14:paraId="56D41554">
      <w:pPr>
        <w:snapToGrid w:val="0"/>
        <w:spacing w:line="360" w:lineRule="auto"/>
        <w:ind w:right="480"/>
        <w:jc w:val="center"/>
        <w:rPr>
          <w:rFonts w:ascii="宋体" w:hAnsi="宋体" w:cs="宋体"/>
          <w:b/>
          <w:color w:val="auto"/>
          <w:kern w:val="0"/>
          <w:sz w:val="32"/>
          <w:szCs w:val="32"/>
          <w:highlight w:val="none"/>
        </w:rPr>
        <w:sectPr>
          <w:pgSz w:w="11905" w:h="16838"/>
          <w:pgMar w:top="1417" w:right="1417" w:bottom="1417" w:left="1417" w:header="851" w:footer="992" w:gutter="0"/>
          <w:cols w:space="0" w:num="1"/>
          <w:titlePg/>
          <w:docGrid w:linePitch="312" w:charSpace="0"/>
        </w:sectPr>
      </w:pPr>
    </w:p>
    <w:p w14:paraId="122B19AC">
      <w:pPr>
        <w:keepNext/>
        <w:keepLines/>
        <w:autoSpaceDN w:val="0"/>
        <w:spacing w:before="260" w:after="260" w:line="415" w:lineRule="auto"/>
        <w:outlineLvl w:val="1"/>
        <w:rPr>
          <w:rFonts w:ascii="宋体" w:hAnsi="宋体" w:eastAsia="宋体" w:cs="宋体"/>
          <w:b/>
          <w:bCs/>
          <w:color w:val="auto"/>
          <w:sz w:val="24"/>
          <w:szCs w:val="24"/>
          <w:highlight w:val="none"/>
        </w:rPr>
      </w:pPr>
      <w:bookmarkStart w:id="104" w:name="_Toc10859"/>
      <w:r>
        <w:rPr>
          <w:rFonts w:hint="eastAsia" w:ascii="宋体" w:hAnsi="宋体" w:eastAsia="宋体" w:cs="宋体"/>
          <w:b/>
          <w:bCs/>
          <w:color w:val="auto"/>
          <w:sz w:val="24"/>
          <w:szCs w:val="24"/>
          <w:highlight w:val="none"/>
        </w:rPr>
        <w:t>二、商务技术文件部分格式</w:t>
      </w:r>
      <w:bookmarkEnd w:id="104"/>
    </w:p>
    <w:p w14:paraId="4F45F026">
      <w:pPr>
        <w:snapToGrid w:val="0"/>
        <w:jc w:val="cente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【项目编号：    】采购的有关活动，并对此项目提交响应文件及报价。为此：</w:t>
      </w:r>
    </w:p>
    <w:p w14:paraId="18B40548">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3、我方承诺除商务技术偏离表列出的偏离外，我方响应采购文件的全部要求。对响应文件中材料的真实性、合法性负责，积极配合采购人、采购代理机构复核响应文件中的资料。</w:t>
      </w:r>
    </w:p>
    <w:p w14:paraId="3B751A02">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ascii="宋体" w:hAnsi="宋体" w:eastAsia="宋体" w:cs="宋体"/>
          <w:color w:val="auto"/>
          <w:sz w:val="24"/>
          <w:highlight w:val="none"/>
        </w:rPr>
      </w:pPr>
    </w:p>
    <w:p w14:paraId="6933DA97">
      <w:pPr>
        <w:snapToGrid w:val="0"/>
        <w:spacing w:line="360" w:lineRule="auto"/>
        <w:ind w:left="210" w:leftChars="10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6890A00">
      <w:pPr>
        <w:snapToGrid w:val="0"/>
        <w:spacing w:line="360" w:lineRule="auto"/>
        <w:ind w:left="420" w:leftChars="200" w:firstLine="4200" w:firstLineChars="1750"/>
        <w:rPr>
          <w:rFonts w:ascii="宋体" w:hAnsi="宋体" w:eastAsia="宋体" w:cs="宋体"/>
          <w:color w:val="auto"/>
          <w:kern w:val="0"/>
          <w:sz w:val="24"/>
          <w:highlight w:val="none"/>
          <w:u w:val="single"/>
        </w:rPr>
      </w:pPr>
    </w:p>
    <w:p w14:paraId="0082969D">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ascii="宋体" w:hAnsi="宋体" w:eastAsia="宋体" w:cs="宋体"/>
          <w:b/>
          <w:color w:val="auto"/>
          <w:kern w:val="0"/>
          <w:sz w:val="32"/>
          <w:szCs w:val="32"/>
          <w:highlight w:val="none"/>
        </w:rPr>
      </w:pPr>
    </w:p>
    <w:p w14:paraId="735064C0">
      <w:pPr>
        <w:snapToGrid w:val="0"/>
        <w:spacing w:line="360" w:lineRule="auto"/>
        <w:rPr>
          <w:rFonts w:ascii="宋体" w:hAnsi="宋体" w:eastAsia="宋体" w:cs="宋体"/>
          <w:color w:val="auto"/>
          <w:sz w:val="24"/>
          <w:highlight w:val="none"/>
        </w:rPr>
      </w:pPr>
    </w:p>
    <w:p w14:paraId="17904D93">
      <w:pPr>
        <w:jc w:val="center"/>
        <w:rPr>
          <w:rFonts w:ascii="宋体" w:hAnsi="宋体" w:eastAsia="宋体" w:cs="宋体"/>
          <w:b/>
          <w:color w:val="auto"/>
          <w:kern w:val="0"/>
          <w:sz w:val="32"/>
          <w:szCs w:val="32"/>
          <w:highlight w:val="none"/>
        </w:rPr>
      </w:pPr>
    </w:p>
    <w:p w14:paraId="27D4F973">
      <w:pPr>
        <w:jc w:val="center"/>
        <w:rPr>
          <w:rFonts w:ascii="宋体" w:hAnsi="宋体" w:eastAsia="宋体" w:cs="宋体"/>
          <w:b/>
          <w:color w:val="auto"/>
          <w:kern w:val="0"/>
          <w:sz w:val="32"/>
          <w:szCs w:val="32"/>
          <w:highlight w:val="none"/>
        </w:rPr>
        <w:sectPr>
          <w:pgSz w:w="11905" w:h="16838"/>
          <w:pgMar w:top="1417" w:right="1417" w:bottom="1417" w:left="1417" w:header="851" w:footer="992" w:gutter="0"/>
          <w:cols w:space="0" w:num="1"/>
          <w:titlePg/>
          <w:docGrid w:linePitch="312" w:charSpace="0"/>
        </w:sectPr>
      </w:pPr>
    </w:p>
    <w:p w14:paraId="4AD780CB">
      <w:pPr>
        <w:snapToGrid w:val="0"/>
        <w:jc w:val="cente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ascii="宋体" w:hAnsi="宋体" w:eastAsia="宋体" w:cs="宋体"/>
          <w:color w:val="auto"/>
          <w:sz w:val="24"/>
          <w:highlight w:val="none"/>
        </w:rPr>
      </w:pPr>
    </w:p>
    <w:p w14:paraId="7C793BC4">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         】</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ascii="宋体" w:hAnsi="宋体" w:eastAsia="宋体" w:cs="宋体"/>
          <w:color w:val="auto"/>
          <w:sz w:val="24"/>
          <w:highlight w:val="none"/>
        </w:rPr>
      </w:pPr>
    </w:p>
    <w:p w14:paraId="5257239C">
      <w:pPr>
        <w:snapToGrid w:val="0"/>
        <w:spacing w:line="360" w:lineRule="auto"/>
        <w:rPr>
          <w:rFonts w:ascii="宋体" w:hAnsi="宋体" w:eastAsia="宋体" w:cs="宋体"/>
          <w:color w:val="auto"/>
          <w:sz w:val="24"/>
          <w:highlight w:val="none"/>
        </w:rPr>
      </w:pPr>
    </w:p>
    <w:p w14:paraId="639EF7CC">
      <w:pPr>
        <w:snapToGrid w:val="0"/>
        <w:jc w:val="center"/>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ascii="宋体" w:hAnsi="宋体" w:eastAsia="宋体" w:cs="宋体"/>
          <w:color w:val="auto"/>
          <w:sz w:val="24"/>
          <w:highlight w:val="none"/>
        </w:rPr>
      </w:pPr>
    </w:p>
    <w:p w14:paraId="22491DBA">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    】</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ascii="宋体" w:hAnsi="宋体" w:eastAsia="宋体" w:cs="宋体"/>
          <w:b/>
          <w:color w:val="auto"/>
          <w:kern w:val="0"/>
          <w:sz w:val="32"/>
          <w:szCs w:val="32"/>
          <w:highlight w:val="none"/>
        </w:rPr>
      </w:pPr>
    </w:p>
    <w:p w14:paraId="5C1381CA">
      <w:pPr>
        <w:jc w:val="center"/>
        <w:rPr>
          <w:rFonts w:ascii="宋体" w:hAnsi="宋体" w:eastAsia="宋体" w:cs="宋体"/>
          <w:b/>
          <w:color w:val="auto"/>
          <w:kern w:val="0"/>
          <w:sz w:val="32"/>
          <w:szCs w:val="32"/>
          <w:highlight w:val="none"/>
        </w:rPr>
      </w:pPr>
    </w:p>
    <w:p w14:paraId="5B121672">
      <w:pPr>
        <w:jc w:val="center"/>
        <w:rPr>
          <w:rFonts w:ascii="宋体" w:hAnsi="宋体" w:eastAsia="宋体" w:cs="宋体"/>
          <w:b/>
          <w:color w:val="auto"/>
          <w:kern w:val="0"/>
          <w:sz w:val="32"/>
          <w:szCs w:val="32"/>
          <w:highlight w:val="none"/>
        </w:rPr>
      </w:pPr>
    </w:p>
    <w:p w14:paraId="1B7AF8F0">
      <w:pPr>
        <w:rPr>
          <w:rFonts w:ascii="宋体" w:hAnsi="宋体" w:eastAsia="宋体" w:cs="宋体"/>
          <w:color w:val="auto"/>
          <w:highlight w:val="none"/>
        </w:rPr>
      </w:pPr>
    </w:p>
    <w:p w14:paraId="47436F2A">
      <w:pPr>
        <w:snapToGrid w:val="0"/>
        <w:spacing w:line="360" w:lineRule="auto"/>
        <w:ind w:firstLine="5040" w:firstLine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ascii="宋体" w:hAnsi="宋体" w:eastAsia="宋体" w:cs="宋体"/>
          <w:b/>
          <w:bCs/>
          <w:color w:val="auto"/>
          <w:sz w:val="32"/>
          <w:szCs w:val="32"/>
          <w:highlight w:val="none"/>
          <w:lang w:val="zh-CN"/>
        </w:rPr>
      </w:pPr>
    </w:p>
    <w:p w14:paraId="0809206A">
      <w:pPr>
        <w:snapToGrid w:val="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2E48DC7">
            <w:pPr>
              <w:pStyle w:val="1027"/>
              <w:adjustRightInd w:val="0"/>
              <w:spacing w:line="360" w:lineRule="auto"/>
              <w:rPr>
                <w:rFonts w:hAnsi="宋体" w:cs="宋体"/>
                <w:bCs/>
                <w:color w:val="auto"/>
                <w:sz w:val="24"/>
                <w:highlight w:val="none"/>
              </w:rPr>
            </w:pPr>
          </w:p>
        </w:tc>
      </w:tr>
    </w:tbl>
    <w:p w14:paraId="4AE08DD5">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ascii="宋体" w:hAnsi="宋体" w:eastAsia="宋体" w:cs="宋体"/>
          <w:b/>
          <w:color w:val="auto"/>
          <w:kern w:val="0"/>
          <w:sz w:val="32"/>
          <w:szCs w:val="32"/>
          <w:highlight w:val="none"/>
        </w:rPr>
      </w:pPr>
    </w:p>
    <w:p w14:paraId="25C73AA6">
      <w:pPr>
        <w:jc w:val="center"/>
        <w:rPr>
          <w:rFonts w:ascii="宋体" w:hAnsi="宋体" w:eastAsia="宋体" w:cs="宋体"/>
          <w:b/>
          <w:color w:val="auto"/>
          <w:kern w:val="0"/>
          <w:sz w:val="32"/>
          <w:szCs w:val="32"/>
          <w:highlight w:val="none"/>
        </w:rPr>
      </w:pPr>
    </w:p>
    <w:p w14:paraId="0C5618C8">
      <w:pPr>
        <w:jc w:val="center"/>
        <w:rPr>
          <w:rFonts w:ascii="宋体" w:hAnsi="宋体" w:eastAsia="宋体" w:cs="宋体"/>
          <w:b/>
          <w:color w:val="auto"/>
          <w:kern w:val="0"/>
          <w:sz w:val="32"/>
          <w:szCs w:val="32"/>
          <w:highlight w:val="none"/>
        </w:rPr>
      </w:pPr>
    </w:p>
    <w:p w14:paraId="21FB7939">
      <w:pPr>
        <w:jc w:val="center"/>
        <w:rPr>
          <w:rFonts w:ascii="宋体" w:hAnsi="宋体" w:eastAsia="宋体" w:cs="宋体"/>
          <w:b/>
          <w:color w:val="auto"/>
          <w:kern w:val="0"/>
          <w:sz w:val="32"/>
          <w:szCs w:val="32"/>
          <w:highlight w:val="none"/>
        </w:rPr>
      </w:pPr>
    </w:p>
    <w:p w14:paraId="0F0E0B25">
      <w:pPr>
        <w:jc w:val="center"/>
        <w:rPr>
          <w:rFonts w:ascii="宋体" w:hAnsi="宋体" w:eastAsia="宋体" w:cs="宋体"/>
          <w:b/>
          <w:color w:val="auto"/>
          <w:kern w:val="0"/>
          <w:sz w:val="32"/>
          <w:szCs w:val="32"/>
          <w:highlight w:val="none"/>
        </w:rPr>
      </w:pPr>
    </w:p>
    <w:p w14:paraId="53185CE3">
      <w:pPr>
        <w:jc w:val="center"/>
        <w:rPr>
          <w:rFonts w:ascii="宋体" w:hAnsi="宋体" w:eastAsia="宋体" w:cs="宋体"/>
          <w:b/>
          <w:color w:val="auto"/>
          <w:kern w:val="0"/>
          <w:sz w:val="32"/>
          <w:szCs w:val="32"/>
          <w:highlight w:val="none"/>
        </w:rPr>
      </w:pPr>
    </w:p>
    <w:p w14:paraId="56E7C694">
      <w:pPr>
        <w:jc w:val="center"/>
        <w:rPr>
          <w:rFonts w:ascii="宋体" w:hAnsi="宋体" w:eastAsia="宋体" w:cs="宋体"/>
          <w:b/>
          <w:color w:val="auto"/>
          <w:kern w:val="0"/>
          <w:sz w:val="32"/>
          <w:szCs w:val="32"/>
          <w:highlight w:val="none"/>
        </w:rPr>
      </w:pPr>
    </w:p>
    <w:p w14:paraId="6D1895BA">
      <w:pPr>
        <w:jc w:val="center"/>
        <w:rPr>
          <w:rFonts w:ascii="宋体" w:hAnsi="宋体" w:eastAsia="宋体" w:cs="宋体"/>
          <w:b/>
          <w:color w:val="auto"/>
          <w:kern w:val="0"/>
          <w:sz w:val="32"/>
          <w:szCs w:val="32"/>
          <w:highlight w:val="none"/>
        </w:rPr>
      </w:pPr>
    </w:p>
    <w:p w14:paraId="1A19D50C">
      <w:pPr>
        <w:jc w:val="center"/>
        <w:rPr>
          <w:rFonts w:ascii="宋体" w:hAnsi="宋体" w:eastAsia="宋体" w:cs="宋体"/>
          <w:b/>
          <w:color w:val="auto"/>
          <w:kern w:val="0"/>
          <w:sz w:val="32"/>
          <w:szCs w:val="32"/>
          <w:highlight w:val="none"/>
        </w:rPr>
      </w:pPr>
    </w:p>
    <w:p w14:paraId="7D65BE0B">
      <w:pPr>
        <w:jc w:val="center"/>
        <w:rPr>
          <w:rFonts w:ascii="宋体" w:hAnsi="宋体" w:eastAsia="宋体" w:cs="宋体"/>
          <w:b/>
          <w:color w:val="auto"/>
          <w:kern w:val="0"/>
          <w:sz w:val="32"/>
          <w:szCs w:val="32"/>
          <w:highlight w:val="none"/>
        </w:rPr>
      </w:pPr>
    </w:p>
    <w:p w14:paraId="0B46B917">
      <w:pPr>
        <w:snapToGrid w:val="0"/>
        <w:spacing w:line="360" w:lineRule="auto"/>
        <w:ind w:right="480"/>
        <w:rPr>
          <w:rFonts w:ascii="宋体" w:hAnsi="宋体" w:eastAsia="宋体" w:cs="宋体"/>
          <w:b/>
          <w:color w:val="auto"/>
          <w:kern w:val="0"/>
          <w:sz w:val="32"/>
          <w:szCs w:val="32"/>
          <w:highlight w:val="none"/>
        </w:rPr>
        <w:sectPr>
          <w:pgSz w:w="11905" w:h="16838"/>
          <w:pgMar w:top="1417" w:right="1417" w:bottom="1417" w:left="1417" w:header="851" w:footer="992" w:gutter="0"/>
          <w:cols w:space="0" w:num="1"/>
          <w:titlePg/>
          <w:docGrid w:linePitch="312" w:charSpace="0"/>
        </w:sectPr>
      </w:pPr>
    </w:p>
    <w:p w14:paraId="645C04D9">
      <w:pPr>
        <w:snapToGrid w:val="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ascii="宋体" w:hAnsi="宋体" w:eastAsia="宋体" w:cs="宋体"/>
          <w:color w:val="auto"/>
          <w:sz w:val="24"/>
          <w:highlight w:val="none"/>
        </w:rPr>
      </w:pPr>
      <w:bookmarkStart w:id="105"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成交后以分包方式履行合同的，提供分包意向协议(附件4)；采购人不同意分包或者供应商成交后不以分包方式履行合同的，则不需要提供。</w:t>
      </w:r>
      <w:r>
        <w:rPr>
          <w:rFonts w:hint="eastAsia" w:ascii="宋体" w:hAnsi="宋体" w:eastAsia="宋体" w:cs="宋体"/>
          <w:color w:val="auto"/>
          <w:sz w:val="24"/>
          <w:highlight w:val="none"/>
        </w:rPr>
        <w:t>]</w:t>
      </w:r>
    </w:p>
    <w:bookmarkEnd w:id="105"/>
    <w:p w14:paraId="24A524A3">
      <w:pPr>
        <w:snapToGrid w:val="0"/>
        <w:spacing w:line="360" w:lineRule="auto"/>
        <w:rPr>
          <w:rFonts w:ascii="宋体" w:hAnsi="宋体" w:eastAsia="宋体" w:cs="宋体"/>
          <w:color w:val="auto"/>
          <w:kern w:val="0"/>
          <w:sz w:val="24"/>
          <w:highlight w:val="none"/>
        </w:rPr>
      </w:pPr>
    </w:p>
    <w:p w14:paraId="7ED9625F">
      <w:pPr>
        <w:snapToGrid w:val="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rPr>
                <w:rFonts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rPr>
                <w:rFonts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5"/>
              <w:tabs>
                <w:tab w:val="left" w:pos="432"/>
              </w:tabs>
              <w:adjustRightInd w:val="0"/>
              <w:snapToGrid w:val="0"/>
              <w:spacing w:before="0" w:after="0" w:line="240" w:lineRule="auto"/>
              <w:rPr>
                <w:rFonts w:ascii="宋体" w:hAnsi="宋体" w:eastAsia="宋体" w:cs="宋体"/>
                <w:color w:val="auto"/>
                <w:highlight w:val="none"/>
              </w:rPr>
            </w:pPr>
            <w:bookmarkStart w:id="106" w:name="_Toc6499"/>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页</w:t>
            </w:r>
            <w:bookmarkEnd w:id="106"/>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rPr>
                <w:rFonts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vAlign w:val="center"/>
          </w:tcPr>
          <w:p w14:paraId="3F10BC8E">
            <w:pPr>
              <w:rPr>
                <w:rFonts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vAlign w:val="center"/>
          </w:tcPr>
          <w:p w14:paraId="64C95335">
            <w:pPr>
              <w:rPr>
                <w:rFonts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4991" w:type="dxa"/>
            <w:vAlign w:val="center"/>
          </w:tcPr>
          <w:p w14:paraId="6E4C030D">
            <w:pPr>
              <w:rPr>
                <w:rFonts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vAlign w:val="center"/>
          </w:tcPr>
          <w:p w14:paraId="66361DEA">
            <w:pPr>
              <w:rPr>
                <w:rFonts w:ascii="宋体" w:hAnsi="宋体" w:eastAsia="宋体" w:cs="宋体"/>
                <w:color w:val="auto"/>
                <w:kern w:val="0"/>
                <w:sz w:val="24"/>
                <w:highlight w:val="none"/>
              </w:rPr>
            </w:pPr>
          </w:p>
        </w:tc>
        <w:tc>
          <w:tcPr>
            <w:tcW w:w="1418" w:type="dxa"/>
            <w:vAlign w:val="center"/>
          </w:tcPr>
          <w:p w14:paraId="4AD41BDA">
            <w:pPr>
              <w:rPr>
                <w:rFonts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rPr>
                <w:rFonts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vAlign w:val="center"/>
          </w:tcPr>
          <w:p w14:paraId="6FBBB7FD">
            <w:pPr>
              <w:rPr>
                <w:rFonts w:ascii="宋体" w:hAnsi="宋体" w:eastAsia="宋体" w:cs="宋体"/>
                <w:color w:val="auto"/>
                <w:kern w:val="0"/>
                <w:sz w:val="24"/>
                <w:highlight w:val="none"/>
              </w:rPr>
            </w:pPr>
          </w:p>
        </w:tc>
        <w:tc>
          <w:tcPr>
            <w:tcW w:w="1418" w:type="dxa"/>
            <w:vAlign w:val="center"/>
          </w:tcPr>
          <w:p w14:paraId="20BCB9CE">
            <w:pPr>
              <w:rPr>
                <w:rFonts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59ED9F16">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2、采购文件中实质性要求必须明确响应。</w:t>
      </w:r>
    </w:p>
    <w:p w14:paraId="1D413016">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ascii="宋体" w:hAnsi="宋体" w:eastAsia="宋体" w:cs="宋体"/>
          <w:b/>
          <w:color w:val="auto"/>
          <w:kern w:val="0"/>
          <w:sz w:val="32"/>
          <w:szCs w:val="32"/>
          <w:highlight w:val="none"/>
        </w:rPr>
      </w:pPr>
    </w:p>
    <w:p w14:paraId="418FD62B">
      <w:pPr>
        <w:jc w:val="center"/>
        <w:rPr>
          <w:rFonts w:ascii="宋体" w:hAnsi="宋体" w:eastAsia="宋体" w:cs="宋体"/>
          <w:b/>
          <w:color w:val="auto"/>
          <w:kern w:val="0"/>
          <w:sz w:val="32"/>
          <w:szCs w:val="32"/>
          <w:highlight w:val="none"/>
        </w:rPr>
      </w:pPr>
    </w:p>
    <w:p w14:paraId="0EDC4CA7">
      <w:pPr>
        <w:jc w:val="center"/>
        <w:rPr>
          <w:rFonts w:ascii="宋体" w:hAnsi="宋体" w:eastAsia="宋体" w:cs="宋体"/>
          <w:b/>
          <w:color w:val="auto"/>
          <w:kern w:val="0"/>
          <w:sz w:val="32"/>
          <w:szCs w:val="32"/>
          <w:highlight w:val="none"/>
        </w:rPr>
      </w:pPr>
    </w:p>
    <w:p w14:paraId="3677E7B2">
      <w:pPr>
        <w:jc w:val="center"/>
        <w:rPr>
          <w:rFonts w:ascii="宋体" w:hAnsi="宋体" w:eastAsia="宋体" w:cs="宋体"/>
          <w:b/>
          <w:color w:val="auto"/>
          <w:kern w:val="0"/>
          <w:sz w:val="32"/>
          <w:szCs w:val="32"/>
          <w:highlight w:val="none"/>
        </w:rPr>
      </w:pPr>
    </w:p>
    <w:p w14:paraId="1E344713">
      <w:pPr>
        <w:jc w:val="center"/>
        <w:rPr>
          <w:rFonts w:ascii="宋体" w:hAnsi="宋体" w:eastAsia="宋体" w:cs="宋体"/>
          <w:b/>
          <w:color w:val="auto"/>
          <w:kern w:val="0"/>
          <w:sz w:val="32"/>
          <w:szCs w:val="32"/>
          <w:highlight w:val="none"/>
        </w:rPr>
      </w:pPr>
    </w:p>
    <w:p w14:paraId="35032BDF">
      <w:pP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A19E401">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
        <w:spacing w:line="360" w:lineRule="auto"/>
        <w:ind w:firstLine="0"/>
        <w:rPr>
          <w:color w:val="auto"/>
          <w:sz w:val="24"/>
          <w:szCs w:val="24"/>
          <w:highlight w:val="none"/>
        </w:rPr>
      </w:pPr>
    </w:p>
    <w:p w14:paraId="7389A2AA">
      <w:pPr>
        <w:pStyle w:val="2"/>
        <w:spacing w:line="360" w:lineRule="auto"/>
        <w:ind w:firstLine="0"/>
        <w:rPr>
          <w:color w:val="auto"/>
          <w:sz w:val="24"/>
          <w:szCs w:val="24"/>
          <w:highlight w:val="none"/>
        </w:rPr>
      </w:pPr>
      <w:r>
        <w:rPr>
          <w:rFonts w:hint="eastAsia"/>
          <w:color w:val="auto"/>
          <w:sz w:val="24"/>
          <w:szCs w:val="24"/>
          <w:highlight w:val="none"/>
          <w:u w:val="single"/>
        </w:rPr>
        <w:t>浙江工业大学、浙江豪圣建设项目管理有限公司：</w:t>
      </w:r>
    </w:p>
    <w:p w14:paraId="5D81B82E">
      <w:pPr>
        <w:pStyle w:val="2"/>
        <w:spacing w:line="360" w:lineRule="auto"/>
        <w:ind w:firstLine="464" w:firstLineChars="200"/>
        <w:rPr>
          <w:color w:val="auto"/>
          <w:sz w:val="24"/>
          <w:szCs w:val="24"/>
          <w:highlight w:val="none"/>
        </w:rPr>
      </w:pPr>
      <w:r>
        <w:rPr>
          <w:rFonts w:hint="eastAsia"/>
          <w:color w:val="auto"/>
          <w:sz w:val="24"/>
          <w:szCs w:val="24"/>
          <w:highlight w:val="none"/>
        </w:rPr>
        <w:t>我方参加你方组织的（项目名称）【招标编号：】招标的有关活动，对此项目进行投标。并承诺：</w:t>
      </w:r>
    </w:p>
    <w:p w14:paraId="0FAC77B6">
      <w:pPr>
        <w:pStyle w:val="2"/>
        <w:spacing w:line="360" w:lineRule="auto"/>
        <w:ind w:firstLine="464" w:firstLineChars="200"/>
        <w:rPr>
          <w:color w:val="auto"/>
          <w:sz w:val="24"/>
          <w:szCs w:val="24"/>
          <w:highlight w:val="none"/>
        </w:rPr>
      </w:pPr>
      <w:r>
        <w:rPr>
          <w:rFonts w:hint="eastAsia"/>
          <w:color w:val="auto"/>
          <w:sz w:val="24"/>
          <w:szCs w:val="24"/>
          <w:highlight w:val="none"/>
        </w:rPr>
        <w:t>1、我方在响应文件中提供的全部材料均为真实材料。</w:t>
      </w:r>
    </w:p>
    <w:p w14:paraId="42732417">
      <w:pPr>
        <w:pStyle w:val="2"/>
        <w:spacing w:line="360" w:lineRule="auto"/>
        <w:ind w:firstLine="464" w:firstLineChars="200"/>
        <w:rPr>
          <w:color w:val="auto"/>
          <w:sz w:val="24"/>
          <w:szCs w:val="24"/>
          <w:highlight w:val="none"/>
        </w:rPr>
      </w:pPr>
      <w:r>
        <w:rPr>
          <w:rFonts w:hint="eastAsia"/>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
        <w:spacing w:line="360" w:lineRule="auto"/>
        <w:ind w:firstLine="464" w:firstLineChars="200"/>
        <w:rPr>
          <w:color w:val="auto"/>
          <w:sz w:val="24"/>
          <w:szCs w:val="24"/>
          <w:highlight w:val="none"/>
        </w:rPr>
      </w:pPr>
      <w:r>
        <w:rPr>
          <w:rFonts w:hint="eastAsia"/>
          <w:color w:val="auto"/>
          <w:sz w:val="24"/>
          <w:szCs w:val="24"/>
          <w:highlight w:val="none"/>
        </w:rPr>
        <w:t>如我方未履行上述承诺，我方愿意承担一切后果。</w:t>
      </w:r>
    </w:p>
    <w:p w14:paraId="46631F8D">
      <w:pPr>
        <w:snapToGrid w:val="0"/>
        <w:spacing w:line="360" w:lineRule="auto"/>
        <w:ind w:firstLine="576"/>
        <w:jc w:val="center"/>
        <w:rPr>
          <w:rFonts w:ascii="宋体" w:hAnsi="宋体" w:eastAsia="宋体" w:cs="宋体"/>
          <w:color w:val="auto"/>
          <w:kern w:val="0"/>
          <w:sz w:val="24"/>
          <w:highlight w:val="none"/>
          <w:lang w:val="zh-CN"/>
        </w:rPr>
      </w:pPr>
    </w:p>
    <w:p w14:paraId="7B1CD6A9">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B840E20">
      <w:pPr>
        <w:snapToGrid w:val="0"/>
        <w:spacing w:line="360" w:lineRule="auto"/>
        <w:ind w:firstLine="576"/>
        <w:jc w:val="center"/>
        <w:rPr>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ascii="宋体" w:hAnsi="宋体" w:eastAsia="宋体" w:cs="宋体"/>
          <w:b/>
          <w:color w:val="auto"/>
          <w:kern w:val="0"/>
          <w:sz w:val="32"/>
          <w:szCs w:val="32"/>
          <w:highlight w:val="none"/>
        </w:rPr>
      </w:pPr>
    </w:p>
    <w:p w14:paraId="51BF6097">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BFE46">
      <w:pPr>
        <w:snapToGrid w:val="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ascii="宋体" w:hAnsi="宋体" w:eastAsia="宋体" w:cs="宋体"/>
          <w:b/>
          <w:color w:val="auto"/>
          <w:sz w:val="24"/>
          <w:highlight w:val="none"/>
        </w:rPr>
      </w:pPr>
    </w:p>
    <w:p w14:paraId="6B3669EC">
      <w:pPr>
        <w:snapToGrid w:val="0"/>
        <w:spacing w:line="360" w:lineRule="auto"/>
        <w:jc w:val="left"/>
        <w:rPr>
          <w:rFonts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EB2D31">
            <w:pPr>
              <w:snapToGrid w:val="0"/>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vAlign w:val="center"/>
          </w:tcPr>
          <w:p w14:paraId="66C588F5">
            <w:pPr>
              <w:snapToGrid w:val="0"/>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vAlign w:val="center"/>
          </w:tcPr>
          <w:p w14:paraId="34903440">
            <w:pPr>
              <w:snapToGrid w:val="0"/>
              <w:spacing w:line="240" w:lineRule="atLeast"/>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3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74" w:type="dxa"/>
            <w:vAlign w:val="center"/>
          </w:tcPr>
          <w:p w14:paraId="0C798621">
            <w:pPr>
              <w:snapToGrid w:val="0"/>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vAlign w:val="center"/>
          </w:tcPr>
          <w:p w14:paraId="07F93DC2">
            <w:pPr>
              <w:rPr>
                <w:rFonts w:ascii="宋体" w:hAnsi="宋体" w:eastAsia="宋体" w:cs="宋体"/>
                <w:bCs/>
                <w:color w:val="auto"/>
                <w:sz w:val="24"/>
                <w:highlight w:val="none"/>
              </w:rPr>
            </w:pPr>
            <w:r>
              <w:rPr>
                <w:rFonts w:hint="eastAsia" w:ascii="宋体" w:hAnsi="宋体" w:eastAsia="宋体" w:cs="宋体"/>
                <w:color w:val="auto"/>
                <w:szCs w:val="21"/>
                <w:highlight w:val="none"/>
              </w:rPr>
              <w:t>供应商自2022年1月1日以来（以合同签订时间为准）类似合同业绩（以提供的合同及对应分部分项竣工验收报告/竣工验收报告扫描件为准）：每提供1份业绩证明得0.25分（最高得1分）</w:t>
            </w:r>
          </w:p>
        </w:tc>
        <w:tc>
          <w:tcPr>
            <w:tcW w:w="3046" w:type="dxa"/>
            <w:vAlign w:val="center"/>
          </w:tcPr>
          <w:p w14:paraId="2C903CF1">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0E6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774" w:type="dxa"/>
            <w:vAlign w:val="center"/>
          </w:tcPr>
          <w:p w14:paraId="28A31935">
            <w:pPr>
              <w:snapToGrid w:val="0"/>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vAlign w:val="center"/>
          </w:tcPr>
          <w:p w14:paraId="6165FA4C">
            <w:pPr>
              <w:rPr>
                <w:rFonts w:ascii="宋体" w:hAnsi="宋体" w:eastAsia="宋体" w:cs="宋体"/>
                <w:color w:val="auto"/>
                <w:szCs w:val="21"/>
                <w:highlight w:val="none"/>
              </w:rPr>
            </w:pPr>
            <w:r>
              <w:rPr>
                <w:rFonts w:hint="eastAsia" w:ascii="宋体" w:hAnsi="宋体" w:eastAsia="宋体" w:cs="宋体"/>
                <w:color w:val="auto"/>
                <w:szCs w:val="21"/>
                <w:highlight w:val="none"/>
              </w:rPr>
              <w:t>拟派项目经理自2022年1月1日以来（以合同签订时间为准）以项目经理身份参与的类似项目业绩（以提供的合同及对应分部分项竣工验收报告/竣工验收报告扫描件为准，合同中无法体现项目经理姓名的可提供业主证明材料作为补充）：每提供1份业绩证明得0.25分（最高得0.5分）</w:t>
            </w:r>
          </w:p>
          <w:p w14:paraId="423FBFA8">
            <w:pPr>
              <w:rPr>
                <w:rFonts w:ascii="宋体" w:hAnsi="宋体" w:eastAsia="宋体" w:cs="宋体"/>
                <w:bCs/>
                <w:color w:val="auto"/>
                <w:sz w:val="24"/>
                <w:highlight w:val="none"/>
              </w:rPr>
            </w:pPr>
            <w:r>
              <w:rPr>
                <w:rFonts w:hint="eastAsia" w:ascii="宋体" w:hAnsi="宋体" w:eastAsia="宋体" w:cs="宋体"/>
                <w:color w:val="auto"/>
                <w:szCs w:val="21"/>
                <w:highlight w:val="none"/>
              </w:rPr>
              <w:t>说明：拟派项目经理业绩与前述供应商业绩不重复计分。</w:t>
            </w:r>
          </w:p>
        </w:tc>
        <w:tc>
          <w:tcPr>
            <w:tcW w:w="3046" w:type="dxa"/>
            <w:vAlign w:val="center"/>
          </w:tcPr>
          <w:p w14:paraId="06B51060">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36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EC32937">
            <w:pPr>
              <w:snapToGrid w:val="0"/>
              <w:spacing w:line="360" w:lineRule="auto"/>
              <w:jc w:val="center"/>
              <w:rPr>
                <w:rFonts w:ascii="宋体" w:hAnsi="宋体" w:eastAsia="宋体" w:cs="宋体"/>
                <w:bCs/>
                <w:color w:val="auto"/>
                <w:sz w:val="24"/>
                <w:highlight w:val="none"/>
              </w:rPr>
            </w:pPr>
            <w:r>
              <w:rPr>
                <w:rFonts w:hint="eastAsia" w:ascii="宋体" w:hAnsi="宋体" w:eastAsia="宋体" w:cs="宋体"/>
                <w:color w:val="auto"/>
                <w:kern w:val="0"/>
                <w:sz w:val="24"/>
                <w:highlight w:val="none"/>
              </w:rPr>
              <w:t>3</w:t>
            </w:r>
          </w:p>
        </w:tc>
        <w:tc>
          <w:tcPr>
            <w:tcW w:w="5465" w:type="dxa"/>
            <w:vAlign w:val="center"/>
          </w:tcPr>
          <w:p w14:paraId="7FCEF7C7">
            <w:pPr>
              <w:rPr>
                <w:rFonts w:ascii="宋体" w:hAnsi="宋体" w:eastAsia="宋体" w:cs="宋体"/>
                <w:bCs/>
                <w:color w:val="auto"/>
                <w:sz w:val="24"/>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3046" w:type="dxa"/>
            <w:vAlign w:val="center"/>
          </w:tcPr>
          <w:p w14:paraId="55C097E0">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7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74" w:type="dxa"/>
            <w:vAlign w:val="center"/>
          </w:tcPr>
          <w:p w14:paraId="46336E8D">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5465" w:type="dxa"/>
            <w:vAlign w:val="center"/>
          </w:tcPr>
          <w:p w14:paraId="71ABE9CE">
            <w:pPr>
              <w:rPr>
                <w:rFonts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产品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76D1F6B5">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245B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4" w:type="dxa"/>
            <w:vAlign w:val="center"/>
          </w:tcPr>
          <w:p w14:paraId="41028224">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5465" w:type="dxa"/>
            <w:vAlign w:val="center"/>
          </w:tcPr>
          <w:p w14:paraId="7DC67588">
            <w:pPr>
              <w:rPr>
                <w:rFonts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（评审分值为3分或2分或1分或0分）</w:t>
            </w:r>
          </w:p>
        </w:tc>
        <w:tc>
          <w:tcPr>
            <w:tcW w:w="3046" w:type="dxa"/>
            <w:vAlign w:val="center"/>
          </w:tcPr>
          <w:p w14:paraId="35E4DDC5">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51E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62F5DF4A">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5465" w:type="dxa"/>
            <w:vAlign w:val="center"/>
          </w:tcPr>
          <w:p w14:paraId="091C041F">
            <w:pPr>
              <w:rPr>
                <w:rFonts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3046" w:type="dxa"/>
            <w:vAlign w:val="center"/>
          </w:tcPr>
          <w:p w14:paraId="2E77B7E5">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3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74" w:type="dxa"/>
            <w:vAlign w:val="center"/>
          </w:tcPr>
          <w:p w14:paraId="704D2160">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5465" w:type="dxa"/>
            <w:vAlign w:val="center"/>
          </w:tcPr>
          <w:p w14:paraId="14498FA2">
            <w:pPr>
              <w:rPr>
                <w:rFonts w:ascii="宋体" w:hAnsi="宋体" w:eastAsia="宋体" w:cs="宋体"/>
                <w:color w:val="auto"/>
                <w:highlight w:val="none"/>
              </w:rPr>
            </w:pPr>
            <w:r>
              <w:rPr>
                <w:rFonts w:hint="eastAsia" w:ascii="宋体" w:hAnsi="宋体" w:eastAsia="宋体" w:cs="宋体"/>
                <w:color w:val="auto"/>
                <w:szCs w:val="21"/>
                <w:highlight w:val="none"/>
              </w:rPr>
              <w:t>施工方案重难点分析及对应控制措施：根据分析方案完善、合理、针对性进行评审。</w:t>
            </w:r>
            <w:r>
              <w:rPr>
                <w:rFonts w:hint="eastAsia" w:ascii="宋体" w:hAnsi="宋体" w:eastAsia="宋体" w:cs="宋体"/>
                <w:color w:val="auto"/>
                <w:highlight w:val="none"/>
              </w:rPr>
              <w:t>（评审分值为3分或2分或1分或0分）</w:t>
            </w:r>
          </w:p>
        </w:tc>
        <w:tc>
          <w:tcPr>
            <w:tcW w:w="3046" w:type="dxa"/>
            <w:vAlign w:val="center"/>
          </w:tcPr>
          <w:p w14:paraId="4ED74897">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30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74" w:type="dxa"/>
            <w:vAlign w:val="center"/>
          </w:tcPr>
          <w:p w14:paraId="6B2E9D0D">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5465" w:type="dxa"/>
            <w:vAlign w:val="center"/>
          </w:tcPr>
          <w:p w14:paraId="6ADD9DB8">
            <w:pPr>
              <w:rPr>
                <w:rFonts w:ascii="宋体" w:hAnsi="宋体" w:eastAsia="宋体" w:cs="宋体"/>
                <w:color w:val="auto"/>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3046" w:type="dxa"/>
            <w:vAlign w:val="center"/>
          </w:tcPr>
          <w:p w14:paraId="0DDB08F5">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782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74" w:type="dxa"/>
            <w:vAlign w:val="center"/>
          </w:tcPr>
          <w:p w14:paraId="35A272CA">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5465" w:type="dxa"/>
            <w:vAlign w:val="center"/>
          </w:tcPr>
          <w:p w14:paraId="3E01E606">
            <w:pPr>
              <w:rPr>
                <w:rFonts w:ascii="宋体" w:hAnsi="宋体" w:eastAsia="宋体" w:cs="宋体"/>
                <w:color w:val="auto"/>
                <w:highlight w:val="none"/>
              </w:rPr>
            </w:pPr>
            <w:r>
              <w:rPr>
                <w:rFonts w:hint="eastAsia" w:ascii="宋体" w:hAnsi="宋体" w:eastAsia="宋体" w:cs="宋体"/>
                <w:color w:val="auto"/>
                <w:szCs w:val="21"/>
                <w:highlight w:val="none"/>
              </w:rPr>
              <w:t>项目需采取的专门施工组织措施方案：根据方案完善程度、合理性、针对性、可行性进行评审。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3046" w:type="dxa"/>
            <w:vAlign w:val="center"/>
          </w:tcPr>
          <w:p w14:paraId="129E3E41">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A76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77D2556E">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5465" w:type="dxa"/>
            <w:vAlign w:val="center"/>
          </w:tcPr>
          <w:p w14:paraId="4A4DE5A0">
            <w:pPr>
              <w:rPr>
                <w:rFonts w:ascii="宋体" w:hAnsi="宋体" w:eastAsia="宋体" w:cs="宋体"/>
                <w:color w:val="auto"/>
                <w:highlight w:val="none"/>
              </w:rPr>
            </w:pPr>
            <w:r>
              <w:rPr>
                <w:rFonts w:hint="eastAsia" w:ascii="宋体" w:hAnsi="宋体" w:eastAsia="宋体" w:cs="宋体"/>
                <w:color w:val="auto"/>
                <w:szCs w:val="21"/>
                <w:highlight w:val="none"/>
              </w:rPr>
              <w:t>施工各阶段进度计划及施工施工进度计划网络图：根据施工进度计划的合理性、可行性、对本项目的针对性以及网络图表达的清晰程度、内容完善度以及内容的合理性、可行性进行评审。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4分或3分或2分或1分或0分</w:t>
            </w:r>
            <w:r>
              <w:rPr>
                <w:rFonts w:hint="eastAsia" w:ascii="宋体" w:hAnsi="宋体" w:eastAsia="宋体" w:cs="宋体"/>
                <w:color w:val="auto"/>
                <w:highlight w:val="none"/>
              </w:rPr>
              <w:t>）</w:t>
            </w:r>
          </w:p>
        </w:tc>
        <w:tc>
          <w:tcPr>
            <w:tcW w:w="3046" w:type="dxa"/>
            <w:vAlign w:val="center"/>
          </w:tcPr>
          <w:p w14:paraId="03ED6F7E">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0D5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211BDDE">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5465" w:type="dxa"/>
            <w:vAlign w:val="center"/>
          </w:tcPr>
          <w:p w14:paraId="3E750A8C">
            <w:pPr>
              <w:rPr>
                <w:rFonts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3046" w:type="dxa"/>
            <w:vAlign w:val="center"/>
          </w:tcPr>
          <w:p w14:paraId="5CD40689">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EB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244C5595">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w:t>
            </w:r>
          </w:p>
        </w:tc>
        <w:tc>
          <w:tcPr>
            <w:tcW w:w="5465" w:type="dxa"/>
            <w:vAlign w:val="center"/>
          </w:tcPr>
          <w:p w14:paraId="46462DE1">
            <w:pPr>
              <w:rPr>
                <w:rFonts w:ascii="宋体" w:hAnsi="宋体" w:eastAsia="宋体" w:cs="宋体"/>
                <w:color w:val="auto"/>
                <w:highlight w:val="none"/>
              </w:rPr>
            </w:pPr>
            <w:r>
              <w:rPr>
                <w:rFonts w:hint="eastAsia" w:ascii="宋体" w:hAnsi="宋体" w:eastAsia="宋体" w:cs="宋体"/>
                <w:color w:val="auto"/>
                <w:szCs w:val="21"/>
                <w:highlight w:val="none"/>
              </w:rPr>
              <w:t>施工材料选用、品牌情况；根据选用的施工材料（</w:t>
            </w:r>
            <w:r>
              <w:rPr>
                <w:rFonts w:hint="eastAsia" w:ascii="宋体" w:hAnsi="宋体" w:eastAsia="宋体" w:cs="宋体"/>
                <w:color w:val="auto"/>
                <w:szCs w:val="21"/>
                <w:highlight w:val="none"/>
              </w:rPr>
              <w:t>柜式七氟丙烷气体灭火装置除外）</w:t>
            </w:r>
            <w:r>
              <w:rPr>
                <w:rFonts w:hint="eastAsia" w:ascii="宋体" w:hAnsi="宋体" w:eastAsia="宋体" w:cs="宋体"/>
                <w:color w:val="auto"/>
                <w:szCs w:val="21"/>
                <w:highlight w:val="none"/>
              </w:rPr>
              <w:t>对项目需求的满足程度，拟投入设备配置的科学性、合理性，对项目实施的有利程度进行评审。</w:t>
            </w:r>
            <w:r>
              <w:rPr>
                <w:rFonts w:hint="eastAsia" w:ascii="宋体" w:hAnsi="宋体" w:eastAsia="宋体" w:cs="宋体"/>
                <w:color w:val="auto"/>
                <w:highlight w:val="none"/>
              </w:rPr>
              <w:t>（评审分值为3分或2分或1分或0分）</w:t>
            </w:r>
          </w:p>
        </w:tc>
        <w:tc>
          <w:tcPr>
            <w:tcW w:w="3046" w:type="dxa"/>
            <w:vAlign w:val="center"/>
          </w:tcPr>
          <w:p w14:paraId="01EE37E1">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74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74" w:type="dxa"/>
            <w:vAlign w:val="center"/>
          </w:tcPr>
          <w:p w14:paraId="7D347A0C">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w:t>
            </w:r>
          </w:p>
        </w:tc>
        <w:tc>
          <w:tcPr>
            <w:tcW w:w="5465" w:type="dxa"/>
            <w:vAlign w:val="center"/>
          </w:tcPr>
          <w:p w14:paraId="7F204007">
            <w:pPr>
              <w:rPr>
                <w:rFonts w:ascii="宋体" w:hAnsi="宋体" w:eastAsia="宋体" w:cs="宋体"/>
                <w:color w:val="auto"/>
                <w:highlight w:val="none"/>
              </w:rPr>
            </w:pPr>
            <w:r>
              <w:rPr>
                <w:rFonts w:hint="eastAsia" w:ascii="宋体" w:hAnsi="宋体" w:eastAsia="宋体" w:cs="宋体"/>
                <w:color w:val="auto"/>
                <w:szCs w:val="21"/>
                <w:highlight w:val="none"/>
              </w:rPr>
              <w:t>柜式七氟丙烷气体灭火装置产品功能及配置：根据产品功能、配置的先进性、完整性和适用性进行评审。</w:t>
            </w:r>
            <w:r>
              <w:rPr>
                <w:rFonts w:hint="eastAsia" w:ascii="宋体" w:hAnsi="宋体" w:eastAsia="宋体" w:cs="宋体"/>
                <w:color w:val="auto"/>
                <w:highlight w:val="none"/>
              </w:rPr>
              <w:t>（评审分值为3分或2分或1分或0分）</w:t>
            </w:r>
          </w:p>
        </w:tc>
        <w:tc>
          <w:tcPr>
            <w:tcW w:w="3046" w:type="dxa"/>
            <w:vAlign w:val="center"/>
          </w:tcPr>
          <w:p w14:paraId="2A12D5B1">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C7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6E72BE3E">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w:t>
            </w:r>
          </w:p>
        </w:tc>
        <w:tc>
          <w:tcPr>
            <w:tcW w:w="5465" w:type="dxa"/>
            <w:vAlign w:val="center"/>
          </w:tcPr>
          <w:p w14:paraId="140D61CE">
            <w:pPr>
              <w:rPr>
                <w:rFonts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3046" w:type="dxa"/>
            <w:vAlign w:val="center"/>
          </w:tcPr>
          <w:p w14:paraId="5BFB9950">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F4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E00752F">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5465" w:type="dxa"/>
            <w:vAlign w:val="center"/>
          </w:tcPr>
          <w:p w14:paraId="4AAFE2BF">
            <w:pPr>
              <w:rPr>
                <w:rFonts w:ascii="宋体" w:hAnsi="宋体" w:eastAsia="宋体" w:cs="宋体"/>
                <w:color w:val="auto"/>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3191B45B">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235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51792EB8">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w:t>
            </w:r>
          </w:p>
        </w:tc>
        <w:tc>
          <w:tcPr>
            <w:tcW w:w="5465" w:type="dxa"/>
            <w:vAlign w:val="center"/>
          </w:tcPr>
          <w:p w14:paraId="6922FD78">
            <w:pPr>
              <w:rPr>
                <w:rFonts w:ascii="宋体" w:hAnsi="宋体" w:eastAsia="宋体" w:cs="宋体"/>
                <w:color w:val="auto"/>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46301A81">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346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5B8E7919">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w:t>
            </w:r>
          </w:p>
        </w:tc>
        <w:tc>
          <w:tcPr>
            <w:tcW w:w="5465" w:type="dxa"/>
            <w:vAlign w:val="center"/>
          </w:tcPr>
          <w:p w14:paraId="087704D2">
            <w:pPr>
              <w:rPr>
                <w:rFonts w:ascii="宋体" w:hAnsi="宋体" w:eastAsia="宋体" w:cs="宋体"/>
                <w:color w:val="auto"/>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68D092CF">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705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74" w:type="dxa"/>
            <w:vAlign w:val="center"/>
          </w:tcPr>
          <w:p w14:paraId="188F3EF5">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w:t>
            </w:r>
          </w:p>
        </w:tc>
        <w:tc>
          <w:tcPr>
            <w:tcW w:w="5465" w:type="dxa"/>
            <w:vAlign w:val="center"/>
          </w:tcPr>
          <w:p w14:paraId="2DEEDD42">
            <w:pPr>
              <w:rPr>
                <w:rFonts w:ascii="宋体" w:hAnsi="宋体" w:eastAsia="宋体" w:cs="宋体"/>
                <w:color w:val="auto"/>
                <w:highlight w:val="none"/>
              </w:rPr>
            </w:pPr>
            <w:r>
              <w:rPr>
                <w:rFonts w:hint="eastAsia" w:ascii="宋体" w:hAnsi="宋体" w:eastAsia="宋体" w:cs="宋体"/>
                <w:color w:val="auto"/>
                <w:szCs w:val="21"/>
                <w:highlight w:val="none"/>
                <w:lang w:val="en-US" w:eastAsia="zh-CN"/>
              </w:rPr>
              <w:t>实验室设备防护及降损方案：根据措施的全面性、科学性、合理性及针对性、可操作性进行评审。（评审分值为3分或2分或1分或0分）</w:t>
            </w:r>
          </w:p>
        </w:tc>
        <w:tc>
          <w:tcPr>
            <w:tcW w:w="3046" w:type="dxa"/>
            <w:vAlign w:val="center"/>
          </w:tcPr>
          <w:p w14:paraId="6D517DC6">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5592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5C79273D">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19</w:t>
            </w:r>
          </w:p>
        </w:tc>
        <w:tc>
          <w:tcPr>
            <w:tcW w:w="5465" w:type="dxa"/>
            <w:vAlign w:val="center"/>
          </w:tcPr>
          <w:p w14:paraId="39E1DDB3">
            <w:pPr>
              <w:rPr>
                <w:rFonts w:ascii="宋体" w:hAnsi="宋体" w:eastAsia="宋体" w:cs="宋体"/>
                <w:color w:val="auto"/>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32C7F3E2">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D9A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74" w:type="dxa"/>
            <w:vAlign w:val="center"/>
          </w:tcPr>
          <w:p w14:paraId="39977CB4">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w:t>
            </w:r>
          </w:p>
        </w:tc>
        <w:tc>
          <w:tcPr>
            <w:tcW w:w="5465" w:type="dxa"/>
            <w:vAlign w:val="center"/>
          </w:tcPr>
          <w:p w14:paraId="3C0EF595">
            <w:pPr>
              <w:rPr>
                <w:rFonts w:ascii="宋体" w:hAnsi="宋体" w:eastAsia="宋体" w:cs="宋体"/>
                <w:color w:val="auto"/>
                <w:highlight w:val="none"/>
              </w:rPr>
            </w:pPr>
            <w:r>
              <w:rPr>
                <w:rFonts w:hint="eastAsia" w:ascii="宋体" w:hAnsi="宋体" w:eastAsia="宋体" w:cs="宋体"/>
                <w:color w:val="auto"/>
                <w:szCs w:val="21"/>
                <w:highlight w:val="none"/>
              </w:rPr>
              <w:t>服从采购人协调和统一管理及配合措施、特殊服务承诺情况：根据措施的全面性、科学性、合理性及</w:t>
            </w:r>
            <w:r>
              <w:rPr>
                <w:rFonts w:hint="eastAsia" w:ascii="宋体" w:hAnsi="宋体" w:eastAsia="宋体" w:cs="宋体"/>
                <w:color w:val="auto"/>
                <w:highlight w:val="none"/>
              </w:rPr>
              <w:t>针对性、可操作性以及服务承诺对采购项目的有利程度进行评审。（评审分值为3分或2分或1分或0分）</w:t>
            </w:r>
          </w:p>
        </w:tc>
        <w:tc>
          <w:tcPr>
            <w:tcW w:w="3046" w:type="dxa"/>
            <w:vAlign w:val="center"/>
          </w:tcPr>
          <w:p w14:paraId="5CE86157">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10C1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74" w:type="dxa"/>
            <w:vAlign w:val="center"/>
          </w:tcPr>
          <w:p w14:paraId="797CEB86">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21</w:t>
            </w:r>
          </w:p>
        </w:tc>
        <w:tc>
          <w:tcPr>
            <w:tcW w:w="5465" w:type="dxa"/>
            <w:vAlign w:val="center"/>
          </w:tcPr>
          <w:p w14:paraId="1B649654">
            <w:pPr>
              <w:rPr>
                <w:rFonts w:ascii="宋体" w:hAnsi="宋体" w:eastAsia="宋体" w:cs="宋体"/>
                <w:color w:val="auto"/>
                <w:highlight w:val="none"/>
              </w:rPr>
            </w:pPr>
            <w:r>
              <w:rPr>
                <w:rFonts w:hint="eastAsia" w:ascii="宋体" w:hAnsi="宋体" w:eastAsia="宋体" w:cs="宋体"/>
                <w:color w:val="auto"/>
                <w:szCs w:val="21"/>
                <w:highlight w:val="none"/>
              </w:rPr>
              <w:t>对成品保护、工程移交方案及保证措施：根据措施的全面性、科学性、合理性及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4AEFE8AE">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232A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74" w:type="dxa"/>
            <w:vAlign w:val="center"/>
          </w:tcPr>
          <w:p w14:paraId="0198D2F0">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22</w:t>
            </w:r>
          </w:p>
        </w:tc>
        <w:tc>
          <w:tcPr>
            <w:tcW w:w="5465" w:type="dxa"/>
            <w:vAlign w:val="center"/>
          </w:tcPr>
          <w:p w14:paraId="4510D475">
            <w:pPr>
              <w:rPr>
                <w:rFonts w:ascii="宋体" w:hAnsi="宋体" w:eastAsia="宋体" w:cs="宋体"/>
                <w:color w:val="auto"/>
                <w:highlight w:val="none"/>
              </w:rPr>
            </w:pPr>
            <w:r>
              <w:rPr>
                <w:rFonts w:hint="eastAsia" w:ascii="宋体" w:hAnsi="宋体" w:eastAsia="宋体" w:cs="宋体"/>
                <w:color w:val="auto"/>
                <w:szCs w:val="21"/>
                <w:highlight w:val="none"/>
              </w:rPr>
              <w:t>项目经理职称。项目经理具有中级职称的得1分；项目经理具有副高级及以上职称的得2分；提供有效的职称证书及在本单位缴纳社保的证明材料（开标前三月任意一月社保缴纳证明），不提供不得分。</w:t>
            </w:r>
          </w:p>
        </w:tc>
        <w:tc>
          <w:tcPr>
            <w:tcW w:w="3046" w:type="dxa"/>
            <w:vAlign w:val="center"/>
          </w:tcPr>
          <w:p w14:paraId="6E9A7EAC">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3F0C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74" w:type="dxa"/>
            <w:vAlign w:val="center"/>
          </w:tcPr>
          <w:p w14:paraId="7A91A319">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23</w:t>
            </w:r>
          </w:p>
        </w:tc>
        <w:tc>
          <w:tcPr>
            <w:tcW w:w="5465" w:type="dxa"/>
            <w:vAlign w:val="center"/>
          </w:tcPr>
          <w:p w14:paraId="5D786009">
            <w:pPr>
              <w:rPr>
                <w:rFonts w:ascii="宋体" w:hAnsi="宋体" w:eastAsia="宋体" w:cs="宋体"/>
                <w:color w:val="auto"/>
                <w:highlight w:val="none"/>
              </w:rPr>
            </w:pPr>
            <w:r>
              <w:rPr>
                <w:rFonts w:hint="eastAsia" w:ascii="宋体" w:hAnsi="宋体" w:eastAsia="宋体" w:cs="宋体"/>
                <w:color w:val="auto"/>
                <w:szCs w:val="21"/>
                <w:highlight w:val="none"/>
              </w:rPr>
              <w:t>项目经理承诺到位率。承诺到位率达到85%及以上的得1分；达到90%及以上的，得2分；达到95%及以上的，得3分。</w:t>
            </w:r>
          </w:p>
        </w:tc>
        <w:tc>
          <w:tcPr>
            <w:tcW w:w="3046" w:type="dxa"/>
            <w:vAlign w:val="center"/>
          </w:tcPr>
          <w:p w14:paraId="404EC551">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58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1767219E">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w:t>
            </w:r>
          </w:p>
        </w:tc>
        <w:tc>
          <w:tcPr>
            <w:tcW w:w="5465" w:type="dxa"/>
            <w:vAlign w:val="center"/>
          </w:tcPr>
          <w:p w14:paraId="1C3781E7">
            <w:pPr>
              <w:rPr>
                <w:rFonts w:ascii="宋体" w:hAnsi="宋体" w:eastAsia="宋体" w:cs="宋体"/>
                <w:color w:val="auto"/>
                <w:highlight w:val="none"/>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及在本单位缴纳社保的证明材料（开标前三月任意一月社保缴纳证明）</w:t>
            </w:r>
          </w:p>
        </w:tc>
        <w:tc>
          <w:tcPr>
            <w:tcW w:w="3046" w:type="dxa"/>
            <w:vAlign w:val="center"/>
          </w:tcPr>
          <w:p w14:paraId="749FDE9A">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D6A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74" w:type="dxa"/>
            <w:vAlign w:val="center"/>
          </w:tcPr>
          <w:p w14:paraId="7AD7EB3F">
            <w:pPr>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5465" w:type="dxa"/>
            <w:vAlign w:val="center"/>
          </w:tcPr>
          <w:p w14:paraId="3B2C0EC8">
            <w:pPr>
              <w:rPr>
                <w:rFonts w:ascii="宋体" w:hAnsi="宋体" w:eastAsia="宋体" w:cs="宋体"/>
                <w:color w:val="auto"/>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工程保修期、维护响应时间：根据工程保修期承诺情况以及保修期内维护响应时间的及时性、合理性进行评审。（评审分值为3分或2分或1分或0分）</w:t>
            </w:r>
          </w:p>
        </w:tc>
        <w:tc>
          <w:tcPr>
            <w:tcW w:w="3046" w:type="dxa"/>
            <w:vAlign w:val="center"/>
          </w:tcPr>
          <w:p w14:paraId="6F385261">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203B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74" w:type="dxa"/>
            <w:vAlign w:val="center"/>
          </w:tcPr>
          <w:p w14:paraId="315B4F37">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26</w:t>
            </w:r>
          </w:p>
        </w:tc>
        <w:tc>
          <w:tcPr>
            <w:tcW w:w="5465" w:type="dxa"/>
            <w:vAlign w:val="center"/>
          </w:tcPr>
          <w:p w14:paraId="1C678C2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服务方式、特别承诺：根据供应商对本项目提出的售后服务相关承诺对项目实施的有利程度、可行度进行评审。（评审分值为3分或2分或1分或0分）</w:t>
            </w:r>
          </w:p>
        </w:tc>
        <w:tc>
          <w:tcPr>
            <w:tcW w:w="3046" w:type="dxa"/>
            <w:vAlign w:val="center"/>
          </w:tcPr>
          <w:p w14:paraId="0F9E891C">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1D132AC6">
      <w:pPr>
        <w:jc w:val="center"/>
        <w:rPr>
          <w:rFonts w:ascii="宋体" w:hAnsi="宋体" w:eastAsia="宋体" w:cs="宋体"/>
          <w:b/>
          <w:color w:val="auto"/>
          <w:kern w:val="0"/>
          <w:sz w:val="32"/>
          <w:szCs w:val="32"/>
          <w:highlight w:val="none"/>
        </w:rPr>
      </w:pPr>
    </w:p>
    <w:p w14:paraId="2B63335D">
      <w:pPr>
        <w:jc w:val="center"/>
        <w:rPr>
          <w:rFonts w:ascii="宋体" w:hAnsi="宋体" w:eastAsia="宋体" w:cs="宋体"/>
          <w:b/>
          <w:color w:val="auto"/>
          <w:kern w:val="0"/>
          <w:sz w:val="32"/>
          <w:szCs w:val="32"/>
          <w:highlight w:val="none"/>
        </w:rPr>
      </w:pPr>
    </w:p>
    <w:p w14:paraId="0EFFCF94">
      <w:pPr>
        <w:jc w:val="center"/>
        <w:rPr>
          <w:rFonts w:ascii="宋体" w:hAnsi="宋体" w:eastAsia="宋体" w:cs="宋体"/>
          <w:b/>
          <w:color w:val="auto"/>
          <w:kern w:val="0"/>
          <w:sz w:val="32"/>
          <w:szCs w:val="32"/>
          <w:highlight w:val="none"/>
        </w:rPr>
      </w:pPr>
    </w:p>
    <w:p w14:paraId="71DE34E7">
      <w:pPr>
        <w:jc w:val="center"/>
        <w:rPr>
          <w:rFonts w:ascii="宋体" w:hAnsi="宋体" w:eastAsia="宋体" w:cs="宋体"/>
          <w:b/>
          <w:color w:val="auto"/>
          <w:kern w:val="0"/>
          <w:sz w:val="32"/>
          <w:szCs w:val="32"/>
          <w:highlight w:val="none"/>
        </w:rPr>
      </w:pPr>
    </w:p>
    <w:p w14:paraId="14476AB8">
      <w:pPr>
        <w:snapToGrid w:val="0"/>
        <w:jc w:val="center"/>
        <w:rPr>
          <w:rFonts w:ascii="宋体" w:hAnsi="宋体" w:eastAsia="宋体" w:cs="宋体"/>
          <w:b/>
          <w:bCs/>
          <w:color w:val="auto"/>
          <w:sz w:val="32"/>
          <w:szCs w:val="32"/>
          <w:highlight w:val="none"/>
        </w:rPr>
      </w:pPr>
    </w:p>
    <w:p w14:paraId="3CF0CE08">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ascii="宋体" w:hAnsi="宋体" w:eastAsia="宋体" w:cs="宋体"/>
                <w:b/>
                <w:color w:val="auto"/>
                <w:kern w:val="0"/>
                <w:sz w:val="32"/>
                <w:szCs w:val="32"/>
                <w:highlight w:val="none"/>
              </w:rPr>
            </w:pPr>
          </w:p>
        </w:tc>
        <w:tc>
          <w:tcPr>
            <w:tcW w:w="3546" w:type="dxa"/>
          </w:tcPr>
          <w:p w14:paraId="7B517238">
            <w:pPr>
              <w:jc w:val="center"/>
              <w:rPr>
                <w:rFonts w:ascii="宋体" w:hAnsi="宋体" w:eastAsia="宋体" w:cs="宋体"/>
                <w:b/>
                <w:color w:val="auto"/>
                <w:kern w:val="0"/>
                <w:sz w:val="32"/>
                <w:szCs w:val="32"/>
                <w:highlight w:val="none"/>
              </w:rPr>
            </w:pPr>
          </w:p>
        </w:tc>
        <w:tc>
          <w:tcPr>
            <w:tcW w:w="1276" w:type="dxa"/>
          </w:tcPr>
          <w:p w14:paraId="4FEFA49D">
            <w:pPr>
              <w:jc w:val="center"/>
              <w:rPr>
                <w:rFonts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ascii="宋体" w:hAnsi="宋体" w:eastAsia="宋体" w:cs="宋体"/>
                <w:b/>
                <w:color w:val="auto"/>
                <w:kern w:val="0"/>
                <w:sz w:val="32"/>
                <w:szCs w:val="32"/>
                <w:highlight w:val="none"/>
              </w:rPr>
            </w:pPr>
          </w:p>
        </w:tc>
        <w:tc>
          <w:tcPr>
            <w:tcW w:w="3546" w:type="dxa"/>
          </w:tcPr>
          <w:p w14:paraId="08E3A8FC">
            <w:pPr>
              <w:jc w:val="center"/>
              <w:rPr>
                <w:rFonts w:ascii="宋体" w:hAnsi="宋体" w:eastAsia="宋体" w:cs="宋体"/>
                <w:b/>
                <w:color w:val="auto"/>
                <w:kern w:val="0"/>
                <w:sz w:val="32"/>
                <w:szCs w:val="32"/>
                <w:highlight w:val="none"/>
              </w:rPr>
            </w:pPr>
          </w:p>
        </w:tc>
        <w:tc>
          <w:tcPr>
            <w:tcW w:w="1276" w:type="dxa"/>
          </w:tcPr>
          <w:p w14:paraId="7F0E4020">
            <w:pPr>
              <w:jc w:val="center"/>
              <w:rPr>
                <w:rFonts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ascii="宋体" w:hAnsi="宋体" w:eastAsia="宋体" w:cs="宋体"/>
                <w:b/>
                <w:color w:val="auto"/>
                <w:kern w:val="0"/>
                <w:sz w:val="32"/>
                <w:szCs w:val="32"/>
                <w:highlight w:val="none"/>
              </w:rPr>
            </w:pPr>
          </w:p>
        </w:tc>
        <w:tc>
          <w:tcPr>
            <w:tcW w:w="3546" w:type="dxa"/>
          </w:tcPr>
          <w:p w14:paraId="0588C058">
            <w:pPr>
              <w:jc w:val="center"/>
              <w:rPr>
                <w:rFonts w:ascii="宋体" w:hAnsi="宋体" w:eastAsia="宋体" w:cs="宋体"/>
                <w:b/>
                <w:color w:val="auto"/>
                <w:kern w:val="0"/>
                <w:sz w:val="32"/>
                <w:szCs w:val="32"/>
                <w:highlight w:val="none"/>
              </w:rPr>
            </w:pPr>
          </w:p>
        </w:tc>
        <w:tc>
          <w:tcPr>
            <w:tcW w:w="1276" w:type="dxa"/>
          </w:tcPr>
          <w:p w14:paraId="4563A941">
            <w:pPr>
              <w:jc w:val="center"/>
              <w:rPr>
                <w:rFonts w:ascii="宋体" w:hAnsi="宋体" w:eastAsia="宋体" w:cs="宋体"/>
                <w:b/>
                <w:color w:val="auto"/>
                <w:kern w:val="0"/>
                <w:sz w:val="32"/>
                <w:szCs w:val="32"/>
                <w:highlight w:val="none"/>
              </w:rPr>
            </w:pPr>
          </w:p>
        </w:tc>
      </w:tr>
    </w:tbl>
    <w:p w14:paraId="55619A98">
      <w:p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ascii="宋体" w:hAnsi="宋体" w:eastAsia="宋体" w:cs="宋体"/>
          <w:b/>
          <w:color w:val="auto"/>
          <w:kern w:val="0"/>
          <w:sz w:val="32"/>
          <w:szCs w:val="32"/>
          <w:highlight w:val="none"/>
        </w:rPr>
      </w:pPr>
    </w:p>
    <w:p w14:paraId="4D5275B2">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1A66F1BE">
      <w:pPr>
        <w:pStyle w:val="75"/>
        <w:ind w:firstLine="480"/>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2.本表格所反映的偏离情况与“符合性审查资料”、“评标标准相应的商务技术资料”不一致的，以“符合性审查资料”、“评标标准相应的商务技术资料”为准。</w:t>
      </w:r>
    </w:p>
    <w:p w14:paraId="27908030">
      <w:pPr>
        <w:pStyle w:val="75"/>
        <w:ind w:firstLine="480"/>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3.供应商须保证：除商务技术偏离表列出的偏离外，供应商响应采购文件的全部非实质性要求。</w:t>
      </w:r>
    </w:p>
    <w:p w14:paraId="229D5489">
      <w:pPr>
        <w:pStyle w:val="75"/>
        <w:rPr>
          <w:color w:val="auto"/>
          <w:highlight w:val="none"/>
        </w:rPr>
      </w:pPr>
    </w:p>
    <w:p w14:paraId="74C56C23">
      <w:pPr>
        <w:ind w:firstLine="1911" w:firstLineChars="595"/>
        <w:rPr>
          <w:rFonts w:ascii="宋体" w:hAnsi="宋体" w:eastAsia="宋体" w:cs="宋体"/>
          <w:b/>
          <w:bCs/>
          <w:color w:val="auto"/>
          <w:sz w:val="32"/>
          <w:szCs w:val="32"/>
          <w:highlight w:val="none"/>
        </w:rPr>
        <w:sectPr>
          <w:footerReference r:id="rId8" w:type="first"/>
          <w:footerReference r:id="rId7" w:type="default"/>
          <w:pgSz w:w="11905" w:h="16838"/>
          <w:pgMar w:top="1417" w:right="1417" w:bottom="1417" w:left="1417" w:header="851" w:footer="992" w:gutter="0"/>
          <w:cols w:space="0" w:num="1"/>
          <w:titlePg/>
          <w:docGrid w:linePitch="312" w:charSpace="0"/>
        </w:sectPr>
      </w:pPr>
    </w:p>
    <w:p w14:paraId="43F7326A">
      <w:pPr>
        <w:snapToGrid w:val="0"/>
        <w:jc w:val="center"/>
        <w:rPr>
          <w:rFonts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ascii="宋体" w:hAnsi="宋体" w:eastAsia="宋体" w:cs="宋体"/>
          <w:color w:val="auto"/>
          <w:sz w:val="24"/>
          <w:highlight w:val="none"/>
        </w:rPr>
      </w:pPr>
    </w:p>
    <w:p w14:paraId="46155131">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ascii="宋体" w:hAnsi="宋体" w:eastAsia="宋体" w:cs="宋体"/>
          <w:color w:val="auto"/>
          <w:kern w:val="0"/>
          <w:sz w:val="24"/>
          <w:highlight w:val="none"/>
          <w:lang w:val="zh-CN"/>
        </w:rPr>
      </w:pPr>
    </w:p>
    <w:p w14:paraId="5C3ABF81">
      <w:pPr>
        <w:autoSpaceDE w:val="0"/>
        <w:autoSpaceDN w:val="0"/>
        <w:spacing w:line="360" w:lineRule="auto"/>
        <w:ind w:left="2"/>
        <w:jc w:val="left"/>
        <w:rPr>
          <w:rFonts w:ascii="宋体" w:hAnsi="宋体" w:eastAsia="宋体" w:cs="宋体"/>
          <w:color w:val="auto"/>
          <w:kern w:val="0"/>
          <w:sz w:val="24"/>
          <w:highlight w:val="none"/>
          <w:lang w:val="zh-CN"/>
        </w:rPr>
      </w:pPr>
    </w:p>
    <w:p w14:paraId="53ED2DDB">
      <w:pPr>
        <w:autoSpaceDE w:val="0"/>
        <w:autoSpaceDN w:val="0"/>
        <w:spacing w:line="360" w:lineRule="auto"/>
        <w:ind w:left="2"/>
        <w:jc w:val="left"/>
        <w:rPr>
          <w:rFonts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ascii="宋体" w:hAnsi="宋体" w:eastAsia="宋体" w:cs="宋体"/>
          <w:b/>
          <w:bCs/>
          <w:color w:val="auto"/>
          <w:sz w:val="24"/>
          <w:highlight w:val="none"/>
        </w:rPr>
      </w:pPr>
    </w:p>
    <w:p w14:paraId="3F1479A7">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docGrid w:linePitch="312" w:charSpace="0"/>
        </w:sectPr>
      </w:pPr>
    </w:p>
    <w:p w14:paraId="1A01C26A">
      <w:pPr>
        <w:keepNext/>
        <w:keepLines/>
        <w:autoSpaceDN w:val="0"/>
        <w:spacing w:before="260" w:after="260" w:line="415" w:lineRule="auto"/>
        <w:outlineLvl w:val="1"/>
        <w:rPr>
          <w:rFonts w:ascii="宋体" w:hAnsi="宋体" w:eastAsia="宋体" w:cs="宋体"/>
          <w:b/>
          <w:bCs/>
          <w:color w:val="auto"/>
          <w:sz w:val="24"/>
          <w:szCs w:val="24"/>
          <w:highlight w:val="none"/>
        </w:rPr>
      </w:pPr>
      <w:bookmarkStart w:id="107" w:name="_Toc96947081"/>
      <w:bookmarkStart w:id="108" w:name="_Toc1870"/>
      <w:bookmarkStart w:id="109" w:name="_Toc25038"/>
      <w:r>
        <w:rPr>
          <w:rFonts w:hint="eastAsia" w:ascii="宋体" w:hAnsi="宋体" w:eastAsia="宋体" w:cs="宋体"/>
          <w:b/>
          <w:bCs/>
          <w:color w:val="auto"/>
          <w:sz w:val="24"/>
          <w:szCs w:val="24"/>
          <w:highlight w:val="none"/>
        </w:rPr>
        <w:t>三、报价文件部分格式</w:t>
      </w:r>
      <w:bookmarkEnd w:id="107"/>
      <w:bookmarkEnd w:id="108"/>
      <w:bookmarkEnd w:id="109"/>
    </w:p>
    <w:p w14:paraId="69902617">
      <w:pPr>
        <w:pStyle w:val="62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6DDD5C84">
      <w:pPr>
        <w:spacing w:line="360" w:lineRule="auto"/>
        <w:jc w:val="center"/>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ascii="宋体" w:hAnsi="宋体" w:eastAsia="宋体" w:cs="宋体"/>
                <w:b/>
                <w:color w:val="auto"/>
                <w:sz w:val="24"/>
                <w:highlight w:val="none"/>
              </w:rPr>
            </w:pPr>
          </w:p>
          <w:p w14:paraId="689EF9D4">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ascii="宋体" w:hAnsi="宋体" w:eastAsia="宋体" w:cs="宋体"/>
                <w:b/>
                <w:color w:val="auto"/>
                <w:sz w:val="24"/>
                <w:highlight w:val="none"/>
              </w:rPr>
            </w:pPr>
          </w:p>
          <w:p w14:paraId="48B8BA6B">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ascii="宋体" w:hAnsi="宋体" w:eastAsia="宋体" w:cs="宋体"/>
                <w:color w:val="auto"/>
                <w:sz w:val="24"/>
                <w:highlight w:val="none"/>
              </w:rPr>
            </w:pPr>
          </w:p>
        </w:tc>
        <w:tc>
          <w:tcPr>
            <w:tcW w:w="1843" w:type="dxa"/>
            <w:vAlign w:val="center"/>
          </w:tcPr>
          <w:p w14:paraId="651F01B3">
            <w:pPr>
              <w:snapToGrid w:val="0"/>
              <w:spacing w:line="360" w:lineRule="auto"/>
              <w:jc w:val="center"/>
              <w:rPr>
                <w:rFonts w:ascii="宋体" w:hAnsi="宋体" w:eastAsia="宋体" w:cs="宋体"/>
                <w:color w:val="auto"/>
                <w:sz w:val="24"/>
                <w:highlight w:val="none"/>
              </w:rPr>
            </w:pPr>
          </w:p>
        </w:tc>
        <w:tc>
          <w:tcPr>
            <w:tcW w:w="1740" w:type="dxa"/>
            <w:vAlign w:val="center"/>
          </w:tcPr>
          <w:p w14:paraId="57A8ADFB">
            <w:pPr>
              <w:snapToGrid w:val="0"/>
              <w:spacing w:line="360" w:lineRule="auto"/>
              <w:jc w:val="center"/>
              <w:rPr>
                <w:rFonts w:ascii="宋体" w:hAnsi="宋体" w:eastAsia="宋体" w:cs="宋体"/>
                <w:color w:val="auto"/>
                <w:sz w:val="24"/>
                <w:highlight w:val="none"/>
              </w:rPr>
            </w:pPr>
          </w:p>
        </w:tc>
        <w:tc>
          <w:tcPr>
            <w:tcW w:w="1491" w:type="dxa"/>
            <w:vAlign w:val="center"/>
          </w:tcPr>
          <w:p w14:paraId="43DE9154">
            <w:pPr>
              <w:spacing w:line="360" w:lineRule="auto"/>
              <w:jc w:val="center"/>
              <w:rPr>
                <w:rFonts w:ascii="宋体" w:hAnsi="宋体" w:eastAsia="宋体" w:cs="宋体"/>
                <w:color w:val="auto"/>
                <w:sz w:val="24"/>
                <w:highlight w:val="none"/>
              </w:rPr>
            </w:pPr>
          </w:p>
        </w:tc>
        <w:tc>
          <w:tcPr>
            <w:tcW w:w="1663" w:type="dxa"/>
            <w:vAlign w:val="center"/>
          </w:tcPr>
          <w:p w14:paraId="654D0A80">
            <w:pPr>
              <w:spacing w:line="360" w:lineRule="auto"/>
              <w:jc w:val="center"/>
              <w:rPr>
                <w:rFonts w:ascii="宋体" w:hAnsi="宋体" w:eastAsia="宋体" w:cs="宋体"/>
                <w:color w:val="auto"/>
                <w:sz w:val="24"/>
                <w:highlight w:val="none"/>
              </w:rPr>
            </w:pPr>
          </w:p>
        </w:tc>
        <w:tc>
          <w:tcPr>
            <w:tcW w:w="1766" w:type="dxa"/>
            <w:vAlign w:val="center"/>
          </w:tcPr>
          <w:p w14:paraId="314C1EA6">
            <w:pPr>
              <w:spacing w:line="360" w:lineRule="auto"/>
              <w:jc w:val="center"/>
              <w:rPr>
                <w:rFonts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ascii="宋体" w:hAnsi="宋体" w:eastAsia="宋体" w:cs="宋体"/>
                <w:color w:val="auto"/>
                <w:sz w:val="24"/>
                <w:highlight w:val="none"/>
              </w:rPr>
            </w:pPr>
          </w:p>
        </w:tc>
      </w:tr>
    </w:tbl>
    <w:p w14:paraId="0F48B786">
      <w:pPr>
        <w:spacing w:line="360" w:lineRule="auto"/>
        <w:ind w:left="-2" w:leftChars="-1" w:firstLine="482" w:firstLineChars="200"/>
        <w:rPr>
          <w:rFonts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（电子签名）</w:t>
      </w:r>
    </w:p>
    <w:p w14:paraId="27A9FBC0">
      <w:pPr>
        <w:widowControl/>
        <w:autoSpaceDN w:val="0"/>
        <w:spacing w:after="100" w:line="720" w:lineRule="auto"/>
        <w:ind w:left="1260" w:leftChars="6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ascii="宋体" w:hAnsi="宋体" w:eastAsia="宋体" w:cs="宋体"/>
                <w:color w:val="auto"/>
                <w:sz w:val="24"/>
                <w:szCs w:val="24"/>
                <w:highlight w:val="none"/>
              </w:rPr>
            </w:pPr>
          </w:p>
        </w:tc>
      </w:tr>
    </w:tbl>
    <w:p w14:paraId="51380952">
      <w:pPr>
        <w:autoSpaceDN w:val="0"/>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08CDAB0C">
      <w:pPr>
        <w:keepNext/>
        <w:keepLines/>
        <w:autoSpaceDN w:val="0"/>
        <w:spacing w:before="280" w:after="290" w:line="374" w:lineRule="auto"/>
        <w:jc w:val="center"/>
        <w:outlineLvl w:val="3"/>
        <w:rPr>
          <w:rFonts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ascii="宋体" w:hAnsi="宋体" w:eastAsia="宋体" w:cs="宋体"/>
          <w:color w:val="auto"/>
          <w:sz w:val="24"/>
          <w:szCs w:val="24"/>
          <w:highlight w:val="none"/>
        </w:rPr>
      </w:pPr>
    </w:p>
    <w:p w14:paraId="3F9D910C">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64239DE5">
      <w:pPr>
        <w:widowControl/>
        <w:spacing w:beforeAutospacing="1" w:afterAutospacing="1"/>
        <w:jc w:val="left"/>
        <w:rPr>
          <w:rFonts w:ascii="宋体" w:hAnsi="宋体" w:eastAsia="宋体" w:cs="宋体"/>
          <w:color w:val="auto"/>
          <w:sz w:val="22"/>
          <w:highlight w:val="none"/>
        </w:rPr>
        <w:sectPr>
          <w:headerReference r:id="rId9" w:type="default"/>
          <w:footerReference r:id="rId10" w:type="default"/>
          <w:pgSz w:w="11905" w:h="16838"/>
          <w:pgMar w:top="1417" w:right="1417" w:bottom="1417" w:left="1417" w:header="851" w:footer="992" w:gutter="0"/>
          <w:cols w:space="0" w:num="1"/>
          <w:titlePg/>
          <w:docGrid w:linePitch="312" w:charSpace="0"/>
        </w:sectPr>
      </w:pPr>
    </w:p>
    <w:p w14:paraId="6CEDC97C">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ascii="宋体" w:hAnsi="宋体" w:eastAsia="宋体" w:cs="宋体"/>
          <w:color w:val="auto"/>
          <w:sz w:val="24"/>
          <w:szCs w:val="24"/>
          <w:highlight w:val="none"/>
        </w:rPr>
      </w:pPr>
    </w:p>
    <w:p w14:paraId="03D8A08D">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供应商名称（电子签名）：：</w:t>
      </w:r>
    </w:p>
    <w:p w14:paraId="5E60F1D2">
      <w:pPr>
        <w:widowControl/>
        <w:spacing w:beforeAutospacing="1" w:afterAutospacing="1"/>
        <w:jc w:val="left"/>
        <w:rPr>
          <w:rFonts w:ascii="宋体" w:hAnsi="宋体" w:eastAsia="宋体" w:cs="宋体"/>
          <w:color w:val="auto"/>
          <w:sz w:val="24"/>
          <w:szCs w:val="24"/>
          <w:highlight w:val="none"/>
        </w:rPr>
        <w:sectPr>
          <w:pgSz w:w="11905" w:h="16838"/>
          <w:pgMar w:top="1417" w:right="1417" w:bottom="1417" w:left="1417" w:header="851" w:footer="992" w:gutter="0"/>
          <w:cols w:space="0" w:num="1"/>
          <w:titlePg/>
          <w:docGrid w:linePitch="312" w:charSpace="0"/>
        </w:sectPr>
      </w:pPr>
    </w:p>
    <w:p w14:paraId="2723466F">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bl>
    <w:p w14:paraId="7129FABB">
      <w:pPr>
        <w:autoSpaceDN w:val="0"/>
        <w:rPr>
          <w:rFonts w:ascii="宋体" w:hAnsi="宋体" w:eastAsia="宋体" w:cs="宋体"/>
          <w:color w:val="auto"/>
          <w:sz w:val="24"/>
          <w:szCs w:val="24"/>
          <w:highlight w:val="none"/>
        </w:rPr>
      </w:pPr>
    </w:p>
    <w:p w14:paraId="3B6262EE">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ascii="宋体" w:hAnsi="宋体" w:eastAsia="宋体" w:cs="宋体"/>
          <w:color w:val="auto"/>
          <w:sz w:val="24"/>
          <w:szCs w:val="24"/>
          <w:highlight w:val="none"/>
        </w:rPr>
        <w:sectPr>
          <w:pgSz w:w="16838" w:h="11905" w:orient="landscape"/>
          <w:pgMar w:top="1417" w:right="1417" w:bottom="1417" w:left="1417" w:header="851" w:footer="992" w:gutter="0"/>
          <w:cols w:space="0" w:num="1"/>
          <w:titlePg/>
          <w:docGrid w:linePitch="312" w:charSpace="0"/>
        </w:sectPr>
      </w:pPr>
    </w:p>
    <w:p w14:paraId="01CBAA11">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p>
        </w:tc>
      </w:tr>
    </w:tbl>
    <w:p w14:paraId="3E3512F9">
      <w:pPr>
        <w:autoSpaceDN w:val="0"/>
        <w:rPr>
          <w:rFonts w:ascii="宋体" w:hAnsi="宋体" w:eastAsia="宋体" w:cs="宋体"/>
          <w:color w:val="auto"/>
          <w:sz w:val="22"/>
          <w:highlight w:val="none"/>
        </w:rPr>
      </w:pPr>
    </w:p>
    <w:p w14:paraId="1B430133">
      <w:pPr>
        <w:widowControl/>
        <w:tabs>
          <w:tab w:val="center" w:pos="4755"/>
          <w:tab w:val="right" w:pos="9070"/>
        </w:tabs>
        <w:autoSpaceDN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ascii="宋体" w:hAnsi="宋体" w:eastAsia="宋体" w:cs="宋体"/>
          <w:color w:val="auto"/>
          <w:sz w:val="24"/>
          <w:szCs w:val="24"/>
          <w:highlight w:val="none"/>
        </w:rPr>
      </w:pPr>
    </w:p>
    <w:p w14:paraId="6FF34CE2">
      <w:pPr>
        <w:widowControl/>
        <w:spacing w:beforeAutospacing="1" w:afterAutospacing="1"/>
        <w:jc w:val="left"/>
        <w:rPr>
          <w:rFonts w:ascii="宋体" w:hAnsi="宋体" w:eastAsia="宋体" w:cs="宋体"/>
          <w:color w:val="auto"/>
          <w:sz w:val="22"/>
          <w:highlight w:val="none"/>
        </w:rPr>
        <w:sectPr>
          <w:pgSz w:w="11905" w:h="16838"/>
          <w:pgMar w:top="1417" w:right="1417" w:bottom="1417" w:left="1417" w:header="851" w:footer="992" w:gutter="0"/>
          <w:cols w:space="0" w:num="1"/>
          <w:titlePg/>
          <w:docGrid w:linePitch="312" w:charSpace="0"/>
        </w:sectPr>
      </w:pPr>
    </w:p>
    <w:p w14:paraId="419118BC">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ascii="宋体" w:hAnsi="宋体" w:eastAsia="宋体" w:cs="宋体"/>
          <w:color w:val="auto"/>
          <w:sz w:val="18"/>
          <w:szCs w:val="18"/>
          <w:highlight w:val="none"/>
        </w:rPr>
        <w:sectPr>
          <w:pgSz w:w="16838" w:h="11905" w:orient="landscape"/>
          <w:pgMar w:top="1417" w:right="1417" w:bottom="1417" w:left="1417" w:header="851" w:footer="992" w:gutter="0"/>
          <w:cols w:space="0" w:num="1"/>
          <w:titlePg/>
          <w:docGrid w:linePitch="312" w:charSpace="0"/>
        </w:sectPr>
      </w:pPr>
    </w:p>
    <w:p w14:paraId="1CF956BE">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ascii="宋体" w:hAnsi="宋体" w:eastAsia="宋体" w:cs="宋体"/>
                <w:color w:val="auto"/>
                <w:szCs w:val="21"/>
                <w:highlight w:val="none"/>
              </w:rPr>
            </w:pPr>
          </w:p>
        </w:tc>
      </w:tr>
    </w:tbl>
    <w:p w14:paraId="5752A03A">
      <w:pPr>
        <w:autoSpaceDN w:val="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ascii="宋体" w:hAnsi="宋体" w:eastAsia="宋体" w:cs="宋体"/>
                <w:color w:val="auto"/>
                <w:sz w:val="24"/>
                <w:szCs w:val="24"/>
                <w:highlight w:val="none"/>
              </w:rPr>
            </w:pPr>
          </w:p>
        </w:tc>
      </w:tr>
    </w:tbl>
    <w:p w14:paraId="556C2AFC">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ascii="宋体" w:hAnsi="宋体" w:eastAsia="宋体" w:cs="宋体"/>
          <w:color w:val="auto"/>
          <w:sz w:val="22"/>
          <w:highlight w:val="none"/>
        </w:rPr>
      </w:pPr>
    </w:p>
    <w:p w14:paraId="5CCAC4C7">
      <w:pPr>
        <w:keepNext/>
        <w:keepLines/>
        <w:autoSpaceDN w:val="0"/>
        <w:spacing w:before="280" w:after="290" w:line="374" w:lineRule="auto"/>
        <w:jc w:val="center"/>
        <w:outlineLvl w:val="3"/>
        <w:rPr>
          <w:rFonts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ascii="宋体" w:hAnsi="宋体" w:eastAsia="宋体" w:cs="宋体"/>
                <w:color w:val="auto"/>
                <w:sz w:val="24"/>
                <w:szCs w:val="24"/>
                <w:highlight w:val="none"/>
              </w:rPr>
            </w:pPr>
          </w:p>
        </w:tc>
      </w:tr>
    </w:tbl>
    <w:p w14:paraId="29FF5A5D">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ascii="宋体" w:hAnsi="宋体" w:eastAsia="宋体" w:cs="宋体"/>
          <w:color w:val="auto"/>
          <w:sz w:val="24"/>
          <w:szCs w:val="24"/>
          <w:highlight w:val="none"/>
        </w:rPr>
      </w:pPr>
    </w:p>
    <w:p w14:paraId="775B1D3B">
      <w:pPr>
        <w:autoSpaceDN w:val="0"/>
        <w:rPr>
          <w:rFonts w:ascii="宋体" w:hAnsi="宋体" w:eastAsia="宋体" w:cs="宋体"/>
          <w:color w:val="auto"/>
          <w:sz w:val="24"/>
          <w:szCs w:val="24"/>
          <w:highlight w:val="none"/>
        </w:rPr>
      </w:pPr>
    </w:p>
    <w:p w14:paraId="4F7D6AAD">
      <w:pPr>
        <w:widowControl/>
        <w:spacing w:beforeAutospacing="1" w:afterAutospacing="1"/>
        <w:jc w:val="left"/>
        <w:rPr>
          <w:rFonts w:ascii="宋体" w:hAnsi="宋体" w:eastAsia="宋体" w:cs="宋体"/>
          <w:color w:val="auto"/>
          <w:sz w:val="22"/>
          <w:highlight w:val="none"/>
        </w:rPr>
        <w:sectPr>
          <w:pgSz w:w="11905" w:h="16838"/>
          <w:pgMar w:top="1417" w:right="1417" w:bottom="1417" w:left="1417" w:header="851" w:footer="992" w:gutter="0"/>
          <w:cols w:space="0" w:num="1"/>
          <w:titlePg/>
          <w:docGrid w:linePitch="312" w:charSpace="0"/>
        </w:sectPr>
      </w:pPr>
    </w:p>
    <w:p w14:paraId="1FDBFC05">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ascii="宋体" w:hAnsi="宋体" w:eastAsia="宋体" w:cs="宋体"/>
                <w:color w:val="auto"/>
                <w:sz w:val="24"/>
                <w:szCs w:val="24"/>
                <w:highlight w:val="none"/>
              </w:rPr>
            </w:pPr>
          </w:p>
        </w:tc>
      </w:tr>
    </w:tbl>
    <w:p w14:paraId="58B74A8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ascii="宋体" w:hAnsi="宋体" w:eastAsia="宋体" w:cs="宋体"/>
          <w:color w:val="auto"/>
          <w:sz w:val="24"/>
          <w:szCs w:val="24"/>
          <w:highlight w:val="none"/>
        </w:rPr>
        <w:sectPr>
          <w:pgSz w:w="11905" w:h="16838"/>
          <w:pgMar w:top="1417" w:right="1417" w:bottom="1417" w:left="1417" w:header="851" w:footer="992" w:gutter="0"/>
          <w:cols w:space="0" w:num="1"/>
          <w:titlePg/>
          <w:docGrid w:linePitch="312" w:charSpace="0"/>
        </w:sectPr>
      </w:pPr>
    </w:p>
    <w:p w14:paraId="5181FF56">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ascii="宋体" w:hAnsi="宋体" w:eastAsia="宋体" w:cs="宋体"/>
                <w:color w:val="auto"/>
                <w:sz w:val="24"/>
                <w:szCs w:val="24"/>
                <w:highlight w:val="none"/>
              </w:rPr>
            </w:pPr>
          </w:p>
        </w:tc>
      </w:tr>
    </w:tbl>
    <w:p w14:paraId="2FA8A082">
      <w:pPr>
        <w:autoSpaceDN w:val="0"/>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ascii="宋体" w:hAnsi="宋体" w:eastAsia="宋体" w:cs="宋体"/>
          <w:color w:val="auto"/>
          <w:sz w:val="22"/>
          <w:highlight w:val="none"/>
        </w:rPr>
      </w:pPr>
    </w:p>
    <w:p w14:paraId="69C2B04E">
      <w:pPr>
        <w:autoSpaceDN w:val="0"/>
        <w:rPr>
          <w:rFonts w:ascii="宋体" w:hAnsi="宋体" w:eastAsia="宋体" w:cs="宋体"/>
          <w:color w:val="auto"/>
          <w:sz w:val="22"/>
          <w:highlight w:val="none"/>
        </w:rPr>
      </w:pPr>
    </w:p>
    <w:p w14:paraId="08FAB888">
      <w:pPr>
        <w:autoSpaceDN w:val="0"/>
        <w:rPr>
          <w:rFonts w:ascii="宋体" w:hAnsi="宋体" w:eastAsia="宋体" w:cs="宋体"/>
          <w:color w:val="auto"/>
          <w:sz w:val="22"/>
          <w:highlight w:val="none"/>
        </w:rPr>
      </w:pPr>
    </w:p>
    <w:p w14:paraId="3EC27849">
      <w:pPr>
        <w:widowControl/>
        <w:spacing w:beforeAutospacing="1" w:afterAutospacing="1"/>
        <w:jc w:val="left"/>
        <w:rPr>
          <w:rFonts w:ascii="宋体" w:hAnsi="宋体" w:eastAsia="宋体" w:cs="宋体"/>
          <w:color w:val="auto"/>
          <w:sz w:val="22"/>
          <w:highlight w:val="none"/>
        </w:rPr>
        <w:sectPr>
          <w:pgSz w:w="11905" w:h="16838"/>
          <w:pgMar w:top="1417" w:right="1417" w:bottom="1417" w:left="1417" w:header="851" w:footer="992" w:gutter="0"/>
          <w:cols w:space="0" w:num="1"/>
          <w:titlePg/>
          <w:docGrid w:linePitch="312" w:charSpace="0"/>
        </w:sectPr>
      </w:pPr>
    </w:p>
    <w:p w14:paraId="5B65E67C">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ascii="宋体" w:hAnsi="宋体" w:eastAsia="宋体" w:cs="宋体"/>
                <w:color w:val="auto"/>
                <w:sz w:val="24"/>
                <w:szCs w:val="24"/>
                <w:highlight w:val="none"/>
              </w:rPr>
            </w:pPr>
          </w:p>
        </w:tc>
      </w:tr>
    </w:tbl>
    <w:p w14:paraId="0B158993">
      <w:pPr>
        <w:widowControl/>
        <w:tabs>
          <w:tab w:val="center" w:pos="4755"/>
          <w:tab w:val="right" w:pos="9070"/>
        </w:tabs>
        <w:autoSpaceDN w:val="0"/>
        <w:rPr>
          <w:rFonts w:ascii="宋体" w:hAnsi="宋体" w:eastAsia="宋体" w:cs="宋体"/>
          <w:color w:val="auto"/>
          <w:sz w:val="24"/>
          <w:szCs w:val="24"/>
          <w:highlight w:val="none"/>
        </w:rPr>
      </w:pPr>
    </w:p>
    <w:p w14:paraId="165110DC">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ascii="宋体" w:hAnsi="宋体" w:eastAsia="宋体" w:cs="宋体"/>
          <w:color w:val="auto"/>
          <w:sz w:val="24"/>
          <w:szCs w:val="24"/>
          <w:highlight w:val="none"/>
        </w:rPr>
        <w:sectPr>
          <w:pgSz w:w="16838" w:h="11905" w:orient="landscape"/>
          <w:pgMar w:top="1417" w:right="1417" w:bottom="1417" w:left="1417" w:header="851" w:footer="992" w:gutter="0"/>
          <w:cols w:space="0" w:num="1"/>
          <w:titlePg/>
          <w:docGrid w:linePitch="312" w:charSpace="0"/>
        </w:sectPr>
      </w:pPr>
    </w:p>
    <w:p w14:paraId="4077B152">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ascii="宋体" w:hAnsi="宋体" w:eastAsia="宋体" w:cs="宋体"/>
          <w:color w:val="auto"/>
          <w:sz w:val="24"/>
          <w:szCs w:val="24"/>
          <w:highlight w:val="none"/>
        </w:rPr>
      </w:pPr>
    </w:p>
    <w:p w14:paraId="5034CE23">
      <w:pPr>
        <w:widowControl/>
        <w:tabs>
          <w:tab w:val="center" w:pos="4755"/>
          <w:tab w:val="right" w:pos="9070"/>
        </w:tabs>
        <w:autoSpaceDN w:val="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ascii="宋体" w:hAnsi="宋体" w:eastAsia="宋体" w:cs="宋体"/>
          <w:color w:val="auto"/>
          <w:sz w:val="24"/>
          <w:szCs w:val="24"/>
          <w:highlight w:val="none"/>
        </w:rPr>
      </w:pPr>
    </w:p>
    <w:p w14:paraId="0E35AB34">
      <w:pPr>
        <w:autoSpaceDN w:val="0"/>
        <w:rPr>
          <w:rFonts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ascii="宋体" w:hAnsi="宋体" w:eastAsia="宋体" w:cs="宋体"/>
                <w:color w:val="auto"/>
                <w:sz w:val="24"/>
                <w:szCs w:val="24"/>
                <w:highlight w:val="none"/>
              </w:rPr>
            </w:pPr>
          </w:p>
        </w:tc>
      </w:tr>
    </w:tbl>
    <w:p w14:paraId="4FF7B7D4">
      <w:pPr>
        <w:autoSpaceDN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20" w:beforeLines="50" w:after="120" w:afterLines="50" w:line="400" w:lineRule="exact"/>
        <w:rPr>
          <w:rFonts w:ascii="宋体" w:hAnsi="宋体" w:eastAsia="宋体" w:cs="宋体"/>
          <w:color w:val="auto"/>
          <w:kern w:val="0"/>
          <w:sz w:val="24"/>
          <w:szCs w:val="24"/>
          <w:highlight w:val="none"/>
        </w:rPr>
      </w:pPr>
    </w:p>
    <w:p w14:paraId="4BACE683">
      <w:pPr>
        <w:autoSpaceDN w:val="0"/>
        <w:spacing w:before="120" w:beforeLines="50" w:after="120" w:afterLines="50" w:line="400" w:lineRule="exact"/>
        <w:rPr>
          <w:rFonts w:ascii="宋体" w:hAnsi="宋体" w:eastAsia="宋体" w:cs="宋体"/>
          <w:color w:val="auto"/>
          <w:kern w:val="0"/>
          <w:sz w:val="24"/>
          <w:szCs w:val="24"/>
          <w:highlight w:val="none"/>
        </w:rPr>
      </w:pPr>
    </w:p>
    <w:p w14:paraId="52B07C85">
      <w:pPr>
        <w:autoSpaceDN w:val="0"/>
        <w:spacing w:before="120" w:beforeLines="50" w:after="120" w:afterLines="50" w:line="400" w:lineRule="exact"/>
        <w:rPr>
          <w:rFonts w:ascii="宋体" w:hAnsi="宋体" w:eastAsia="宋体" w:cs="宋体"/>
          <w:color w:val="auto"/>
          <w:kern w:val="0"/>
          <w:sz w:val="24"/>
          <w:szCs w:val="24"/>
          <w:highlight w:val="none"/>
        </w:rPr>
      </w:pPr>
    </w:p>
    <w:p w14:paraId="029732D7">
      <w:pPr>
        <w:autoSpaceDN w:val="0"/>
        <w:spacing w:before="120" w:beforeLines="50" w:after="120" w:afterLines="50" w:line="400" w:lineRule="exact"/>
        <w:rPr>
          <w:rFonts w:ascii="宋体" w:hAnsi="宋体" w:eastAsia="宋体" w:cs="宋体"/>
          <w:color w:val="auto"/>
          <w:kern w:val="0"/>
          <w:sz w:val="24"/>
          <w:szCs w:val="24"/>
          <w:highlight w:val="none"/>
        </w:rPr>
      </w:pPr>
    </w:p>
    <w:p w14:paraId="7DA2D407">
      <w:pPr>
        <w:autoSpaceDN w:val="0"/>
        <w:spacing w:before="120" w:beforeLines="50" w:after="120" w:afterLines="50" w:line="400" w:lineRule="exact"/>
        <w:rPr>
          <w:rFonts w:ascii="宋体" w:hAnsi="宋体" w:eastAsia="宋体" w:cs="宋体"/>
          <w:b/>
          <w:bCs/>
          <w:color w:val="auto"/>
          <w:kern w:val="0"/>
          <w:sz w:val="28"/>
          <w:szCs w:val="28"/>
          <w:highlight w:val="none"/>
        </w:rPr>
      </w:pPr>
    </w:p>
    <w:p w14:paraId="0E0D4A7E">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10" w:name="_Hlk101259491"/>
      <w:r>
        <w:rPr>
          <w:rFonts w:hint="eastAsia" w:ascii="宋体" w:hAnsi="宋体" w:eastAsia="宋体" w:cs="宋体"/>
          <w:color w:val="auto"/>
          <w:sz w:val="32"/>
          <w:szCs w:val="32"/>
          <w:highlight w:val="none"/>
        </w:rPr>
        <w:t>（如果有）</w:t>
      </w:r>
      <w:bookmarkEnd w:id="110"/>
    </w:p>
    <w:p w14:paraId="508C0FBA">
      <w:pPr>
        <w:widowControl/>
        <w:spacing w:line="360" w:lineRule="auto"/>
        <w:ind w:firstLine="120" w:firstLineChars="5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AC656A4">
      <w:pPr>
        <w:spacing w:line="360" w:lineRule="auto"/>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ascii="宋体" w:hAnsi="宋体" w:eastAsia="宋体" w:cs="宋体"/>
          <w:b/>
          <w:color w:val="auto"/>
          <w:spacing w:val="6"/>
          <w:sz w:val="32"/>
          <w:szCs w:val="32"/>
          <w:highlight w:val="none"/>
        </w:rPr>
      </w:pPr>
      <w:bookmarkStart w:id="111" w:name="OLE_LINK13"/>
      <w:bookmarkStart w:id="112" w:name="OLE_LINK14"/>
      <w:r>
        <w:rPr>
          <w:rFonts w:hint="eastAsia" w:ascii="宋体" w:hAnsi="宋体" w:eastAsia="宋体" w:cs="宋体"/>
          <w:b/>
          <w:color w:val="auto"/>
          <w:spacing w:val="6"/>
          <w:sz w:val="32"/>
          <w:szCs w:val="32"/>
          <w:highlight w:val="none"/>
        </w:rPr>
        <w:t>残疾人福利性单位声明函</w:t>
      </w:r>
    </w:p>
    <w:bookmarkEnd w:id="111"/>
    <w:bookmarkEnd w:id="112"/>
    <w:p w14:paraId="4BAF7CF1">
      <w:pPr>
        <w:spacing w:line="360" w:lineRule="auto"/>
        <w:rPr>
          <w:rFonts w:ascii="宋体" w:hAnsi="宋体" w:eastAsia="宋体" w:cs="宋体"/>
          <w:b/>
          <w:color w:val="auto"/>
          <w:spacing w:val="6"/>
          <w:sz w:val="30"/>
          <w:szCs w:val="30"/>
          <w:highlight w:val="none"/>
        </w:rPr>
      </w:pPr>
    </w:p>
    <w:p w14:paraId="4EF6793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ascii="宋体" w:hAnsi="宋体" w:eastAsia="宋体" w:cs="宋体"/>
          <w:color w:val="auto"/>
          <w:sz w:val="24"/>
          <w:highlight w:val="none"/>
        </w:rPr>
      </w:pPr>
    </w:p>
    <w:p w14:paraId="345858BE">
      <w:pPr>
        <w:spacing w:line="360" w:lineRule="auto"/>
        <w:ind w:firstLine="480" w:firstLineChars="200"/>
        <w:rPr>
          <w:rFonts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ascii="宋体" w:hAnsi="宋体" w:eastAsia="宋体" w:cs="宋体"/>
          <w:color w:val="auto"/>
          <w:sz w:val="24"/>
          <w:highlight w:val="none"/>
        </w:rPr>
      </w:pPr>
    </w:p>
    <w:p w14:paraId="15629B4F">
      <w:pPr>
        <w:spacing w:line="360" w:lineRule="auto"/>
        <w:ind w:firstLine="420" w:firstLineChars="200"/>
        <w:rPr>
          <w:rFonts w:ascii="宋体" w:hAnsi="宋体" w:eastAsia="宋体" w:cs="宋体"/>
          <w:color w:val="auto"/>
          <w:highlight w:val="none"/>
        </w:rPr>
      </w:pPr>
    </w:p>
    <w:p w14:paraId="6A4183C0">
      <w:pPr>
        <w:spacing w:line="360" w:lineRule="auto"/>
        <w:ind w:firstLine="420" w:firstLineChars="200"/>
        <w:rPr>
          <w:rFonts w:ascii="宋体" w:hAnsi="宋体" w:eastAsia="宋体" w:cs="宋体"/>
          <w:color w:val="auto"/>
          <w:highlight w:val="none"/>
        </w:rPr>
      </w:pPr>
    </w:p>
    <w:p w14:paraId="2544FAEA">
      <w:pPr>
        <w:spacing w:line="360" w:lineRule="auto"/>
        <w:ind w:firstLine="420" w:firstLineChars="200"/>
        <w:rPr>
          <w:rFonts w:ascii="宋体" w:hAnsi="宋体" w:eastAsia="宋体" w:cs="宋体"/>
          <w:color w:val="auto"/>
          <w:highlight w:val="none"/>
        </w:rPr>
      </w:pPr>
    </w:p>
    <w:p w14:paraId="27908B8A">
      <w:pPr>
        <w:spacing w:line="360" w:lineRule="auto"/>
        <w:ind w:firstLine="420" w:firstLineChars="200"/>
        <w:rPr>
          <w:rFonts w:ascii="宋体" w:hAnsi="宋体" w:eastAsia="宋体" w:cs="宋体"/>
          <w:color w:val="auto"/>
          <w:highlight w:val="none"/>
        </w:rPr>
      </w:pPr>
    </w:p>
    <w:p w14:paraId="1A6C45D2">
      <w:pPr>
        <w:spacing w:line="360" w:lineRule="auto"/>
        <w:rPr>
          <w:rFonts w:ascii="宋体" w:hAnsi="宋体" w:eastAsia="宋体" w:cs="宋体"/>
          <w:b/>
          <w:color w:val="auto"/>
          <w:sz w:val="24"/>
          <w:highlight w:val="none"/>
        </w:rPr>
      </w:pPr>
    </w:p>
    <w:p w14:paraId="2520D20D">
      <w:pPr>
        <w:spacing w:line="360" w:lineRule="auto"/>
        <w:rPr>
          <w:rFonts w:ascii="宋体" w:hAnsi="宋体" w:eastAsia="宋体" w:cs="宋体"/>
          <w:b/>
          <w:color w:val="auto"/>
          <w:sz w:val="24"/>
          <w:highlight w:val="none"/>
        </w:rPr>
      </w:pPr>
    </w:p>
    <w:p w14:paraId="3A36BB40">
      <w:pPr>
        <w:spacing w:line="360" w:lineRule="auto"/>
        <w:rPr>
          <w:rFonts w:ascii="宋体" w:hAnsi="宋体" w:eastAsia="宋体" w:cs="宋体"/>
          <w:b/>
          <w:color w:val="auto"/>
          <w:sz w:val="24"/>
          <w:highlight w:val="none"/>
        </w:rPr>
      </w:pPr>
    </w:p>
    <w:p w14:paraId="2C30A6DD">
      <w:pPr>
        <w:spacing w:line="360" w:lineRule="auto"/>
        <w:rPr>
          <w:rFonts w:ascii="宋体" w:hAnsi="宋体" w:eastAsia="宋体" w:cs="宋体"/>
          <w:b/>
          <w:color w:val="auto"/>
          <w:sz w:val="24"/>
          <w:highlight w:val="none"/>
        </w:rPr>
      </w:pPr>
    </w:p>
    <w:p w14:paraId="19AA4F0A">
      <w:pPr>
        <w:spacing w:line="360" w:lineRule="auto"/>
        <w:rPr>
          <w:rFonts w:ascii="宋体" w:hAnsi="宋体" w:eastAsia="宋体" w:cs="宋体"/>
          <w:b/>
          <w:color w:val="auto"/>
          <w:sz w:val="24"/>
          <w:highlight w:val="none"/>
        </w:rPr>
      </w:pPr>
    </w:p>
    <w:p w14:paraId="4F80DE7E">
      <w:pPr>
        <w:spacing w:line="360" w:lineRule="auto"/>
        <w:rPr>
          <w:rFonts w:ascii="宋体" w:hAnsi="宋体" w:eastAsia="宋体" w:cs="宋体"/>
          <w:b/>
          <w:color w:val="auto"/>
          <w:sz w:val="24"/>
          <w:highlight w:val="none"/>
        </w:rPr>
      </w:pPr>
    </w:p>
    <w:p w14:paraId="79BF73D5">
      <w:pPr>
        <w:spacing w:line="360" w:lineRule="auto"/>
        <w:rPr>
          <w:rFonts w:ascii="宋体" w:hAnsi="宋体" w:eastAsia="宋体" w:cs="宋体"/>
          <w:b/>
          <w:color w:val="auto"/>
          <w:sz w:val="24"/>
          <w:highlight w:val="none"/>
        </w:rPr>
      </w:pPr>
    </w:p>
    <w:p w14:paraId="364B3F74">
      <w:pPr>
        <w:autoSpaceDE w:val="0"/>
        <w:autoSpaceDN w:val="0"/>
        <w:jc w:val="center"/>
        <w:rPr>
          <w:rFonts w:ascii="宋体" w:hAnsi="宋体" w:eastAsia="宋体" w:cs="宋体"/>
          <w:b/>
          <w:color w:val="auto"/>
          <w:spacing w:val="6"/>
          <w:sz w:val="32"/>
          <w:szCs w:val="32"/>
          <w:highlight w:val="none"/>
        </w:rPr>
      </w:pPr>
    </w:p>
    <w:p w14:paraId="58BA6988">
      <w:pPr>
        <w:autoSpaceDE w:val="0"/>
        <w:autoSpaceDN w:val="0"/>
        <w:jc w:val="center"/>
        <w:rPr>
          <w:rFonts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附件2：</w:t>
      </w:r>
      <w:r>
        <w:rPr>
          <w:rFonts w:hint="eastAsia" w:ascii="宋体" w:hAnsi="宋体" w:eastAsia="宋体" w:cs="宋体"/>
          <w:b/>
          <w:bCs/>
          <w:color w:val="auto"/>
          <w:sz w:val="32"/>
          <w:szCs w:val="32"/>
          <w:highlight w:val="none"/>
        </w:rPr>
        <w:t>业务专用章使用说明函</w:t>
      </w:r>
    </w:p>
    <w:p w14:paraId="386767FD">
      <w:pPr>
        <w:spacing w:line="360" w:lineRule="auto"/>
        <w:rPr>
          <w:rFonts w:ascii="宋体" w:hAnsi="宋体" w:eastAsia="宋体" w:cs="宋体"/>
          <w:color w:val="auto"/>
          <w:sz w:val="24"/>
          <w:highlight w:val="none"/>
          <w:u w:val="single"/>
        </w:rPr>
      </w:pPr>
    </w:p>
    <w:p w14:paraId="231554D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ascii="宋体" w:hAnsi="宋体" w:eastAsia="宋体" w:cs="宋体"/>
          <w:color w:val="auto"/>
          <w:sz w:val="24"/>
          <w:highlight w:val="none"/>
        </w:rPr>
      </w:pPr>
    </w:p>
    <w:p w14:paraId="30DC2BF6">
      <w:pPr>
        <w:spacing w:line="360" w:lineRule="auto"/>
        <w:ind w:firstLine="494"/>
        <w:rPr>
          <w:rFonts w:ascii="宋体" w:hAnsi="宋体" w:eastAsia="宋体" w:cs="宋体"/>
          <w:color w:val="auto"/>
          <w:sz w:val="24"/>
          <w:highlight w:val="none"/>
        </w:rPr>
      </w:pPr>
    </w:p>
    <w:p w14:paraId="75A0C7B0">
      <w:pPr>
        <w:spacing w:line="360" w:lineRule="auto"/>
        <w:ind w:firstLine="494"/>
        <w:rPr>
          <w:rFonts w:ascii="宋体" w:hAnsi="宋体" w:eastAsia="宋体" w:cs="宋体"/>
          <w:color w:val="auto"/>
          <w:sz w:val="24"/>
          <w:highlight w:val="none"/>
        </w:rPr>
      </w:pPr>
    </w:p>
    <w:p w14:paraId="1480ED20">
      <w:pPr>
        <w:spacing w:line="360" w:lineRule="auto"/>
        <w:ind w:firstLine="494"/>
        <w:rPr>
          <w:rFonts w:ascii="宋体" w:hAnsi="宋体" w:eastAsia="宋体" w:cs="宋体"/>
          <w:color w:val="auto"/>
          <w:sz w:val="24"/>
          <w:highlight w:val="none"/>
        </w:rPr>
      </w:pPr>
    </w:p>
    <w:p w14:paraId="7B96B03B">
      <w:pPr>
        <w:spacing w:line="360" w:lineRule="auto"/>
        <w:ind w:right="480" w:firstLine="4080" w:firstLineChars="1700"/>
        <w:rPr>
          <w:rFonts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ascii="宋体" w:hAnsi="宋体" w:eastAsia="宋体" w:cs="宋体"/>
          <w:b/>
          <w:color w:val="auto"/>
          <w:spacing w:val="6"/>
          <w:sz w:val="32"/>
          <w:szCs w:val="32"/>
          <w:highlight w:val="none"/>
        </w:rPr>
      </w:pPr>
    </w:p>
    <w:p w14:paraId="7A91A44A">
      <w:pPr>
        <w:autoSpaceDE w:val="0"/>
        <w:autoSpaceDN w:val="0"/>
        <w:jc w:val="center"/>
        <w:rPr>
          <w:rFonts w:ascii="宋体" w:hAnsi="宋体" w:eastAsia="宋体" w:cs="宋体"/>
          <w:b/>
          <w:color w:val="auto"/>
          <w:spacing w:val="6"/>
          <w:sz w:val="32"/>
          <w:szCs w:val="32"/>
          <w:highlight w:val="none"/>
        </w:rPr>
      </w:pPr>
    </w:p>
    <w:p w14:paraId="198E3759">
      <w:pPr>
        <w:autoSpaceDE w:val="0"/>
        <w:autoSpaceDN w:val="0"/>
        <w:jc w:val="center"/>
        <w:rPr>
          <w:rFonts w:ascii="宋体" w:hAnsi="宋体" w:eastAsia="宋体" w:cs="宋体"/>
          <w:b/>
          <w:color w:val="auto"/>
          <w:spacing w:val="6"/>
          <w:sz w:val="32"/>
          <w:szCs w:val="32"/>
          <w:highlight w:val="none"/>
        </w:rPr>
      </w:pPr>
    </w:p>
    <w:p w14:paraId="6BBCFB15">
      <w:pPr>
        <w:autoSpaceDE w:val="0"/>
        <w:autoSpaceDN w:val="0"/>
        <w:jc w:val="center"/>
        <w:rPr>
          <w:rFonts w:ascii="宋体" w:hAnsi="宋体" w:eastAsia="宋体" w:cs="宋体"/>
          <w:b/>
          <w:color w:val="auto"/>
          <w:spacing w:val="6"/>
          <w:sz w:val="32"/>
          <w:szCs w:val="32"/>
          <w:highlight w:val="none"/>
        </w:rPr>
      </w:pPr>
    </w:p>
    <w:p w14:paraId="17401CC5">
      <w:pPr>
        <w:autoSpaceDE w:val="0"/>
        <w:autoSpaceDN w:val="0"/>
        <w:jc w:val="center"/>
        <w:rPr>
          <w:rFonts w:ascii="宋体" w:hAnsi="宋体" w:eastAsia="宋体" w:cs="宋体"/>
          <w:b/>
          <w:color w:val="auto"/>
          <w:spacing w:val="6"/>
          <w:sz w:val="32"/>
          <w:szCs w:val="32"/>
          <w:highlight w:val="none"/>
        </w:rPr>
      </w:pPr>
    </w:p>
    <w:p w14:paraId="16184FF7">
      <w:pPr>
        <w:autoSpaceDE w:val="0"/>
        <w:autoSpaceDN w:val="0"/>
        <w:jc w:val="center"/>
        <w:rPr>
          <w:rFonts w:ascii="宋体" w:hAnsi="宋体" w:eastAsia="宋体" w:cs="宋体"/>
          <w:b/>
          <w:color w:val="auto"/>
          <w:spacing w:val="6"/>
          <w:sz w:val="32"/>
          <w:szCs w:val="32"/>
          <w:highlight w:val="none"/>
        </w:rPr>
      </w:pPr>
    </w:p>
    <w:p w14:paraId="4BBF6DF8">
      <w:pPr>
        <w:autoSpaceDE w:val="0"/>
        <w:autoSpaceDN w:val="0"/>
        <w:jc w:val="center"/>
        <w:rPr>
          <w:rFonts w:ascii="宋体" w:hAnsi="宋体" w:eastAsia="宋体" w:cs="宋体"/>
          <w:b/>
          <w:color w:val="auto"/>
          <w:spacing w:val="6"/>
          <w:sz w:val="32"/>
          <w:szCs w:val="32"/>
          <w:highlight w:val="none"/>
        </w:rPr>
      </w:pPr>
    </w:p>
    <w:p w14:paraId="47BD9F5F">
      <w:pPr>
        <w:autoSpaceDE w:val="0"/>
        <w:autoSpaceDN w:val="0"/>
        <w:jc w:val="center"/>
        <w:rPr>
          <w:rFonts w:ascii="宋体" w:hAnsi="宋体" w:eastAsia="宋体" w:cs="宋体"/>
          <w:b/>
          <w:color w:val="auto"/>
          <w:spacing w:val="6"/>
          <w:sz w:val="32"/>
          <w:szCs w:val="32"/>
          <w:highlight w:val="none"/>
        </w:rPr>
      </w:pPr>
    </w:p>
    <w:p w14:paraId="38602FE1">
      <w:pPr>
        <w:autoSpaceDE w:val="0"/>
        <w:autoSpaceDN w:val="0"/>
        <w:jc w:val="center"/>
        <w:rPr>
          <w:rFonts w:ascii="宋体" w:hAnsi="宋体" w:eastAsia="宋体" w:cs="宋体"/>
          <w:b/>
          <w:color w:val="auto"/>
          <w:spacing w:val="6"/>
          <w:sz w:val="32"/>
          <w:szCs w:val="32"/>
          <w:highlight w:val="none"/>
        </w:rPr>
      </w:pPr>
    </w:p>
    <w:p w14:paraId="2357D029">
      <w:pPr>
        <w:autoSpaceDE w:val="0"/>
        <w:autoSpaceDN w:val="0"/>
        <w:jc w:val="center"/>
        <w:rPr>
          <w:rFonts w:ascii="宋体" w:hAnsi="宋体" w:eastAsia="宋体" w:cs="宋体"/>
          <w:b/>
          <w:color w:val="auto"/>
          <w:spacing w:val="6"/>
          <w:sz w:val="32"/>
          <w:szCs w:val="32"/>
          <w:highlight w:val="none"/>
        </w:rPr>
      </w:pPr>
    </w:p>
    <w:p w14:paraId="2BC28849">
      <w:pPr>
        <w:autoSpaceDE w:val="0"/>
        <w:autoSpaceDN w:val="0"/>
        <w:jc w:val="center"/>
        <w:rPr>
          <w:rFonts w:ascii="宋体" w:hAnsi="宋体" w:eastAsia="宋体" w:cs="宋体"/>
          <w:b/>
          <w:color w:val="auto"/>
          <w:spacing w:val="6"/>
          <w:sz w:val="32"/>
          <w:szCs w:val="32"/>
          <w:highlight w:val="none"/>
        </w:rPr>
      </w:pPr>
    </w:p>
    <w:p w14:paraId="33266377">
      <w:pPr>
        <w:autoSpaceDE w:val="0"/>
        <w:autoSpaceDN w:val="0"/>
        <w:jc w:val="center"/>
        <w:rPr>
          <w:rFonts w:ascii="宋体" w:hAnsi="宋体" w:eastAsia="宋体" w:cs="宋体"/>
          <w:b/>
          <w:color w:val="auto"/>
          <w:spacing w:val="6"/>
          <w:sz w:val="32"/>
          <w:szCs w:val="32"/>
          <w:highlight w:val="none"/>
        </w:rPr>
      </w:pPr>
    </w:p>
    <w:p w14:paraId="76F12F65">
      <w:pPr>
        <w:autoSpaceDE w:val="0"/>
        <w:autoSpaceDN w:val="0"/>
        <w:jc w:val="center"/>
        <w:rPr>
          <w:rFonts w:ascii="宋体" w:hAnsi="宋体" w:eastAsia="宋体" w:cs="宋体"/>
          <w:b/>
          <w:color w:val="auto"/>
          <w:spacing w:val="6"/>
          <w:sz w:val="32"/>
          <w:szCs w:val="32"/>
          <w:highlight w:val="none"/>
        </w:rPr>
      </w:pPr>
    </w:p>
    <w:p w14:paraId="59F38C17">
      <w:pPr>
        <w:autoSpaceDE w:val="0"/>
        <w:autoSpaceDN w:val="0"/>
        <w:jc w:val="center"/>
        <w:rPr>
          <w:rFonts w:ascii="宋体" w:hAnsi="宋体" w:eastAsia="宋体" w:cs="宋体"/>
          <w:b/>
          <w:color w:val="auto"/>
          <w:spacing w:val="6"/>
          <w:sz w:val="32"/>
          <w:szCs w:val="32"/>
          <w:highlight w:val="none"/>
        </w:rPr>
      </w:pPr>
    </w:p>
    <w:p w14:paraId="500A83A7">
      <w:pPr>
        <w:autoSpaceDE w:val="0"/>
        <w:autoSpaceDN w:val="0"/>
        <w:jc w:val="center"/>
        <w:rPr>
          <w:rFonts w:ascii="宋体" w:hAnsi="宋体" w:eastAsia="宋体" w:cs="宋体"/>
          <w:b/>
          <w:color w:val="auto"/>
          <w:spacing w:val="6"/>
          <w:sz w:val="32"/>
          <w:szCs w:val="32"/>
          <w:highlight w:val="none"/>
        </w:rPr>
      </w:pPr>
    </w:p>
    <w:p w14:paraId="1839F9F0">
      <w:pPr>
        <w:autoSpaceDE w:val="0"/>
        <w:autoSpaceDN w:val="0"/>
        <w:spacing w:line="360" w:lineRule="auto"/>
        <w:jc w:val="center"/>
        <w:rPr>
          <w:rFonts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附件3：</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ascii="宋体" w:hAnsi="宋体" w:eastAsia="宋体" w:cs="宋体"/>
          <w:color w:val="auto"/>
          <w:kern w:val="0"/>
          <w:sz w:val="24"/>
          <w:highlight w:val="none"/>
          <w:lang w:val="zh-CN"/>
        </w:rPr>
      </w:pPr>
      <w:bookmarkStart w:id="113"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13"/>
    <w:p w14:paraId="2D739EB7">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ascii="宋体" w:hAnsi="宋体" w:eastAsia="宋体" w:cs="宋体"/>
          <w:b/>
          <w:color w:val="auto"/>
          <w:spacing w:val="6"/>
          <w:sz w:val="32"/>
          <w:szCs w:val="32"/>
          <w:highlight w:val="none"/>
        </w:rPr>
        <w:sectPr>
          <w:footerReference r:id="rId13" w:type="first"/>
          <w:headerReference r:id="rId11" w:type="default"/>
          <w:footerReference r:id="rId12" w:type="default"/>
          <w:pgSz w:w="11905" w:h="16838"/>
          <w:pgMar w:top="1417" w:right="1417" w:bottom="1417" w:left="1417" w:header="851" w:footer="992" w:gutter="0"/>
          <w:cols w:space="0" w:num="1"/>
          <w:titlePg/>
          <w:docGrid w:linePitch="312" w:charSpace="0"/>
        </w:sectPr>
      </w:pPr>
    </w:p>
    <w:p w14:paraId="52C6BFD0">
      <w:pPr>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color w:val="auto"/>
          <w:kern w:val="0"/>
          <w:sz w:val="32"/>
          <w:szCs w:val="32"/>
          <w:highlight w:val="none"/>
        </w:rPr>
        <w:t>分包意向协议</w:t>
      </w:r>
    </w:p>
    <w:p w14:paraId="68F5EB53">
      <w:pPr>
        <w:widowControl/>
        <w:adjustRightInd w:val="0"/>
        <w:snapToGrid w:val="0"/>
        <w:spacing w:line="360" w:lineRule="auto"/>
        <w:ind w:firstLine="120" w:firstLineChars="50"/>
        <w:jc w:val="left"/>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5"/>
        <w:tabs>
          <w:tab w:val="left" w:pos="432"/>
        </w:tabs>
        <w:adjustRightInd w:val="0"/>
        <w:snapToGrid w:val="0"/>
        <w:spacing w:before="0" w:after="0" w:line="360" w:lineRule="auto"/>
        <w:ind w:left="664" w:leftChars="316" w:firstLine="229" w:firstLineChars="95"/>
        <w:rPr>
          <w:rFonts w:ascii="宋体" w:hAnsi="宋体" w:eastAsia="宋体" w:cs="宋体"/>
          <w:color w:val="auto"/>
          <w:kern w:val="0"/>
          <w:sz w:val="24"/>
          <w:szCs w:val="24"/>
          <w:highlight w:val="none"/>
        </w:rPr>
      </w:pPr>
      <w:bookmarkStart w:id="114" w:name="_Toc20294"/>
      <w:r>
        <w:rPr>
          <w:rFonts w:hint="eastAsia" w:ascii="宋体" w:hAnsi="宋体" w:eastAsia="宋体" w:cs="宋体"/>
          <w:color w:val="auto"/>
          <w:kern w:val="0"/>
          <w:sz w:val="24"/>
          <w:szCs w:val="24"/>
          <w:highlight w:val="none"/>
        </w:rPr>
        <w:t>……</w:t>
      </w:r>
      <w:bookmarkEnd w:id="114"/>
    </w:p>
    <w:p w14:paraId="65E1935B">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adjustRightInd w:val="0"/>
        <w:snapToGrid w:val="0"/>
        <w:spacing w:line="360" w:lineRule="auto"/>
        <w:ind w:firstLine="576"/>
        <w:rPr>
          <w:rFonts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adjustRightInd w:val="0"/>
        <w:snapToGrid w:val="0"/>
        <w:spacing w:line="360" w:lineRule="auto"/>
        <w:ind w:firstLine="480" w:firstLineChars="200"/>
        <w:rPr>
          <w:rFonts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5"/>
    </w:p>
    <w:p w14:paraId="1F3C7C3E">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adjustRightInd w:val="0"/>
        <w:snapToGrid w:val="0"/>
        <w:spacing w:line="360" w:lineRule="auto"/>
        <w:ind w:firstLine="576"/>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adjustRightInd w:val="0"/>
        <w:snapToGrid w:val="0"/>
        <w:spacing w:line="360" w:lineRule="auto"/>
        <w:ind w:left="573" w:leftChars="273"/>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adjustRightInd w:val="0"/>
        <w:snapToGrid w:val="0"/>
        <w:spacing w:line="360" w:lineRule="auto"/>
        <w:ind w:left="573" w:leftChars="273"/>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adjustRightInd w:val="0"/>
        <w:snapToGrid w:val="0"/>
        <w:spacing w:line="360" w:lineRule="auto"/>
        <w:ind w:firstLine="576"/>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ascii="宋体" w:hAnsi="宋体" w:eastAsia="宋体" w:cs="宋体"/>
          <w:b/>
          <w:color w:val="auto"/>
          <w:spacing w:val="6"/>
          <w:sz w:val="32"/>
          <w:szCs w:val="32"/>
          <w:highlight w:val="none"/>
        </w:rPr>
      </w:pPr>
    </w:p>
    <w:p w14:paraId="10905DBA">
      <w:pPr>
        <w:autoSpaceDE w:val="0"/>
        <w:autoSpaceDN w:val="0"/>
        <w:jc w:val="center"/>
        <w:rPr>
          <w:rFonts w:ascii="宋体" w:hAnsi="宋体" w:eastAsia="宋体" w:cs="宋体"/>
          <w:b/>
          <w:color w:val="auto"/>
          <w:spacing w:val="6"/>
          <w:sz w:val="32"/>
          <w:szCs w:val="32"/>
          <w:highlight w:val="none"/>
        </w:rPr>
        <w:sectPr>
          <w:pgSz w:w="11905" w:h="16838"/>
          <w:pgMar w:top="1417" w:right="1417" w:bottom="1417" w:left="1417" w:header="851" w:footer="992" w:gutter="0"/>
          <w:cols w:space="0" w:num="1"/>
          <w:titlePg/>
          <w:docGrid w:linePitch="312" w:charSpace="0"/>
        </w:sectPr>
      </w:pPr>
    </w:p>
    <w:p w14:paraId="465022F4">
      <w:pPr>
        <w:autoSpaceDE w:val="0"/>
        <w:autoSpaceDN w:val="0"/>
        <w:jc w:val="center"/>
        <w:rPr>
          <w:rFonts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14:paraId="1DC7A7FE">
      <w:pPr>
        <w:spacing w:line="360" w:lineRule="auto"/>
        <w:jc w:val="center"/>
        <w:rPr>
          <w:rFonts w:ascii="宋体" w:hAnsi="宋体" w:eastAsia="宋体" w:cs="宋体"/>
          <w:color w:val="auto"/>
          <w:sz w:val="24"/>
          <w:highlight w:val="none"/>
          <w:u w:val="single"/>
        </w:rPr>
      </w:pPr>
    </w:p>
    <w:p w14:paraId="0169CB8A">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 浙江工业大学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浙江工业大学精密设备室七氟丙烷气体灭火系统改造工程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浙江工业大学精密设备室七氟丙烷气体灭火系统改造工程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ascii="宋体" w:hAnsi="宋体" w:eastAsia="宋体" w:cs="宋体"/>
          <w:color w:val="auto"/>
          <w:sz w:val="24"/>
          <w:highlight w:val="none"/>
        </w:rPr>
      </w:pPr>
    </w:p>
    <w:p w14:paraId="1E79A584">
      <w:pPr>
        <w:snapToGrid w:val="0"/>
        <w:spacing w:line="360" w:lineRule="auto"/>
        <w:ind w:firstLine="5160" w:firstLineChars="215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②《中小企业声明函》中“标的名称”、“采购文件中明确的所属行业”依据采购文件第二部分供应商须知前附表中“采购标的及其对应的中小企业划分标准所属行业”的指引，逐一填写，不得缺漏。</w:t>
      </w:r>
    </w:p>
    <w:p w14:paraId="6261E62A">
      <w:pPr>
        <w:autoSpaceDN w:val="0"/>
        <w:spacing w:line="360" w:lineRule="auto"/>
        <w:ind w:firstLine="442" w:firstLineChars="200"/>
        <w:rPr>
          <w:rFonts w:ascii="宋体" w:hAnsi="宋体" w:eastAsia="宋体" w:cs="宋体"/>
          <w:b/>
          <w:bCs/>
          <w:color w:val="auto"/>
          <w:sz w:val="22"/>
          <w:highlight w:val="none"/>
        </w:rPr>
      </w:pPr>
    </w:p>
    <w:p w14:paraId="391A5DCB">
      <w:pPr>
        <w:autoSpaceDN w:val="0"/>
        <w:spacing w:line="200" w:lineRule="exact"/>
        <w:ind w:firstLine="301"/>
        <w:rPr>
          <w:rFonts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ascii="宋体" w:hAnsi="宋体" w:eastAsia="宋体" w:cs="宋体"/>
          <w:b/>
          <w:bCs/>
          <w:color w:val="auto"/>
          <w:kern w:val="0"/>
          <w:sz w:val="24"/>
          <w:szCs w:val="24"/>
          <w:highlight w:val="none"/>
        </w:rPr>
      </w:pPr>
      <w:bookmarkStart w:id="116" w:name="_Toc17428349"/>
      <w:bookmarkStart w:id="117" w:name="_Toc7663597"/>
      <w:bookmarkStart w:id="118" w:name="_Toc7488759"/>
      <w:bookmarkStart w:id="119" w:name="_Toc8007005"/>
      <w:bookmarkStart w:id="120" w:name="_Toc7542916"/>
      <w:bookmarkStart w:id="121" w:name="_Toc7993641"/>
      <w:bookmarkStart w:id="122" w:name="_Toc7988475"/>
      <w:bookmarkStart w:id="123" w:name="_Toc7668950"/>
      <w:bookmarkStart w:id="124" w:name="_Toc10432458"/>
      <w:bookmarkStart w:id="125" w:name="_Toc17428254"/>
      <w:bookmarkStart w:id="126" w:name="_Toc25765010"/>
      <w:bookmarkStart w:id="127" w:name="_Toc24471818"/>
      <w:bookmarkStart w:id="128" w:name="_Toc7988421"/>
      <w:bookmarkStart w:id="129" w:name="_Toc7574705"/>
      <w:bookmarkStart w:id="130" w:name="_Toc7492528"/>
      <w:bookmarkStart w:id="131" w:name="_Toc20358292"/>
      <w:bookmarkStart w:id="132" w:name="_Toc7664197"/>
      <w:bookmarkStart w:id="133" w:name="_Toc532440701"/>
      <w:bookmarkStart w:id="134" w:name="_Toc4649580"/>
      <w:bookmarkStart w:id="135" w:name="_Toc2002574"/>
      <w:bookmarkStart w:id="136" w:name="_Toc522830351"/>
      <w:bookmarkStart w:id="137" w:name="_Toc522417531"/>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C2E87F9">
      <w:pPr>
        <w:widowControl/>
        <w:shd w:val="clear" w:color="auto" w:fill="FFFFFF"/>
        <w:autoSpaceDN w:val="0"/>
        <w:spacing w:before="68" w:after="299" w:line="360" w:lineRule="auto"/>
        <w:jc w:val="center"/>
        <w:textAlignment w:val="baseline"/>
        <w:rPr>
          <w:rFonts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33"/>
      <w:bookmarkEnd w:id="134"/>
      <w:bookmarkEnd w:id="135"/>
      <w:bookmarkEnd w:id="136"/>
      <w:bookmarkEnd w:id="137"/>
    </w:tbl>
    <w:p w14:paraId="2148FF2A">
      <w:pPr>
        <w:autoSpaceDN w:val="0"/>
        <w:rPr>
          <w:rFonts w:ascii="宋体" w:hAnsi="宋体" w:eastAsia="宋体" w:cs="宋体"/>
          <w:b/>
          <w:bCs/>
          <w:color w:val="auto"/>
          <w:sz w:val="24"/>
          <w:szCs w:val="24"/>
          <w:highlight w:val="none"/>
        </w:rPr>
      </w:pPr>
    </w:p>
    <w:p w14:paraId="104E4C35">
      <w:pPr>
        <w:rPr>
          <w:rFonts w:ascii="宋体" w:hAnsi="宋体" w:eastAsia="宋体" w:cs="宋体"/>
          <w:color w:val="auto"/>
          <w:szCs w:val="24"/>
          <w:highlight w:val="none"/>
        </w:rPr>
      </w:pPr>
    </w:p>
    <w:p w14:paraId="2740FA3A">
      <w:pPr>
        <w:rPr>
          <w:rFonts w:ascii="宋体" w:hAnsi="宋体" w:eastAsia="宋体" w:cs="宋体"/>
          <w:color w:val="auto"/>
          <w:szCs w:val="24"/>
          <w:highlight w:val="none"/>
        </w:rPr>
      </w:pPr>
    </w:p>
    <w:bookmarkEnd w:id="0"/>
    <w:p w14:paraId="2C9A467B">
      <w:pPr>
        <w:rPr>
          <w:rFonts w:ascii="宋体" w:hAnsi="宋体" w:eastAsia="宋体" w:cs="宋体"/>
          <w:color w:val="auto"/>
          <w:highlight w:val="none"/>
        </w:rPr>
      </w:pPr>
    </w:p>
    <w:sectPr>
      <w:pgSz w:w="11905" w:h="16838"/>
      <w:pgMar w:top="1417" w:right="1417" w:bottom="141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83</w:t>
                          </w:r>
                          <w:r>
                            <w:rPr>
                              <w:rFonts w:hint="eastAsia" w:ascii="仿宋_GB2312" w:eastAsia="仿宋_GB2312"/>
                            </w:rPr>
                            <w:fldChar w:fldCharType="end"/>
                          </w:r>
                          <w:r>
                            <w:rPr>
                              <w:rFonts w:hint="eastAsia" w:ascii="仿宋_GB2312" w:eastAsia="仿宋_GB231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83</w:t>
                    </w:r>
                    <w:r>
                      <w:rPr>
                        <w:rFonts w:hint="eastAsia" w:ascii="仿宋_GB2312" w:eastAsia="仿宋_GB2312"/>
                      </w:rPr>
                      <w:fldChar w:fldCharType="end"/>
                    </w:r>
                    <w:r>
                      <w:rPr>
                        <w:rFonts w:hint="eastAsia" w:ascii="仿宋_GB2312" w:eastAsia="仿宋_GB2312"/>
                      </w:rPr>
                      <w:t xml:space="preserve"> 页</w:t>
                    </w:r>
                  </w:p>
                </w:txbxContent>
              </v:textbox>
            </v:shape>
          </w:pict>
        </mc:Fallback>
      </mc:AlternateContent>
    </w:r>
  </w:p>
  <w:p w14:paraId="6862C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rPr>
                            <w:t xml:space="preserve">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65</w:t>
                          </w:r>
                          <w:r>
                            <w:rPr>
                              <w:rFonts w:hint="eastAsia" w:ascii="仿宋_GB2312" w:eastAsia="仿宋_GB2312"/>
                            </w:rPr>
                            <w:fldChar w:fldCharType="end"/>
                          </w:r>
                          <w:r>
                            <w:rPr>
                              <w:rFonts w:hint="eastAsia" w:ascii="仿宋_GB2312" w:eastAsia="仿宋_GB231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rPr>
                      <w:t xml:space="preserve">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65</w:t>
                    </w:r>
                    <w:r>
                      <w:rPr>
                        <w:rFonts w:hint="eastAsia" w:ascii="仿宋_GB2312" w:eastAsia="仿宋_GB2312"/>
                      </w:rPr>
                      <w:fldChar w:fldCharType="end"/>
                    </w:r>
                    <w:r>
                      <w:rPr>
                        <w:rFonts w:hint="eastAsia" w:ascii="仿宋_GB2312" w:eastAsia="仿宋_GB2312"/>
                      </w:rPr>
                      <w:t xml:space="preserve"> 页</w:t>
                    </w:r>
                  </w:p>
                </w:txbxContent>
              </v:textbox>
            </v:shape>
          </w:pict>
        </mc:Fallback>
      </mc:AlternateContent>
    </w:r>
  </w:p>
  <w:p w14:paraId="24EB06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82</w:t>
                          </w:r>
                          <w:r>
                            <w:rPr>
                              <w:rFonts w:hint="eastAsia" w:ascii="仿宋_GB2312" w:eastAsia="仿宋_GB2312"/>
                              <w:szCs w:val="21"/>
                            </w:rPr>
                            <w:fldChar w:fldCharType="end"/>
                          </w:r>
                          <w:r>
                            <w:rPr>
                              <w:rFonts w:hint="eastAsia" w:ascii="仿宋_GB2312" w:eastAsia="仿宋_GB2312"/>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82</w:t>
                    </w:r>
                    <w:r>
                      <w:rPr>
                        <w:rFonts w:hint="eastAsia" w:ascii="仿宋_GB2312" w:eastAsia="仿宋_GB2312"/>
                        <w:szCs w:val="21"/>
                      </w:rPr>
                      <w:fldChar w:fldCharType="end"/>
                    </w:r>
                    <w:r>
                      <w:rPr>
                        <w:rFonts w:hint="eastAsia" w:ascii="仿宋_GB2312" w:eastAsia="仿宋_GB2312"/>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szCs w:val="21"/>
                            </w:rPr>
                            <w:t xml:space="preserve">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83</w:t>
                          </w:r>
                          <w:r>
                            <w:rPr>
                              <w:rFonts w:hint="eastAsia" w:ascii="仿宋_GB2312" w:eastAsia="仿宋_GB2312"/>
                              <w:szCs w:val="21"/>
                            </w:rPr>
                            <w:fldChar w:fldCharType="end"/>
                          </w:r>
                          <w:r>
                            <w:rPr>
                              <w:rFonts w:hint="eastAsia" w:ascii="仿宋_GB2312" w:eastAsia="仿宋_GB2312"/>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szCs w:val="21"/>
                      </w:rPr>
                      <w:t xml:space="preserve">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83</w:t>
                    </w:r>
                    <w:r>
                      <w:rPr>
                        <w:rFonts w:hint="eastAsia" w:ascii="仿宋_GB2312" w:eastAsia="仿宋_GB2312"/>
                        <w:szCs w:val="21"/>
                      </w:rPr>
                      <w:fldChar w:fldCharType="end"/>
                    </w:r>
                    <w:r>
                      <w:rPr>
                        <w:rFonts w:hint="eastAsia" w:ascii="仿宋_GB2312" w:eastAsia="仿宋_GB2312"/>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bottom w:val="none" w:color="auto" w:sz="0" w:space="1"/>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bottom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EAE449DF"/>
    <w:multiLevelType w:val="singleLevel"/>
    <w:tmpl w:val="EAE449D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5338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E505E"/>
    <w:rsid w:val="004F254A"/>
    <w:rsid w:val="00525372"/>
    <w:rsid w:val="005262E4"/>
    <w:rsid w:val="0053232F"/>
    <w:rsid w:val="00534299"/>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448CE"/>
    <w:rsid w:val="00A66CA9"/>
    <w:rsid w:val="00B07FBC"/>
    <w:rsid w:val="00B159EE"/>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1381"/>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41D6583"/>
    <w:rsid w:val="0471297E"/>
    <w:rsid w:val="048E122E"/>
    <w:rsid w:val="04E23328"/>
    <w:rsid w:val="05065269"/>
    <w:rsid w:val="052D36E5"/>
    <w:rsid w:val="05C50C80"/>
    <w:rsid w:val="05EF03F3"/>
    <w:rsid w:val="0610493F"/>
    <w:rsid w:val="06147E59"/>
    <w:rsid w:val="062F6624"/>
    <w:rsid w:val="06541A9E"/>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F6B9F"/>
    <w:rsid w:val="0949606C"/>
    <w:rsid w:val="094D790A"/>
    <w:rsid w:val="097D4EE0"/>
    <w:rsid w:val="098502D3"/>
    <w:rsid w:val="09BE4C65"/>
    <w:rsid w:val="09D27A29"/>
    <w:rsid w:val="09D85B61"/>
    <w:rsid w:val="09DC0C8E"/>
    <w:rsid w:val="0A16757C"/>
    <w:rsid w:val="0A3E36F7"/>
    <w:rsid w:val="0A61499C"/>
    <w:rsid w:val="0A674CCF"/>
    <w:rsid w:val="0A780FD3"/>
    <w:rsid w:val="0ADB7197"/>
    <w:rsid w:val="0AF3628F"/>
    <w:rsid w:val="0B064214"/>
    <w:rsid w:val="0B304DED"/>
    <w:rsid w:val="0B333FAA"/>
    <w:rsid w:val="0B3C7C36"/>
    <w:rsid w:val="0BBC0505"/>
    <w:rsid w:val="0BE43E2A"/>
    <w:rsid w:val="0C250048"/>
    <w:rsid w:val="0C6812D0"/>
    <w:rsid w:val="0C851169"/>
    <w:rsid w:val="0CA00AC6"/>
    <w:rsid w:val="0D0D5372"/>
    <w:rsid w:val="0D3E56CD"/>
    <w:rsid w:val="0D4E1EA3"/>
    <w:rsid w:val="0D646FD0"/>
    <w:rsid w:val="0DD979BE"/>
    <w:rsid w:val="0E48092C"/>
    <w:rsid w:val="0E545297"/>
    <w:rsid w:val="0E5D59F3"/>
    <w:rsid w:val="0E8010F9"/>
    <w:rsid w:val="0E9B1118"/>
    <w:rsid w:val="0EEB2A4C"/>
    <w:rsid w:val="0EF645A0"/>
    <w:rsid w:val="0F3319EA"/>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BC2255"/>
    <w:rsid w:val="11CC713F"/>
    <w:rsid w:val="11F078CC"/>
    <w:rsid w:val="121B4BF4"/>
    <w:rsid w:val="12211934"/>
    <w:rsid w:val="129F0AAB"/>
    <w:rsid w:val="12AB56BA"/>
    <w:rsid w:val="12D94250"/>
    <w:rsid w:val="13223BB5"/>
    <w:rsid w:val="13460BA8"/>
    <w:rsid w:val="136F5004"/>
    <w:rsid w:val="137141F5"/>
    <w:rsid w:val="13731A92"/>
    <w:rsid w:val="13B567D8"/>
    <w:rsid w:val="13BD7245"/>
    <w:rsid w:val="144D4C62"/>
    <w:rsid w:val="14550A82"/>
    <w:rsid w:val="14884E2D"/>
    <w:rsid w:val="14A97F23"/>
    <w:rsid w:val="14BB6070"/>
    <w:rsid w:val="14D56A06"/>
    <w:rsid w:val="14EF3F6B"/>
    <w:rsid w:val="151856A7"/>
    <w:rsid w:val="15454D0E"/>
    <w:rsid w:val="15712BD2"/>
    <w:rsid w:val="15806B32"/>
    <w:rsid w:val="158F12AA"/>
    <w:rsid w:val="15AC7766"/>
    <w:rsid w:val="162D6DB3"/>
    <w:rsid w:val="16414353"/>
    <w:rsid w:val="16687A24"/>
    <w:rsid w:val="168E215B"/>
    <w:rsid w:val="16900FD2"/>
    <w:rsid w:val="16AC12CB"/>
    <w:rsid w:val="17455FEB"/>
    <w:rsid w:val="17481711"/>
    <w:rsid w:val="1767603B"/>
    <w:rsid w:val="17925102"/>
    <w:rsid w:val="180872DD"/>
    <w:rsid w:val="18131D1F"/>
    <w:rsid w:val="181628F9"/>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FF69FF"/>
    <w:rsid w:val="1A212966"/>
    <w:rsid w:val="1A4C776A"/>
    <w:rsid w:val="1AC6751C"/>
    <w:rsid w:val="1AF1649A"/>
    <w:rsid w:val="1AFC6E58"/>
    <w:rsid w:val="1B123520"/>
    <w:rsid w:val="1B214753"/>
    <w:rsid w:val="1B80312D"/>
    <w:rsid w:val="1BD45299"/>
    <w:rsid w:val="1BEA2178"/>
    <w:rsid w:val="1BEE6D2B"/>
    <w:rsid w:val="1C281B11"/>
    <w:rsid w:val="1C2C7DBA"/>
    <w:rsid w:val="1C7E5859"/>
    <w:rsid w:val="1CE7377A"/>
    <w:rsid w:val="1D040DAB"/>
    <w:rsid w:val="1D1C168E"/>
    <w:rsid w:val="1D4604F3"/>
    <w:rsid w:val="1D585312"/>
    <w:rsid w:val="1D766A29"/>
    <w:rsid w:val="1D7C655F"/>
    <w:rsid w:val="1DF20628"/>
    <w:rsid w:val="1E1E36A6"/>
    <w:rsid w:val="1E21302E"/>
    <w:rsid w:val="1E4F5A7B"/>
    <w:rsid w:val="1E59321F"/>
    <w:rsid w:val="1E761FB4"/>
    <w:rsid w:val="1EA01E32"/>
    <w:rsid w:val="1EAC07D7"/>
    <w:rsid w:val="1EB87665"/>
    <w:rsid w:val="1EDD6BE3"/>
    <w:rsid w:val="1EEF1298"/>
    <w:rsid w:val="1F0B19A2"/>
    <w:rsid w:val="1F15637C"/>
    <w:rsid w:val="1F371E52"/>
    <w:rsid w:val="1F427E7B"/>
    <w:rsid w:val="1FAE731F"/>
    <w:rsid w:val="1FDC3713"/>
    <w:rsid w:val="1FF64A1D"/>
    <w:rsid w:val="2059498F"/>
    <w:rsid w:val="207B66B3"/>
    <w:rsid w:val="207D68CF"/>
    <w:rsid w:val="20904E15"/>
    <w:rsid w:val="21333432"/>
    <w:rsid w:val="21385966"/>
    <w:rsid w:val="21627DB3"/>
    <w:rsid w:val="217E4766"/>
    <w:rsid w:val="21D00C81"/>
    <w:rsid w:val="21D20555"/>
    <w:rsid w:val="21E8421C"/>
    <w:rsid w:val="22066484"/>
    <w:rsid w:val="223D3B7A"/>
    <w:rsid w:val="225C65BA"/>
    <w:rsid w:val="226E008B"/>
    <w:rsid w:val="22D958E1"/>
    <w:rsid w:val="22E83DA8"/>
    <w:rsid w:val="22FC115A"/>
    <w:rsid w:val="231E77CA"/>
    <w:rsid w:val="23775858"/>
    <w:rsid w:val="238B1783"/>
    <w:rsid w:val="239F5281"/>
    <w:rsid w:val="23CD2307"/>
    <w:rsid w:val="2423778D"/>
    <w:rsid w:val="242C042C"/>
    <w:rsid w:val="245F009A"/>
    <w:rsid w:val="248F1CB6"/>
    <w:rsid w:val="24AF1021"/>
    <w:rsid w:val="24C83E91"/>
    <w:rsid w:val="24E76A0D"/>
    <w:rsid w:val="257767F1"/>
    <w:rsid w:val="25B546FC"/>
    <w:rsid w:val="25CA2314"/>
    <w:rsid w:val="25E43998"/>
    <w:rsid w:val="26062EC3"/>
    <w:rsid w:val="26105AEF"/>
    <w:rsid w:val="26120DB9"/>
    <w:rsid w:val="264C26B9"/>
    <w:rsid w:val="265D4703"/>
    <w:rsid w:val="26704BBE"/>
    <w:rsid w:val="26AA06BB"/>
    <w:rsid w:val="26C64400"/>
    <w:rsid w:val="26E33204"/>
    <w:rsid w:val="26EF2BC4"/>
    <w:rsid w:val="26F1147D"/>
    <w:rsid w:val="27455C6D"/>
    <w:rsid w:val="2747754D"/>
    <w:rsid w:val="27506445"/>
    <w:rsid w:val="27572D81"/>
    <w:rsid w:val="27987C58"/>
    <w:rsid w:val="27B33F58"/>
    <w:rsid w:val="27B8643F"/>
    <w:rsid w:val="27EA2BD9"/>
    <w:rsid w:val="27FA7609"/>
    <w:rsid w:val="27FE6547"/>
    <w:rsid w:val="28127A77"/>
    <w:rsid w:val="28133675"/>
    <w:rsid w:val="283E1BE5"/>
    <w:rsid w:val="285C501C"/>
    <w:rsid w:val="285E4472"/>
    <w:rsid w:val="286C01BA"/>
    <w:rsid w:val="28996270"/>
    <w:rsid w:val="28C055AB"/>
    <w:rsid w:val="28E163FE"/>
    <w:rsid w:val="290A5ABA"/>
    <w:rsid w:val="29493E47"/>
    <w:rsid w:val="29534B10"/>
    <w:rsid w:val="2A3049B2"/>
    <w:rsid w:val="2A391AB9"/>
    <w:rsid w:val="2A4B17EC"/>
    <w:rsid w:val="2ACB0237"/>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C918E0"/>
    <w:rsid w:val="2ED4493C"/>
    <w:rsid w:val="2EE43FBD"/>
    <w:rsid w:val="2F0D6A6E"/>
    <w:rsid w:val="2F454A5C"/>
    <w:rsid w:val="2F741AF9"/>
    <w:rsid w:val="2FA96B3D"/>
    <w:rsid w:val="2FB054D4"/>
    <w:rsid w:val="30313232"/>
    <w:rsid w:val="3058256D"/>
    <w:rsid w:val="306929CC"/>
    <w:rsid w:val="306D4751"/>
    <w:rsid w:val="30712EAA"/>
    <w:rsid w:val="311F12DD"/>
    <w:rsid w:val="314C7B56"/>
    <w:rsid w:val="31501496"/>
    <w:rsid w:val="3150593A"/>
    <w:rsid w:val="315F399E"/>
    <w:rsid w:val="31AA32FC"/>
    <w:rsid w:val="31BA3142"/>
    <w:rsid w:val="31C14142"/>
    <w:rsid w:val="31D976DD"/>
    <w:rsid w:val="31ED3189"/>
    <w:rsid w:val="32335040"/>
    <w:rsid w:val="326A2A2B"/>
    <w:rsid w:val="32861A63"/>
    <w:rsid w:val="3291399D"/>
    <w:rsid w:val="3293373B"/>
    <w:rsid w:val="329B4993"/>
    <w:rsid w:val="33524AF4"/>
    <w:rsid w:val="33604C3F"/>
    <w:rsid w:val="343E1A7A"/>
    <w:rsid w:val="34441786"/>
    <w:rsid w:val="34A00986"/>
    <w:rsid w:val="34BD790F"/>
    <w:rsid w:val="350C7DCA"/>
    <w:rsid w:val="350E5DAF"/>
    <w:rsid w:val="352E1AEE"/>
    <w:rsid w:val="352F3FB1"/>
    <w:rsid w:val="355879C5"/>
    <w:rsid w:val="3585021E"/>
    <w:rsid w:val="35B30245"/>
    <w:rsid w:val="35CC6F22"/>
    <w:rsid w:val="35FA597F"/>
    <w:rsid w:val="36015455"/>
    <w:rsid w:val="360B24B9"/>
    <w:rsid w:val="36116E96"/>
    <w:rsid w:val="36127662"/>
    <w:rsid w:val="36335B90"/>
    <w:rsid w:val="364D6772"/>
    <w:rsid w:val="3666792F"/>
    <w:rsid w:val="36781311"/>
    <w:rsid w:val="367E6AA5"/>
    <w:rsid w:val="36857E34"/>
    <w:rsid w:val="36ED02CA"/>
    <w:rsid w:val="379A346B"/>
    <w:rsid w:val="379B25D7"/>
    <w:rsid w:val="37B025A2"/>
    <w:rsid w:val="37ED5C00"/>
    <w:rsid w:val="37F76B0F"/>
    <w:rsid w:val="38170F5F"/>
    <w:rsid w:val="384004B6"/>
    <w:rsid w:val="389D2E4B"/>
    <w:rsid w:val="38B76313"/>
    <w:rsid w:val="38CE7F0A"/>
    <w:rsid w:val="39152225"/>
    <w:rsid w:val="392B06F0"/>
    <w:rsid w:val="395D3A1B"/>
    <w:rsid w:val="396B70C2"/>
    <w:rsid w:val="397B72CC"/>
    <w:rsid w:val="397F500E"/>
    <w:rsid w:val="3995213C"/>
    <w:rsid w:val="39964C0C"/>
    <w:rsid w:val="39B906D2"/>
    <w:rsid w:val="39FF09DB"/>
    <w:rsid w:val="3A231E3E"/>
    <w:rsid w:val="3A2C1FD8"/>
    <w:rsid w:val="3A2F2590"/>
    <w:rsid w:val="3A661C7E"/>
    <w:rsid w:val="3A824DB6"/>
    <w:rsid w:val="3AD870A0"/>
    <w:rsid w:val="3B2A2D58"/>
    <w:rsid w:val="3B464036"/>
    <w:rsid w:val="3B5068F7"/>
    <w:rsid w:val="3B842468"/>
    <w:rsid w:val="3B887743"/>
    <w:rsid w:val="3B921D33"/>
    <w:rsid w:val="3B9C1EA7"/>
    <w:rsid w:val="3BBF2D60"/>
    <w:rsid w:val="3C2B135B"/>
    <w:rsid w:val="3C502C92"/>
    <w:rsid w:val="3C5A336A"/>
    <w:rsid w:val="3C7857D4"/>
    <w:rsid w:val="3CC233F6"/>
    <w:rsid w:val="3CDB69FF"/>
    <w:rsid w:val="3CE52DAF"/>
    <w:rsid w:val="3CF47AC1"/>
    <w:rsid w:val="3D113ED7"/>
    <w:rsid w:val="3DD26D7F"/>
    <w:rsid w:val="3DEB4A20"/>
    <w:rsid w:val="3E2148E6"/>
    <w:rsid w:val="3E541694"/>
    <w:rsid w:val="3E64615F"/>
    <w:rsid w:val="3E6F7DAB"/>
    <w:rsid w:val="3E98746E"/>
    <w:rsid w:val="3E9C3F6D"/>
    <w:rsid w:val="3EC104C1"/>
    <w:rsid w:val="3EEB27FE"/>
    <w:rsid w:val="3F2475BE"/>
    <w:rsid w:val="3F4F7231"/>
    <w:rsid w:val="3FEC4311"/>
    <w:rsid w:val="3FF73B50"/>
    <w:rsid w:val="40167D4F"/>
    <w:rsid w:val="40185F30"/>
    <w:rsid w:val="403A1C8F"/>
    <w:rsid w:val="4059198F"/>
    <w:rsid w:val="40750F19"/>
    <w:rsid w:val="408E74F7"/>
    <w:rsid w:val="40A47108"/>
    <w:rsid w:val="40FA5669"/>
    <w:rsid w:val="4100775E"/>
    <w:rsid w:val="410706BB"/>
    <w:rsid w:val="412A5860"/>
    <w:rsid w:val="41313092"/>
    <w:rsid w:val="415154E2"/>
    <w:rsid w:val="41753E74"/>
    <w:rsid w:val="41FD4D22"/>
    <w:rsid w:val="42022339"/>
    <w:rsid w:val="42204EB5"/>
    <w:rsid w:val="426B77AA"/>
    <w:rsid w:val="42843695"/>
    <w:rsid w:val="42B54533"/>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6C10A14"/>
    <w:rsid w:val="47512AB9"/>
    <w:rsid w:val="47527A52"/>
    <w:rsid w:val="47743CD8"/>
    <w:rsid w:val="47865812"/>
    <w:rsid w:val="478B5BE9"/>
    <w:rsid w:val="479F09BE"/>
    <w:rsid w:val="47AB0071"/>
    <w:rsid w:val="48074B4D"/>
    <w:rsid w:val="486C75C8"/>
    <w:rsid w:val="488A581A"/>
    <w:rsid w:val="48945CB4"/>
    <w:rsid w:val="48D72771"/>
    <w:rsid w:val="48DB3AEF"/>
    <w:rsid w:val="48ED216D"/>
    <w:rsid w:val="490771E2"/>
    <w:rsid w:val="491579CC"/>
    <w:rsid w:val="493A1961"/>
    <w:rsid w:val="49435655"/>
    <w:rsid w:val="49D7054F"/>
    <w:rsid w:val="4A62496B"/>
    <w:rsid w:val="4A677B24"/>
    <w:rsid w:val="4A8174A6"/>
    <w:rsid w:val="4ABB5C20"/>
    <w:rsid w:val="4AF52B27"/>
    <w:rsid w:val="4AFD2237"/>
    <w:rsid w:val="4AFD2BE1"/>
    <w:rsid w:val="4B026900"/>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E54214"/>
    <w:rsid w:val="4D074245"/>
    <w:rsid w:val="4D0B0C3B"/>
    <w:rsid w:val="4D6E2F78"/>
    <w:rsid w:val="4D730019"/>
    <w:rsid w:val="4D7B4228"/>
    <w:rsid w:val="4DBC0187"/>
    <w:rsid w:val="4DED0341"/>
    <w:rsid w:val="4ED93C8A"/>
    <w:rsid w:val="4F0A0A7E"/>
    <w:rsid w:val="4F245FE4"/>
    <w:rsid w:val="4F256011"/>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B24DB9"/>
    <w:rsid w:val="52E837CD"/>
    <w:rsid w:val="52FF3229"/>
    <w:rsid w:val="53052CA5"/>
    <w:rsid w:val="53220A8C"/>
    <w:rsid w:val="532742F5"/>
    <w:rsid w:val="53514ECE"/>
    <w:rsid w:val="537B5277"/>
    <w:rsid w:val="537C5EA5"/>
    <w:rsid w:val="53806B14"/>
    <w:rsid w:val="53894DCA"/>
    <w:rsid w:val="53B8319F"/>
    <w:rsid w:val="53D1600F"/>
    <w:rsid w:val="540006A2"/>
    <w:rsid w:val="543F741C"/>
    <w:rsid w:val="548B0CEB"/>
    <w:rsid w:val="54E81862"/>
    <w:rsid w:val="54F209D1"/>
    <w:rsid w:val="55164621"/>
    <w:rsid w:val="553F3EC2"/>
    <w:rsid w:val="555111B5"/>
    <w:rsid w:val="55A31CC2"/>
    <w:rsid w:val="561A3BFF"/>
    <w:rsid w:val="565A63C6"/>
    <w:rsid w:val="566229E6"/>
    <w:rsid w:val="567A72D5"/>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917F1"/>
    <w:rsid w:val="58B902F9"/>
    <w:rsid w:val="58BB164B"/>
    <w:rsid w:val="59314366"/>
    <w:rsid w:val="59525C4D"/>
    <w:rsid w:val="595B6AA6"/>
    <w:rsid w:val="59815DE1"/>
    <w:rsid w:val="59CC1752"/>
    <w:rsid w:val="59D52AC2"/>
    <w:rsid w:val="5A48414F"/>
    <w:rsid w:val="5A5C0D28"/>
    <w:rsid w:val="5A6E7A28"/>
    <w:rsid w:val="5AF03C74"/>
    <w:rsid w:val="5AF076C2"/>
    <w:rsid w:val="5B1D3A19"/>
    <w:rsid w:val="5B54724D"/>
    <w:rsid w:val="5B9A0D03"/>
    <w:rsid w:val="5B9C33A6"/>
    <w:rsid w:val="5BA81D4B"/>
    <w:rsid w:val="5BBA55DA"/>
    <w:rsid w:val="5BBB1A7E"/>
    <w:rsid w:val="5C190553"/>
    <w:rsid w:val="5C367B35"/>
    <w:rsid w:val="5C500B28"/>
    <w:rsid w:val="5C7C039B"/>
    <w:rsid w:val="5CA1763E"/>
    <w:rsid w:val="5CF81C6E"/>
    <w:rsid w:val="5D1C19D8"/>
    <w:rsid w:val="5D256B55"/>
    <w:rsid w:val="5D706898"/>
    <w:rsid w:val="5DCE5957"/>
    <w:rsid w:val="5DD40BD5"/>
    <w:rsid w:val="5DED58A9"/>
    <w:rsid w:val="5E0F60B1"/>
    <w:rsid w:val="5E1B2CA8"/>
    <w:rsid w:val="5E1D19E0"/>
    <w:rsid w:val="5E40270F"/>
    <w:rsid w:val="5E5F0DD7"/>
    <w:rsid w:val="5E657918"/>
    <w:rsid w:val="5E783C56"/>
    <w:rsid w:val="5EEC45AB"/>
    <w:rsid w:val="5F437D21"/>
    <w:rsid w:val="5F5E475F"/>
    <w:rsid w:val="5F867F04"/>
    <w:rsid w:val="5FB24F46"/>
    <w:rsid w:val="5FB92779"/>
    <w:rsid w:val="5FDB5835"/>
    <w:rsid w:val="602274B0"/>
    <w:rsid w:val="60363DC9"/>
    <w:rsid w:val="604C0EF7"/>
    <w:rsid w:val="605B5D36"/>
    <w:rsid w:val="60A30D33"/>
    <w:rsid w:val="60A76A75"/>
    <w:rsid w:val="60B44CEE"/>
    <w:rsid w:val="60D12EC9"/>
    <w:rsid w:val="61176BE7"/>
    <w:rsid w:val="613D4CE3"/>
    <w:rsid w:val="61700C3D"/>
    <w:rsid w:val="618D36C0"/>
    <w:rsid w:val="619349A8"/>
    <w:rsid w:val="61AE5BE1"/>
    <w:rsid w:val="61E82EA1"/>
    <w:rsid w:val="62291D8A"/>
    <w:rsid w:val="62481B92"/>
    <w:rsid w:val="62A72D5C"/>
    <w:rsid w:val="62BA151E"/>
    <w:rsid w:val="62C40459"/>
    <w:rsid w:val="62E10A89"/>
    <w:rsid w:val="63000BBC"/>
    <w:rsid w:val="633D0FCB"/>
    <w:rsid w:val="63CD05A1"/>
    <w:rsid w:val="63F26259"/>
    <w:rsid w:val="642B3B0B"/>
    <w:rsid w:val="64430863"/>
    <w:rsid w:val="6458643A"/>
    <w:rsid w:val="646063F6"/>
    <w:rsid w:val="64680C55"/>
    <w:rsid w:val="646C600B"/>
    <w:rsid w:val="64B17EC2"/>
    <w:rsid w:val="64DE52F2"/>
    <w:rsid w:val="6512467D"/>
    <w:rsid w:val="65254792"/>
    <w:rsid w:val="65295CAB"/>
    <w:rsid w:val="652C12F7"/>
    <w:rsid w:val="65C50B86"/>
    <w:rsid w:val="65C60DEB"/>
    <w:rsid w:val="65D234D2"/>
    <w:rsid w:val="6616481E"/>
    <w:rsid w:val="668C14C2"/>
    <w:rsid w:val="67007432"/>
    <w:rsid w:val="67492C4F"/>
    <w:rsid w:val="674E1D56"/>
    <w:rsid w:val="6751773B"/>
    <w:rsid w:val="675635B6"/>
    <w:rsid w:val="676A4358"/>
    <w:rsid w:val="67803B7C"/>
    <w:rsid w:val="67AD4D09"/>
    <w:rsid w:val="67FB3202"/>
    <w:rsid w:val="68833924"/>
    <w:rsid w:val="68E71007"/>
    <w:rsid w:val="691602F4"/>
    <w:rsid w:val="69403C83"/>
    <w:rsid w:val="695F7AC2"/>
    <w:rsid w:val="696F0688"/>
    <w:rsid w:val="697469DA"/>
    <w:rsid w:val="69C73E13"/>
    <w:rsid w:val="6A5F5CCB"/>
    <w:rsid w:val="6AB04778"/>
    <w:rsid w:val="6B00125C"/>
    <w:rsid w:val="6B451507"/>
    <w:rsid w:val="6BEA35FD"/>
    <w:rsid w:val="6C8B0FF9"/>
    <w:rsid w:val="6C91288D"/>
    <w:rsid w:val="6CE8198E"/>
    <w:rsid w:val="6CEB5F3B"/>
    <w:rsid w:val="6CF46B9E"/>
    <w:rsid w:val="6D026AA6"/>
    <w:rsid w:val="6D0D53A0"/>
    <w:rsid w:val="6D1159A2"/>
    <w:rsid w:val="6D14184B"/>
    <w:rsid w:val="6D2F407A"/>
    <w:rsid w:val="6D4C69DA"/>
    <w:rsid w:val="6D8758DA"/>
    <w:rsid w:val="6D9E29F3"/>
    <w:rsid w:val="6DA71E62"/>
    <w:rsid w:val="6E146DCC"/>
    <w:rsid w:val="6E3418AC"/>
    <w:rsid w:val="6E4219E4"/>
    <w:rsid w:val="6E966AF8"/>
    <w:rsid w:val="6E9D5013"/>
    <w:rsid w:val="6EBC193D"/>
    <w:rsid w:val="6F002C34"/>
    <w:rsid w:val="6F2F65B3"/>
    <w:rsid w:val="6F360946"/>
    <w:rsid w:val="6F4638FD"/>
    <w:rsid w:val="6F647FD2"/>
    <w:rsid w:val="6F7F5F84"/>
    <w:rsid w:val="6F9603E0"/>
    <w:rsid w:val="6FD1353D"/>
    <w:rsid w:val="6FFB46E7"/>
    <w:rsid w:val="702A2EE5"/>
    <w:rsid w:val="70757FF6"/>
    <w:rsid w:val="7082629A"/>
    <w:rsid w:val="70A82003"/>
    <w:rsid w:val="7105409D"/>
    <w:rsid w:val="715916C6"/>
    <w:rsid w:val="717A78A8"/>
    <w:rsid w:val="71AF7A24"/>
    <w:rsid w:val="71C11019"/>
    <w:rsid w:val="72516841"/>
    <w:rsid w:val="728403F0"/>
    <w:rsid w:val="72895FDA"/>
    <w:rsid w:val="72E72D01"/>
    <w:rsid w:val="72F464CC"/>
    <w:rsid w:val="731665BB"/>
    <w:rsid w:val="73774085"/>
    <w:rsid w:val="73AA2C22"/>
    <w:rsid w:val="73CF2113"/>
    <w:rsid w:val="73E92D29"/>
    <w:rsid w:val="73EF6311"/>
    <w:rsid w:val="74387CB8"/>
    <w:rsid w:val="74411194"/>
    <w:rsid w:val="744A543C"/>
    <w:rsid w:val="74564049"/>
    <w:rsid w:val="74B44E65"/>
    <w:rsid w:val="74FD6465"/>
    <w:rsid w:val="751007EA"/>
    <w:rsid w:val="7531025A"/>
    <w:rsid w:val="7551712E"/>
    <w:rsid w:val="758E71FE"/>
    <w:rsid w:val="75A74EDD"/>
    <w:rsid w:val="75BD235C"/>
    <w:rsid w:val="75D141C0"/>
    <w:rsid w:val="75E17EDC"/>
    <w:rsid w:val="761A49D3"/>
    <w:rsid w:val="76511F78"/>
    <w:rsid w:val="76557EC3"/>
    <w:rsid w:val="765C3ABF"/>
    <w:rsid w:val="76A3126E"/>
    <w:rsid w:val="771816DB"/>
    <w:rsid w:val="77196938"/>
    <w:rsid w:val="772269FE"/>
    <w:rsid w:val="77297D8C"/>
    <w:rsid w:val="773724A9"/>
    <w:rsid w:val="77390BA8"/>
    <w:rsid w:val="776C31E4"/>
    <w:rsid w:val="776F1462"/>
    <w:rsid w:val="779416A9"/>
    <w:rsid w:val="7797037B"/>
    <w:rsid w:val="77E84A4C"/>
    <w:rsid w:val="78172511"/>
    <w:rsid w:val="781A1483"/>
    <w:rsid w:val="78324A1E"/>
    <w:rsid w:val="78342545"/>
    <w:rsid w:val="7880578A"/>
    <w:rsid w:val="789F75AD"/>
    <w:rsid w:val="78C049FB"/>
    <w:rsid w:val="78CD70B6"/>
    <w:rsid w:val="78E734DC"/>
    <w:rsid w:val="78EF15BC"/>
    <w:rsid w:val="78FA1106"/>
    <w:rsid w:val="78FF0DA4"/>
    <w:rsid w:val="79652BD2"/>
    <w:rsid w:val="79A56C45"/>
    <w:rsid w:val="79E47F9A"/>
    <w:rsid w:val="79F71A7C"/>
    <w:rsid w:val="79FD1C37"/>
    <w:rsid w:val="7A5E2B5E"/>
    <w:rsid w:val="7A9A6418"/>
    <w:rsid w:val="7AC0574F"/>
    <w:rsid w:val="7AF63774"/>
    <w:rsid w:val="7AF72940"/>
    <w:rsid w:val="7B0D52CF"/>
    <w:rsid w:val="7B1420DD"/>
    <w:rsid w:val="7B1526FE"/>
    <w:rsid w:val="7B3B1E3C"/>
    <w:rsid w:val="7B583B7F"/>
    <w:rsid w:val="7B6E00A7"/>
    <w:rsid w:val="7B7D7929"/>
    <w:rsid w:val="7BD04C7A"/>
    <w:rsid w:val="7BE92F62"/>
    <w:rsid w:val="7BFD3595"/>
    <w:rsid w:val="7C140119"/>
    <w:rsid w:val="7C217284"/>
    <w:rsid w:val="7C2211FF"/>
    <w:rsid w:val="7C3C40D8"/>
    <w:rsid w:val="7C3D41A1"/>
    <w:rsid w:val="7C502461"/>
    <w:rsid w:val="7C661E10"/>
    <w:rsid w:val="7CBB4557"/>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F5434CC"/>
    <w:rsid w:val="7F65392B"/>
    <w:rsid w:val="7FB4040F"/>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1"/>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10"/>
    <w:autoRedefine/>
    <w:semiHidden/>
    <w:unhideWhenUsed/>
    <w:qFormat/>
    <w:uiPriority w:val="99"/>
    <w:rPr>
      <w:b/>
      <w:bCs/>
      <w:szCs w:val="20"/>
    </w:rPr>
  </w:style>
  <w:style w:type="paragraph" w:styleId="60">
    <w:name w:val="Body Text First Indent"/>
    <w:basedOn w:val="23"/>
    <w:link w:val="103"/>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2"/>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6"/>
    <w:autoRedefine/>
    <w:semiHidden/>
    <w:qFormat/>
    <w:locked/>
    <w:uiPriority w:val="0"/>
  </w:style>
  <w:style w:type="character" w:customStyle="1" w:styleId="92">
    <w:name w:val="脚注文本 字符"/>
    <w:basedOn w:val="65"/>
    <w:link w:val="44"/>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5"/>
    <w:autoRedefine/>
    <w:semiHidden/>
    <w:qFormat/>
    <w:uiPriority w:val="99"/>
    <w:rPr>
      <w:rFonts w:ascii="Calibri" w:hAnsi="Calibri" w:eastAsia="宋体" w:cs="Times New Roman"/>
      <w:szCs w:val="20"/>
    </w:rPr>
  </w:style>
  <w:style w:type="character" w:customStyle="1" w:styleId="97">
    <w:name w:val="标题 字符"/>
    <w:basedOn w:val="65"/>
    <w:link w:val="58"/>
    <w:autoRedefine/>
    <w:qFormat/>
    <w:uiPriority w:val="99"/>
    <w:rPr>
      <w:rFonts w:ascii="Cambria" w:hAnsi="Cambria" w:eastAsia="宋体" w:cs="Times New Roman"/>
      <w:b/>
      <w:bCs/>
      <w:kern w:val="0"/>
      <w:sz w:val="28"/>
      <w:szCs w:val="32"/>
    </w:rPr>
  </w:style>
  <w:style w:type="character" w:customStyle="1" w:styleId="98">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9"/>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6"/>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30"/>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6"/>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4"/>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5"/>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4"/>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15722</Words>
  <Characters>17502</Characters>
  <Lines>563</Lines>
  <Paragraphs>158</Paragraphs>
  <TotalTime>0</TotalTime>
  <ScaleCrop>false</ScaleCrop>
  <LinksUpToDate>false</LinksUpToDate>
  <CharactersWithSpaces>17726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2025-04-18T09:10:36Z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BE7FED9E801D4AB0A41DE5AAF359202F_13</vt:lpwstr>
  </property>
  <property fmtid="{D5CDD505-2E9C-101B-9397-08002B2CF9AE}" pid="4" name="KSOTemplateDocerSaveRecord">
    <vt:lpwstr>eyJoZGlkIjoiMDdiYWVjYzNjM2Q3MDVlNWEzYWIwMjY4YzcyMTM0ZmUiLCJ1c2VySWQiOiI3OTI1NTY2MzkifQ==</vt:lpwstr>
  </property>
</Properties>
</file>