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p>
    <w:p>
      <w:pPr>
        <w:autoSpaceDN w:val="0"/>
        <w:snapToGrid w:val="0"/>
        <w:spacing w:line="360" w:lineRule="auto"/>
        <w:jc w:val="center"/>
        <w:rPr>
          <w:rFonts w:ascii="仿宋" w:hAnsi="仿宋" w:eastAsia="仿宋" w:cs="宋体"/>
          <w:b/>
          <w:color w:val="auto"/>
          <w:sz w:val="32"/>
          <w:szCs w:val="32"/>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bookmarkStart w:id="1" w:name="_Hlk130364830"/>
      <w:r>
        <w:rPr>
          <w:rFonts w:hint="eastAsia" w:ascii="仿宋" w:hAnsi="仿宋" w:eastAsia="仿宋" w:cs="宋体"/>
          <w:b/>
          <w:color w:val="auto"/>
          <w:sz w:val="44"/>
          <w:szCs w:val="44"/>
          <w:highlight w:val="none"/>
          <w:lang w:eastAsia="zh-CN"/>
        </w:rPr>
        <w:t>浙江工业大学朝晖校区</w:t>
      </w:r>
      <w:bookmarkStart w:id="207" w:name="_GoBack"/>
      <w:bookmarkEnd w:id="207"/>
    </w:p>
    <w:p>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r>
        <w:rPr>
          <w:rFonts w:hint="eastAsia" w:ascii="仿宋" w:hAnsi="仿宋" w:eastAsia="仿宋" w:cs="宋体"/>
          <w:b/>
          <w:color w:val="auto"/>
          <w:sz w:val="44"/>
          <w:szCs w:val="44"/>
          <w:highlight w:val="none"/>
          <w:lang w:eastAsia="zh-CN"/>
        </w:rPr>
        <w:t>教学区生活供水管网改造工程</w:t>
      </w:r>
      <w:bookmarkEnd w:id="1"/>
    </w:p>
    <w:p>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pPr>
        <w:autoSpaceDN w:val="0"/>
        <w:snapToGrid w:val="0"/>
        <w:spacing w:line="360" w:lineRule="auto"/>
        <w:jc w:val="left"/>
        <w:rPr>
          <w:rFonts w:ascii="仿宋" w:hAnsi="仿宋" w:eastAsia="仿宋" w:cs="宋体"/>
          <w:color w:val="auto"/>
          <w:sz w:val="32"/>
          <w:szCs w:val="32"/>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p>
      <w:pPr>
        <w:pStyle w:val="75"/>
        <w:rPr>
          <w:rFonts w:ascii="仿宋" w:hAnsi="仿宋" w:eastAsia="仿宋"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1"/>
        <w:gridCol w:w="4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项目编号：</w:t>
            </w:r>
          </w:p>
        </w:tc>
        <w:tc>
          <w:tcPr>
            <w:tcW w:w="4476" w:type="dxa"/>
            <w:vAlign w:val="center"/>
          </w:tcPr>
          <w:p>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lang w:eastAsia="zh-CN"/>
              </w:rPr>
            </w:pPr>
            <w:r>
              <w:rPr>
                <w:rFonts w:hint="eastAsia" w:ascii="仿宋" w:hAnsi="仿宋" w:eastAsia="仿宋" w:cs="宋体"/>
                <w:b/>
                <w:bCs/>
                <w:color w:val="auto"/>
                <w:kern w:val="0"/>
                <w:sz w:val="28"/>
                <w:szCs w:val="28"/>
                <w:highlight w:val="none"/>
                <w:lang w:eastAsia="zh-CN"/>
              </w:rPr>
              <w:t>HSZB-2024-491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141" w:type="dxa"/>
            <w:vAlign w:val="center"/>
          </w:tcPr>
          <w:p>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项目名称：</w:t>
            </w:r>
          </w:p>
        </w:tc>
        <w:tc>
          <w:tcPr>
            <w:tcW w:w="4476" w:type="dxa"/>
            <w:vAlign w:val="center"/>
          </w:tcPr>
          <w:p>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lang w:eastAsia="zh-CN"/>
              </w:rPr>
              <w:t>浙江工业大学朝晖校区教学区生活供水管网改造工程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采购单位：</w:t>
            </w:r>
          </w:p>
        </w:tc>
        <w:tc>
          <w:tcPr>
            <w:tcW w:w="4476" w:type="dxa"/>
            <w:vAlign w:val="center"/>
          </w:tcPr>
          <w:p>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rPr>
              <w:t>浙江工业大学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w:t>
            </w:r>
          </w:p>
        </w:tc>
        <w:tc>
          <w:tcPr>
            <w:tcW w:w="4476" w:type="dxa"/>
            <w:vAlign w:val="center"/>
          </w:tcPr>
          <w:p>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rPr>
              <w:t>浙江豪圣建设项目管理有限公司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pPr>
              <w:widowControl/>
              <w:autoSpaceDN w:val="0"/>
              <w:adjustRightInd w:val="0"/>
              <w:snapToGrid w:val="0"/>
              <w:spacing w:line="480" w:lineRule="auto"/>
              <w:jc w:val="center"/>
              <w:rPr>
                <w:rFonts w:hint="eastAsia" w:ascii="仿宋" w:hAnsi="仿宋" w:eastAsia="仿宋" w:cs="宋体"/>
                <w:b/>
                <w:bCs/>
                <w:color w:val="auto"/>
                <w:sz w:val="28"/>
                <w:szCs w:val="28"/>
                <w:highlight w:val="none"/>
                <w:vertAlign w:val="baseline"/>
              </w:rPr>
            </w:pPr>
            <w:r>
              <w:rPr>
                <w:rFonts w:hint="eastAsia" w:ascii="仿宋" w:hAnsi="仿宋" w:eastAsia="仿宋" w:cs="宋体"/>
                <w:b/>
                <w:color w:val="auto"/>
                <w:sz w:val="28"/>
                <w:szCs w:val="28"/>
                <w:highlight w:val="none"/>
              </w:rPr>
              <w:t>2024年</w:t>
            </w:r>
            <w:r>
              <w:rPr>
                <w:rFonts w:hint="eastAsia" w:ascii="仿宋" w:hAnsi="仿宋" w:eastAsia="仿宋" w:cs="宋体"/>
                <w:b/>
                <w:color w:val="auto"/>
                <w:sz w:val="28"/>
                <w:szCs w:val="28"/>
                <w:highlight w:val="none"/>
                <w:lang w:val="en-US" w:eastAsia="zh-CN"/>
              </w:rPr>
              <w:t>6</w:t>
            </w:r>
            <w:r>
              <w:rPr>
                <w:rFonts w:hint="eastAsia" w:ascii="仿宋" w:hAnsi="仿宋" w:eastAsia="仿宋" w:cs="宋体"/>
                <w:b/>
                <w:color w:val="auto"/>
                <w:sz w:val="28"/>
                <w:szCs w:val="28"/>
                <w:highlight w:val="none"/>
              </w:rPr>
              <w:t>月</w:t>
            </w:r>
            <w:r>
              <w:rPr>
                <w:rFonts w:hint="eastAsia" w:ascii="仿宋" w:hAnsi="仿宋" w:eastAsia="仿宋" w:cs="宋体"/>
                <w:b/>
                <w:color w:val="auto"/>
                <w:sz w:val="28"/>
                <w:szCs w:val="28"/>
                <w:highlight w:val="none"/>
                <w:lang w:val="en-US" w:eastAsia="zh-CN"/>
              </w:rPr>
              <w:t>7</w:t>
            </w:r>
            <w:r>
              <w:rPr>
                <w:rFonts w:hint="eastAsia" w:ascii="仿宋" w:hAnsi="仿宋" w:eastAsia="仿宋" w:cs="宋体"/>
                <w:b/>
                <w:color w:val="auto"/>
                <w:sz w:val="28"/>
                <w:szCs w:val="28"/>
                <w:highlight w:val="none"/>
              </w:rPr>
              <w:t>日</w:t>
            </w:r>
          </w:p>
        </w:tc>
      </w:tr>
    </w:tbl>
    <w:p>
      <w:pPr>
        <w:autoSpaceDN w:val="0"/>
        <w:snapToGrid w:val="0"/>
        <w:spacing w:line="360" w:lineRule="auto"/>
        <w:jc w:val="both"/>
        <w:rPr>
          <w:rFonts w:ascii="仿宋" w:hAnsi="仿宋" w:eastAsia="仿宋" w:cs="宋体"/>
          <w:b/>
          <w:color w:val="auto"/>
          <w:sz w:val="28"/>
          <w:szCs w:val="28"/>
          <w:highlight w:val="none"/>
        </w:rPr>
      </w:pPr>
    </w:p>
    <w:p>
      <w:pPr>
        <w:widowControl/>
        <w:spacing w:line="360" w:lineRule="auto"/>
        <w:jc w:val="left"/>
        <w:rPr>
          <w:rFonts w:ascii="仿宋" w:hAnsi="仿宋" w:eastAsia="仿宋" w:cs="宋体"/>
          <w:b/>
          <w:bCs/>
          <w:color w:val="auto"/>
          <w:w w:val="95"/>
          <w:sz w:val="28"/>
          <w:szCs w:val="28"/>
          <w:highlight w:val="none"/>
        </w:rPr>
        <w:sectPr>
          <w:footerReference r:id="rId4" w:type="first"/>
          <w:headerReference r:id="rId3" w:type="default"/>
          <w:pgSz w:w="11906" w:h="16838"/>
          <w:pgMar w:top="1418" w:right="1418" w:bottom="1418" w:left="1418" w:header="851" w:footer="851" w:gutter="0"/>
          <w:cols w:space="720" w:num="1"/>
        </w:sectPr>
      </w:pPr>
    </w:p>
    <w:p>
      <w:pPr>
        <w:autoSpaceDN w:val="0"/>
        <w:snapToGrid w:val="0"/>
        <w:spacing w:before="120" w:beforeLines="50" w:after="120" w:afterLines="50"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p>
    <w:p>
      <w:pPr>
        <w:pStyle w:val="40"/>
        <w:tabs>
          <w:tab w:val="right" w:leader="dot" w:pos="9070"/>
        </w:tabs>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TOC \o "1-2" \h \z \u </w:instrText>
      </w:r>
      <w:r>
        <w:rPr>
          <w:rFonts w:hint="eastAsia" w:ascii="仿宋" w:hAnsi="仿宋" w:eastAsia="仿宋" w:cs="仿宋"/>
          <w:b/>
          <w:bCs/>
          <w:color w:val="auto"/>
          <w:szCs w:val="21"/>
          <w:highlight w:val="none"/>
        </w:rPr>
        <w:fldChar w:fldCharType="separate"/>
      </w:r>
      <w:r>
        <w:rPr>
          <w:color w:val="auto"/>
          <w:highlight w:val="none"/>
        </w:rPr>
        <w:fldChar w:fldCharType="begin"/>
      </w:r>
      <w:r>
        <w:rPr>
          <w:color w:val="auto"/>
          <w:highlight w:val="none"/>
        </w:rPr>
        <w:instrText xml:space="preserve"> HYPERLINK \l "_Toc4241" </w:instrText>
      </w:r>
      <w:r>
        <w:rPr>
          <w:color w:val="auto"/>
          <w:highlight w:val="none"/>
        </w:rPr>
        <w:fldChar w:fldCharType="separate"/>
      </w:r>
      <w:r>
        <w:rPr>
          <w:rFonts w:hint="eastAsia" w:ascii="仿宋" w:hAnsi="仿宋" w:eastAsia="仿宋" w:cs="仿宋"/>
          <w:b/>
          <w:bCs/>
          <w:color w:val="auto"/>
          <w:kern w:val="0"/>
          <w:szCs w:val="21"/>
          <w:highlight w:val="none"/>
        </w:rPr>
        <w:t>第一章 竞争性磋商公告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_Toc4241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"_Toc32606" </w:instrText>
      </w:r>
      <w:r>
        <w:rPr>
          <w:color w:val="auto"/>
          <w:highlight w:val="none"/>
        </w:rPr>
        <w:fldChar w:fldCharType="separate"/>
      </w:r>
      <w:r>
        <w:rPr>
          <w:rFonts w:hint="eastAsia" w:ascii="仿宋" w:hAnsi="仿宋" w:eastAsia="仿宋" w:cs="仿宋"/>
          <w:b/>
          <w:bCs/>
          <w:color w:val="auto"/>
          <w:spacing w:val="-4"/>
          <w:kern w:val="0"/>
          <w:szCs w:val="21"/>
          <w:highlight w:val="none"/>
        </w:rPr>
        <w:t>第二章 磋商须知</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_Toc32606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"_Toc3099" </w:instrText>
      </w:r>
      <w:r>
        <w:rPr>
          <w:color w:val="auto"/>
          <w:highlight w:val="none"/>
        </w:rPr>
        <w:fldChar w:fldCharType="separate"/>
      </w:r>
      <w:r>
        <w:rPr>
          <w:rFonts w:hint="eastAsia" w:ascii="仿宋" w:hAnsi="仿宋" w:eastAsia="仿宋" w:cs="仿宋"/>
          <w:b/>
          <w:bCs/>
          <w:color w:val="auto"/>
          <w:szCs w:val="21"/>
          <w:highlight w:val="none"/>
        </w:rPr>
        <w:t>前附表</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_Toc3099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"_Toc19240"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_Toc19240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"_Toc19497" </w:instrText>
      </w:r>
      <w:r>
        <w:rPr>
          <w:color w:val="auto"/>
          <w:highlight w:val="none"/>
        </w:rPr>
        <w:fldChar w:fldCharType="separate"/>
      </w:r>
      <w:r>
        <w:rPr>
          <w:rFonts w:hint="eastAsia" w:ascii="仿宋" w:hAnsi="仿宋" w:eastAsia="仿宋" w:cs="仿宋"/>
          <w:b/>
          <w:bCs/>
          <w:color w:val="auto"/>
          <w:szCs w:val="21"/>
          <w:highlight w:val="none"/>
        </w:rPr>
        <w:t>二、落实的政府采购政策</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_Toc19497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"_Toc1246" </w:instrText>
      </w:r>
      <w:r>
        <w:rPr>
          <w:color w:val="auto"/>
          <w:highlight w:val="none"/>
        </w:rPr>
        <w:fldChar w:fldCharType="separate"/>
      </w:r>
      <w:r>
        <w:rPr>
          <w:rFonts w:hint="eastAsia" w:ascii="仿宋" w:hAnsi="仿宋" w:eastAsia="仿宋" w:cs="仿宋"/>
          <w:b/>
          <w:bCs/>
          <w:color w:val="auto"/>
          <w:szCs w:val="21"/>
          <w:highlight w:val="none"/>
        </w:rPr>
        <w:t>三、竞争性磋商文件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_Toc1246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"_Toc1284" </w:instrText>
      </w:r>
      <w:r>
        <w:rPr>
          <w:color w:val="auto"/>
          <w:highlight w:val="none"/>
        </w:rPr>
        <w:fldChar w:fldCharType="separate"/>
      </w:r>
      <w:r>
        <w:rPr>
          <w:rFonts w:hint="eastAsia" w:ascii="仿宋" w:hAnsi="仿宋" w:eastAsia="仿宋" w:cs="仿宋"/>
          <w:b/>
          <w:bCs/>
          <w:color w:val="auto"/>
          <w:szCs w:val="21"/>
          <w:highlight w:val="none"/>
        </w:rPr>
        <w:t>四、磋商响应文件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_Toc1284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"_Toc11633" </w:instrText>
      </w:r>
      <w:r>
        <w:rPr>
          <w:color w:val="auto"/>
          <w:highlight w:val="none"/>
        </w:rPr>
        <w:fldChar w:fldCharType="separate"/>
      </w:r>
      <w:r>
        <w:rPr>
          <w:rFonts w:hint="eastAsia" w:ascii="仿宋" w:hAnsi="仿宋" w:eastAsia="仿宋" w:cs="仿宋"/>
          <w:b/>
          <w:bCs/>
          <w:color w:val="auto"/>
          <w:szCs w:val="21"/>
          <w:highlight w:val="none"/>
        </w:rPr>
        <w:t>五、磋商响应</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_Toc11633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"_Toc640" </w:instrText>
      </w:r>
      <w:r>
        <w:rPr>
          <w:color w:val="auto"/>
          <w:highlight w:val="none"/>
        </w:rPr>
        <w:fldChar w:fldCharType="separate"/>
      </w:r>
      <w:r>
        <w:rPr>
          <w:rFonts w:hint="eastAsia" w:ascii="仿宋" w:hAnsi="仿宋" w:eastAsia="仿宋" w:cs="仿宋"/>
          <w:b/>
          <w:bCs/>
          <w:color w:val="auto"/>
          <w:szCs w:val="21"/>
          <w:highlight w:val="none"/>
        </w:rPr>
        <w:t>六、开标</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_Toc640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"_Toc32126" </w:instrText>
      </w:r>
      <w:r>
        <w:rPr>
          <w:color w:val="auto"/>
          <w:highlight w:val="none"/>
        </w:rPr>
        <w:fldChar w:fldCharType="separate"/>
      </w:r>
      <w:r>
        <w:rPr>
          <w:rFonts w:hint="eastAsia" w:ascii="仿宋" w:hAnsi="仿宋" w:eastAsia="仿宋" w:cs="仿宋"/>
          <w:b/>
          <w:bCs/>
          <w:color w:val="auto"/>
          <w:szCs w:val="21"/>
          <w:highlight w:val="none"/>
        </w:rPr>
        <w:t>七、评审</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_Toc32126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"_Toc11895" </w:instrText>
      </w:r>
      <w:r>
        <w:rPr>
          <w:color w:val="auto"/>
          <w:highlight w:val="none"/>
        </w:rPr>
        <w:fldChar w:fldCharType="separate"/>
      </w:r>
      <w:r>
        <w:rPr>
          <w:rFonts w:hint="eastAsia" w:ascii="仿宋" w:hAnsi="仿宋" w:eastAsia="仿宋" w:cs="仿宋"/>
          <w:b/>
          <w:bCs/>
          <w:color w:val="auto"/>
          <w:szCs w:val="21"/>
          <w:highlight w:val="none"/>
        </w:rPr>
        <w:t>八、采购结果确认与公告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_Toc11895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"_Toc17503" </w:instrText>
      </w:r>
      <w:r>
        <w:rPr>
          <w:color w:val="auto"/>
          <w:highlight w:val="none"/>
        </w:rPr>
        <w:fldChar w:fldCharType="separate"/>
      </w:r>
      <w:r>
        <w:rPr>
          <w:rFonts w:hint="eastAsia" w:ascii="仿宋" w:hAnsi="仿宋" w:eastAsia="仿宋" w:cs="仿宋"/>
          <w:b/>
          <w:bCs/>
          <w:color w:val="auto"/>
          <w:szCs w:val="21"/>
          <w:highlight w:val="none"/>
        </w:rPr>
        <w:t>九、采购代理服务费</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_Toc17503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"_Toc7194" </w:instrText>
      </w:r>
      <w:r>
        <w:rPr>
          <w:color w:val="auto"/>
          <w:highlight w:val="none"/>
        </w:rPr>
        <w:fldChar w:fldCharType="separate"/>
      </w:r>
      <w:r>
        <w:rPr>
          <w:rFonts w:hint="eastAsia" w:ascii="仿宋" w:hAnsi="仿宋" w:eastAsia="仿宋" w:cs="仿宋"/>
          <w:b/>
          <w:bCs/>
          <w:color w:val="auto"/>
          <w:szCs w:val="21"/>
          <w:highlight w:val="none"/>
        </w:rPr>
        <w:t>十、合同签订和履约担保</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_Toc7194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"_Toc19649" </w:instrText>
      </w:r>
      <w:r>
        <w:rPr>
          <w:color w:val="auto"/>
          <w:highlight w:val="none"/>
        </w:rPr>
        <w:fldChar w:fldCharType="separate"/>
      </w:r>
      <w:r>
        <w:rPr>
          <w:rFonts w:hint="eastAsia" w:ascii="仿宋" w:hAnsi="仿宋" w:eastAsia="仿宋" w:cs="仿宋"/>
          <w:b/>
          <w:bCs/>
          <w:color w:val="auto"/>
          <w:szCs w:val="21"/>
          <w:highlight w:val="none"/>
        </w:rPr>
        <w:t>十一、其他事项说明</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_Toc19649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"_Toc18106" </w:instrText>
      </w:r>
      <w:r>
        <w:rPr>
          <w:color w:val="auto"/>
          <w:highlight w:val="none"/>
        </w:rPr>
        <w:fldChar w:fldCharType="separate"/>
      </w:r>
      <w:r>
        <w:rPr>
          <w:rFonts w:hint="eastAsia" w:ascii="仿宋" w:hAnsi="仿宋" w:eastAsia="仿宋" w:cs="仿宋"/>
          <w:b/>
          <w:bCs/>
          <w:color w:val="auto"/>
          <w:kern w:val="0"/>
          <w:szCs w:val="21"/>
          <w:highlight w:val="none"/>
        </w:rPr>
        <w:t>第三章 评审办法</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_Toc18106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"_Toc23222"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_Toc23222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"_Toc26621" </w:instrText>
      </w:r>
      <w:r>
        <w:rPr>
          <w:color w:val="auto"/>
          <w:highlight w:val="none"/>
        </w:rPr>
        <w:fldChar w:fldCharType="separate"/>
      </w:r>
      <w:r>
        <w:rPr>
          <w:rFonts w:hint="eastAsia" w:ascii="仿宋" w:hAnsi="仿宋" w:eastAsia="仿宋" w:cs="仿宋"/>
          <w:b/>
          <w:bCs/>
          <w:color w:val="auto"/>
          <w:szCs w:val="21"/>
          <w:highlight w:val="none"/>
        </w:rPr>
        <w:t>二、评审程序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_Toc26621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"_Toc14247" </w:instrText>
      </w:r>
      <w:r>
        <w:rPr>
          <w:color w:val="auto"/>
          <w:highlight w:val="none"/>
        </w:rPr>
        <w:fldChar w:fldCharType="separate"/>
      </w:r>
      <w:r>
        <w:rPr>
          <w:rFonts w:hint="eastAsia" w:ascii="仿宋" w:hAnsi="仿宋" w:eastAsia="仿宋" w:cs="仿宋"/>
          <w:b/>
          <w:bCs/>
          <w:color w:val="auto"/>
          <w:szCs w:val="21"/>
          <w:highlight w:val="none"/>
        </w:rPr>
        <w:t>三、评审内容及标准</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_Toc14247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"_Toc10395" </w:instrText>
      </w:r>
      <w:r>
        <w:rPr>
          <w:color w:val="auto"/>
          <w:highlight w:val="none"/>
        </w:rPr>
        <w:fldChar w:fldCharType="separate"/>
      </w:r>
      <w:r>
        <w:rPr>
          <w:rFonts w:hint="eastAsia" w:ascii="仿宋" w:hAnsi="仿宋" w:eastAsia="仿宋" w:cs="仿宋"/>
          <w:b/>
          <w:bCs/>
          <w:color w:val="auto"/>
          <w:szCs w:val="21"/>
          <w:highlight w:val="none"/>
        </w:rPr>
        <w:t>四、其他评审事项规定</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_Toc10395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"_Toc8854" </w:instrText>
      </w:r>
      <w:r>
        <w:rPr>
          <w:color w:val="auto"/>
          <w:highlight w:val="none"/>
        </w:rPr>
        <w:fldChar w:fldCharType="separate"/>
      </w:r>
      <w:r>
        <w:rPr>
          <w:rFonts w:hint="eastAsia" w:ascii="仿宋" w:hAnsi="仿宋" w:eastAsia="仿宋" w:cs="仿宋"/>
          <w:b/>
          <w:bCs/>
          <w:color w:val="auto"/>
          <w:szCs w:val="21"/>
          <w:highlight w:val="none"/>
        </w:rPr>
        <w:t>第四章 采购内容及需求</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_Toc8854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"_Toc18450" </w:instrText>
      </w:r>
      <w:r>
        <w:rPr>
          <w:color w:val="auto"/>
          <w:highlight w:val="none"/>
        </w:rPr>
        <w:fldChar w:fldCharType="separate"/>
      </w:r>
      <w:r>
        <w:rPr>
          <w:rFonts w:hint="eastAsia" w:ascii="仿宋" w:hAnsi="仿宋" w:eastAsia="仿宋" w:cs="仿宋"/>
          <w:b/>
          <w:bCs/>
          <w:color w:val="auto"/>
          <w:szCs w:val="21"/>
          <w:highlight w:val="none"/>
        </w:rPr>
        <w:t>第五章 合同</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_Toc18450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"_Toc15050" </w:instrText>
      </w:r>
      <w:r>
        <w:rPr>
          <w:color w:val="auto"/>
          <w:highlight w:val="none"/>
        </w:rPr>
        <w:fldChar w:fldCharType="separate"/>
      </w:r>
      <w:r>
        <w:rPr>
          <w:rFonts w:hint="eastAsia" w:ascii="仿宋" w:hAnsi="仿宋" w:eastAsia="仿宋" w:cs="仿宋"/>
          <w:b/>
          <w:bCs/>
          <w:color w:val="auto"/>
          <w:szCs w:val="21"/>
          <w:highlight w:val="none"/>
        </w:rPr>
        <w:t>第六章 响应文件格式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t>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t>9</w:t>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"_Toc1935" </w:instrText>
      </w:r>
      <w:r>
        <w:rPr>
          <w:color w:val="auto"/>
          <w:highlight w:val="none"/>
        </w:rPr>
        <w:fldChar w:fldCharType="separate"/>
      </w:r>
      <w:r>
        <w:rPr>
          <w:rFonts w:hint="eastAsia" w:ascii="仿宋" w:hAnsi="仿宋" w:eastAsia="仿宋" w:cs="仿宋"/>
          <w:b/>
          <w:bCs/>
          <w:color w:val="auto"/>
          <w:szCs w:val="21"/>
          <w:highlight w:val="none"/>
        </w:rPr>
        <w:t>一、资格文件部分格式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_Toc1935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"_Toc16209" </w:instrText>
      </w:r>
      <w:r>
        <w:rPr>
          <w:color w:val="auto"/>
          <w:highlight w:val="none"/>
        </w:rPr>
        <w:fldChar w:fldCharType="separate"/>
      </w:r>
      <w:r>
        <w:rPr>
          <w:rFonts w:hint="eastAsia" w:ascii="仿宋" w:hAnsi="仿宋" w:eastAsia="仿宋" w:cs="仿宋"/>
          <w:b/>
          <w:bCs/>
          <w:color w:val="auto"/>
          <w:szCs w:val="21"/>
          <w:highlight w:val="none"/>
        </w:rPr>
        <w:t>二、商务技术文件部分格式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_Toc16209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94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"_Toc11526" </w:instrText>
      </w:r>
      <w:r>
        <w:rPr>
          <w:color w:val="auto"/>
          <w:highlight w:val="none"/>
        </w:rPr>
        <w:fldChar w:fldCharType="separate"/>
      </w:r>
      <w:r>
        <w:rPr>
          <w:rFonts w:hint="eastAsia" w:ascii="仿宋" w:hAnsi="仿宋" w:eastAsia="仿宋" w:cs="仿宋"/>
          <w:b/>
          <w:bCs/>
          <w:color w:val="auto"/>
          <w:szCs w:val="21"/>
          <w:highlight w:val="none"/>
        </w:rPr>
        <w:t>三、报价文件部分格式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_Toc11526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109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"_Toc5995" </w:instrText>
      </w:r>
      <w:r>
        <w:rPr>
          <w:color w:val="auto"/>
          <w:highlight w:val="none"/>
        </w:rPr>
        <w:fldChar w:fldCharType="separate"/>
      </w:r>
      <w:r>
        <w:rPr>
          <w:rFonts w:hint="eastAsia" w:ascii="仿宋" w:hAnsi="仿宋" w:eastAsia="仿宋" w:cs="仿宋"/>
          <w:b/>
          <w:bCs/>
          <w:color w:val="auto"/>
          <w:szCs w:val="21"/>
          <w:highlight w:val="none"/>
        </w:rPr>
        <w:t>第七章 附件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_Toc5995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135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pPr>
        <w:autoSpaceDN w:val="0"/>
        <w:adjustRightInd w:val="0"/>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仿宋"/>
          <w:b/>
          <w:bCs/>
          <w:color w:val="auto"/>
          <w:szCs w:val="21"/>
          <w:highlight w:val="none"/>
        </w:rPr>
        <w:fldChar w:fldCharType="end"/>
      </w:r>
      <w:r>
        <w:rPr>
          <w:rFonts w:hint="eastAsia" w:ascii="仿宋" w:hAnsi="仿宋" w:eastAsia="仿宋" w:cs="宋体"/>
          <w:b/>
          <w:color w:val="auto"/>
          <w:kern w:val="0"/>
          <w:sz w:val="24"/>
          <w:szCs w:val="24"/>
          <w:highlight w:val="none"/>
        </w:rPr>
        <w:br w:type="page"/>
      </w:r>
      <w:r>
        <w:rPr>
          <w:rFonts w:hint="eastAsia" w:ascii="仿宋" w:hAnsi="仿宋" w:eastAsia="仿宋" w:cs="宋体"/>
          <w:b/>
          <w:color w:val="auto"/>
          <w:kern w:val="0"/>
          <w:sz w:val="32"/>
          <w:szCs w:val="32"/>
          <w:highlight w:val="none"/>
        </w:rPr>
        <w:t>电子交易须知</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6、供应商在参加电子交易过程中,可登录电子交易平台“帮助文档”版面获取《电子交易管理操作指南》，或致电平台400-881-7190获取相关服务支持。</w:t>
      </w:r>
    </w:p>
    <w:p>
      <w:pPr>
        <w:widowControl/>
        <w:spacing w:line="360" w:lineRule="auto"/>
        <w:jc w:val="left"/>
        <w:rPr>
          <w:rFonts w:ascii="仿宋" w:hAnsi="仿宋" w:eastAsia="仿宋" w:cs="宋体"/>
          <w:b/>
          <w:color w:val="auto"/>
          <w:kern w:val="0"/>
          <w:sz w:val="24"/>
          <w:szCs w:val="24"/>
          <w:highlight w:val="none"/>
        </w:rPr>
        <w:sectPr>
          <w:footerReference r:id="rId6" w:type="first"/>
          <w:footerReference r:id="rId5" w:type="default"/>
          <w:pgSz w:w="11906" w:h="16838"/>
          <w:pgMar w:top="1418" w:right="1418" w:bottom="1418" w:left="1418" w:header="851" w:footer="1077" w:gutter="0"/>
          <w:pgNumType w:start="1"/>
          <w:cols w:space="720" w:num="1"/>
          <w:titlePg/>
          <w:docGrid w:linePitch="286" w:charSpace="0"/>
        </w:sectPr>
      </w:pPr>
    </w:p>
    <w:p>
      <w:pPr>
        <w:autoSpaceDN w:val="0"/>
        <w:adjustRightInd w:val="0"/>
        <w:snapToGrid w:val="0"/>
        <w:spacing w:before="162" w:beforeLines="50" w:after="162" w:afterLines="50" w:line="360" w:lineRule="auto"/>
        <w:jc w:val="center"/>
        <w:outlineLvl w:val="0"/>
        <w:rPr>
          <w:rFonts w:ascii="仿宋" w:hAnsi="仿宋" w:eastAsia="仿宋" w:cs="宋体"/>
          <w:b/>
          <w:color w:val="auto"/>
          <w:kern w:val="0"/>
          <w:sz w:val="32"/>
          <w:szCs w:val="32"/>
          <w:highlight w:val="none"/>
        </w:rPr>
      </w:pPr>
      <w:bookmarkStart w:id="2" w:name="_Toc4241"/>
      <w:r>
        <w:rPr>
          <w:rFonts w:hint="eastAsia" w:ascii="仿宋" w:hAnsi="仿宋" w:eastAsia="仿宋" w:cs="宋体"/>
          <w:b/>
          <w:color w:val="auto"/>
          <w:kern w:val="0"/>
          <w:sz w:val="32"/>
          <w:szCs w:val="32"/>
          <w:highlight w:val="none"/>
        </w:rPr>
        <w:t>第一章 竞争性磋商公告</w:t>
      </w:r>
      <w:bookmarkEnd w:id="2"/>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lang w:eastAsia="zh-CN"/>
        </w:rPr>
        <w:t>浙江工业大学朝晖校区教学区生活供水管网改造工程</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14</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z w:val="24"/>
          <w:szCs w:val="24"/>
          <w:highlight w:val="none"/>
          <w:u w:val="single"/>
        </w:rPr>
        <w:t>（北京时间）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3" w:name="_Toc28359079"/>
      <w:bookmarkStart w:id="4" w:name="_Toc35393621"/>
      <w:bookmarkStart w:id="5" w:name="_Toc28359002"/>
      <w:bookmarkStart w:id="6" w:name="_Toc35393790"/>
      <w:bookmarkStart w:id="7" w:name="_Hlk24379207"/>
      <w:r>
        <w:rPr>
          <w:rFonts w:hint="eastAsia" w:ascii="仿宋" w:hAnsi="仿宋" w:eastAsia="仿宋" w:cs="宋体"/>
          <w:b/>
          <w:color w:val="auto"/>
          <w:spacing w:val="-4"/>
          <w:kern w:val="0"/>
          <w:sz w:val="24"/>
          <w:szCs w:val="24"/>
          <w:highlight w:val="none"/>
        </w:rPr>
        <w:t>一、项目基本情况</w:t>
      </w:r>
      <w:bookmarkEnd w:id="3"/>
      <w:bookmarkEnd w:id="4"/>
      <w:bookmarkEnd w:id="5"/>
      <w:bookmarkEnd w:id="6"/>
    </w:p>
    <w:p>
      <w:pPr>
        <w:widowControl/>
        <w:autoSpaceDN w:val="0"/>
        <w:adjustRightInd w:val="0"/>
        <w:snapToGrid w:val="0"/>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lang w:eastAsia="zh-CN"/>
        </w:rPr>
        <w:t>HSZB-2024-491</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项目名称：</w:t>
      </w:r>
      <w:r>
        <w:rPr>
          <w:rFonts w:hint="eastAsia" w:ascii="仿宋" w:hAnsi="仿宋" w:eastAsia="仿宋" w:cs="宋体"/>
          <w:color w:val="auto"/>
          <w:spacing w:val="-4"/>
          <w:kern w:val="0"/>
          <w:sz w:val="24"/>
          <w:szCs w:val="24"/>
          <w:highlight w:val="none"/>
          <w:lang w:eastAsia="zh-CN"/>
        </w:rPr>
        <w:t>浙江工业大学朝晖校区教学区生活供水管网改造工程</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7"/>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1151500</w:t>
      </w:r>
      <w:r>
        <w:rPr>
          <w:rFonts w:hint="eastAsia"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1150359</w:t>
      </w:r>
      <w:r>
        <w:rPr>
          <w:rFonts w:hint="eastAsia"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采购需求：</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标项一：</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标项名称：</w:t>
      </w:r>
      <w:r>
        <w:rPr>
          <w:rFonts w:hint="eastAsia" w:ascii="仿宋" w:hAnsi="仿宋" w:eastAsia="仿宋" w:cs="宋体"/>
          <w:color w:val="auto"/>
          <w:spacing w:val="-4"/>
          <w:kern w:val="0"/>
          <w:sz w:val="24"/>
          <w:szCs w:val="24"/>
          <w:highlight w:val="none"/>
          <w:lang w:eastAsia="zh-CN"/>
        </w:rPr>
        <w:t>浙江工业大学朝晖校区教学区生活供水管网改造工程</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1151500</w:t>
      </w:r>
      <w:r>
        <w:rPr>
          <w:rFonts w:hint="eastAsia"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1150359</w:t>
      </w:r>
      <w:r>
        <w:rPr>
          <w:rFonts w:hint="eastAsia"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s="宋体"/>
          <w:color w:val="auto"/>
          <w:spacing w:val="-4"/>
          <w:kern w:val="0"/>
          <w:sz w:val="24"/>
          <w:szCs w:val="24"/>
          <w:highlight w:val="none"/>
          <w:lang w:eastAsia="zh-CN"/>
        </w:rPr>
        <w:t>浙江工业大学朝晖校区教学区生活供水管网改造工程</w:t>
      </w:r>
      <w:r>
        <w:rPr>
          <w:rFonts w:hint="eastAsia" w:ascii="仿宋" w:hAnsi="仿宋" w:eastAsia="仿宋" w:cs="宋体"/>
          <w:color w:val="auto"/>
          <w:spacing w:val="-4"/>
          <w:kern w:val="0"/>
          <w:sz w:val="24"/>
          <w:szCs w:val="24"/>
          <w:highlight w:val="none"/>
        </w:rPr>
        <w:t>，</w:t>
      </w:r>
      <w:r>
        <w:rPr>
          <w:rFonts w:hint="eastAsia" w:ascii="仿宋" w:hAnsi="仿宋" w:eastAsia="仿宋" w:cs="宋体"/>
          <w:color w:val="auto"/>
          <w:spacing w:val="-4"/>
          <w:kern w:val="0"/>
          <w:sz w:val="24"/>
          <w:szCs w:val="24"/>
          <w:highlight w:val="none"/>
          <w:lang w:val="en-US" w:eastAsia="zh-CN"/>
        </w:rPr>
        <w:t>主要包含</w:t>
      </w:r>
      <w:r>
        <w:rPr>
          <w:rFonts w:hint="eastAsia" w:ascii="仿宋" w:hAnsi="仿宋" w:eastAsia="仿宋" w:cs="仿宋"/>
          <w:color w:val="auto"/>
          <w:sz w:val="24"/>
          <w:szCs w:val="24"/>
          <w:highlight w:val="none"/>
        </w:rPr>
        <w:t>对朝晖校区教学区的生活供水管网进行改造（镀锌管更新），加装区域阀门及部分表计，可能涉及部分路面的开挖和管路敷设</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内容</w:t>
      </w:r>
      <w:r>
        <w:rPr>
          <w:rFonts w:hint="eastAsia" w:ascii="仿宋" w:hAnsi="仿宋" w:eastAsia="仿宋" w:cs="宋体"/>
          <w:color w:val="auto"/>
          <w:spacing w:val="-4"/>
          <w:kern w:val="0"/>
          <w:sz w:val="24"/>
          <w:szCs w:val="24"/>
          <w:highlight w:val="none"/>
          <w:lang w:eastAsia="zh-CN"/>
        </w:rPr>
        <w:t>，</w:t>
      </w:r>
      <w:r>
        <w:rPr>
          <w:rFonts w:hint="eastAsia" w:ascii="仿宋" w:hAnsi="仿宋" w:eastAsia="仿宋" w:cs="宋体"/>
          <w:color w:val="auto"/>
          <w:spacing w:val="-4"/>
          <w:kern w:val="0"/>
          <w:sz w:val="24"/>
          <w:szCs w:val="24"/>
          <w:highlight w:val="none"/>
        </w:rPr>
        <w:t>具体内容详见工程量清单及施工图纸。详见采购文件第四章采购内容及需求。</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备注：不允许进口</w:t>
      </w:r>
    </w:p>
    <w:p>
      <w:pPr>
        <w:autoSpaceDN w:val="0"/>
        <w:adjustRightInd w:val="0"/>
        <w:snapToGrid w:val="0"/>
        <w:spacing w:line="360" w:lineRule="auto"/>
        <w:ind w:firstLine="464" w:firstLineChars="200"/>
        <w:rPr>
          <w:rFonts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合同履行期限：</w:t>
      </w:r>
      <w:r>
        <w:rPr>
          <w:rFonts w:hint="eastAsia" w:ascii="仿宋" w:hAnsi="仿宋" w:eastAsia="仿宋" w:cs="仿宋"/>
          <w:color w:val="auto"/>
          <w:spacing w:val="-4"/>
          <w:kern w:val="0"/>
          <w:sz w:val="24"/>
          <w:szCs w:val="24"/>
          <w:highlight w:val="none"/>
          <w:lang w:val="en-US" w:eastAsia="zh-CN"/>
        </w:rPr>
        <w:t>50日历天</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8" w:name="_Toc28359003"/>
      <w:bookmarkStart w:id="9" w:name="_Toc35393622"/>
      <w:bookmarkStart w:id="10" w:name="_Toc35393791"/>
      <w:bookmarkStart w:id="11" w:name="_Toc28359080"/>
      <w:r>
        <w:rPr>
          <w:rFonts w:hint="eastAsia" w:ascii="仿宋" w:hAnsi="仿宋" w:eastAsia="仿宋" w:cs="宋体"/>
          <w:b/>
          <w:color w:val="auto"/>
          <w:spacing w:val="-4"/>
          <w:kern w:val="0"/>
          <w:sz w:val="24"/>
          <w:szCs w:val="24"/>
          <w:highlight w:val="none"/>
        </w:rPr>
        <w:t>二、申请人的资格要求</w:t>
      </w:r>
      <w:bookmarkEnd w:id="8"/>
      <w:bookmarkEnd w:id="9"/>
      <w:bookmarkEnd w:id="10"/>
      <w:bookmarkEnd w:id="11"/>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autoSpaceDN w:val="0"/>
        <w:adjustRightInd w:val="0"/>
        <w:snapToGrid w:val="0"/>
        <w:spacing w:line="360" w:lineRule="auto"/>
        <w:ind w:firstLine="480" w:firstLineChars="200"/>
        <w:rPr>
          <w:rFonts w:ascii="仿宋" w:hAnsi="仿宋" w:eastAsia="仿宋" w:cs="宋体"/>
          <w:color w:val="auto"/>
          <w:spacing w:val="-4"/>
          <w:kern w:val="0"/>
          <w:sz w:val="24"/>
          <w:szCs w:val="24"/>
          <w:highlight w:val="none"/>
        </w:rPr>
      </w:pPr>
      <w:bookmarkStart w:id="12" w:name="_Toc28359004"/>
      <w:bookmarkStart w:id="13" w:name="_Toc28359081"/>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b/>
          <w:color w:val="auto"/>
          <w:spacing w:val="-4"/>
          <w:kern w:val="0"/>
          <w:sz w:val="24"/>
          <w:szCs w:val="24"/>
          <w:highlight w:val="none"/>
        </w:rPr>
        <w:t>本项目是</w:t>
      </w:r>
      <w:r>
        <w:rPr>
          <w:rFonts w:hint="eastAsia" w:ascii="仿宋" w:hAnsi="仿宋" w:eastAsia="仿宋" w:cs="宋体"/>
          <w:b/>
          <w:color w:val="auto"/>
          <w:spacing w:val="-4"/>
          <w:kern w:val="0"/>
          <w:sz w:val="24"/>
          <w:szCs w:val="24"/>
          <w:highlight w:val="none"/>
        </w:rPr>
        <w:t>专门面向中小企业采购的项目,</w:t>
      </w:r>
      <w:r>
        <w:rPr>
          <w:rFonts w:hint="eastAsia" w:ascii="仿宋" w:hAnsi="仿宋" w:eastAsia="仿宋" w:cs="宋体"/>
          <w:b/>
          <w:color w:val="auto"/>
          <w:spacing w:val="-4"/>
          <w:kern w:val="0"/>
          <w:sz w:val="24"/>
          <w:szCs w:val="24"/>
          <w:highlight w:val="none"/>
        </w:rPr>
        <w:t>供应商应为中、小、微企业</w:t>
      </w:r>
      <w:r>
        <w:rPr>
          <w:rFonts w:hint="eastAsia" w:ascii="仿宋" w:hAnsi="仿宋" w:eastAsia="仿宋" w:cs="Times New Roman"/>
          <w:b/>
          <w:bCs/>
          <w:color w:val="auto"/>
          <w:sz w:val="24"/>
          <w:szCs w:val="24"/>
          <w:highlight w:val="none"/>
        </w:rPr>
        <w:t>（符合要求的监狱企业和残疾人福利性单位视同为小微企业），项目属性为工程，中小企业划分标准对应行业为“建筑业”；</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bookmarkStart w:id="14" w:name="_Hlk130373903"/>
      <w:bookmarkStart w:id="15" w:name="_Toc35393623"/>
      <w:bookmarkStart w:id="16" w:name="_Toc35393792"/>
      <w:r>
        <w:rPr>
          <w:rFonts w:hint="eastAsia" w:ascii="仿宋" w:hAnsi="仿宋" w:eastAsia="仿宋" w:cs="宋体"/>
          <w:b/>
          <w:color w:val="auto"/>
          <w:spacing w:val="-4"/>
          <w:kern w:val="0"/>
          <w:sz w:val="24"/>
          <w:szCs w:val="24"/>
          <w:highlight w:val="none"/>
        </w:rPr>
        <w:t>（1）具有</w:t>
      </w:r>
      <w:r>
        <w:rPr>
          <w:rFonts w:hint="eastAsia" w:ascii="仿宋" w:hAnsi="仿宋" w:eastAsia="仿宋" w:cs="宋体"/>
          <w:b/>
          <w:color w:val="auto"/>
          <w:spacing w:val="-4"/>
          <w:kern w:val="0"/>
          <w:sz w:val="24"/>
          <w:szCs w:val="24"/>
          <w:highlight w:val="none"/>
        </w:rPr>
        <w:t>建筑工程施工总承包三级及以上资质</w:t>
      </w:r>
      <w:r>
        <w:rPr>
          <w:rFonts w:hint="eastAsia" w:ascii="仿宋" w:hAnsi="仿宋" w:eastAsia="仿宋" w:cs="宋体"/>
          <w:b/>
          <w:color w:val="auto"/>
          <w:spacing w:val="-4"/>
          <w:kern w:val="0"/>
          <w:sz w:val="24"/>
          <w:szCs w:val="24"/>
          <w:highlight w:val="none"/>
        </w:rPr>
        <w:t>；具有有效的安全生产许可证。</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（2）企业主要负责人（法定代表人、企业经理、企业分管安全生产的副经理、企业技术负责人）具有“三类人员”有效A类证书，企业分管安全生产的副经理具有任命文件；拟派项目经理具有有效的</w:t>
      </w:r>
      <w:r>
        <w:rPr>
          <w:rFonts w:hint="eastAsia" w:ascii="仿宋" w:hAnsi="仿宋" w:eastAsia="仿宋" w:cs="宋体"/>
          <w:b/>
          <w:color w:val="auto"/>
          <w:spacing w:val="-4"/>
          <w:kern w:val="0"/>
          <w:sz w:val="24"/>
          <w:szCs w:val="24"/>
          <w:highlight w:val="none"/>
        </w:rPr>
        <w:t>建筑工程专业二级</w:t>
      </w:r>
      <w:r>
        <w:rPr>
          <w:rFonts w:hint="eastAsia" w:ascii="仿宋" w:hAnsi="仿宋" w:eastAsia="仿宋" w:cs="宋体"/>
          <w:b/>
          <w:color w:val="auto"/>
          <w:spacing w:val="-4"/>
          <w:kern w:val="0"/>
          <w:sz w:val="24"/>
          <w:szCs w:val="24"/>
          <w:highlight w:val="none"/>
        </w:rPr>
        <w:t>及以上注册建造师证书及“三类人员”有效B类证书；拟派现场安全生产专职管理人员具有“三类人员”有效C类证书。</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w:t>
      </w:r>
      <w:bookmarkEnd w:id="14"/>
      <w:r>
        <w:rPr>
          <w:rFonts w:hint="eastAsia" w:ascii="仿宋" w:hAnsi="仿宋" w:eastAsia="仿宋" w:cs="宋体"/>
          <w:b/>
          <w:color w:val="auto"/>
          <w:spacing w:val="-4"/>
          <w:kern w:val="0"/>
          <w:sz w:val="24"/>
          <w:szCs w:val="24"/>
          <w:highlight w:val="none"/>
        </w:rPr>
        <w:t>本项目允许符合以下规定的联合体参加投标：</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①联合体各方均须为符合政策要求的中、小、微型企业并且符合本项目“申请人的资格要求”第1条规定；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②提交有效的联合投标（响应）协议书，明确载明联合体各方承担的工作和义务。</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（4）本项目允许分包，要求如下：</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①分包承担主体均须为符合政策要求的中、小、微型企业并且符合本项目“申请人的资格要求”第1条规定；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②提交有效的分包意向协议。</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三、获取采购文件</w:t>
      </w:r>
      <w:bookmarkEnd w:id="12"/>
      <w:bookmarkEnd w:id="13"/>
      <w:bookmarkEnd w:id="15"/>
      <w:bookmarkEnd w:id="16"/>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至2024年</w:t>
      </w:r>
      <w:r>
        <w:rPr>
          <w:rFonts w:hint="eastAsia" w:ascii="仿宋" w:hAnsi="仿宋" w:eastAsia="仿宋" w:cs="宋体"/>
          <w:color w:val="auto"/>
          <w:spacing w:val="-4"/>
          <w:kern w:val="0"/>
          <w:sz w:val="24"/>
          <w:szCs w:val="24"/>
          <w:highlight w:val="none"/>
          <w:lang w:val="en-US" w:eastAsia="zh-CN"/>
        </w:rPr>
        <w:t>06</w:t>
      </w:r>
      <w:r>
        <w:rPr>
          <w:rFonts w:hint="eastAsia" w:ascii="仿宋" w:hAnsi="仿宋" w:eastAsia="仿宋" w:cs="宋体"/>
          <w:color w:val="auto"/>
          <w:spacing w:val="-4"/>
          <w:kern w:val="0"/>
          <w:sz w:val="24"/>
          <w:szCs w:val="24"/>
          <w:highlight w:val="none"/>
        </w:rPr>
        <w:t>月</w:t>
      </w:r>
      <w:r>
        <w:rPr>
          <w:rFonts w:hint="eastAsia" w:ascii="仿宋" w:hAnsi="仿宋" w:eastAsia="仿宋" w:cs="宋体"/>
          <w:color w:val="auto"/>
          <w:spacing w:val="-4"/>
          <w:kern w:val="0"/>
          <w:sz w:val="24"/>
          <w:szCs w:val="24"/>
          <w:highlight w:val="none"/>
          <w:lang w:val="en-US" w:eastAsia="zh-CN"/>
        </w:rPr>
        <w:t>18</w:t>
      </w:r>
      <w:r>
        <w:rPr>
          <w:rFonts w:hint="eastAsia" w:ascii="仿宋" w:hAnsi="仿宋" w:eastAsia="仿宋" w:cs="宋体"/>
          <w:color w:val="auto"/>
          <w:spacing w:val="-4"/>
          <w:kern w:val="0"/>
          <w:sz w:val="24"/>
          <w:szCs w:val="24"/>
          <w:highlight w:val="none"/>
        </w:rPr>
        <w:t>日，每天上午00:00至12:00，下午12:00至23:59（北京时间，线上获取法定节假日均可，线下获取文件法定节假日除外）。</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17" w:name="_Toc28359005"/>
      <w:bookmarkStart w:id="18" w:name="_Toc35393624"/>
      <w:bookmarkStart w:id="19" w:name="_Toc28359082"/>
      <w:bookmarkStart w:id="20" w:name="_Toc35393793"/>
      <w:r>
        <w:rPr>
          <w:rFonts w:hint="eastAsia" w:ascii="仿宋" w:hAnsi="仿宋" w:eastAsia="仿宋" w:cs="宋体"/>
          <w:b/>
          <w:color w:val="auto"/>
          <w:spacing w:val="-4"/>
          <w:kern w:val="0"/>
          <w:sz w:val="24"/>
          <w:szCs w:val="24"/>
          <w:highlight w:val="none"/>
        </w:rPr>
        <w:t>四、</w:t>
      </w:r>
      <w:bookmarkEnd w:id="17"/>
      <w:bookmarkEnd w:id="18"/>
      <w:bookmarkEnd w:id="19"/>
      <w:bookmarkEnd w:id="20"/>
      <w:r>
        <w:rPr>
          <w:rFonts w:hint="eastAsia" w:ascii="仿宋" w:hAnsi="仿宋" w:eastAsia="仿宋" w:cs="宋体"/>
          <w:b/>
          <w:color w:val="auto"/>
          <w:spacing w:val="-4"/>
          <w:kern w:val="0"/>
          <w:sz w:val="24"/>
          <w:szCs w:val="24"/>
          <w:highlight w:val="none"/>
        </w:rPr>
        <w:t>响应文件递交（上传）</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14</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pacing w:val="-4"/>
          <w:kern w:val="0"/>
          <w:sz w:val="24"/>
          <w:szCs w:val="24"/>
          <w:highlight w:val="none"/>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14</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pacing w:val="-4"/>
          <w:kern w:val="0"/>
          <w:sz w:val="24"/>
          <w:szCs w:val="24"/>
          <w:highlight w:val="none"/>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1" w:name="_Toc28359084"/>
      <w:bookmarkStart w:id="22" w:name="_Toc35393794"/>
      <w:bookmarkStart w:id="23" w:name="_Toc35393625"/>
      <w:bookmarkStart w:id="24" w:name="_Toc28359007"/>
      <w:r>
        <w:rPr>
          <w:rFonts w:hint="eastAsia" w:ascii="仿宋" w:hAnsi="仿宋" w:eastAsia="仿宋" w:cs="宋体"/>
          <w:b/>
          <w:color w:val="auto"/>
          <w:spacing w:val="-4"/>
          <w:kern w:val="0"/>
          <w:sz w:val="24"/>
          <w:szCs w:val="24"/>
          <w:highlight w:val="none"/>
        </w:rPr>
        <w:t>六、公告期限</w:t>
      </w:r>
      <w:bookmarkEnd w:id="21"/>
      <w:bookmarkEnd w:id="22"/>
      <w:bookmarkEnd w:id="23"/>
      <w:bookmarkEnd w:id="24"/>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5" w:name="_Toc35393626"/>
      <w:bookmarkStart w:id="26" w:name="_Toc35393795"/>
      <w:r>
        <w:rPr>
          <w:rFonts w:hint="eastAsia" w:ascii="仿宋" w:hAnsi="仿宋" w:eastAsia="仿宋" w:cs="宋体"/>
          <w:b/>
          <w:color w:val="auto"/>
          <w:spacing w:val="-4"/>
          <w:kern w:val="0"/>
          <w:sz w:val="24"/>
          <w:szCs w:val="24"/>
          <w:highlight w:val="none"/>
        </w:rPr>
        <w:t>七、其他补充事宜</w:t>
      </w:r>
      <w:bookmarkEnd w:id="25"/>
      <w:bookmarkEnd w:id="26"/>
    </w:p>
    <w:p>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7" w:name="_Toc35393796"/>
      <w:bookmarkStart w:id="28" w:name="_Toc35393627"/>
      <w:bookmarkStart w:id="29" w:name="_Toc28359008"/>
      <w:bookmarkStart w:id="30" w:name="_Toc28359085"/>
      <w:r>
        <w:rPr>
          <w:rFonts w:hint="eastAsia" w:ascii="仿宋" w:hAnsi="仿宋" w:eastAsia="仿宋" w:cs="宋体"/>
          <w:b/>
          <w:color w:val="auto"/>
          <w:spacing w:val="-4"/>
          <w:kern w:val="0"/>
          <w:sz w:val="24"/>
          <w:szCs w:val="24"/>
          <w:highlight w:val="none"/>
        </w:rPr>
        <w:t>八、对本次采购提出询问、质疑、投诉，请按以下方式联系。</w:t>
      </w:r>
      <w:bookmarkEnd w:id="27"/>
      <w:bookmarkEnd w:id="28"/>
      <w:bookmarkEnd w:id="29"/>
      <w:bookmarkEnd w:id="30"/>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称：浙江工业大学</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址：浙江省杭州市潮王路18号</w:t>
      </w:r>
    </w:p>
    <w:p>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项目联系人（询问）：</w:t>
      </w:r>
      <w:r>
        <w:rPr>
          <w:rFonts w:hint="eastAsia" w:ascii="仿宋" w:hAnsi="仿宋" w:eastAsia="仿宋" w:cs="宋体"/>
          <w:color w:val="auto"/>
          <w:spacing w:val="-4"/>
          <w:kern w:val="0"/>
          <w:sz w:val="24"/>
          <w:szCs w:val="24"/>
          <w:highlight w:val="none"/>
        </w:rPr>
        <w:t>余老师</w:t>
      </w:r>
      <w:r>
        <w:rPr>
          <w:rFonts w:hint="eastAsia" w:ascii="仿宋" w:hAnsi="仿宋" w:eastAsia="仿宋" w:cs="宋体"/>
          <w:color w:val="auto"/>
          <w:spacing w:val="-4"/>
          <w:kern w:val="0"/>
          <w:sz w:val="24"/>
          <w:szCs w:val="24"/>
          <w:highlight w:val="none"/>
          <w:lang w:eastAsia="zh-CN"/>
        </w:rPr>
        <w:t>、</w:t>
      </w:r>
      <w:r>
        <w:rPr>
          <w:rFonts w:hint="eastAsia" w:ascii="仿宋" w:hAnsi="仿宋" w:eastAsia="仿宋" w:cs="宋体"/>
          <w:color w:val="auto"/>
          <w:spacing w:val="-4"/>
          <w:kern w:val="0"/>
          <w:sz w:val="24"/>
          <w:szCs w:val="24"/>
          <w:highlight w:val="none"/>
          <w:lang w:val="en-US" w:eastAsia="zh-CN"/>
        </w:rPr>
        <w:t>裴老师</w:t>
      </w:r>
    </w:p>
    <w:p>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项目联系方式（询问）：</w:t>
      </w:r>
      <w:r>
        <w:rPr>
          <w:rFonts w:hint="eastAsia" w:ascii="仿宋" w:hAnsi="仿宋" w:eastAsia="仿宋" w:cs="宋体"/>
          <w:color w:val="auto"/>
          <w:spacing w:val="-4"/>
          <w:kern w:val="0"/>
          <w:sz w:val="24"/>
          <w:szCs w:val="24"/>
          <w:highlight w:val="none"/>
        </w:rPr>
        <w:t>0571-88320640</w:t>
      </w:r>
      <w:r>
        <w:rPr>
          <w:rFonts w:hint="eastAsia" w:ascii="仿宋" w:hAnsi="仿宋" w:eastAsia="仿宋" w:cs="宋体"/>
          <w:color w:val="auto"/>
          <w:spacing w:val="-4"/>
          <w:kern w:val="0"/>
          <w:sz w:val="24"/>
          <w:szCs w:val="24"/>
          <w:highlight w:val="none"/>
          <w:lang w:eastAsia="zh-CN"/>
        </w:rPr>
        <w:t>、</w:t>
      </w:r>
      <w:r>
        <w:rPr>
          <w:rFonts w:hint="eastAsia" w:ascii="仿宋" w:hAnsi="仿宋" w:eastAsia="仿宋" w:cs="宋体"/>
          <w:color w:val="auto"/>
          <w:spacing w:val="-4"/>
          <w:kern w:val="0"/>
          <w:sz w:val="24"/>
          <w:szCs w:val="24"/>
          <w:highlight w:val="none"/>
          <w:lang w:val="en-US" w:eastAsia="zh-CN"/>
        </w:rPr>
        <w:t>85290090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质疑联系人：马老师</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质疑联系方式：0571-88320626</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1" w:name="_Toc28359009"/>
      <w:bookmarkStart w:id="32" w:name="_Toc28359086"/>
      <w:r>
        <w:rPr>
          <w:rFonts w:hint="eastAsia" w:ascii="仿宋" w:hAnsi="仿宋" w:eastAsia="仿宋" w:cs="宋体"/>
          <w:color w:val="auto"/>
          <w:spacing w:val="-4"/>
          <w:kern w:val="0"/>
          <w:sz w:val="24"/>
          <w:szCs w:val="24"/>
          <w:highlight w:val="none"/>
        </w:rPr>
        <w:t>2.采购代理机构信息</w:t>
      </w:r>
      <w:bookmarkEnd w:id="31"/>
      <w:bookmarkEnd w:id="32"/>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称：浙江豪圣建设项目管理有限公司</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址：杭州市拱墅区大关路179号远洋国际中心A座17楼1706室</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3" w:name="_Toc28359087"/>
      <w:bookmarkStart w:id="34" w:name="_Toc28359010"/>
      <w:r>
        <w:rPr>
          <w:rFonts w:hint="eastAsia" w:ascii="仿宋" w:hAnsi="仿宋" w:eastAsia="仿宋" w:cs="宋体"/>
          <w:color w:val="auto"/>
          <w:spacing w:val="-4"/>
          <w:kern w:val="0"/>
          <w:sz w:val="24"/>
          <w:szCs w:val="24"/>
          <w:highlight w:val="none"/>
        </w:rPr>
        <w:t>项目联系人（询问）：陈梦菲、曹剑斌、陈敏娇</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项目联系方式（询问）：0571-87981527</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质疑联系人：</w:t>
      </w:r>
      <w:r>
        <w:rPr>
          <w:rFonts w:hint="eastAsia" w:ascii="仿宋" w:hAnsi="仿宋" w:eastAsia="仿宋" w:cs="宋体"/>
          <w:color w:val="auto"/>
          <w:spacing w:val="-4"/>
          <w:kern w:val="0"/>
          <w:sz w:val="24"/>
          <w:szCs w:val="24"/>
          <w:highlight w:val="none"/>
          <w:lang w:eastAsia="zh-CN"/>
        </w:rPr>
        <w:t>桑国坚</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质疑联系方式：</w:t>
      </w:r>
      <w:bookmarkEnd w:id="33"/>
      <w:bookmarkEnd w:id="34"/>
      <w:r>
        <w:rPr>
          <w:rFonts w:hint="eastAsia" w:ascii="仿宋" w:hAnsi="仿宋" w:eastAsia="仿宋" w:cs="宋体"/>
          <w:color w:val="auto"/>
          <w:spacing w:val="-4"/>
          <w:kern w:val="0"/>
          <w:sz w:val="24"/>
          <w:szCs w:val="24"/>
          <w:highlight w:val="none"/>
          <w:lang w:eastAsia="zh-CN"/>
        </w:rPr>
        <w:t>0571-56386096</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3.同级政府采购监督管理部门</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称：浙江省财政厅政府采购监管处、浙江省政府采购行政裁决服务中心（杭州）</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址：杭州市上城区四季青街道新业路市民之家G03办公室（快递仅限ems或顺丰）</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传  真：/</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联系人：朱女士、王女士</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监督投诉电话：0571-85252453</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p>
    <w:p>
      <w:pPr>
        <w:pStyle w:val="55"/>
        <w:ind w:firstLine="480" w:firstLineChars="200"/>
        <w:rPr>
          <w:rFonts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pPr>
        <w:pStyle w:val="55"/>
        <w:ind w:firstLine="480" w:firstLineChars="200"/>
        <w:rPr>
          <w:color w:val="auto"/>
          <w:highlight w:val="none"/>
        </w:rPr>
      </w:pPr>
      <w:r>
        <w:rPr>
          <w:rFonts w:hint="eastAsia" w:ascii="仿宋" w:hAnsi="仿宋" w:eastAsia="仿宋" w:cs="仿宋"/>
          <w:color w:val="auto"/>
          <w:highlight w:val="none"/>
        </w:rPr>
        <w:t>CA问题联系电话（人工）：汇信CA 400-888-4636；天谷CA 400-087-8198。</w:t>
      </w:r>
    </w:p>
    <w:p>
      <w:pPr>
        <w:autoSpaceDN w:val="0"/>
        <w:snapToGrid w:val="0"/>
        <w:spacing w:line="360" w:lineRule="auto"/>
        <w:jc w:val="center"/>
        <w:outlineLvl w:val="0"/>
        <w:rPr>
          <w:rFonts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35" w:name="_Toc32606"/>
      <w:r>
        <w:rPr>
          <w:rFonts w:hint="eastAsia" w:ascii="仿宋" w:hAnsi="仿宋" w:eastAsia="仿宋" w:cs="宋体"/>
          <w:b/>
          <w:color w:val="auto"/>
          <w:spacing w:val="-4"/>
          <w:kern w:val="0"/>
          <w:sz w:val="32"/>
          <w:szCs w:val="32"/>
          <w:highlight w:val="none"/>
        </w:rPr>
        <w:t xml:space="preserve">第二章 </w:t>
      </w:r>
      <w:bookmarkEnd w:id="35"/>
      <w:r>
        <w:rPr>
          <w:rFonts w:hint="eastAsia" w:ascii="仿宋" w:hAnsi="仿宋" w:eastAsia="仿宋" w:cs="宋体"/>
          <w:b/>
          <w:color w:val="auto"/>
          <w:spacing w:val="-4"/>
          <w:kern w:val="0"/>
          <w:sz w:val="32"/>
          <w:szCs w:val="32"/>
          <w:highlight w:val="none"/>
        </w:rPr>
        <w:t>磋商须知</w:t>
      </w:r>
    </w:p>
    <w:p>
      <w:pPr>
        <w:keepNext/>
        <w:keepLines/>
        <w:autoSpaceDN w:val="0"/>
        <w:spacing w:before="260" w:after="260" w:line="415" w:lineRule="auto"/>
        <w:jc w:val="center"/>
        <w:outlineLvl w:val="1"/>
        <w:rPr>
          <w:rFonts w:ascii="Times New Roman" w:hAnsi="仿宋" w:eastAsia="仿宋" w:cs="Times New Roman"/>
          <w:b/>
          <w:bCs/>
          <w:color w:val="auto"/>
          <w:sz w:val="28"/>
          <w:szCs w:val="28"/>
          <w:highlight w:val="none"/>
        </w:rPr>
      </w:pPr>
      <w:bookmarkStart w:id="36" w:name="_Toc3099"/>
      <w:r>
        <w:rPr>
          <w:rFonts w:hint="eastAsia" w:ascii="Times New Roman" w:hAnsi="仿宋" w:eastAsia="仿宋" w:cs="Times New Roman"/>
          <w:b/>
          <w:bCs/>
          <w:color w:val="auto"/>
          <w:sz w:val="28"/>
          <w:szCs w:val="28"/>
          <w:highlight w:val="none"/>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2411"/>
        <w:gridCol w:w="6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浙江工业大学朝晖校区教学区生活供水管网改造工程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仿宋"/>
                <w:bCs/>
                <w:color w:val="auto"/>
                <w:sz w:val="24"/>
                <w:szCs w:val="24"/>
                <w:highlight w:val="none"/>
                <w:lang w:eastAsia="zh-CN"/>
              </w:rPr>
              <w:t>HSZB-2024-491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浙江工业大学朝晖校区教学区生活供水管网改造工程</w:t>
            </w:r>
            <w:r>
              <w:rPr>
                <w:rFonts w:hint="eastAsia" w:ascii="仿宋" w:hAnsi="仿宋" w:eastAsia="仿宋" w:cs="宋体"/>
                <w:color w:val="auto"/>
                <w:sz w:val="24"/>
                <w:szCs w:val="24"/>
                <w:highlight w:val="none"/>
              </w:rPr>
              <w:t>，工程内容详见第四章采购内容及需求、清单及图纸。</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工期：</w:t>
            </w:r>
            <w:r>
              <w:rPr>
                <w:rFonts w:hint="eastAsia" w:ascii="仿宋" w:hAnsi="仿宋" w:eastAsia="仿宋" w:cs="宋体"/>
                <w:color w:val="auto"/>
                <w:sz w:val="24"/>
                <w:szCs w:val="24"/>
                <w:highlight w:val="none"/>
                <w:u w:val="single"/>
                <w:lang w:val="en-US" w:eastAsia="zh-CN"/>
              </w:rPr>
              <w:t>50日历天</w:t>
            </w:r>
            <w:r>
              <w:rPr>
                <w:rFonts w:hint="eastAsia" w:ascii="仿宋" w:hAnsi="仿宋" w:eastAsia="仿宋" w:cs="宋体"/>
                <w:color w:val="auto"/>
                <w:sz w:val="24"/>
                <w:szCs w:val="24"/>
                <w:highlight w:val="none"/>
              </w:rPr>
              <w:t>；</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供应商磋商时可填报不大于</w:t>
            </w:r>
            <w:r>
              <w:rPr>
                <w:rFonts w:hint="eastAsia" w:ascii="仿宋" w:hAnsi="仿宋" w:eastAsia="仿宋" w:cs="宋体"/>
                <w:color w:val="auto"/>
                <w:sz w:val="24"/>
                <w:szCs w:val="24"/>
                <w:highlight w:val="none"/>
                <w:u w:val="single"/>
                <w:lang w:eastAsia="zh-CN"/>
              </w:rPr>
              <w:t>50日历天</w:t>
            </w:r>
            <w:r>
              <w:rPr>
                <w:rFonts w:hint="eastAsia" w:ascii="仿宋" w:hAnsi="仿宋" w:eastAsia="仿宋" w:cs="宋体"/>
                <w:color w:val="auto"/>
                <w:sz w:val="24"/>
                <w:szCs w:val="24"/>
                <w:highlight w:val="none"/>
              </w:rPr>
              <w:t>的最短合理工期，成交后，该磋商工期将作为合同工期。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color w:val="auto"/>
                <w:sz w:val="24"/>
                <w:szCs w:val="24"/>
                <w:highlight w:val="none"/>
                <w:u w:val="single"/>
              </w:rPr>
              <w:t>本项目最高限价为人民币</w:t>
            </w:r>
            <w:r>
              <w:rPr>
                <w:rFonts w:hint="eastAsia" w:ascii="仿宋" w:hAnsi="仿宋" w:eastAsia="仿宋" w:cs="宋体"/>
                <w:b/>
                <w:color w:val="auto"/>
                <w:sz w:val="24"/>
                <w:szCs w:val="24"/>
                <w:highlight w:val="none"/>
                <w:u w:val="single"/>
                <w:lang w:val="en-US" w:eastAsia="zh-CN"/>
              </w:rPr>
              <w:t>1150359</w:t>
            </w:r>
            <w:r>
              <w:rPr>
                <w:rFonts w:hint="eastAsia" w:ascii="仿宋" w:hAnsi="仿宋" w:eastAsia="仿宋" w:cs="宋体"/>
                <w:b/>
                <w:color w:val="auto"/>
                <w:sz w:val="24"/>
                <w:szCs w:val="24"/>
                <w:highlight w:val="none"/>
                <w:u w:val="single"/>
              </w:rPr>
              <w:t>元，报价如超过最高限价的，其响应文件无效</w:t>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已落实（采购计划书：</w:t>
            </w:r>
            <w:r>
              <w:rPr>
                <w:rFonts w:hint="eastAsia" w:ascii="仿宋" w:hAnsi="仿宋" w:eastAsia="仿宋" w:cs="Arial"/>
                <w:color w:val="auto"/>
                <w:sz w:val="24"/>
                <w:szCs w:val="24"/>
                <w:highlight w:val="none"/>
                <w:u w:val="single"/>
                <w:lang w:val="en-US" w:eastAsia="zh-CN"/>
              </w:rPr>
              <w:t>[2024]32220号、[2024]32221号</w:t>
            </w:r>
            <w:r>
              <w:rPr>
                <w:rFonts w:hint="eastAsia" w:ascii="仿宋" w:hAnsi="仿宋" w:eastAsia="仿宋" w:cs="Arial"/>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单位名称：浙江工业大学</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地址：浙江省杭州市潮王路18号</w:t>
            </w:r>
          </w:p>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rPr>
              <w:t>余老师</w:t>
            </w:r>
            <w:r>
              <w:rPr>
                <w:rFonts w:hint="eastAsia" w:ascii="仿宋" w:hAnsi="仿宋" w:eastAsia="仿宋" w:cs="Arial"/>
                <w:color w:val="auto"/>
                <w:sz w:val="24"/>
                <w:szCs w:val="24"/>
                <w:highlight w:val="none"/>
              </w:rPr>
              <w:t xml:space="preserve">     联系电话：</w:t>
            </w:r>
            <w:r>
              <w:rPr>
                <w:rFonts w:hint="eastAsia" w:ascii="仿宋" w:hAnsi="仿宋" w:eastAsia="仿宋" w:cs="宋体"/>
                <w:color w:val="auto"/>
                <w:spacing w:val="-4"/>
                <w:kern w:val="0"/>
                <w:sz w:val="24"/>
                <w:szCs w:val="24"/>
                <w:highlight w:val="none"/>
              </w:rPr>
              <w:t>0571-88320640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浙江豪圣建设项目管理有限公司</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联系人：陈梦菲、曹剑斌、陈敏娇</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联系电话：0571-87981527</w:t>
            </w:r>
          </w:p>
          <w:p>
            <w:pPr>
              <w:autoSpaceDE w:val="0"/>
              <w:autoSpaceDN w:val="0"/>
              <w:snapToGrid w:val="0"/>
              <w:spacing w:line="276" w:lineRule="auto"/>
              <w:jc w:val="left"/>
              <w:rPr>
                <w:rFonts w:ascii="仿宋" w:hAnsi="仿宋" w:eastAsia="仿宋" w:cs="Arial"/>
                <w:b/>
                <w:bCs/>
                <w:color w:val="auto"/>
                <w:sz w:val="24"/>
                <w:szCs w:val="24"/>
                <w:highlight w:val="none"/>
              </w:rPr>
            </w:pPr>
            <w:r>
              <w:rPr>
                <w:rFonts w:hint="eastAsia" w:ascii="仿宋" w:hAnsi="仿宋" w:eastAsia="仿宋" w:cs="Arial"/>
                <w:color w:val="auto"/>
                <w:sz w:val="24"/>
                <w:szCs w:val="24"/>
                <w:highlight w:val="none"/>
              </w:rPr>
              <w:t>电子邮箱：787629918@qq.com</w:t>
            </w:r>
          </w:p>
          <w:p>
            <w:pPr>
              <w:autoSpaceDE w:val="0"/>
              <w:autoSpaceDN w:val="0"/>
              <w:snapToGrid w:val="0"/>
              <w:spacing w:line="276" w:lineRule="auto"/>
              <w:jc w:val="left"/>
              <w:rPr>
                <w:rFonts w:ascii="仿宋" w:hAnsi="仿宋" w:eastAsia="仿宋" w:cs="..ì."/>
                <w:color w:val="auto"/>
                <w:sz w:val="24"/>
                <w:szCs w:val="24"/>
                <w:highlight w:val="none"/>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宋体"/>
                <w:color w:val="auto"/>
                <w:sz w:val="24"/>
                <w:szCs w:val="24"/>
                <w:highlight w:val="none"/>
                <w:u w:val="single"/>
              </w:rPr>
              <w:t>http://zfcg.czt.zj.gov.cn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宋体"/>
                <w:color w:val="auto"/>
                <w:sz w:val="24"/>
                <w:szCs w:val="24"/>
                <w:highlight w:val="none"/>
                <w:u w:val="single"/>
              </w:rPr>
              <w:t>www.zcygov.cn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w:t>
            </w:r>
          </w:p>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（1）本次采购为专门面向中小企业的采购项目；</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u w:val="single"/>
                <w:lang w:bidi="ar"/>
              </w:rPr>
            </w:pPr>
            <w:r>
              <w:rPr>
                <w:rFonts w:hint="eastAsia" w:ascii="仿宋" w:hAnsi="仿宋" w:eastAsia="仿宋" w:cs="宋体"/>
                <w:color w:val="auto"/>
                <w:sz w:val="24"/>
                <w:szCs w:val="24"/>
                <w:highlight w:val="none"/>
                <w:lang w:bidi="ar"/>
              </w:rPr>
              <w:t>（3）本次采购标的为</w:t>
            </w:r>
            <w:r>
              <w:rPr>
                <w:rFonts w:hint="eastAsia" w:ascii="仿宋" w:hAnsi="仿宋" w:eastAsia="仿宋" w:cs="宋体"/>
                <w:color w:val="auto"/>
                <w:sz w:val="24"/>
                <w:szCs w:val="24"/>
                <w:highlight w:val="none"/>
                <w:u w:val="single"/>
                <w:lang w:eastAsia="zh-CN" w:bidi="ar"/>
              </w:rPr>
              <w:t>浙江工业大学朝晖校区教学区生活供水管网改造工程</w:t>
            </w:r>
            <w:r>
              <w:rPr>
                <w:rFonts w:hint="eastAsia" w:ascii="仿宋" w:hAnsi="仿宋" w:eastAsia="仿宋" w:cs="宋体"/>
                <w:color w:val="auto"/>
                <w:sz w:val="24"/>
                <w:szCs w:val="24"/>
                <w:highlight w:val="none"/>
                <w:lang w:bidi="ar"/>
              </w:rPr>
              <w:t>，对应的中小企业划分标准所属行业是：</w:t>
            </w:r>
            <w:r>
              <w:rPr>
                <w:rFonts w:hint="eastAsia" w:ascii="仿宋" w:hAnsi="仿宋" w:eastAsia="仿宋" w:cs="宋体"/>
                <w:color w:val="auto"/>
                <w:sz w:val="24"/>
                <w:szCs w:val="24"/>
                <w:highlight w:val="none"/>
                <w:u w:val="single"/>
                <w:lang w:bidi="ar"/>
              </w:rPr>
              <w:t>建筑业</w:t>
            </w:r>
            <w:r>
              <w:rPr>
                <w:rFonts w:hint="eastAsia" w:ascii="仿宋" w:hAnsi="仿宋" w:eastAsia="仿宋" w:cs="宋体"/>
                <w:color w:val="auto"/>
                <w:sz w:val="24"/>
                <w:szCs w:val="24"/>
                <w:highlight w:val="none"/>
                <w:lang w:bidi="ar"/>
              </w:rPr>
              <w:t>；</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标准：</w:t>
            </w:r>
            <w:r>
              <w:rPr>
                <w:rFonts w:hint="eastAsia" w:ascii="仿宋" w:hAnsi="仿宋" w:eastAsia="仿宋" w:cs="宋体"/>
                <w:color w:val="auto"/>
                <w:sz w:val="24"/>
                <w:szCs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highlight w:val="none"/>
              </w:rPr>
              <w:t>。</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lang w:bidi="ar"/>
              </w:rPr>
            </w:pPr>
            <w:r>
              <w:rPr>
                <w:rFonts w:hint="eastAsia" w:ascii="仿宋" w:hAnsi="仿宋" w:eastAsia="仿宋" w:cs="宋体"/>
                <w:color w:val="auto"/>
                <w:sz w:val="24"/>
                <w:szCs w:val="24"/>
                <w:highlight w:val="none"/>
                <w:lang w:bidi="ar"/>
              </w:rPr>
              <w:t>（4）</w:t>
            </w:r>
            <w:r>
              <w:rPr>
                <w:rFonts w:hint="eastAsia" w:ascii="仿宋" w:hAnsi="仿宋" w:eastAsia="仿宋" w:cs="宋体"/>
                <w:color w:val="auto"/>
                <w:kern w:val="0"/>
                <w:sz w:val="24"/>
                <w:szCs w:val="24"/>
                <w:highlight w:val="none"/>
              </w:rPr>
              <w:t>以联合体形式参加政府采购活动，联合体各方均为中小企业的，联合体视同中小企业</w:t>
            </w:r>
            <w:r>
              <w:rPr>
                <w:rFonts w:hint="eastAsia" w:ascii="仿宋" w:hAnsi="仿宋" w:eastAsia="仿宋" w:cs="宋体"/>
                <w:color w:val="auto"/>
                <w:sz w:val="24"/>
                <w:szCs w:val="24"/>
                <w:highlight w:val="none"/>
                <w:lang w:bidi="ar"/>
              </w:rPr>
              <w:t>；</w:t>
            </w:r>
          </w:p>
          <w:p>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bidi="ar"/>
              </w:rPr>
              <w:t>（5）</w:t>
            </w:r>
            <w:r>
              <w:rPr>
                <w:rFonts w:hint="eastAsia" w:ascii="仿宋" w:hAnsi="仿宋" w:eastAsia="仿宋" w:cs="宋体"/>
                <w:color w:val="auto"/>
                <w:kern w:val="0"/>
                <w:sz w:val="24"/>
                <w:szCs w:val="24"/>
                <w:highlight w:val="none"/>
              </w:rPr>
              <w:t>符合中小企业划分标准的个体工商户，视同中小企业；</w:t>
            </w:r>
          </w:p>
          <w:p>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（6）本次采购的工程要求全部由中小企业承建；</w:t>
            </w:r>
          </w:p>
          <w:p>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（8）残疾人福利性单位视同小微企业。残疾人福利性单位参加政府采购活动时，应当提供《残疾人福利性单位声明函》；</w:t>
            </w:r>
          </w:p>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宋体"/>
                <w:color w:val="auto"/>
                <w:kern w:val="0"/>
                <w:sz w:val="24"/>
                <w:szCs w:val="24"/>
                <w:highlight w:val="none"/>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Arial"/>
                <w:b/>
                <w:color w:val="auto"/>
                <w:sz w:val="24"/>
                <w:szCs w:val="24"/>
                <w:highlight w:val="none"/>
                <w:u w:val="single"/>
              </w:rPr>
              <w:t>垃圾清运</w:t>
            </w: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pacing w:val="-4"/>
                <w:kern w:val="0"/>
                <w:sz w:val="24"/>
                <w:szCs w:val="24"/>
                <w:highlight w:val="none"/>
              </w:rPr>
            </w:pPr>
            <w:r>
              <w:rPr>
                <w:rFonts w:hint="eastAsia" w:ascii="仿宋" w:hAnsi="仿宋" w:eastAsia="仿宋"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40" w:type="pct"/>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Times New Roman"/>
                <w:color w:val="auto"/>
                <w:sz w:val="24"/>
                <w:szCs w:val="24"/>
                <w:highlight w:val="none"/>
              </w:rPr>
            </w:pPr>
            <w:r>
              <w:rPr>
                <w:rFonts w:ascii="仿宋" w:hAnsi="仿宋" w:eastAsia="仿宋" w:cs="Times New Roman"/>
                <w:b/>
                <w:bCs/>
                <w:color w:val="auto"/>
                <w:sz w:val="24"/>
                <w:szCs w:val="24"/>
                <w:highlight w:val="none"/>
              </w:rPr>
              <w:sym w:font="Wingdings" w:char="F0FE"/>
            </w:r>
            <w:r>
              <w:rPr>
                <w:rFonts w:hint="eastAsia" w:ascii="仿宋" w:hAnsi="仿宋" w:eastAsia="仿宋" w:cs="Times New Roman"/>
                <w:b/>
                <w:bCs/>
                <w:color w:val="auto"/>
                <w:sz w:val="24"/>
                <w:szCs w:val="24"/>
                <w:highlight w:val="none"/>
              </w:rPr>
              <w:t>自行踏勘</w:t>
            </w:r>
          </w:p>
          <w:p>
            <w:pPr>
              <w:autoSpaceDN w:val="0"/>
              <w:snapToGrid w:val="0"/>
              <w:spacing w:line="276" w:lineRule="auto"/>
              <w:jc w:val="left"/>
              <w:rPr>
                <w:rFonts w:ascii="仿宋" w:hAnsi="仿宋" w:eastAsia="仿宋" w:cs="Arial"/>
                <w:color w:val="auto"/>
                <w:sz w:val="24"/>
                <w:szCs w:val="24"/>
                <w:highlight w:val="none"/>
              </w:rPr>
            </w:pPr>
            <w:r>
              <w:rPr>
                <w:rFonts w:ascii="仿宋" w:hAnsi="仿宋" w:eastAsia="仿宋" w:cs="Times New Roman"/>
                <w:color w:val="auto"/>
                <w:sz w:val="24"/>
                <w:szCs w:val="24"/>
                <w:highlight w:val="none"/>
              </w:rPr>
              <w:sym w:font="Wingdings" w:char="F06F"/>
            </w:r>
            <w:r>
              <w:rPr>
                <w:rFonts w:hint="eastAsia" w:ascii="仿宋" w:hAnsi="仿宋" w:eastAsia="仿宋" w:cs="Times New Roman"/>
                <w:color w:val="auto"/>
                <w:sz w:val="24"/>
                <w:szCs w:val="24"/>
                <w:highlight w:val="none"/>
              </w:rPr>
              <w:t>集中踏勘</w:t>
            </w:r>
          </w:p>
          <w:p>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供应商</w:t>
            </w:r>
            <w:r>
              <w:rPr>
                <w:rFonts w:ascii="仿宋" w:hAnsi="仿宋" w:eastAsia="仿宋" w:cs="Arial"/>
                <w:b/>
                <w:color w:val="auto"/>
                <w:sz w:val="24"/>
                <w:szCs w:val="24"/>
                <w:highlight w:val="none"/>
              </w:rPr>
              <w:t>自行现场踏勘</w:t>
            </w: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踏勘期间发生的费用或意外导致伤亡等一切责任和损失均由供应商自行承担。</w:t>
            </w:r>
          </w:p>
          <w:p>
            <w:pPr>
              <w:autoSpaceDN w:val="0"/>
              <w:adjustRightInd w:val="0"/>
              <w:snapToGrid w:val="0"/>
              <w:spacing w:line="360" w:lineRule="auto"/>
              <w:rPr>
                <w:rFonts w:hint="default" w:ascii="仿宋" w:hAnsi="仿宋" w:eastAsia="仿宋" w:cs="宋体"/>
                <w:color w:val="auto"/>
                <w:sz w:val="24"/>
                <w:szCs w:val="24"/>
                <w:highlight w:val="none"/>
                <w:lang w:val="en-US"/>
              </w:rPr>
            </w:pPr>
            <w:r>
              <w:rPr>
                <w:rFonts w:ascii="仿宋" w:hAnsi="仿宋" w:eastAsia="仿宋" w:cs="Arial"/>
                <w:b/>
                <w:color w:val="auto"/>
                <w:sz w:val="24"/>
                <w:szCs w:val="24"/>
                <w:highlight w:val="none"/>
              </w:rPr>
              <w:t>踏勘联系人：</w:t>
            </w:r>
            <w:r>
              <w:rPr>
                <w:rFonts w:hint="eastAsia" w:ascii="仿宋" w:hAnsi="仿宋" w:eastAsia="仿宋" w:cs="Arial"/>
                <w:b/>
                <w:bCs w:val="0"/>
                <w:color w:val="auto"/>
                <w:sz w:val="24"/>
                <w:szCs w:val="24"/>
                <w:highlight w:val="none"/>
                <w:lang w:val="en-US" w:eastAsia="zh-CN"/>
              </w:rPr>
              <w:t>裴老师</w:t>
            </w:r>
            <w:r>
              <w:rPr>
                <w:rFonts w:ascii="仿宋" w:hAnsi="仿宋" w:eastAsia="仿宋" w:cs="Arial"/>
                <w:b/>
                <w:color w:val="auto"/>
                <w:sz w:val="24"/>
                <w:szCs w:val="24"/>
                <w:highlight w:val="none"/>
              </w:rPr>
              <w:t xml:space="preserve"> 联系电话：</w:t>
            </w:r>
            <w:r>
              <w:rPr>
                <w:rFonts w:hint="eastAsia" w:ascii="仿宋" w:hAnsi="仿宋" w:eastAsia="仿宋" w:cs="Arial"/>
                <w:b/>
                <w:bCs w:val="0"/>
                <w:color w:val="auto"/>
                <w:sz w:val="24"/>
                <w:szCs w:val="24"/>
                <w:highlight w:val="none"/>
                <w:lang w:val="en-US" w:eastAsia="zh-CN"/>
              </w:rPr>
              <w:t>0571-85290090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供应商如认为采购文件表述不清晰、前后矛盾等内容的，应当在响应文件递交截止日</w:t>
            </w:r>
            <w:r>
              <w:rPr>
                <w:rFonts w:hint="eastAsia" w:ascii="仿宋" w:hAnsi="仿宋" w:eastAsia="仿宋" w:cs="宋体"/>
                <w:color w:val="auto"/>
                <w:sz w:val="24"/>
                <w:szCs w:val="24"/>
                <w:highlight w:val="none"/>
                <w:u w:val="single"/>
              </w:rPr>
              <w:t>5</w:t>
            </w:r>
            <w:r>
              <w:rPr>
                <w:rFonts w:hint="eastAsia" w:ascii="仿宋" w:hAnsi="仿宋" w:eastAsia="仿宋" w:cs="宋体"/>
                <w:color w:val="auto"/>
                <w:sz w:val="24"/>
                <w:szCs w:val="24"/>
                <w:highlight w:val="none"/>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3262" w:type="pct"/>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r>
              <w:rPr>
                <w:rFonts w:hint="eastAsia" w:ascii="仿宋" w:hAnsi="仿宋" w:eastAsia="仿宋" w:cs="Arial"/>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Arial"/>
                <w:b/>
                <w:color w:val="auto"/>
                <w:sz w:val="24"/>
                <w:szCs w:val="24"/>
                <w:highlight w:val="none"/>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1.本项目应以人民币报价；</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pPr>
              <w:autoSpaceDN w:val="0"/>
              <w:snapToGrid w:val="0"/>
              <w:spacing w:line="276"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（5）收件人：陈梦菲  电话：</w:t>
            </w:r>
            <w:r>
              <w:rPr>
                <w:rFonts w:hint="eastAsia" w:ascii="仿宋" w:hAnsi="仿宋" w:eastAsia="仿宋" w:cs="Arial"/>
                <w:color w:val="auto"/>
                <w:sz w:val="24"/>
                <w:szCs w:val="24"/>
                <w:highlight w:val="none"/>
              </w:rPr>
              <w:t>0571-87981527</w:t>
            </w:r>
            <w:r>
              <w:rPr>
                <w:rFonts w:hint="eastAsia" w:ascii="仿宋" w:hAnsi="仿宋" w:eastAsia="仿宋" w:cs="宋体"/>
                <w:color w:val="auto"/>
                <w:kern w:val="0"/>
                <w:sz w:val="24"/>
                <w:szCs w:val="24"/>
                <w:highlight w:val="none"/>
              </w:rPr>
              <w:t>，收件地址：杭州市拱墅区大关路179号远洋国际中心A座17楼1706室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14</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rPr>
              <w:t>2024年</w:t>
            </w:r>
            <w:r>
              <w:rPr>
                <w:rFonts w:hint="eastAsia" w:ascii="仿宋" w:hAnsi="仿宋" w:eastAsia="仿宋" w:cs="宋体"/>
                <w:b/>
                <w:color w:val="auto"/>
                <w:sz w:val="24"/>
                <w:szCs w:val="24"/>
                <w:highlight w:val="none"/>
                <w:u w:val="single"/>
                <w:lang w:val="en-US" w:eastAsia="zh-CN"/>
              </w:rPr>
              <w:t>06</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18</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14</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00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u w:val="single"/>
              </w:rPr>
              <w:fldChar w:fldCharType="end"/>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优先采购节能产品；</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▲根据《关于印发节能产品政府采购品目清单的通知》的要求，涉及强制采购节能产品的材料（设备），本工程必须按照通知的要求使用强制采购节能产品的材料（设备）。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投标人在投标总报价中综合考虑。</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中标供应商应当自</w:t>
            </w:r>
            <w:r>
              <w:rPr>
                <w:rFonts w:hint="eastAsia" w:ascii="仿宋" w:hAnsi="仿宋" w:eastAsia="仿宋" w:cs="Arial"/>
                <w:color w:val="auto"/>
                <w:kern w:val="0"/>
                <w:sz w:val="24"/>
                <w:highlight w:val="none"/>
              </w:rPr>
              <w:t>成交供应商确定后7日内</w:t>
            </w:r>
            <w:r>
              <w:rPr>
                <w:rFonts w:hint="eastAsia" w:ascii="仿宋" w:hAnsi="仿宋" w:eastAsia="仿宋" w:cs="宋体"/>
                <w:color w:val="auto"/>
                <w:sz w:val="24"/>
                <w:szCs w:val="24"/>
                <w:highlight w:val="none"/>
              </w:rPr>
              <w:t>一次性向采购代理机构支付代理服务费，并在响应文件中出具代理服务费支付承诺书（格式见第六章）。</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2、代理服务费支付：</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 代理服务费缴纳形式：汇票/支票/电汇/现金</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 代理服务费汇入以下账户 ：</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收款单位（户名）：浙江豪圣建设项目管理有限公司</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  户：上海浦东发展银行股份有限公司杭州和睦支行</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账  号：95160154800000653</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A3"/>
            </w:r>
            <w:r>
              <w:rPr>
                <w:rFonts w:ascii="仿宋" w:hAnsi="仿宋" w:eastAsia="仿宋" w:cs="宋体"/>
                <w:color w:val="auto"/>
                <w:sz w:val="24"/>
                <w:szCs w:val="24"/>
                <w:highlight w:val="none"/>
              </w:rPr>
              <w:t xml:space="preserve"> 不要求提供</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52"/>
            </w:r>
            <w:r>
              <w:rPr>
                <w:rFonts w:ascii="仿宋" w:hAnsi="仿宋" w:eastAsia="仿宋" w:cs="宋体"/>
                <w:color w:val="auto"/>
                <w:sz w:val="24"/>
                <w:szCs w:val="24"/>
                <w:highlight w:val="none"/>
              </w:rPr>
              <w:t xml:space="preserve"> 要求提供：</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1、金额为合同金额的</w:t>
            </w:r>
            <w:r>
              <w:rPr>
                <w:rFonts w:hint="eastAsia" w:ascii="仿宋" w:hAnsi="仿宋" w:eastAsia="仿宋" w:cs="宋体"/>
                <w:color w:val="auto"/>
                <w:sz w:val="24"/>
                <w:szCs w:val="24"/>
                <w:highlight w:val="none"/>
              </w:rPr>
              <w:t>2</w:t>
            </w:r>
            <w:r>
              <w:rPr>
                <w:rFonts w:ascii="仿宋" w:hAnsi="仿宋" w:eastAsia="仿宋" w:cs="宋体"/>
                <w:color w:val="auto"/>
                <w:sz w:val="24"/>
                <w:szCs w:val="24"/>
                <w:highlight w:val="none"/>
              </w:rPr>
              <w:t>%</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2、合同签订后7日内向采购人缴纳履约保证金，以</w:t>
            </w:r>
            <w:r>
              <w:rPr>
                <w:rFonts w:hint="eastAsia" w:ascii="仿宋" w:hAnsi="仿宋" w:eastAsia="仿宋" w:cs="宋体"/>
                <w:color w:val="auto"/>
                <w:sz w:val="24"/>
                <w:szCs w:val="24"/>
                <w:highlight w:val="none"/>
              </w:rPr>
              <w:t>电汇、汇票、支票形式或银行、保险公司出具的保函</w:t>
            </w:r>
            <w:r>
              <w:rPr>
                <w:rFonts w:ascii="仿宋" w:hAnsi="仿宋" w:eastAsia="仿宋" w:cs="宋体"/>
                <w:color w:val="auto"/>
                <w:sz w:val="24"/>
                <w:szCs w:val="24"/>
                <w:highlight w:val="none"/>
              </w:rPr>
              <w:t>形式递交，项目验收结束后无息退还。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审定价的</w:t>
            </w:r>
            <w:r>
              <w:rPr>
                <w:rFonts w:hint="eastAsia" w:ascii="仿宋" w:hAnsi="仿宋" w:eastAsia="仿宋" w:cs="宋体"/>
                <w:color w:val="auto"/>
                <w:sz w:val="24"/>
                <w:szCs w:val="24"/>
                <w:highlight w:val="none"/>
              </w:rPr>
              <w:t>1.5%</w:t>
            </w:r>
            <w:r>
              <w:rPr>
                <w:rFonts w:hint="eastAsia" w:ascii="仿宋" w:hAnsi="仿宋" w:eastAsia="仿宋" w:cs="宋体"/>
                <w:color w:val="auto"/>
                <w:sz w:val="24"/>
                <w:szCs w:val="24"/>
                <w:highlight w:val="none"/>
              </w:rPr>
              <w:t>，按《工程质量保修书》的有关规定退还。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施工水电费按工程竣工结算审定价的</w:t>
            </w:r>
            <w:r>
              <w:rPr>
                <w:rFonts w:hint="eastAsia" w:ascii="仿宋" w:hAnsi="仿宋" w:eastAsia="仿宋" w:cs="宋体"/>
                <w:color w:val="auto"/>
                <w:sz w:val="24"/>
                <w:szCs w:val="24"/>
                <w:highlight w:val="none"/>
                <w:lang w:val="en-US" w:eastAsia="zh-CN"/>
              </w:rPr>
              <w:t>0.5</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rPr>
              <w:t>计算，在结算审定款中直接扣除。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E w:val="0"/>
              <w:autoSpaceDN w:val="0"/>
              <w:snapToGrid w:val="0"/>
              <w:spacing w:line="276" w:lineRule="auto"/>
              <w:textAlignment w:val="bottom"/>
              <w:rPr>
                <w:rFonts w:ascii="仿宋" w:hAnsi="仿宋" w:eastAsia="仿宋" w:cs="Arial"/>
                <w:b/>
                <w:color w:val="auto"/>
                <w:sz w:val="24"/>
                <w:szCs w:val="24"/>
                <w:highlight w:val="none"/>
              </w:rPr>
            </w:pPr>
            <w:r>
              <w:rPr>
                <w:rFonts w:hint="eastAsia" w:ascii="仿宋" w:hAnsi="仿宋" w:eastAsia="仿宋" w:cs="Arial"/>
                <w:b/>
                <w:bCs/>
                <w:color w:val="auto"/>
                <w:sz w:val="24"/>
                <w:szCs w:val="24"/>
                <w:highlight w:val="none"/>
              </w:rPr>
              <w:t>（5）</w:t>
            </w:r>
            <w:r>
              <w:rPr>
                <w:rFonts w:hint="eastAsia" w:ascii="仿宋" w:hAnsi="仿宋" w:eastAsia="仿宋" w:cs="Arial"/>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auto"/>
                <w:sz w:val="24"/>
                <w:szCs w:val="24"/>
                <w:highlight w:val="none"/>
              </w:rPr>
              <w:t>。</w:t>
            </w:r>
          </w:p>
        </w:tc>
      </w:tr>
    </w:tbl>
    <w:p>
      <w:pPr>
        <w:autoSpaceDN w:val="0"/>
        <w:snapToGrid w:val="0"/>
        <w:spacing w:line="360" w:lineRule="auto"/>
        <w:rPr>
          <w:rFonts w:ascii="仿宋" w:hAnsi="仿宋" w:eastAsia="仿宋" w:cs="宋体"/>
          <w:color w:val="auto"/>
          <w:sz w:val="24"/>
          <w:szCs w:val="24"/>
          <w:highlight w:val="none"/>
        </w:rPr>
      </w:pPr>
    </w:p>
    <w:p>
      <w:pPr>
        <w:rPr>
          <w:rFonts w:ascii="Times New Roman" w:hAnsi="仿宋" w:eastAsia="仿宋" w:cs="Times New Roman"/>
          <w:b/>
          <w:bCs/>
          <w:color w:val="auto"/>
          <w:sz w:val="28"/>
          <w:szCs w:val="28"/>
          <w:highlight w:val="none"/>
        </w:rPr>
      </w:pPr>
      <w:bookmarkStart w:id="37" w:name="_Toc82338239"/>
      <w:bookmarkStart w:id="38" w:name="_Toc82873322"/>
      <w:bookmarkStart w:id="39" w:name="_Toc96947060"/>
      <w:r>
        <w:rPr>
          <w:rFonts w:hint="eastAsia" w:ascii="Times New Roman" w:hAnsi="仿宋" w:eastAsia="仿宋" w:cs="Times New Roman"/>
          <w:b/>
          <w:bCs/>
          <w:color w:val="auto"/>
          <w:sz w:val="28"/>
          <w:szCs w:val="28"/>
          <w:highlight w:val="none"/>
        </w:rPr>
        <w:br w:type="page"/>
      </w:r>
    </w:p>
    <w:p>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40" w:name="_Toc19240"/>
      <w:r>
        <w:rPr>
          <w:rFonts w:hint="eastAsia" w:ascii="Times New Roman" w:hAnsi="仿宋" w:eastAsia="仿宋" w:cs="Times New Roman"/>
          <w:b/>
          <w:bCs/>
          <w:color w:val="auto"/>
          <w:sz w:val="28"/>
          <w:szCs w:val="28"/>
          <w:highlight w:val="none"/>
        </w:rPr>
        <w:t>一、</w:t>
      </w:r>
      <w:bookmarkEnd w:id="37"/>
      <w:bookmarkEnd w:id="38"/>
      <w:r>
        <w:rPr>
          <w:rFonts w:hint="eastAsia" w:ascii="Times New Roman" w:hAnsi="仿宋" w:eastAsia="仿宋" w:cs="Times New Roman"/>
          <w:b/>
          <w:bCs/>
          <w:color w:val="auto"/>
          <w:sz w:val="28"/>
          <w:szCs w:val="28"/>
          <w:highlight w:val="none"/>
        </w:rPr>
        <w:t>总则</w:t>
      </w:r>
      <w:bookmarkEnd w:id="39"/>
      <w:bookmarkEnd w:id="40"/>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41" w:name="_Toc82873323"/>
      <w:bookmarkStart w:id="42" w:name="_Toc82338240"/>
      <w:r>
        <w:rPr>
          <w:rFonts w:hint="eastAsia" w:ascii="仿宋" w:hAnsi="仿宋" w:eastAsia="仿宋" w:cs="Times New Roman"/>
          <w:b/>
          <w:bCs/>
          <w:color w:val="auto"/>
          <w:sz w:val="24"/>
          <w:szCs w:val="32"/>
          <w:highlight w:val="none"/>
        </w:rPr>
        <w:t>1.1、实施依据及适用范围</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lang w:eastAsia="zh-CN"/>
        </w:rPr>
        <w:t>浙江工业大学朝晖校区教学区生活供水管网改造工程</w:t>
      </w:r>
      <w:r>
        <w:rPr>
          <w:rFonts w:hint="eastAsia" w:ascii="仿宋" w:hAnsi="仿宋" w:eastAsia="仿宋" w:cs="Times New Roman"/>
          <w:color w:val="auto"/>
          <w:kern w:val="0"/>
          <w:sz w:val="24"/>
          <w:szCs w:val="20"/>
          <w:highlight w:val="none"/>
          <w:u w:val="single"/>
        </w:rPr>
        <w:t>（项目编号：</w:t>
      </w:r>
      <w:r>
        <w:rPr>
          <w:rFonts w:hint="eastAsia" w:ascii="仿宋" w:hAnsi="仿宋" w:eastAsia="仿宋" w:cs="Times New Roman"/>
          <w:color w:val="auto"/>
          <w:kern w:val="0"/>
          <w:sz w:val="24"/>
          <w:szCs w:val="20"/>
          <w:highlight w:val="none"/>
          <w:u w:val="single"/>
          <w:lang w:eastAsia="zh-CN"/>
        </w:rPr>
        <w:t>HSZB-2024-491</w:t>
      </w:r>
      <w:r>
        <w:rPr>
          <w:rFonts w:hint="eastAsia" w:ascii="仿宋" w:hAnsi="仿宋" w:eastAsia="仿宋" w:cs="Times New Roman"/>
          <w:color w:val="auto"/>
          <w:kern w:val="0"/>
          <w:sz w:val="24"/>
          <w:szCs w:val="20"/>
          <w:highlight w:val="none"/>
          <w:u w:val="single"/>
        </w:rPr>
        <w:t>）</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1.2.10工期：</w:t>
      </w:r>
      <w:r>
        <w:rPr>
          <w:rFonts w:hint="eastAsia" w:ascii="仿宋" w:hAnsi="仿宋" w:eastAsia="仿宋" w:cs="Times New Roman"/>
          <w:b/>
          <w:color w:val="auto"/>
          <w:sz w:val="24"/>
          <w:szCs w:val="20"/>
          <w:highlight w:val="none"/>
          <w:u w:val="single"/>
        </w:rPr>
        <w:t>见《磋商须知前附表》。</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rPr>
        <w:t>浙江工业大学</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浙江豪圣建设项目管理有限公司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0"/>
        <w:rPr>
          <w:rFonts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pPr>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pPr>
        <w:keepNext/>
        <w:keepLines/>
        <w:autoSpaceDN w:val="0"/>
        <w:spacing w:before="260" w:after="260" w:line="415" w:lineRule="auto"/>
        <w:outlineLvl w:val="1"/>
        <w:rPr>
          <w:rFonts w:ascii="Times New Roman" w:hAnsi="仿宋" w:eastAsia="仿宋" w:cs="Times New Roman"/>
          <w:b/>
          <w:bCs/>
          <w:color w:val="auto"/>
          <w:sz w:val="28"/>
          <w:szCs w:val="28"/>
          <w:highlight w:val="none"/>
        </w:rPr>
      </w:pPr>
      <w:bookmarkStart w:id="43" w:name="_Toc96947061"/>
      <w:bookmarkStart w:id="44" w:name="_Toc19497"/>
      <w:bookmarkStart w:id="45" w:name="_Toc29661"/>
      <w:bookmarkStart w:id="46" w:name="_Toc10168"/>
      <w:r>
        <w:rPr>
          <w:rFonts w:hint="eastAsia" w:ascii="Times New Roman" w:hAnsi="仿宋" w:eastAsia="仿宋" w:cs="Times New Roman"/>
          <w:b/>
          <w:bCs/>
          <w:color w:val="auto"/>
          <w:sz w:val="28"/>
          <w:szCs w:val="28"/>
          <w:highlight w:val="none"/>
        </w:rPr>
        <w:t>二、落实的政府采购政策</w:t>
      </w:r>
      <w:bookmarkEnd w:id="43"/>
      <w:bookmarkEnd w:id="44"/>
    </w:p>
    <w:p>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bookmarkStart w:id="47" w:name="_Toc82338241"/>
      <w:bookmarkStart w:id="48" w:name="_Toc82873324"/>
      <w:r>
        <w:rPr>
          <w:rFonts w:hint="eastAsia" w:ascii="仿宋" w:hAnsi="仿宋" w:eastAsia="仿宋" w:cs="仿宋"/>
          <w:b/>
          <w:bCs/>
          <w:color w:val="auto"/>
          <w:sz w:val="24"/>
          <w:szCs w:val="32"/>
          <w:highlight w:val="none"/>
        </w:rPr>
        <w:t>2.1 支持中小企业发展</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2.1.2 本项目中小企业划分标准所属行业：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（2）在工程采购项目中，工程由中小企业承建，即工程施工单位为中小企业；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2.1.4对于未预留份额专门面向中小企业采购的采购项目，以及预留份额项目中的非预留部分采购包，对小微企业报价给予3%的扣除，用扣除后的价格参加评审。</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的供应商应按照磋商响应文件格式要求提供《中小企业声明函》。</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2.2 节能、环保产品政府采购实施相关规定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2.2.5本次采购对属于品目清单范围但不属于政府强制采购产品的，实施优先采购，详见第七章评分标准中有关节能、环保评分内容。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2.2.7国家确定的认证机构以国家市场监管总局发布的参与实施政府采购节能产品、环境标志产品认证机构名录为准，详见第八章附件（如遇调整，请以最新公布的为准）。</w:t>
      </w:r>
      <w:bookmarkEnd w:id="47"/>
      <w:bookmarkEnd w:id="48"/>
    </w:p>
    <w:bookmarkEnd w:id="45"/>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49" w:name="_Toc1246"/>
      <w:bookmarkStart w:id="50" w:name="_Toc96947062"/>
      <w:r>
        <w:rPr>
          <w:rFonts w:hint="eastAsia" w:ascii="仿宋" w:hAnsi="仿宋" w:eastAsia="仿宋" w:cs="Times New Roman"/>
          <w:b/>
          <w:bCs/>
          <w:color w:val="auto"/>
          <w:sz w:val="28"/>
          <w:szCs w:val="28"/>
          <w:highlight w:val="none"/>
        </w:rPr>
        <w:t>三、竞争性磋商文件</w:t>
      </w:r>
      <w:bookmarkEnd w:id="46"/>
      <w:bookmarkEnd w:id="49"/>
      <w:bookmarkEnd w:id="50"/>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磋商响应文件格式</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pPr>
        <w:numPr>
          <w:ilvl w:val="0"/>
          <w:numId w:val="6"/>
        </w:numPr>
        <w:autoSpaceDN w:val="0"/>
        <w:adjustRightInd w:val="0"/>
        <w:spacing w:line="360" w:lineRule="auto"/>
        <w:ind w:left="425"/>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1" w:name="_Toc1284"/>
      <w:bookmarkStart w:id="52" w:name="_Toc96947063"/>
      <w:r>
        <w:rPr>
          <w:rFonts w:hint="eastAsia" w:ascii="仿宋" w:hAnsi="仿宋" w:eastAsia="仿宋" w:cs="Times New Roman"/>
          <w:b/>
          <w:bCs/>
          <w:color w:val="auto"/>
          <w:sz w:val="28"/>
          <w:szCs w:val="28"/>
          <w:highlight w:val="none"/>
        </w:rPr>
        <w:t>四、磋商响应文件</w:t>
      </w:r>
      <w:bookmarkEnd w:id="51"/>
      <w:bookmarkEnd w:id="52"/>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pPr>
        <w:autoSpaceDN w:val="0"/>
        <w:spacing w:line="360" w:lineRule="auto"/>
        <w:ind w:firstLine="426" w:firstLineChars="177"/>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pPr>
        <w:keepNext/>
        <w:keepLines/>
        <w:autoSpaceDN w:val="0"/>
        <w:spacing w:before="97" w:beforeLines="30" w:after="97" w:afterLines="30" w:line="360" w:lineRule="auto"/>
        <w:ind w:firstLine="284"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符合“申请人的资格要求”第1条规定的证明文件</w:t>
      </w:r>
      <w:r>
        <w:rPr>
          <w:rFonts w:hint="eastAsia" w:ascii="仿宋" w:hAnsi="仿宋" w:eastAsia="仿宋" w:cs="Arial"/>
          <w:bCs/>
          <w:color w:val="auto"/>
          <w:w w:val="90"/>
          <w:kern w:val="0"/>
          <w:sz w:val="24"/>
          <w:szCs w:val="24"/>
          <w:highlight w:val="none"/>
        </w:rPr>
        <w:t>的证明文件：</w:t>
      </w:r>
    </w:p>
    <w:p>
      <w:pPr>
        <w:autoSpaceDN w:val="0"/>
        <w:spacing w:line="360" w:lineRule="auto"/>
        <w:ind w:firstLine="432" w:firstLineChars="200"/>
        <w:rPr>
          <w:rFonts w:ascii="仿宋" w:hAnsi="仿宋" w:eastAsia="仿宋" w:cs="Arial"/>
          <w:b/>
          <w:color w:val="auto"/>
          <w:w w:val="90"/>
          <w:kern w:val="0"/>
          <w:sz w:val="24"/>
          <w:szCs w:val="24"/>
          <w:highlight w:val="none"/>
        </w:rPr>
      </w:pPr>
      <w:bookmarkStart w:id="53" w:name="_Hlk96938544"/>
      <w:r>
        <w:rPr>
          <w:rFonts w:hint="eastAsia" w:ascii="仿宋" w:hAnsi="仿宋" w:eastAsia="仿宋" w:cs="Arial"/>
          <w:color w:val="auto"/>
          <w:w w:val="90"/>
          <w:kern w:val="0"/>
          <w:sz w:val="24"/>
          <w:szCs w:val="24"/>
          <w:highlight w:val="none"/>
        </w:rPr>
        <w:t>▲</w:t>
      </w:r>
      <w:bookmarkEnd w:id="53"/>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pPr>
        <w:autoSpaceDN w:val="0"/>
        <w:spacing w:line="360" w:lineRule="auto"/>
        <w:ind w:firstLine="651" w:firstLineChars="3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pPr>
        <w:autoSpaceDN w:val="0"/>
        <w:spacing w:line="360" w:lineRule="auto"/>
        <w:ind w:firstLine="432" w:firstLineChars="200"/>
        <w:rPr>
          <w:rFonts w:ascii="仿宋" w:hAnsi="仿宋" w:eastAsia="仿宋" w:cs="Arial"/>
          <w:color w:val="auto"/>
          <w:w w:val="90"/>
          <w:kern w:val="0"/>
          <w:sz w:val="24"/>
          <w:szCs w:val="24"/>
          <w:highlight w:val="none"/>
        </w:rPr>
      </w:pPr>
      <w:bookmarkStart w:id="54" w:name="_Hlk96939541"/>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u w:val="single"/>
        </w:rPr>
        <w:t>1-2 符合“申请人的资格要求”第2条“落实政府采购政策需满足的资格要求”规定的证明文件</w:t>
      </w:r>
    </w:p>
    <w:p>
      <w:pPr>
        <w:widowControl/>
        <w:autoSpaceDE w:val="0"/>
        <w:autoSpaceDN w:val="0"/>
        <w:spacing w:line="360" w:lineRule="auto"/>
        <w:ind w:firstLine="432" w:firstLineChars="200"/>
        <w:outlineLvl w:val="2"/>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 xml:space="preserve"> 中小企业声明函（格式见第六章）</w:t>
      </w:r>
    </w:p>
    <w:p>
      <w:pPr>
        <w:autoSpaceDN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，还须同时提供该企业为监狱企业的证明文件），视同为小型和微型企业。</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符合“申请人的资格要求”第3条“本项目的特定资格要求”的证明文件</w:t>
      </w:r>
      <w:r>
        <w:rPr>
          <w:rFonts w:hint="eastAsia" w:ascii="仿宋" w:hAnsi="仿宋" w:eastAsia="仿宋" w:cs="Arial"/>
          <w:color w:val="auto"/>
          <w:w w:val="90"/>
          <w:kern w:val="0"/>
          <w:sz w:val="24"/>
          <w:szCs w:val="24"/>
          <w:highlight w:val="none"/>
        </w:rPr>
        <w:t>的证明材料：</w:t>
      </w:r>
      <w:r>
        <w:rPr>
          <w:rFonts w:hint="eastAsia" w:ascii="仿宋" w:hAnsi="仿宋" w:eastAsia="仿宋" w:cs="Arial"/>
          <w:b/>
          <w:color w:val="auto"/>
          <w:w w:val="90"/>
          <w:kern w:val="0"/>
          <w:sz w:val="24"/>
          <w:szCs w:val="24"/>
          <w:highlight w:val="none"/>
        </w:rPr>
        <w:t>（格式见第六章）</w:t>
      </w:r>
    </w:p>
    <w:bookmarkEnd w:id="54"/>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1-4联合投标协议书（仅联合体适用）（格式见第六章）</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1-5有效的《分包意向协议》（仅分包适用）</w:t>
      </w:r>
      <w:bookmarkStart w:id="55" w:name="_Hlk106785833"/>
      <w:r>
        <w:rPr>
          <w:rFonts w:hint="eastAsia" w:ascii="仿宋" w:hAnsi="仿宋" w:eastAsia="仿宋" w:cs="Arial"/>
          <w:b/>
          <w:color w:val="auto"/>
          <w:w w:val="90"/>
          <w:kern w:val="0"/>
          <w:sz w:val="24"/>
          <w:szCs w:val="24"/>
          <w:highlight w:val="none"/>
        </w:rPr>
        <w:t>（格式见第六章）</w:t>
      </w:r>
      <w:bookmarkEnd w:id="55"/>
    </w:p>
    <w:p>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pPr>
        <w:autoSpaceDN w:val="0"/>
        <w:spacing w:line="360" w:lineRule="auto"/>
        <w:ind w:firstLine="434" w:firstLineChars="200"/>
        <w:jc w:val="left"/>
        <w:rPr>
          <w:rFonts w:ascii="仿宋" w:hAnsi="仿宋" w:eastAsia="仿宋" w:cs="Times New Roman"/>
          <w:b/>
          <w:bCs/>
          <w:color w:val="auto"/>
          <w:sz w:val="24"/>
          <w:szCs w:val="24"/>
          <w:highlight w:val="none"/>
        </w:rPr>
      </w:pPr>
      <w:bookmarkStart w:id="56" w:name="_Hlk96939561"/>
      <w:r>
        <w:rPr>
          <w:rFonts w:hint="eastAsia" w:ascii="仿宋" w:hAnsi="仿宋" w:eastAsia="仿宋" w:cs="Arial"/>
          <w:b/>
          <w:bCs/>
          <w:color w:val="auto"/>
          <w:w w:val="90"/>
          <w:kern w:val="0"/>
          <w:sz w:val="24"/>
          <w:szCs w:val="24"/>
          <w:highlight w:val="none"/>
        </w:rPr>
        <w:t>▲</w:t>
      </w:r>
      <w:bookmarkEnd w:id="56"/>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关于投标文件所有内容真实有效的承诺函：（格式见第六章）</w:t>
      </w:r>
    </w:p>
    <w:p>
      <w:pPr>
        <w:autoSpaceDN w:val="0"/>
        <w:spacing w:line="360" w:lineRule="auto"/>
        <w:ind w:firstLine="434" w:firstLineChars="200"/>
        <w:jc w:val="left"/>
        <w:rPr>
          <w:rFonts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pPr>
        <w:autoSpaceDN w:val="0"/>
        <w:spacing w:line="360" w:lineRule="auto"/>
        <w:ind w:firstLine="434" w:firstLineChars="200"/>
        <w:jc w:val="left"/>
        <w:rPr>
          <w:rFonts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磋商响应供应商履约能力评价证明材料</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磋商响应供应商类似项目业绩情况</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2-6</w:t>
      </w:r>
      <w:r>
        <w:rPr>
          <w:rFonts w:hint="eastAsia" w:ascii="仿宋" w:hAnsi="仿宋" w:eastAsia="仿宋" w:cs="Times New Roman"/>
          <w:b/>
          <w:bCs/>
          <w:color w:val="auto"/>
          <w:sz w:val="24"/>
          <w:szCs w:val="24"/>
          <w:highlight w:val="none"/>
          <w:u w:val="single"/>
        </w:rPr>
        <w:t>拟派项目经理类似项目业绩情况</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施工组织设计</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2-9</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2-10</w:t>
      </w:r>
      <w:r>
        <w:rPr>
          <w:rFonts w:hint="eastAsia" w:ascii="仿宋" w:hAnsi="仿宋" w:eastAsia="仿宋" w:cs="Times New Roman"/>
          <w:b/>
          <w:bCs/>
          <w:color w:val="auto"/>
          <w:sz w:val="24"/>
          <w:szCs w:val="24"/>
          <w:highlight w:val="none"/>
          <w:u w:val="single"/>
        </w:rPr>
        <w:t>节能、环保产品证明材料</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2-11</w:t>
      </w:r>
      <w:r>
        <w:rPr>
          <w:rFonts w:hint="eastAsia" w:ascii="仿宋" w:hAnsi="仿宋" w:eastAsia="仿宋" w:cs="Times New Roman"/>
          <w:b/>
          <w:bCs/>
          <w:color w:val="auto"/>
          <w:sz w:val="24"/>
          <w:szCs w:val="24"/>
          <w:highlight w:val="none"/>
          <w:u w:val="single"/>
        </w:rPr>
        <w:t>主要材料推荐品牌</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2-12</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pPr>
        <w:autoSpaceDN w:val="0"/>
        <w:spacing w:line="360" w:lineRule="auto"/>
        <w:ind w:firstLine="723" w:firstLineChars="3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投标函</w:t>
      </w:r>
      <w:r>
        <w:rPr>
          <w:rFonts w:hint="eastAsia" w:ascii="仿宋" w:hAnsi="仿宋" w:eastAsia="仿宋" w:cs="仿宋"/>
          <w:b/>
          <w:bCs/>
          <w:color w:val="auto"/>
          <w:sz w:val="24"/>
          <w:szCs w:val="24"/>
          <w:highlight w:val="none"/>
        </w:rPr>
        <w:t>；</w:t>
      </w:r>
    </w:p>
    <w:p>
      <w:pPr>
        <w:autoSpaceDN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u w:val="single"/>
        </w:rPr>
        <w:t>工程量清单及计价表</w:t>
      </w:r>
      <w:r>
        <w:rPr>
          <w:rFonts w:hint="eastAsia" w:ascii="仿宋" w:hAnsi="仿宋" w:eastAsia="仿宋" w:cs="仿宋"/>
          <w:b/>
          <w:bCs/>
          <w:color w:val="auto"/>
          <w:sz w:val="24"/>
          <w:szCs w:val="24"/>
          <w:highlight w:val="none"/>
        </w:rPr>
        <w:t>；</w:t>
      </w:r>
    </w:p>
    <w:p>
      <w:pPr>
        <w:autoSpaceDE w:val="0"/>
        <w:autoSpaceDN w:val="0"/>
        <w:adjustRightInd w:val="0"/>
        <w:spacing w:line="360" w:lineRule="auto"/>
        <w:ind w:firstLine="482" w:firstLineChars="200"/>
        <w:jc w:val="left"/>
        <w:rPr>
          <w:rFonts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pPr>
        <w:autoSpaceDN w:val="0"/>
        <w:spacing w:line="360" w:lineRule="auto"/>
        <w:ind w:firstLine="542" w:firstLineChars="22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pPr>
        <w:autoSpaceDN w:val="0"/>
        <w:spacing w:line="360" w:lineRule="auto"/>
        <w:ind w:firstLine="422" w:firstLineChars="175"/>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2" w:firstLineChars="175"/>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《第三章 磋商须知》规定和</w:t>
      </w:r>
      <w:r>
        <w:rPr>
          <w:rFonts w:hint="eastAsia" w:ascii="仿宋" w:hAnsi="仿宋" w:eastAsia="仿宋" w:cs="Arial"/>
          <w:b/>
          <w:color w:val="auto"/>
          <w:kern w:val="0"/>
          <w:sz w:val="24"/>
          <w:szCs w:val="24"/>
          <w:highlight w:val="none"/>
        </w:rPr>
        <w:t>《第六章 磋商响应文件格式》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磋商响应文件格式》中提供的相关报价格式填写；</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u w:val="single"/>
        </w:rPr>
        <w:t>4.5.3《磋商响应文件》针对每个标项每一轮只允许有一个报价，不接受有选择报价的磋商响应（作无效标处理）；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pPr>
        <w:autoSpaceDN w:val="0"/>
        <w:spacing w:before="120" w:after="120" w:line="360" w:lineRule="auto"/>
        <w:ind w:firstLine="480"/>
        <w:rPr>
          <w:rFonts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本次磋商报价为含税人民币价</w:t>
      </w:r>
      <w:r>
        <w:rPr>
          <w:rFonts w:hint="eastAsia" w:ascii="仿宋" w:hAnsi="仿宋" w:eastAsia="仿宋" w:cs="Arial"/>
          <w:b/>
          <w:color w:val="auto"/>
          <w:kern w:val="0"/>
          <w:sz w:val="24"/>
          <w:highlight w:val="none"/>
        </w:rPr>
        <w:t>。</w:t>
      </w:r>
    </w:p>
    <w:p>
      <w:pPr>
        <w:autoSpaceDN w:val="0"/>
        <w:adjustRightInd w:val="0"/>
        <w:snapToGrid w:val="0"/>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color w:val="auto"/>
          <w:sz w:val="24"/>
          <w:highlight w:val="none"/>
        </w:rPr>
        <w:t>4.5.7磋商报价为磋商响应供应商的磋商响应文件中提出的各项支付金额的总和。</w:t>
      </w:r>
    </w:p>
    <w:p>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pPr>
        <w:autoSpaceDN w:val="0"/>
        <w:spacing w:before="162" w:beforeLines="50" w:after="162" w:afterLines="50" w:line="360" w:lineRule="auto"/>
        <w:ind w:firstLine="420"/>
        <w:rPr>
          <w:rFonts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20"/>
        <w:rPr>
          <w:rFonts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color w:val="auto"/>
          <w:sz w:val="24"/>
          <w:szCs w:val="24"/>
          <w:highlight w:val="none"/>
        </w:rPr>
        <w:t>。</w:t>
      </w:r>
    </w:p>
    <w:p>
      <w:pPr>
        <w:autoSpaceDN w:val="0"/>
        <w:spacing w:before="162" w:beforeLines="50" w:after="162" w:afterLines="50" w:line="360" w:lineRule="auto"/>
        <w:ind w:firstLine="48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rPr>
        <w:t>4.5.11除非合同中另有规定，磋商响应供应商在磋商总价中的价格均包括完成该工程项目的直接费、间接费、利润、税金、风险费等所有费用；</w:t>
      </w:r>
    </w:p>
    <w:p>
      <w:pPr>
        <w:autoSpaceDN w:val="0"/>
        <w:spacing w:before="162" w:beforeLines="50" w:after="162"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pPr>
        <w:autoSpaceDN w:val="0"/>
        <w:spacing w:line="360" w:lineRule="auto"/>
        <w:ind w:firstLine="422" w:firstLineChars="175"/>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pPr>
        <w:autoSpaceDN w:val="0"/>
        <w:spacing w:line="360" w:lineRule="auto"/>
        <w:ind w:firstLine="424" w:firstLineChars="176"/>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7" w:name="_Toc82873325"/>
      <w:bookmarkStart w:id="58" w:name="_Toc82338242"/>
      <w:bookmarkStart w:id="59" w:name="_Toc11633"/>
      <w:bookmarkStart w:id="60" w:name="_Toc96947064"/>
      <w:r>
        <w:rPr>
          <w:rFonts w:hint="eastAsia" w:ascii="仿宋" w:hAnsi="仿宋" w:eastAsia="仿宋" w:cs="Times New Roman"/>
          <w:b/>
          <w:bCs/>
          <w:color w:val="auto"/>
          <w:sz w:val="28"/>
          <w:szCs w:val="28"/>
          <w:highlight w:val="none"/>
        </w:rPr>
        <w:t>五、</w:t>
      </w:r>
      <w:bookmarkEnd w:id="57"/>
      <w:bookmarkEnd w:id="58"/>
      <w:r>
        <w:rPr>
          <w:rFonts w:hint="eastAsia" w:ascii="仿宋" w:hAnsi="仿宋" w:eastAsia="仿宋" w:cs="Times New Roman"/>
          <w:b/>
          <w:bCs/>
          <w:color w:val="auto"/>
          <w:sz w:val="28"/>
          <w:szCs w:val="28"/>
          <w:highlight w:val="none"/>
        </w:rPr>
        <w:t>磋商响应</w:t>
      </w:r>
      <w:bookmarkEnd w:id="59"/>
      <w:bookmarkEnd w:id="60"/>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1" w:name="_Toc82338243"/>
      <w:bookmarkStart w:id="62" w:name="_Toc82873326"/>
      <w:r>
        <w:rPr>
          <w:rFonts w:hint="eastAsia" w:ascii="仿宋" w:hAnsi="仿宋" w:eastAsia="仿宋" w:cs="Times New Roman"/>
          <w:b/>
          <w:bCs/>
          <w:color w:val="auto"/>
          <w:sz w:val="24"/>
          <w:szCs w:val="32"/>
          <w:highlight w:val="none"/>
        </w:rPr>
        <w:t>5.1 磋商响应文件提交截止时间</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pPr>
        <w:autoSpaceDN w:val="0"/>
        <w:spacing w:line="360" w:lineRule="auto"/>
        <w:ind w:firstLine="426" w:firstLineChars="177"/>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3" w:name="_Toc640"/>
      <w:bookmarkStart w:id="64" w:name="_Toc96947065"/>
      <w:r>
        <w:rPr>
          <w:rFonts w:hint="eastAsia" w:ascii="仿宋" w:hAnsi="仿宋" w:eastAsia="仿宋" w:cs="Times New Roman"/>
          <w:b/>
          <w:bCs/>
          <w:color w:val="auto"/>
          <w:sz w:val="28"/>
          <w:szCs w:val="28"/>
          <w:highlight w:val="none"/>
        </w:rPr>
        <w:t>六、</w:t>
      </w:r>
      <w:bookmarkEnd w:id="61"/>
      <w:bookmarkEnd w:id="62"/>
      <w:r>
        <w:rPr>
          <w:rFonts w:hint="eastAsia" w:ascii="仿宋" w:hAnsi="仿宋" w:eastAsia="仿宋" w:cs="Times New Roman"/>
          <w:b/>
          <w:bCs/>
          <w:color w:val="auto"/>
          <w:sz w:val="28"/>
          <w:szCs w:val="28"/>
          <w:highlight w:val="none"/>
        </w:rPr>
        <w:t>开标</w:t>
      </w:r>
      <w:bookmarkEnd w:id="63"/>
      <w:bookmarkEnd w:id="64"/>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pPr>
        <w:autoSpaceDN w:val="0"/>
        <w:spacing w:line="360" w:lineRule="auto"/>
        <w:ind w:firstLine="424" w:firstLineChars="176"/>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pPr>
        <w:numPr>
          <w:ilvl w:val="0"/>
          <w:numId w:val="7"/>
        </w:num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p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w:t>
      </w:r>
    </w:p>
    <w:p>
      <w:pPr>
        <w:autoSpaceDN w:val="0"/>
        <w:spacing w:line="360" w:lineRule="auto"/>
        <w:ind w:firstLine="424" w:firstLineChars="177"/>
        <w:jc w:val="left"/>
        <w:rPr>
          <w:rFonts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pPr>
        <w:autoSpaceDN w:val="0"/>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pPr>
        <w:autoSpaceDN w:val="0"/>
        <w:spacing w:line="360" w:lineRule="auto"/>
        <w:ind w:firstLine="426" w:firstLineChars="177"/>
        <w:jc w:val="left"/>
        <w:rPr>
          <w:rFonts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5" w:name="_Toc32126"/>
      <w:bookmarkStart w:id="66" w:name="_Toc96947066"/>
      <w:r>
        <w:rPr>
          <w:rFonts w:hint="eastAsia" w:ascii="仿宋" w:hAnsi="仿宋" w:eastAsia="仿宋" w:cs="Times New Roman"/>
          <w:b/>
          <w:bCs/>
          <w:color w:val="auto"/>
          <w:sz w:val="28"/>
          <w:szCs w:val="28"/>
          <w:highlight w:val="none"/>
        </w:rPr>
        <w:t>七、评审</w:t>
      </w:r>
      <w:bookmarkEnd w:id="65"/>
      <w:bookmarkEnd w:id="66"/>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pPr>
        <w:autoSpaceDN w:val="0"/>
        <w:spacing w:line="360" w:lineRule="auto"/>
        <w:ind w:firstLine="426" w:firstLineChars="177"/>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pPr>
        <w:autoSpaceDN w:val="0"/>
        <w:spacing w:line="360" w:lineRule="auto"/>
        <w:ind w:firstLine="426" w:firstLineChars="177"/>
        <w:rPr>
          <w:rFonts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详细评审方法和标准见本竞争性磋商文件第七章《评审办法》</w:t>
      </w:r>
      <w:r>
        <w:rPr>
          <w:rFonts w:hint="eastAsia" w:ascii="仿宋" w:hAnsi="仿宋" w:eastAsia="仿宋" w:cs="Times New Roman"/>
          <w:color w:val="auto"/>
          <w:kern w:val="0"/>
          <w:szCs w:val="24"/>
          <w:highlight w:val="none"/>
        </w:rPr>
        <w:t>。</w:t>
      </w:r>
    </w:p>
    <w:p>
      <w:pPr>
        <w:autoSpaceDN w:val="0"/>
        <w:rPr>
          <w:rFonts w:ascii="仿宋" w:hAnsi="仿宋" w:eastAsia="仿宋" w:cs="Times New Roman"/>
          <w:color w:val="auto"/>
          <w:szCs w:val="24"/>
          <w:highlight w:val="none"/>
        </w:rPr>
      </w:pPr>
    </w:p>
    <w:p>
      <w:pPr>
        <w:keepNext/>
        <w:keepLines/>
        <w:autoSpaceDN w:val="0"/>
        <w:spacing w:before="260" w:after="260" w:line="415" w:lineRule="auto"/>
        <w:ind w:firstLine="281" w:firstLineChars="100"/>
        <w:outlineLvl w:val="1"/>
        <w:rPr>
          <w:rFonts w:ascii="仿宋" w:hAnsi="仿宋" w:eastAsia="仿宋" w:cs="Times New Roman"/>
          <w:b/>
          <w:bCs/>
          <w:color w:val="auto"/>
          <w:sz w:val="32"/>
          <w:szCs w:val="32"/>
          <w:highlight w:val="none"/>
        </w:rPr>
      </w:pPr>
      <w:bookmarkStart w:id="67" w:name="_Toc96947067"/>
      <w:bookmarkStart w:id="68" w:name="_Toc11895"/>
      <w:r>
        <w:rPr>
          <w:rFonts w:hint="eastAsia" w:ascii="仿宋" w:hAnsi="仿宋" w:eastAsia="仿宋" w:cs="Times New Roman"/>
          <w:b/>
          <w:bCs/>
          <w:color w:val="auto"/>
          <w:sz w:val="28"/>
          <w:szCs w:val="28"/>
          <w:highlight w:val="none"/>
        </w:rPr>
        <w:t>八、采购结果确认与公告</w:t>
      </w:r>
      <w:bookmarkEnd w:id="67"/>
      <w:bookmarkEnd w:id="68"/>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（2）采购人将在收到评审报告之日起5个工作日内，在评审报告推荐的成交候选供应商名单中按顺序确定1名成交供应商，并将确认意见以书面形式回复采购代理机构。</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pPr>
        <w:autoSpaceDN w:val="0"/>
        <w:spacing w:line="360" w:lineRule="auto"/>
        <w:ind w:firstLine="422" w:firstLineChars="175"/>
        <w:rPr>
          <w:rFonts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9.2.3成交通知书发出后，成交供应商无正当理由不得放弃成交。</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9" w:name="_Toc35391900"/>
      <w:r>
        <w:rPr>
          <w:rFonts w:hint="eastAsia" w:ascii="仿宋" w:hAnsi="仿宋" w:eastAsia="仿宋" w:cs="Times New Roman"/>
          <w:b/>
          <w:bCs/>
          <w:color w:val="auto"/>
          <w:sz w:val="24"/>
          <w:szCs w:val="32"/>
          <w:highlight w:val="none"/>
        </w:rPr>
        <w:t>8.3 采购过程、采购结果的质疑</w:t>
      </w:r>
    </w:p>
    <w:p>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0" w:name="_Toc96947068"/>
      <w:bookmarkStart w:id="71" w:name="_Toc17503"/>
      <w:r>
        <w:rPr>
          <w:rFonts w:hint="eastAsia" w:ascii="仿宋" w:hAnsi="仿宋" w:eastAsia="仿宋" w:cs="Times New Roman"/>
          <w:b/>
          <w:bCs/>
          <w:color w:val="auto"/>
          <w:sz w:val="28"/>
          <w:szCs w:val="28"/>
          <w:highlight w:val="none"/>
        </w:rPr>
        <w:t>九、采购代理服务费</w:t>
      </w:r>
      <w:bookmarkEnd w:id="69"/>
      <w:bookmarkEnd w:id="70"/>
      <w:bookmarkEnd w:id="71"/>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rPr>
        <w:t>成交供应商</w:t>
      </w:r>
      <w:r>
        <w:rPr>
          <w:rFonts w:hint="eastAsia" w:ascii="仿宋" w:hAnsi="仿宋" w:eastAsia="仿宋" w:cs="Arial"/>
          <w:b/>
          <w:color w:val="auto"/>
          <w:kern w:val="0"/>
          <w:sz w:val="24"/>
          <w:highlight w:val="none"/>
        </w:rPr>
        <w:t>；</w:t>
      </w:r>
    </w:p>
    <w:p>
      <w:pPr>
        <w:autoSpaceDN w:val="0"/>
        <w:spacing w:line="360" w:lineRule="auto"/>
        <w:ind w:right="42" w:rightChars="20" w:firstLine="426" w:firstLineChars="177"/>
        <w:rPr>
          <w:rFonts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highlight w:val="none"/>
        </w:rPr>
        <w:t>；</w:t>
      </w:r>
    </w:p>
    <w:p>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9.1.3缴纳时间：成交供应商确定后7日内，一次性缴纳；</w:t>
      </w:r>
    </w:p>
    <w:p>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9.1.5特别说明：</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6" w:firstLineChars="177"/>
        <w:rPr>
          <w:rFonts w:ascii="仿宋" w:hAnsi="仿宋" w:eastAsia="仿宋" w:cs="Arial"/>
          <w:color w:val="auto"/>
          <w:kern w:val="0"/>
          <w:sz w:val="22"/>
          <w:highlight w:val="none"/>
        </w:rPr>
      </w:pPr>
      <w:r>
        <w:rPr>
          <w:rFonts w:hint="eastAsia" w:ascii="仿宋" w:hAnsi="仿宋" w:eastAsia="仿宋" w:cs="Arial"/>
          <w:b/>
          <w:color w:val="auto"/>
          <w:sz w:val="24"/>
          <w:highlight w:val="none"/>
        </w:rPr>
        <w:t>9.1.6</w:t>
      </w:r>
      <w:r>
        <w:rPr>
          <w:rFonts w:hint="eastAsia" w:ascii="仿宋" w:hAnsi="仿宋" w:eastAsia="仿宋" w:cs="Arial"/>
          <w:b/>
          <w:color w:val="auto"/>
          <w:sz w:val="24"/>
          <w:szCs w:val="24"/>
          <w:highlight w:val="none"/>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2" w:name="_Toc440162792"/>
      <w:bookmarkStart w:id="73" w:name="_Toc424164160"/>
      <w:bookmarkStart w:id="74" w:name="_Toc7194"/>
      <w:bookmarkStart w:id="75" w:name="_Toc35391901"/>
      <w:bookmarkStart w:id="76" w:name="_Toc96947069"/>
      <w:r>
        <w:rPr>
          <w:rFonts w:hint="eastAsia" w:ascii="仿宋" w:hAnsi="仿宋" w:eastAsia="仿宋" w:cs="Times New Roman"/>
          <w:b/>
          <w:bCs/>
          <w:color w:val="auto"/>
          <w:sz w:val="28"/>
          <w:szCs w:val="28"/>
          <w:highlight w:val="none"/>
        </w:rPr>
        <w:t>十、</w:t>
      </w:r>
      <w:bookmarkEnd w:id="72"/>
      <w:bookmarkEnd w:id="73"/>
      <w:r>
        <w:rPr>
          <w:rFonts w:hint="eastAsia" w:ascii="仿宋" w:hAnsi="仿宋" w:eastAsia="仿宋" w:cs="Times New Roman"/>
          <w:b/>
          <w:bCs/>
          <w:color w:val="auto"/>
          <w:sz w:val="28"/>
          <w:szCs w:val="28"/>
          <w:highlight w:val="none"/>
        </w:rPr>
        <w:t>合同签订和履约担保</w:t>
      </w:r>
      <w:bookmarkEnd w:id="74"/>
      <w:bookmarkEnd w:id="75"/>
      <w:bookmarkEnd w:id="76"/>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须一次性向采购人支付合同总额30%的违约金。</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10.3.2质量保证金：</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7" w:name="_Toc19649"/>
      <w:bookmarkStart w:id="78" w:name="_Toc96947070"/>
      <w:bookmarkStart w:id="79" w:name="_Toc35391902"/>
      <w:r>
        <w:rPr>
          <w:rFonts w:hint="eastAsia" w:ascii="仿宋" w:hAnsi="仿宋" w:eastAsia="仿宋" w:cs="Times New Roman"/>
          <w:b/>
          <w:bCs/>
          <w:color w:val="auto"/>
          <w:sz w:val="28"/>
          <w:szCs w:val="28"/>
          <w:highlight w:val="none"/>
        </w:rPr>
        <w:t>十一、其他事项说明</w:t>
      </w:r>
      <w:bookmarkEnd w:id="77"/>
      <w:bookmarkEnd w:id="78"/>
      <w:bookmarkEnd w:id="79"/>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pPr>
        <w:autoSpaceDN w:val="0"/>
        <w:snapToGrid w:val="0"/>
        <w:spacing w:before="162" w:beforeLines="50" w:after="162" w:afterLines="50" w:line="360" w:lineRule="auto"/>
        <w:jc w:val="center"/>
        <w:outlineLvl w:val="0"/>
        <w:rPr>
          <w:rFonts w:ascii="仿宋" w:hAnsi="仿宋" w:eastAsia="仿宋" w:cs="宋体"/>
          <w:color w:val="auto"/>
          <w:kern w:val="0"/>
          <w:sz w:val="32"/>
          <w:szCs w:val="32"/>
          <w:highlight w:val="none"/>
        </w:rPr>
      </w:pPr>
      <w:bookmarkStart w:id="80" w:name="_Toc18106"/>
      <w:r>
        <w:rPr>
          <w:rFonts w:hint="eastAsia" w:ascii="仿宋" w:hAnsi="仿宋" w:eastAsia="仿宋" w:cs="宋体"/>
          <w:b/>
          <w:color w:val="auto"/>
          <w:kern w:val="0"/>
          <w:sz w:val="32"/>
          <w:szCs w:val="32"/>
          <w:highlight w:val="none"/>
        </w:rPr>
        <w:t>第三章 评审办法</w:t>
      </w:r>
      <w:bookmarkEnd w:id="80"/>
    </w:p>
    <w:p>
      <w:pPr>
        <w:autoSpaceDN w:val="0"/>
        <w:snapToGrid w:val="0"/>
        <w:spacing w:line="360" w:lineRule="auto"/>
        <w:ind w:firstLine="42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2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w:t>
      </w:r>
      <w:r>
        <w:rPr>
          <w:rFonts w:hint="eastAsia" w:ascii="仿宋" w:hAnsi="仿宋" w:eastAsia="仿宋" w:cs="宋体"/>
          <w:color w:val="auto"/>
          <w:sz w:val="24"/>
          <w:szCs w:val="24"/>
          <w:highlight w:val="none"/>
          <w:lang w:eastAsia="zh-CN"/>
        </w:rPr>
        <w:t>浙江工业大学朝晖校区教学区生活供水管网改造工程</w:t>
      </w:r>
      <w:r>
        <w:rPr>
          <w:rFonts w:hint="eastAsia" w:ascii="仿宋" w:hAnsi="仿宋" w:eastAsia="仿宋" w:cs="宋体"/>
          <w:color w:val="auto"/>
          <w:sz w:val="24"/>
          <w:szCs w:val="24"/>
          <w:highlight w:val="none"/>
        </w:rPr>
        <w:t>的评审。</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1" w:name="_Toc23222"/>
      <w:r>
        <w:rPr>
          <w:rFonts w:hint="eastAsia" w:ascii="仿宋" w:hAnsi="仿宋" w:eastAsia="仿宋" w:cs="Times New Roman"/>
          <w:b/>
          <w:bCs/>
          <w:color w:val="auto"/>
          <w:sz w:val="28"/>
          <w:szCs w:val="28"/>
          <w:highlight w:val="none"/>
        </w:rPr>
        <w:t>一、总则</w:t>
      </w:r>
      <w:bookmarkEnd w:id="81"/>
    </w:p>
    <w:p>
      <w:pPr>
        <w:autoSpaceDN w:val="0"/>
        <w:snapToGrid w:val="0"/>
        <w:spacing w:line="360" w:lineRule="auto"/>
        <w:ind w:firstLine="480"/>
        <w:rPr>
          <w:rFonts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本项目为工程类项目，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rPr>
        <w:t>70</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rPr>
        <w:t>30</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资信、商务及技术分=评审小组所有成员评分的算术平均数</w:t>
      </w:r>
    </w:p>
    <w:p>
      <w:pPr>
        <w:autoSpaceDN w:val="0"/>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供应商评审综合得分=价格分+资信、商务及技术分</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2" w:name="_Toc26621"/>
      <w:bookmarkStart w:id="83" w:name="_Toc520824346"/>
      <w:bookmarkStart w:id="84" w:name="_Toc96947084"/>
      <w:bookmarkStart w:id="85" w:name="_Toc482590098"/>
      <w:r>
        <w:rPr>
          <w:rFonts w:hint="eastAsia" w:ascii="仿宋" w:hAnsi="仿宋" w:eastAsia="仿宋" w:cs="Times New Roman"/>
          <w:b/>
          <w:bCs/>
          <w:color w:val="auto"/>
          <w:sz w:val="28"/>
          <w:szCs w:val="28"/>
          <w:highlight w:val="none"/>
        </w:rPr>
        <w:t>二、评审程序</w:t>
      </w:r>
      <w:bookmarkEnd w:id="82"/>
      <w:bookmarkEnd w:id="83"/>
      <w:bookmarkEnd w:id="84"/>
      <w:bookmarkEnd w:id="85"/>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pPr>
        <w:autoSpaceDN w:val="0"/>
        <w:spacing w:line="360" w:lineRule="auto"/>
        <w:ind w:firstLine="458" w:firstLineChars="191"/>
        <w:jc w:val="left"/>
        <w:rPr>
          <w:rFonts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未在政采云系统规定时间内提交最终报价的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磋商响应文件未按清单要求列明暂列金额的（如有）</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磋商响应文件中的取费低于清单编制说明中的最低取费标准的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1</w:t>
      </w:r>
      <w:r>
        <w:rPr>
          <w:rFonts w:hint="eastAsia" w:ascii="仿宋" w:hAnsi="仿宋" w:eastAsia="仿宋" w:cs="Arial"/>
          <w:b/>
          <w:color w:val="auto"/>
          <w:sz w:val="24"/>
          <w:szCs w:val="24"/>
          <w:highlight w:val="none"/>
        </w:rPr>
        <w:t>1</w:t>
      </w:r>
      <w:r>
        <w:rPr>
          <w:rFonts w:ascii="仿宋" w:hAnsi="仿宋" w:eastAsia="仿宋" w:cs="Arial"/>
          <w:b/>
          <w:color w:val="auto"/>
          <w:sz w:val="24"/>
          <w:szCs w:val="24"/>
          <w:highlight w:val="none"/>
        </w:rPr>
        <w:t>）</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（13）</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highlight w:val="none"/>
        </w:rPr>
        <w:t>（14）</w:t>
      </w:r>
      <w:r>
        <w:rPr>
          <w:rFonts w:hint="eastAsia" w:ascii="仿宋" w:hAnsi="仿宋" w:eastAsia="仿宋" w:cs="Arial"/>
          <w:b/>
          <w:color w:val="auto"/>
          <w:sz w:val="24"/>
          <w:highlight w:val="none"/>
          <w:u w:val="single"/>
        </w:rPr>
        <w:t>磋商小组认为磋商响应供应商的报价明显低于其他通过符合性审查的磋商响应供应商的报价</w:t>
      </w:r>
      <w:r>
        <w:rPr>
          <w:rFonts w:ascii="仿宋" w:hAnsi="仿宋" w:eastAsia="仿宋" w:cs="Arial"/>
          <w:b/>
          <w:color w:val="auto"/>
          <w:sz w:val="24"/>
          <w:highlight w:val="none"/>
          <w:u w:val="single"/>
        </w:rPr>
        <w:t>，</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有可能影响产品质量或者不能诚信履约时，磋商响应供应商不能在规定的时间证明其报价合理性的；或</w:t>
      </w:r>
      <w:r>
        <w:rPr>
          <w:rFonts w:hint="eastAsia" w:ascii="仿宋" w:hAnsi="仿宋" w:eastAsia="仿宋" w:cs="Arial"/>
          <w:b/>
          <w:color w:val="auto"/>
          <w:sz w:val="24"/>
          <w:highlight w:val="none"/>
          <w:u w:val="single"/>
          <w:lang w:val="en-US" w:eastAsia="zh-CN"/>
        </w:rPr>
        <w:t>供应商</w:t>
      </w:r>
      <w:r>
        <w:rPr>
          <w:rFonts w:hint="eastAsia" w:ascii="仿宋" w:hAnsi="仿宋" w:eastAsia="仿宋" w:cs="Arial"/>
          <w:b/>
          <w:color w:val="auto"/>
          <w:sz w:val="24"/>
          <w:highlight w:val="none"/>
          <w:u w:val="single"/>
        </w:rPr>
        <w:t>报价低于项目标项预算50%的，且未在报价文件中详细阐述不影响产品质量或者诚信履约的具体原因，供应商不能证明其报价合理性的；</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（15）</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pPr>
        <w:autoSpaceDN w:val="0"/>
        <w:spacing w:line="360" w:lineRule="auto"/>
        <w:ind w:firstLine="426" w:firstLineChars="177"/>
        <w:rPr>
          <w:rFonts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（16）</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rPr>
        <w:t>。</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pPr>
        <w:autoSpaceDN w:val="0"/>
        <w:spacing w:line="360" w:lineRule="auto"/>
        <w:ind w:firstLine="424" w:firstLineChars="176"/>
        <w:rPr>
          <w:rFonts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pPr>
        <w:autoSpaceDN w:val="0"/>
        <w:spacing w:line="360" w:lineRule="auto"/>
        <w:ind w:firstLine="424" w:firstLineChars="176"/>
        <w:rPr>
          <w:rFonts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pPr>
        <w:autoSpaceDN w:val="0"/>
        <w:spacing w:line="360" w:lineRule="auto"/>
        <w:ind w:firstLine="424" w:firstLineChars="177"/>
        <w:rPr>
          <w:rFonts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6" w:name="_Toc14247"/>
      <w:r>
        <w:rPr>
          <w:rFonts w:hint="eastAsia" w:ascii="仿宋" w:hAnsi="仿宋" w:eastAsia="仿宋" w:cs="Times New Roman"/>
          <w:b/>
          <w:bCs/>
          <w:color w:val="auto"/>
          <w:sz w:val="28"/>
          <w:szCs w:val="28"/>
          <w:highlight w:val="none"/>
        </w:rPr>
        <w:t>三、评审内容及标准</w:t>
      </w:r>
      <w:bookmarkEnd w:id="86"/>
    </w:p>
    <w:p>
      <w:pPr>
        <w:keepNext/>
        <w:keepLines/>
        <w:autoSpaceDN w:val="0"/>
        <w:spacing w:before="97" w:beforeLines="30" w:after="97" w:afterLines="30"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（一）商务技术部分（70分）</w:t>
      </w:r>
    </w:p>
    <w:tbl>
      <w:tblPr>
        <w:tblStyle w:val="6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7327"/>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序号</w:t>
            </w:r>
          </w:p>
        </w:tc>
        <w:tc>
          <w:tcPr>
            <w:tcW w:w="1098" w:type="dxa"/>
            <w:tcBorders>
              <w:tl2br w:val="nil"/>
              <w:tr2bl w:val="nil"/>
            </w:tcBorders>
            <w:shd w:val="clear" w:color="auto" w:fill="FFFFFF"/>
            <w:noWrap/>
            <w:vAlign w:val="center"/>
          </w:tcPr>
          <w:p>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评审因素</w:t>
            </w:r>
          </w:p>
        </w:tc>
        <w:tc>
          <w:tcPr>
            <w:tcW w:w="7327" w:type="dxa"/>
            <w:tcBorders>
              <w:tl2br w:val="nil"/>
              <w:tr2bl w:val="nil"/>
            </w:tcBorders>
            <w:shd w:val="clear" w:color="auto" w:fill="FFFFFF"/>
            <w:noWrap/>
            <w:vAlign w:val="center"/>
          </w:tcPr>
          <w:p>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评审细则</w:t>
            </w:r>
          </w:p>
        </w:tc>
        <w:tc>
          <w:tcPr>
            <w:tcW w:w="774" w:type="dxa"/>
            <w:tcBorders>
              <w:tl2br w:val="nil"/>
              <w:tr2bl w:val="nil"/>
            </w:tcBorders>
            <w:shd w:val="clear" w:color="auto" w:fill="FFFFFF"/>
            <w:vAlign w:val="center"/>
          </w:tcPr>
          <w:p>
            <w:pPr>
              <w:snapToGrid w:val="0"/>
              <w:spacing w:line="360" w:lineRule="auto"/>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业绩</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供应商自2021年1月1日以来（以合同签订时间为准）同类项目业绩[以提供的合同及对应分部分项竣工验收报告（或竣工验收报告）扫描件为准]：每提供1份业绩证明材料得0.25分，最高得1分。</w:t>
            </w:r>
          </w:p>
        </w:tc>
        <w:tc>
          <w:tcPr>
            <w:tcW w:w="774" w:type="dxa"/>
            <w:tcBorders>
              <w:tl2br w:val="nil"/>
              <w:tr2bl w:val="nil"/>
            </w:tcBorders>
            <w:vAlign w:val="center"/>
          </w:tcPr>
          <w:p>
            <w:pPr>
              <w:jc w:val="center"/>
              <w:rPr>
                <w:rFonts w:ascii="仿宋" w:hAnsi="仿宋" w:eastAsia="仿宋" w:cs="Arial"/>
                <w:color w:val="auto"/>
                <w:szCs w:val="21"/>
                <w:highlight w:val="none"/>
              </w:rPr>
            </w:pPr>
            <w:r>
              <w:rPr>
                <w:rFonts w:hint="eastAsia" w:ascii="仿宋" w:hAnsi="仿宋" w:eastAsia="仿宋" w:cs="仿宋"/>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拟派项目经理自2021年1月1日以来（以合同签订时间为准）以项目经理身份参与同类项目业绩[以提供的合同及对应分部分项竣工验收报告（或竣工验收报告）扫描件为准</w:t>
            </w:r>
            <w:r>
              <w:rPr>
                <w:rFonts w:hint="eastAsia" w:ascii="仿宋" w:hAnsi="仿宋" w:eastAsia="仿宋" w:cs="仿宋"/>
                <w:color w:val="auto"/>
                <w:szCs w:val="21"/>
                <w:highlight w:val="none"/>
                <w:lang w:eastAsia="zh-CN"/>
              </w:rPr>
              <w:t>，合同中无法体现项目经理姓名的可提供业主证明材料作为补充</w:t>
            </w:r>
            <w:r>
              <w:rPr>
                <w:rFonts w:hint="eastAsia" w:ascii="仿宋" w:hAnsi="仿宋" w:eastAsia="仿宋" w:cs="仿宋"/>
                <w:color w:val="auto"/>
                <w:szCs w:val="21"/>
                <w:highlight w:val="none"/>
              </w:rPr>
              <w:t>]：每提供1份业绩证明材料得0.25分，最高得0.5分。</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注：同一业绩如已在第1项评分项（供应商业绩）中计分，则不可在本项中重复计分。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3</w:t>
            </w:r>
          </w:p>
        </w:tc>
        <w:tc>
          <w:tcPr>
            <w:tcW w:w="1098"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体系认证</w:t>
            </w:r>
          </w:p>
        </w:tc>
        <w:tc>
          <w:tcPr>
            <w:tcW w:w="7327" w:type="dxa"/>
            <w:tcBorders>
              <w:tl2br w:val="nil"/>
              <w:tr2bl w:val="nil"/>
            </w:tcBorders>
            <w:noWrap/>
            <w:vAlign w:val="center"/>
          </w:tcPr>
          <w:p>
            <w:pPr>
              <w:rPr>
                <w:rFonts w:ascii="仿宋" w:hAnsi="仿宋" w:eastAsia="仿宋" w:cs="仿宋"/>
                <w:b/>
                <w:bCs/>
                <w:color w:val="auto"/>
                <w:szCs w:val="21"/>
                <w:highlight w:val="none"/>
              </w:rPr>
            </w:pPr>
            <w:r>
              <w:rPr>
                <w:rFonts w:hint="eastAsia" w:ascii="仿宋" w:hAnsi="仿宋" w:eastAsia="仿宋" w:cs="仿宋"/>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4</w:t>
            </w:r>
          </w:p>
        </w:tc>
        <w:tc>
          <w:tcPr>
            <w:tcW w:w="1098"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节能、环保</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highlight w:val="none"/>
              </w:rPr>
              <w:t>用于本项目的材料列入政府采购节能产品（已列入强制要求的除外）、环境标志产品品目清单范围的，节能产品0.5分，环境标志产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5</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项目实施</w:t>
            </w:r>
          </w:p>
        </w:tc>
        <w:tc>
          <w:tcPr>
            <w:tcW w:w="7327" w:type="dxa"/>
            <w:tcBorders>
              <w:tl2br w:val="nil"/>
              <w:tr2bl w:val="nil"/>
            </w:tcBorders>
            <w:noWrap/>
            <w:vAlign w:val="center"/>
          </w:tcPr>
          <w:p>
            <w:pPr>
              <w:rPr>
                <w:rFonts w:ascii="仿宋" w:hAnsi="仿宋" w:eastAsia="仿宋" w:cs="仿宋"/>
                <w:color w:val="auto"/>
                <w:highlight w:val="none"/>
              </w:rPr>
            </w:pPr>
            <w:r>
              <w:rPr>
                <w:rFonts w:hint="eastAsia" w:ascii="仿宋" w:hAnsi="仿宋" w:eastAsia="仿宋" w:cs="仿宋"/>
                <w:color w:val="auto"/>
                <w:highlight w:val="none"/>
              </w:rPr>
              <w:t>总体概述-工程概况、施工组织总体设想和方案</w:t>
            </w:r>
            <w:r>
              <w:rPr>
                <w:rFonts w:hint="eastAsia" w:ascii="仿宋" w:hAnsi="仿宋" w:eastAsia="仿宋" w:cs="仿宋"/>
                <w:color w:val="auto"/>
                <w:szCs w:val="21"/>
                <w:highlight w:val="none"/>
              </w:rPr>
              <w:t>：</w:t>
            </w:r>
            <w:r>
              <w:rPr>
                <w:rFonts w:hint="eastAsia" w:ascii="仿宋" w:hAnsi="仿宋" w:eastAsia="仿宋" w:cs="仿宋"/>
                <w:color w:val="auto"/>
                <w:highlight w:val="none"/>
              </w:rPr>
              <w:t>根据方案的全面性、合理性以及对本项目的针对性进行评审。（评审分值为3分或2分或1分或0分）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6</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highlight w:val="none"/>
              </w:rPr>
            </w:pPr>
            <w:r>
              <w:rPr>
                <w:rFonts w:hint="eastAsia" w:ascii="仿宋" w:hAnsi="仿宋" w:eastAsia="仿宋" w:cs="仿宋"/>
                <w:color w:val="auto"/>
                <w:highlight w:val="none"/>
              </w:rPr>
              <w:t>总体概述-</w:t>
            </w:r>
            <w:r>
              <w:rPr>
                <w:rFonts w:hint="eastAsia" w:ascii="仿宋" w:hAnsi="仿宋" w:eastAsia="仿宋" w:cs="仿宋"/>
                <w:color w:val="auto"/>
                <w:szCs w:val="21"/>
                <w:highlight w:val="none"/>
              </w:rPr>
              <w:t>施工阶段划分：根据施工划分的合理性，与采购需求及实际特点的符合程度进行评审。（评审分值为2分或1.5分或1分或0.5分或0分）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7</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highlight w:val="none"/>
              </w:rPr>
            </w:pPr>
            <w:r>
              <w:rPr>
                <w:rFonts w:hint="eastAsia" w:ascii="仿宋" w:hAnsi="仿宋" w:eastAsia="仿宋" w:cs="仿宋"/>
                <w:color w:val="auto"/>
                <w:szCs w:val="21"/>
                <w:highlight w:val="none"/>
              </w:rPr>
              <w:t>施工方案重难点分析：根据分析方案完善、合理、针对性进行评审。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8</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施工重难点对应控制措施：根据措施的科学性、合理性、可行性进行评审。（评审分值为2分或1.5分或1分或0.5分或0分）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9</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针对本项目特点需采取的专门施工技术：根据方案完善程度、合理性、针对性进行评审。（评审分值为</w:t>
            </w:r>
            <w:r>
              <w:rPr>
                <w:rFonts w:hint="eastAsia" w:ascii="仿宋" w:hAnsi="仿宋" w:eastAsia="仿宋" w:cs="仿宋"/>
                <w:color w:val="auto"/>
                <w:highlight w:val="none"/>
              </w:rPr>
              <w:t>3分或2分或1分或0分</w:t>
            </w:r>
            <w:r>
              <w:rPr>
                <w:rFonts w:hint="eastAsia" w:ascii="仿宋" w:hAnsi="仿宋" w:eastAsia="仿宋" w:cs="仿宋"/>
                <w:color w:val="auto"/>
                <w:szCs w:val="21"/>
                <w:highlight w:val="none"/>
              </w:rPr>
              <w:t>）</w:t>
            </w:r>
          </w:p>
        </w:tc>
        <w:tc>
          <w:tcPr>
            <w:tcW w:w="774" w:type="dxa"/>
            <w:tcBorders>
              <w:tl2br w:val="nil"/>
              <w:tr2bl w:val="nil"/>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10</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项目需采取的专门施工组织措施：根据方案完善程度、合理性、针对性、可行性进行评审。</w:t>
            </w:r>
            <w:r>
              <w:rPr>
                <w:rFonts w:hint="eastAsia" w:ascii="仿宋" w:hAnsi="仿宋" w:eastAsia="仿宋" w:cs="仿宋"/>
                <w:color w:val="auto"/>
                <w:highlight w:val="none"/>
              </w:rPr>
              <w:t>（评审分值为</w:t>
            </w:r>
            <w:r>
              <w:rPr>
                <w:rFonts w:hint="eastAsia" w:ascii="仿宋" w:hAnsi="仿宋" w:eastAsia="仿宋" w:cs="仿宋"/>
                <w:color w:val="auto"/>
                <w:szCs w:val="21"/>
                <w:highlight w:val="none"/>
              </w:rPr>
              <w:t>2分或1.5分或1分或0.5分或0分</w:t>
            </w:r>
            <w:r>
              <w:rPr>
                <w:rFonts w:hint="eastAsia" w:ascii="仿宋" w:hAnsi="仿宋" w:eastAsia="仿宋" w:cs="仿宋"/>
                <w:color w:val="auto"/>
                <w:highlight w:val="none"/>
              </w:rPr>
              <w:t>）</w:t>
            </w:r>
          </w:p>
        </w:tc>
        <w:tc>
          <w:tcPr>
            <w:tcW w:w="774" w:type="dxa"/>
            <w:tcBorders>
              <w:tl2br w:val="nil"/>
              <w:tr2bl w:val="nil"/>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11</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施工各阶段进度计划：根据施工进度计划的合理性、可行性及对本项目的针对性进行评审。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12</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施工进度计划网络图：根据网络图表达的清晰程度、内容完善度以及内容的合理性、可行性进行评审。（评审分值为2分或1.5分或1分或0.5分或0分）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13</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劳动力、施工机械设备及材料各阶段的投入安排：根据安排的科学性、合理性，以及整体考虑的全面性，对采购项目实施的有利程度进行评审。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14</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施工材料设备选型情况；根据选用的施工材料对项目需求的满足程度，拟投入设备配置的科学性、合理性，对项目实施的有利程度进行评审。</w:t>
            </w:r>
            <w:r>
              <w:rPr>
                <w:rFonts w:hint="eastAsia" w:ascii="仿宋" w:hAnsi="仿宋" w:eastAsia="仿宋" w:cs="仿宋"/>
                <w:color w:val="auto"/>
                <w:highlight w:val="none"/>
              </w:rPr>
              <w:t>（评审分值为4分或3分或2分或1分或0分）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15</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突发事件应急措施及处理方案：根据方案的全面性、科学性、可行性以及对本项目的针对性进行评审。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16</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保障措施</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施工各阶段进度及质量保证措施：根据方案的全面性、科学性、合理性及</w:t>
            </w:r>
            <w:r>
              <w:rPr>
                <w:rFonts w:hint="eastAsia" w:ascii="仿宋" w:hAnsi="仿宋" w:eastAsia="仿宋" w:cs="仿宋"/>
                <w:color w:val="auto"/>
                <w:highlight w:val="none"/>
              </w:rPr>
              <w:t>针对性、可操作性进行评审。（评审分值为4分或3分或2分或1分或0分）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17</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施工用材料、半成品、外购件等质量保证措施：根据措施的全面性、科学性、合理性及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18</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安全文明施工及市政、市容、环保、消防等措施：根据措施的全面性、科学性、合理性及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19</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实施过程中保障学校正常教学生活秩序措施：根据措施的全面性、科学性、合理性及</w:t>
            </w:r>
            <w:r>
              <w:rPr>
                <w:rFonts w:hint="eastAsia" w:ascii="仿宋" w:hAnsi="仿宋" w:eastAsia="仿宋" w:cs="仿宋"/>
                <w:color w:val="auto"/>
                <w:highlight w:val="none"/>
              </w:rPr>
              <w:t>针对性、可操作性进行评审。（评审分值为4分或3分或2分或1分或0分）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20</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服从采购人协调和统一管理及配合措施：根据措施的全面性、科学性、合理性及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21</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对成品保护措施：根据措施的全面性、科学性、合理性及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22</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项目班组</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项目经理职称。项目经理具有建筑工程类副高级及以上职称的得2分；项目经理具有建筑工程类中级职称的得1分；提供有效的</w:t>
            </w:r>
            <w:r>
              <w:rPr>
                <w:rFonts w:hint="eastAsia" w:ascii="仿宋" w:hAnsi="仿宋" w:eastAsia="仿宋" w:cs="仿宋"/>
                <w:color w:val="auto"/>
                <w:szCs w:val="21"/>
                <w:highlight w:val="none"/>
                <w:lang w:val="en-US" w:eastAsia="zh-CN"/>
              </w:rPr>
              <w:t>职称</w:t>
            </w:r>
            <w:r>
              <w:rPr>
                <w:rFonts w:hint="eastAsia" w:ascii="仿宋" w:hAnsi="仿宋" w:eastAsia="仿宋" w:cs="仿宋"/>
                <w:color w:val="auto"/>
                <w:szCs w:val="21"/>
                <w:highlight w:val="none"/>
              </w:rPr>
              <w:t>证书及在本单位缴纳社保的证明材料（开标前三月任意一月社保缴纳证明），不提供不得分。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23</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项目经理承诺到位率。承诺到位率达到85%的得1分；达到90%的，得2分；达到95%及以上的，得3分。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24</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项目管理班子其他人员配置：技术负责人、安全员、施工员、质量员、材料员、资料员、预算员，配置齐全的，得3分，每缺一项扣1分，本项分值扣完为止。需提供上述人员在本单位缴纳社保的证明材料（开标前三月任意一月社保缴纳证明）</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25</w:t>
            </w:r>
          </w:p>
        </w:tc>
        <w:tc>
          <w:tcPr>
            <w:tcW w:w="1098" w:type="dxa"/>
            <w:vMerge w:val="restart"/>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售后服务</w:t>
            </w: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工程保修期、维护响应时间：根据工程保修期承诺情况以及保修期内维护响应时间的及时性、合理性进行评审。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26</w:t>
            </w:r>
          </w:p>
        </w:tc>
        <w:tc>
          <w:tcPr>
            <w:tcW w:w="1098" w:type="dxa"/>
            <w:vMerge w:val="continue"/>
            <w:tcBorders>
              <w:tl2br w:val="nil"/>
              <w:tr2bl w:val="nil"/>
            </w:tcBorders>
            <w:noWrap/>
            <w:vAlign w:val="center"/>
          </w:tcPr>
          <w:p>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服务方式、特别承诺：根据供应商对本项目提出的售后服务相关承诺对项目实施的有利程度、可行度进行评审。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bl>
    <w:p>
      <w:pPr>
        <w:autoSpaceDN w:val="0"/>
        <w:rPr>
          <w:rFonts w:ascii="Times New Roman" w:hAnsi="Times New Roman" w:eastAsia="仿宋" w:cs="Times New Roman"/>
          <w:b/>
          <w:color w:val="auto"/>
          <w:sz w:val="24"/>
          <w:szCs w:val="24"/>
          <w:highlight w:val="none"/>
        </w:rPr>
      </w:pPr>
    </w:p>
    <w:p>
      <w:pPr>
        <w:autoSpaceDN w:val="0"/>
        <w:rPr>
          <w:rFonts w:ascii="Times New Roman" w:hAnsi="Times New Roman" w:eastAsia="宋体" w:cs="Times New Roman"/>
          <w:color w:val="auto"/>
          <w:szCs w:val="24"/>
          <w:highlight w:val="none"/>
        </w:rPr>
      </w:pPr>
      <w:r>
        <w:rPr>
          <w:rFonts w:hint="eastAsia" w:ascii="Times New Roman" w:hAnsi="Times New Roman" w:eastAsia="仿宋" w:cs="Times New Roman"/>
          <w:b/>
          <w:color w:val="auto"/>
          <w:sz w:val="24"/>
          <w:szCs w:val="24"/>
          <w:highlight w:val="none"/>
        </w:rPr>
        <w:t>备注：商务技术分</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（磋商小组所有成员评分合计数）</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（磋商小组人数）</w:t>
      </w:r>
    </w:p>
    <w:p>
      <w:pPr>
        <w:keepNext/>
        <w:keepLines/>
        <w:autoSpaceDN w:val="0"/>
        <w:spacing w:before="97" w:beforeLines="30" w:after="97" w:afterLines="30" w:line="360" w:lineRule="auto"/>
        <w:outlineLvl w:val="2"/>
        <w:rPr>
          <w:rFonts w:ascii="宋体" w:hAnsi="宋体" w:eastAsia="宋体" w:cs="宋体"/>
          <w:b/>
          <w:bCs/>
          <w:color w:val="auto"/>
          <w:sz w:val="24"/>
          <w:szCs w:val="32"/>
          <w:highlight w:val="none"/>
        </w:rPr>
      </w:pPr>
      <w:r>
        <w:rPr>
          <w:rFonts w:hint="eastAsia" w:ascii="仿宋" w:hAnsi="仿宋" w:eastAsia="仿宋" w:cs="宋体"/>
          <w:b/>
          <w:bCs/>
          <w:color w:val="auto"/>
          <w:sz w:val="24"/>
          <w:szCs w:val="24"/>
          <w:highlight w:val="none"/>
        </w:rPr>
        <w:t>（二）</w:t>
      </w:r>
      <w:r>
        <w:rPr>
          <w:rFonts w:hint="eastAsia" w:ascii="宋体" w:hAnsi="宋体" w:eastAsia="宋体" w:cs="宋体"/>
          <w:b/>
          <w:bCs/>
          <w:color w:val="auto"/>
          <w:sz w:val="24"/>
          <w:szCs w:val="32"/>
          <w:highlight w:val="none"/>
        </w:rPr>
        <w:t>报价分（30分）</w:t>
      </w:r>
    </w:p>
    <w:p>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highlight w:val="none"/>
        </w:rPr>
        <w:t>满足《磋商文件》要求且最后报价最低的有效供应商的最后报价为磋商基准价，其价格分为</w:t>
      </w:r>
      <w:r>
        <w:rPr>
          <w:rFonts w:hint="eastAsia" w:ascii="宋体" w:hAnsi="宋体" w:eastAsia="宋体" w:cs="宋体"/>
          <w:b/>
          <w:bCs/>
          <w:color w:val="auto"/>
          <w:sz w:val="24"/>
          <w:szCs w:val="32"/>
          <w:highlight w:val="none"/>
        </w:rPr>
        <w:t>30</w:t>
      </w:r>
      <w:r>
        <w:rPr>
          <w:rFonts w:hint="eastAsia" w:ascii="Times New Roman" w:hAnsi="Times New Roman" w:eastAsia="仿宋" w:cs="Times New Roman"/>
          <w:b/>
          <w:color w:val="auto"/>
          <w:sz w:val="24"/>
          <w:szCs w:val="24"/>
          <w:highlight w:val="none"/>
        </w:rPr>
        <w:t>分（即价格权值为</w:t>
      </w:r>
      <w:r>
        <w:rPr>
          <w:rFonts w:hint="eastAsia" w:ascii="宋体" w:hAnsi="宋体" w:eastAsia="宋体" w:cs="宋体"/>
          <w:b/>
          <w:bCs/>
          <w:color w:val="auto"/>
          <w:sz w:val="24"/>
          <w:szCs w:val="32"/>
          <w:highlight w:val="none"/>
        </w:rPr>
        <w:t>30</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color w:val="auto"/>
          <w:sz w:val="24"/>
          <w:szCs w:val="24"/>
          <w:highlight w:val="none"/>
        </w:rPr>
        <w:t>其他磋商响应供应商的价格分统一按照下列公式计算（精确到小数点后二位）：</w:t>
      </w:r>
    </w:p>
    <w:p>
      <w:pPr>
        <w:autoSpaceDN w:val="0"/>
        <w:spacing w:line="360" w:lineRule="auto"/>
        <w:ind w:firstLine="463"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kern w:val="0"/>
          <w:sz w:val="24"/>
          <w:szCs w:val="24"/>
          <w:highlight w:val="none"/>
        </w:rPr>
        <w:t>报价分</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rPr>
        <w:t>（磋商基准价／最后报价）</w:t>
      </w:r>
      <w:r>
        <w:rPr>
          <w:rFonts w:ascii="Times New Roman" w:hAnsi="Times New Roman" w:eastAsia="仿宋" w:cs="Times New Roman"/>
          <w:b/>
          <w:color w:val="auto"/>
          <w:kern w:val="0"/>
          <w:sz w:val="24"/>
          <w:szCs w:val="24"/>
          <w:highlight w:val="none"/>
        </w:rPr>
        <w:t>×</w:t>
      </w:r>
      <w:r>
        <w:rPr>
          <w:rFonts w:hint="eastAsia" w:ascii="宋体" w:hAnsi="宋体" w:eastAsia="宋体" w:cs="宋体"/>
          <w:b/>
          <w:bCs/>
          <w:color w:val="auto"/>
          <w:sz w:val="24"/>
          <w:szCs w:val="32"/>
          <w:highlight w:val="none"/>
        </w:rPr>
        <w:t>30</w:t>
      </w:r>
      <w:r>
        <w:rPr>
          <w:rFonts w:ascii="Times New Roman" w:hAnsi="Times New Roman" w:eastAsia="仿宋" w:cs="Times New Roman"/>
          <w:b/>
          <w:color w:val="auto"/>
          <w:kern w:val="0"/>
          <w:sz w:val="24"/>
          <w:szCs w:val="24"/>
          <w:highlight w:val="none"/>
        </w:rPr>
        <w:t>%×100</w:t>
      </w:r>
    </w:p>
    <w:p>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highlight w:val="none"/>
        </w:rPr>
      </w:pPr>
      <w:r>
        <w:rPr>
          <w:rFonts w:hint="eastAsia" w:ascii="Times New Roman" w:hAnsi="Times New Roman" w:eastAsia="仿宋" w:cs="Times New Roman"/>
          <w:b/>
          <w:color w:val="auto"/>
          <w:kern w:val="0"/>
          <w:sz w:val="24"/>
          <w:szCs w:val="24"/>
          <w:highlight w:val="none"/>
        </w:rPr>
        <w:t>重要提示：</w:t>
      </w:r>
    </w:p>
    <w:p>
      <w:pPr>
        <w:autoSpaceDN w:val="0"/>
        <w:adjustRightInd w:val="0"/>
        <w:snapToGrid w:val="0"/>
        <w:spacing w:line="360" w:lineRule="auto"/>
        <w:ind w:firstLine="463" w:firstLineChars="192"/>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kern w:val="0"/>
          <w:sz w:val="24"/>
          <w:szCs w:val="24"/>
          <w:highlight w:val="none"/>
        </w:rPr>
        <w:t>（</w:t>
      </w:r>
      <w:r>
        <w:rPr>
          <w:rFonts w:ascii="Times New Roman" w:hAnsi="Times New Roman" w:eastAsia="仿宋" w:cs="Times New Roman"/>
          <w:b/>
          <w:color w:val="auto"/>
          <w:kern w:val="0"/>
          <w:sz w:val="24"/>
          <w:szCs w:val="24"/>
          <w:highlight w:val="none"/>
        </w:rPr>
        <w:t>1</w:t>
      </w:r>
      <w:r>
        <w:rPr>
          <w:rFonts w:hint="eastAsia"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sz w:val="24"/>
          <w:szCs w:val="24"/>
          <w:highlight w:val="none"/>
          <w:u w:val="single"/>
        </w:rPr>
        <w:t>本项目专门面向中小企业采购，小型、微型、监狱及残疾人福利性企业评审价格不予扣除</w:t>
      </w:r>
      <w:r>
        <w:rPr>
          <w:rFonts w:hint="eastAsia" w:ascii="Times New Roman" w:hAnsi="Times New Roman" w:eastAsia="仿宋" w:cs="Times New Roman"/>
          <w:b/>
          <w:color w:val="auto"/>
          <w:sz w:val="24"/>
          <w:szCs w:val="24"/>
          <w:highlight w:val="none"/>
        </w:rPr>
        <w:t>；</w:t>
      </w:r>
    </w:p>
    <w:p>
      <w:pPr>
        <w:autoSpaceDN w:val="0"/>
        <w:adjustRightInd w:val="0"/>
        <w:snapToGrid w:val="0"/>
        <w:spacing w:line="360" w:lineRule="auto"/>
        <w:ind w:firstLine="482" w:firstLineChars="200"/>
        <w:rPr>
          <w:rFonts w:ascii="宋体" w:hAnsi="Courier New" w:eastAsia="宋体" w:cs="Times New Roman"/>
          <w:color w:val="auto"/>
          <w:spacing w:val="-4"/>
          <w:kern w:val="0"/>
          <w:sz w:val="18"/>
          <w:szCs w:val="20"/>
          <w:highlight w:val="none"/>
        </w:rPr>
      </w:pPr>
      <w:r>
        <w:rPr>
          <w:rFonts w:hint="eastAsia" w:ascii="Times New Roman" w:hAnsi="Times New Roman" w:eastAsia="仿宋" w:cs="Times New Roman"/>
          <w:b/>
          <w:color w:val="auto"/>
          <w:sz w:val="24"/>
          <w:szCs w:val="24"/>
          <w:highlight w:val="none"/>
        </w:rPr>
        <w:t>（</w:t>
      </w:r>
      <w:r>
        <w:rPr>
          <w:rFonts w:ascii="Times New Roman" w:hAnsi="Times New Roman" w:eastAsia="仿宋" w:cs="Times New Roman"/>
          <w:b/>
          <w:color w:val="auto"/>
          <w:sz w:val="24"/>
          <w:szCs w:val="24"/>
          <w:highlight w:val="none"/>
        </w:rPr>
        <w:t>2</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u w:val="single"/>
        </w:rPr>
        <w:t>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87" w:name="_Toc474729562"/>
      <w:bookmarkStart w:id="88" w:name="_Toc440162797"/>
      <w:bookmarkStart w:id="89" w:name="_Toc520824348"/>
      <w:bookmarkStart w:id="90" w:name="_Toc96947086"/>
      <w:bookmarkStart w:id="91" w:name="_Toc10395"/>
      <w:r>
        <w:rPr>
          <w:rFonts w:hint="eastAsia" w:ascii="仿宋" w:hAnsi="仿宋" w:eastAsia="仿宋" w:cs="Times New Roman"/>
          <w:b/>
          <w:bCs/>
          <w:color w:val="auto"/>
          <w:sz w:val="28"/>
          <w:szCs w:val="28"/>
          <w:highlight w:val="none"/>
        </w:rPr>
        <w:t>四、</w:t>
      </w:r>
      <w:bookmarkEnd w:id="87"/>
      <w:bookmarkEnd w:id="88"/>
      <w:bookmarkEnd w:id="89"/>
      <w:r>
        <w:rPr>
          <w:rFonts w:hint="eastAsia" w:ascii="仿宋" w:hAnsi="仿宋" w:eastAsia="仿宋" w:cs="Times New Roman"/>
          <w:b/>
          <w:bCs/>
          <w:color w:val="auto"/>
          <w:sz w:val="28"/>
          <w:szCs w:val="28"/>
          <w:highlight w:val="none"/>
        </w:rPr>
        <w:t>其他评审事项规定</w:t>
      </w:r>
      <w:bookmarkEnd w:id="90"/>
      <w:bookmarkEnd w:id="91"/>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pPr>
        <w:autoSpaceDN w:val="0"/>
        <w:spacing w:line="360" w:lineRule="auto"/>
        <w:ind w:firstLine="422" w:firstLineChars="175"/>
        <w:rPr>
          <w:rFonts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pPr>
        <w:widowControl/>
        <w:autoSpaceDN w:val="0"/>
        <w:spacing w:line="360" w:lineRule="auto"/>
        <w:ind w:firstLine="480" w:firstLineChars="2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pPr>
        <w:autoSpaceDN w:val="0"/>
        <w:spacing w:line="360" w:lineRule="auto"/>
        <w:ind w:firstLine="424" w:firstLineChars="176"/>
        <w:rPr>
          <w:rFonts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pPr>
        <w:autoSpaceDN w:val="0"/>
        <w:spacing w:line="360" w:lineRule="auto"/>
        <w:ind w:firstLine="465" w:firstLineChars="193"/>
        <w:rPr>
          <w:rFonts w:ascii="仿宋" w:hAnsi="仿宋" w:eastAsia="仿宋" w:cs="Arial"/>
          <w:b/>
          <w:color w:val="auto"/>
          <w:sz w:val="24"/>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napToGrid w:val="0"/>
        <w:spacing w:line="360" w:lineRule="auto"/>
        <w:ind w:left="238"/>
        <w:jc w:val="center"/>
        <w:outlineLvl w:val="0"/>
        <w:rPr>
          <w:rFonts w:ascii="仿宋" w:hAnsi="仿宋" w:eastAsia="仿宋" w:cs="宋体"/>
          <w:color w:val="auto"/>
          <w:sz w:val="32"/>
          <w:szCs w:val="32"/>
          <w:highlight w:val="none"/>
        </w:rPr>
      </w:pPr>
      <w:r>
        <w:rPr>
          <w:rFonts w:hint="eastAsia" w:ascii="仿宋" w:hAnsi="仿宋" w:eastAsia="仿宋" w:cs="宋体"/>
          <w:b/>
          <w:color w:val="auto"/>
          <w:sz w:val="24"/>
          <w:szCs w:val="24"/>
          <w:highlight w:val="none"/>
        </w:rPr>
        <w:br w:type="page"/>
      </w:r>
      <w:bookmarkStart w:id="92" w:name="_Toc8854"/>
      <w:r>
        <w:rPr>
          <w:rFonts w:hint="eastAsia" w:ascii="仿宋" w:hAnsi="仿宋" w:eastAsia="仿宋" w:cs="宋体"/>
          <w:b/>
          <w:color w:val="auto"/>
          <w:sz w:val="32"/>
          <w:szCs w:val="32"/>
          <w:highlight w:val="none"/>
        </w:rPr>
        <w:t>第四章 采购内容及需求</w:t>
      </w:r>
      <w:bookmarkEnd w:id="92"/>
    </w:p>
    <w:p>
      <w:pPr>
        <w:spacing w:line="360" w:lineRule="auto"/>
        <w:ind w:firstLine="482" w:firstLineChars="200"/>
        <w:jc w:val="left"/>
        <w:rPr>
          <w:rFonts w:ascii="仿宋" w:hAnsi="仿宋" w:eastAsia="仿宋" w:cs="仿宋"/>
          <w:b/>
          <w:bCs/>
          <w:color w:val="auto"/>
          <w:sz w:val="24"/>
          <w:szCs w:val="24"/>
          <w:highlight w:val="none"/>
        </w:rPr>
      </w:pPr>
      <w:bookmarkStart w:id="93" w:name="page4"/>
      <w:bookmarkEnd w:id="93"/>
      <w:bookmarkStart w:id="94" w:name="_Hlk92875903"/>
      <w:r>
        <w:rPr>
          <w:rFonts w:hint="eastAsia" w:ascii="仿宋" w:hAnsi="仿宋" w:eastAsia="仿宋" w:cs="仿宋"/>
          <w:b/>
          <w:bCs/>
          <w:color w:val="auto"/>
          <w:sz w:val="24"/>
          <w:szCs w:val="24"/>
          <w:highlight w:val="none"/>
        </w:rPr>
        <w:t>一、工程概况</w:t>
      </w:r>
    </w:p>
    <w:p>
      <w:pPr>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1.工程名称：</w:t>
      </w:r>
      <w:r>
        <w:rPr>
          <w:rFonts w:hint="eastAsia" w:ascii="仿宋" w:hAnsi="仿宋" w:eastAsia="仿宋" w:cs="仿宋"/>
          <w:color w:val="auto"/>
          <w:sz w:val="24"/>
          <w:szCs w:val="24"/>
          <w:highlight w:val="none"/>
          <w:lang w:eastAsia="zh-CN"/>
        </w:rPr>
        <w:t>浙江工业大学朝晖校区教学区生活供水管网改造工程</w:t>
      </w:r>
      <w:r>
        <w:rPr>
          <w:rFonts w:hint="eastAsia" w:ascii="仿宋" w:hAnsi="仿宋" w:eastAsia="仿宋" w:cs="仿宋"/>
          <w:color w:val="auto"/>
          <w:sz w:val="24"/>
          <w:szCs w:val="24"/>
          <w:highlight w:val="none"/>
        </w:rPr>
        <w:t>。</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2.基本情况：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浙江工业大学朝晖校区教学区生活供水管网改造工程</w:t>
      </w:r>
      <w:r>
        <w:rPr>
          <w:rFonts w:hint="eastAsia" w:ascii="仿宋" w:hAnsi="仿宋" w:eastAsia="仿宋" w:cs="仿宋"/>
          <w:color w:val="auto"/>
          <w:sz w:val="24"/>
          <w:szCs w:val="24"/>
          <w:highlight w:val="none"/>
        </w:rPr>
        <w:t>，主要包含</w:t>
      </w:r>
      <w:r>
        <w:rPr>
          <w:rFonts w:hint="eastAsia" w:ascii="仿宋" w:hAnsi="仿宋" w:eastAsia="仿宋" w:cs="仿宋"/>
          <w:color w:val="auto"/>
          <w:sz w:val="24"/>
          <w:szCs w:val="24"/>
          <w:highlight w:val="none"/>
        </w:rPr>
        <w:t>对朝晖校区教学区的生活供水管网进行改造（镀锌管更新），加装区域阀门及部分表计，可能涉及部分路面的开挖和管路敷设</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rPr>
        <w:t>。</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3.现场条件</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（1）已具备施工条件，但施工不能影响正常的工作。</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4.工程承包范围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（1）工程量清单等已明确的工程内容（工程量清单另附）。</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（2）可能出现的工程量增减以及根据招标人明确指令需在招标范围外增加的工程量及招标范围内减少的工程量。</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5.工程质量标准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工程质量符合（工程施工质量验收规范）合格标准。</w:t>
      </w: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6.工期要求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50日历天</w:t>
      </w:r>
      <w:r>
        <w:rPr>
          <w:rFonts w:hint="eastAsia" w:ascii="仿宋" w:hAnsi="仿宋" w:eastAsia="仿宋" w:cs="仿宋"/>
          <w:color w:val="auto"/>
          <w:sz w:val="24"/>
          <w:szCs w:val="24"/>
          <w:highlight w:val="none"/>
        </w:rPr>
        <w:t>。</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供应商须确保按期完工，并在磋商响应文件中列出详细的工期进度计划。供应商可在响应文件中承诺更短的工期。</w:t>
      </w:r>
    </w:p>
    <w:p>
      <w:pPr>
        <w:pStyle w:val="2"/>
        <w:rPr>
          <w:color w:val="auto"/>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二、工程管理原则</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2、严格按照已确认的设计图纸和施工技术方案组织实施，并无条件接受采购人和采购人委托的监理人员的管理；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3、在响应文件中确定的工程项目经理及项目管理班子人员，未经采购人同意，成交供应商不得调换和撤离，并按工程进度及时到位，</w:t>
      </w:r>
      <w:r>
        <w:rPr>
          <w:rFonts w:ascii="仿宋" w:hAnsi="仿宋" w:eastAsia="仿宋" w:cs="仿宋"/>
          <w:b/>
          <w:bCs/>
          <w:color w:val="auto"/>
          <w:sz w:val="24"/>
          <w:szCs w:val="24"/>
          <w:highlight w:val="none"/>
        </w:rPr>
        <w:t>拟派项目经理到位率不少于80%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在合同履行期间，若上述标准或规范有修改或重新颁布，成交供应商应遵照执行。规范的获得由承包人自行解决。</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5、施工要求</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5.1严格按照规范要求进行施工，达到各项拟定的设计指标；</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5.3对所承包工程的质量负全部责任，其责任不因其他材料生产商提供的保证书而减轻或更改；</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5.6施工现场应做到“落手清”，工程施工中产生的废建筑材料、建筑施工垃圾，不能随意堆放，应及时清运、妥善处理，做到工完料尽场地清；</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5.8工程施工全过程中要认真做好成品保护，因失窃或失火造成的损失均由成交供应商负责，凡由此而损及采购人利益时，采购人将向成交供应商索赔。</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三、安全与文明施工管理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2、成交供应商的响应文件中应有详细的施工安全措施和安全管理组织及配备专职负责人的说明和承诺，以确保安全生产。</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3、成交供应商在工程施工期间，必须配备专职用电管理员，全面负责施工用电的管理。</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5、在工程施工过程中，因成交供应商原因造成的一切安全事故，由成交供应商承担全部经济责任和法律责任。</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7、成交供应商在校内须严格遵守国家相关法律法规，严格遵守学校有关意识形态、宗教管理教育工作等相关规定。</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四、材料要求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1、材料选择：</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2、材料的质量要求：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（2）成交供应商必须对所承包的工程的质量负全部责任，其责任不因其他材料生产商提供的保证书而减轻或更改。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（3）材料检验按建发〔2000〕185号文件规定的见证取样和送检规定的程序进行。凡检验结果证明其有害物质含量指标超标的产品不得在工程上使用。</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3、材料供应要求：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（1）本项目涉及的主要材料设备，必须经监理单位、设计单位、业主单位确认后方能采购、进场、加工、安装。否则一律不予承认，不予支付相应款项。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4、主要材料推荐品牌（或厂家）</w:t>
      </w:r>
    </w:p>
    <w:tbl>
      <w:tblPr>
        <w:tblStyle w:val="61"/>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0"/>
        <w:gridCol w:w="4032"/>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020"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材料名称</w:t>
            </w:r>
          </w:p>
        </w:tc>
        <w:tc>
          <w:tcPr>
            <w:tcW w:w="4032"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推荐品牌</w:t>
            </w:r>
          </w:p>
        </w:tc>
        <w:tc>
          <w:tcPr>
            <w:tcW w:w="238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1</w:t>
            </w:r>
          </w:p>
        </w:tc>
        <w:tc>
          <w:tcPr>
            <w:tcW w:w="20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管道</w:t>
            </w:r>
          </w:p>
        </w:tc>
        <w:tc>
          <w:tcPr>
            <w:tcW w:w="4032"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伟星</w:t>
            </w:r>
            <w:r>
              <w:rPr>
                <w:rFonts w:hint="eastAsia" w:ascii="仿宋" w:hAnsi="仿宋" w:eastAsia="仿宋" w:cs="仿宋"/>
                <w:color w:val="auto"/>
                <w:szCs w:val="21"/>
                <w:highlight w:val="none"/>
                <w:lang w:eastAsia="zh-CN"/>
              </w:rPr>
              <w:t>（浙江伟星新型建材股份有限公司）</w:t>
            </w:r>
            <w:r>
              <w:rPr>
                <w:rFonts w:hint="eastAsia" w:ascii="仿宋" w:hAnsi="仿宋" w:eastAsia="仿宋" w:cs="仿宋"/>
                <w:color w:val="auto"/>
                <w:szCs w:val="21"/>
                <w:highlight w:val="none"/>
              </w:rPr>
              <w:t>、</w:t>
            </w:r>
          </w:p>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中财</w:t>
            </w:r>
            <w:r>
              <w:rPr>
                <w:rFonts w:hint="eastAsia" w:ascii="仿宋" w:hAnsi="仿宋" w:eastAsia="仿宋" w:cs="仿宋"/>
                <w:color w:val="auto"/>
                <w:szCs w:val="21"/>
                <w:highlight w:val="none"/>
                <w:lang w:eastAsia="zh-CN"/>
              </w:rPr>
              <w:t>（浙江中财管道科技股份有限公司）</w:t>
            </w:r>
            <w:r>
              <w:rPr>
                <w:rFonts w:hint="eastAsia" w:ascii="仿宋" w:hAnsi="仿宋" w:eastAsia="仿宋" w:cs="仿宋"/>
                <w:color w:val="auto"/>
                <w:szCs w:val="21"/>
                <w:highlight w:val="none"/>
              </w:rPr>
              <w:t>、</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公元</w:t>
            </w:r>
            <w:r>
              <w:rPr>
                <w:rFonts w:hint="eastAsia" w:ascii="仿宋" w:hAnsi="仿宋" w:eastAsia="仿宋" w:cs="仿宋"/>
                <w:color w:val="auto"/>
                <w:szCs w:val="21"/>
                <w:highlight w:val="none"/>
                <w:lang w:eastAsia="zh-CN"/>
              </w:rPr>
              <w:t>（公元塑业集团有限公司）</w:t>
            </w:r>
          </w:p>
        </w:tc>
        <w:tc>
          <w:tcPr>
            <w:tcW w:w="23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2</w:t>
            </w:r>
          </w:p>
        </w:tc>
        <w:tc>
          <w:tcPr>
            <w:tcW w:w="20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阀门</w:t>
            </w:r>
          </w:p>
        </w:tc>
        <w:tc>
          <w:tcPr>
            <w:tcW w:w="4032"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春江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杭州春江阀门有限公司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p>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埃美柯（埃美柯集团有限公司）、</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良工</w:t>
            </w:r>
            <w:r>
              <w:rPr>
                <w:rFonts w:hint="eastAsia" w:ascii="仿宋" w:hAnsi="仿宋" w:eastAsia="仿宋" w:cs="仿宋"/>
                <w:color w:val="auto"/>
                <w:szCs w:val="21"/>
                <w:highlight w:val="none"/>
                <w:lang w:eastAsia="zh-CN"/>
              </w:rPr>
              <w:t>（上海良工阀门厂有限公司）</w:t>
            </w:r>
          </w:p>
        </w:tc>
        <w:tc>
          <w:tcPr>
            <w:tcW w:w="23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lang w:val="en-US" w:eastAsia="zh-CN"/>
              </w:rPr>
              <w:t>3</w:t>
            </w:r>
          </w:p>
        </w:tc>
        <w:tc>
          <w:tcPr>
            <w:tcW w:w="20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水表</w:t>
            </w:r>
          </w:p>
        </w:tc>
        <w:tc>
          <w:tcPr>
            <w:tcW w:w="4032"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真兰、申舒斯、代傲</w:t>
            </w:r>
          </w:p>
        </w:tc>
        <w:tc>
          <w:tcPr>
            <w:tcW w:w="23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Cs w:val="21"/>
                <w:highlight w:val="none"/>
                <w:lang w:val="en-US" w:eastAsia="zh-CN"/>
              </w:rPr>
              <w:t>4</w:t>
            </w:r>
          </w:p>
        </w:tc>
        <w:tc>
          <w:tcPr>
            <w:tcW w:w="2020"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数据通讯模块</w:t>
            </w:r>
          </w:p>
        </w:tc>
        <w:tc>
          <w:tcPr>
            <w:tcW w:w="4032"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上海正伟、厦门瑞谷、杭州力标</w:t>
            </w:r>
          </w:p>
        </w:tc>
        <w:tc>
          <w:tcPr>
            <w:tcW w:w="23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color w:val="auto"/>
                <w:sz w:val="24"/>
                <w:szCs w:val="24"/>
                <w:highlight w:val="none"/>
              </w:rPr>
            </w:pPr>
          </w:p>
        </w:tc>
      </w:tr>
    </w:tbl>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3、磋商供应商应选择该品牌（或厂家）的中档以上型号并满足招标人技术要求，并在报价中予以考虑。</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4、请在响应文件项目实施方案中列明主要施工材料选用的品牌。</w:t>
      </w:r>
    </w:p>
    <w:p>
      <w:pPr>
        <w:spacing w:line="360" w:lineRule="auto"/>
        <w:ind w:firstLine="482" w:firstLineChars="200"/>
        <w:jc w:val="left"/>
        <w:rPr>
          <w:rFonts w:hint="eastAsia" w:ascii="仿宋" w:hAnsi="仿宋" w:eastAsia="仿宋" w:cs="仿宋"/>
          <w:b/>
          <w:bCs/>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五、报价说明</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2、磋商供应商的投标报价，应是完成本项目工程范围的全部内容，不得以任何理由予以重复作为磋商供应商计算单价或总价的依据。</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3、磋商供应商应按采购人提供的工程量清单中列出的工程内容、数量，填报单价和合价。每一项目只允许有一个报价。任何有选择的报价将不予接受。</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4、施工水电费按工程竣工结算审定价的</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计算，在结算审定款中直接扣除。</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5、如有材料检验检测，则检验检测单位由建设单位指定，磋商供应商承担相应材料检验检测费用，相关费用在投标报价中综合考虑，今后不得调整。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6、工程施工造成的其它设施、设备等的破损须修复原状，费用自行考虑报价。</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六、质保期要求</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质保期：2年</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质保金退还：工程竣工验收合格之日起满两年且回访质量符合要求后一次性付清（无息）；如保修期间产生维修费、赔偿金等，则扣除相应的维修费、赔偿金等款项后退还。</w:t>
      </w:r>
    </w:p>
    <w:p>
      <w:pPr>
        <w:spacing w:line="360" w:lineRule="auto"/>
        <w:ind w:firstLine="480" w:firstLineChars="200"/>
        <w:jc w:val="left"/>
        <w:rPr>
          <w:rFonts w:ascii="仿宋" w:hAnsi="仿宋" w:eastAsia="仿宋" w:cs="仿宋"/>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七、针对本项目的其他要求</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1、供应商在施工时需针对高校特点合理安排施工时间及噪音控制，保障学校正常教学生活秩序；</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2、供应商在施工时需严格做好施工现场管理的安全管理，如防火、防盗等；</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3、供应商需在竣工后及时供给水、电，做好卫生保洁工作。</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4、供应商在校内须严格遵守国家相关法律法规、严格遵守学校有关疫情防控、意识形态、宗教管理教育工作等相关规定。</w:t>
      </w:r>
    </w:p>
    <w:p>
      <w:pPr>
        <w:tabs>
          <w:tab w:val="right" w:leader="middleDot" w:pos="8085"/>
        </w:tabs>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5、本项目成交后采购人根据实际情况，可能变更设计；如变更设计，则按调整后图纸施工、结算。</w:t>
      </w:r>
    </w:p>
    <w:p>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等的方案及保证措施）、项目班组情况（包括项目经理资质、经验、项目经理承诺到位率、项目管理班子其他人员配置、资质、经验等内容）、售后服务方案（包括保修期、维护响应时间、服务方式、特别承诺）等内容。</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lang w:val="en-US" w:eastAsia="zh-CN"/>
        </w:rPr>
        <w:t>7</w:t>
      </w:r>
      <w:r>
        <w:rPr>
          <w:rFonts w:hint="eastAsia" w:ascii="仿宋" w:hAnsi="仿宋" w:eastAsia="仿宋" w:cs="仿宋"/>
          <w:snapToGrid w:val="0"/>
          <w:color w:val="auto"/>
          <w:sz w:val="24"/>
          <w:szCs w:val="24"/>
          <w:highlight w:val="none"/>
        </w:rPr>
        <w:t>、工程移交前，供应商需编制修缮工程使用说明书，明确各房间装修或改造情况、使用注意事项、主要设施设备品牌、工程质量保修期限及范围等内容。</w:t>
      </w:r>
    </w:p>
    <w:p>
      <w:pPr>
        <w:bidi w:val="0"/>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8、该项目在实施期间的不利因素</w:t>
      </w:r>
      <w:r>
        <w:rPr>
          <w:rFonts w:hint="eastAsia" w:ascii="仿宋" w:hAnsi="仿宋" w:eastAsia="仿宋" w:cs="仿宋"/>
          <w:color w:val="auto"/>
          <w:sz w:val="24"/>
          <w:szCs w:val="24"/>
          <w:highlight w:val="none"/>
          <w:lang w:val="en-US" w:eastAsia="zh-CN"/>
        </w:rPr>
        <w:t>：</w:t>
      </w:r>
    </w:p>
    <w:p>
      <w:pPr>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1）为保证学校的正常教学次序和正常供水部分施工需在夜间实施；</w:t>
      </w:r>
    </w:p>
    <w:p>
      <w:pPr>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2）停水时间需根据学校的教学和活动安排进行；</w:t>
      </w:r>
    </w:p>
    <w:p>
      <w:pPr>
        <w:bidi w:val="0"/>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3）由于地下管网复杂，部分工程需要人工开挖</w:t>
      </w:r>
      <w:r>
        <w:rPr>
          <w:rFonts w:hint="eastAsia" w:ascii="仿宋" w:hAnsi="仿宋" w:eastAsia="仿宋" w:cs="仿宋"/>
          <w:color w:val="auto"/>
          <w:sz w:val="24"/>
          <w:szCs w:val="24"/>
          <w:highlight w:val="none"/>
          <w:lang w:val="en-US" w:eastAsia="zh-CN"/>
        </w:rPr>
        <w:t>；</w:t>
      </w:r>
    </w:p>
    <w:p>
      <w:pPr>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上述因素请各投标单位在报价时充分考虑。</w:t>
      </w:r>
    </w:p>
    <w:p>
      <w:pPr>
        <w:bidi w:val="0"/>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9、改造完成的目标</w:t>
      </w:r>
      <w:r>
        <w:rPr>
          <w:rFonts w:hint="eastAsia" w:ascii="仿宋" w:hAnsi="仿宋" w:eastAsia="仿宋" w:cs="仿宋"/>
          <w:color w:val="auto"/>
          <w:sz w:val="24"/>
          <w:szCs w:val="24"/>
          <w:highlight w:val="none"/>
          <w:lang w:val="en-US" w:eastAsia="zh-CN"/>
        </w:rPr>
        <w:t>：</w:t>
      </w:r>
    </w:p>
    <w:p>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系统需接入学校现有平台，相应费用在投标报价中综合考虑。</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供水管网的管道漏损率小于5%。</w:t>
      </w:r>
      <w:r>
        <w:rPr>
          <w:rFonts w:hint="eastAsia" w:ascii="仿宋" w:hAnsi="仿宋" w:eastAsia="仿宋" w:cs="仿宋"/>
          <w:b/>
          <w:bCs/>
          <w:color w:val="auto"/>
          <w:sz w:val="24"/>
          <w:szCs w:val="24"/>
          <w:highlight w:val="none"/>
          <w:lang w:val="en-US" w:eastAsia="zh-CN"/>
        </w:rPr>
        <w:t>项目完工后，采购人将委托第三方检测单位进行水平衡测试，漏损率达标后方可进行验收。</w:t>
      </w:r>
    </w:p>
    <w:p>
      <w:pPr>
        <w:spacing w:line="360" w:lineRule="auto"/>
        <w:ind w:firstLine="482" w:firstLineChars="200"/>
        <w:jc w:val="left"/>
        <w:rPr>
          <w:rFonts w:hint="eastAsia" w:ascii="仿宋" w:hAnsi="仿宋" w:eastAsia="仿宋" w:cs="仿宋"/>
          <w:b/>
          <w:bCs/>
          <w:color w:val="auto"/>
          <w:sz w:val="24"/>
          <w:szCs w:val="24"/>
          <w:highlight w:val="none"/>
        </w:rPr>
      </w:pPr>
    </w:p>
    <w:p>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八、本章未尽内容按“第五章 合同主要条款”。</w:t>
      </w:r>
    </w:p>
    <w:p>
      <w:pPr>
        <w:pStyle w:val="75"/>
        <w:ind w:firstLine="0"/>
        <w:rPr>
          <w:color w:val="auto"/>
          <w:highlight w:val="none"/>
        </w:rPr>
      </w:pPr>
    </w:p>
    <w:p>
      <w:pPr>
        <w:rPr>
          <w:rFonts w:ascii="仿宋" w:hAnsi="仿宋" w:eastAsia="仿宋" w:cs="宋体"/>
          <w:b/>
          <w:color w:val="auto"/>
          <w:sz w:val="32"/>
          <w:szCs w:val="32"/>
          <w:highlight w:val="none"/>
        </w:rPr>
      </w:pPr>
      <w:bookmarkStart w:id="95" w:name="_Toc18450"/>
      <w:bookmarkStart w:id="96" w:name="_Hlk97732490"/>
      <w:r>
        <w:rPr>
          <w:rFonts w:hint="eastAsia" w:ascii="仿宋" w:hAnsi="仿宋" w:eastAsia="仿宋" w:cs="宋体"/>
          <w:b/>
          <w:color w:val="auto"/>
          <w:sz w:val="32"/>
          <w:szCs w:val="32"/>
          <w:highlight w:val="none"/>
        </w:rPr>
        <w:br w:type="page"/>
      </w:r>
    </w:p>
    <w:p>
      <w:pPr>
        <w:autoSpaceDN w:val="0"/>
        <w:adjustRightInd w:val="0"/>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合同</w:t>
      </w:r>
      <w:bookmarkEnd w:id="95"/>
    </w:p>
    <w:bookmarkEnd w:id="94"/>
    <w:bookmarkEnd w:id="96"/>
    <w:p>
      <w:pPr>
        <w:spacing w:line="288" w:lineRule="auto"/>
        <w:ind w:firstLine="458" w:firstLineChars="200"/>
        <w:jc w:val="center"/>
        <w:rPr>
          <w:rFonts w:ascii="仿宋" w:hAnsi="仿宋" w:eastAsia="仿宋" w:cs="仿宋"/>
          <w:color w:val="auto"/>
          <w:spacing w:val="-6"/>
          <w:sz w:val="24"/>
          <w:szCs w:val="24"/>
          <w:highlight w:val="none"/>
        </w:rPr>
      </w:pPr>
      <w:bookmarkStart w:id="97" w:name="_Toc15050"/>
      <w:r>
        <w:rPr>
          <w:rFonts w:hint="eastAsia" w:ascii="仿宋" w:hAnsi="仿宋" w:eastAsia="仿宋" w:cs="仿宋"/>
          <w:b/>
          <w:color w:val="auto"/>
          <w:spacing w:val="-6"/>
          <w:sz w:val="24"/>
          <w:szCs w:val="24"/>
          <w:highlight w:val="none"/>
        </w:rPr>
        <w:t>浙江工业大学采购合同</w:t>
      </w:r>
    </w:p>
    <w:p>
      <w:pPr>
        <w:spacing w:line="288" w:lineRule="auto"/>
        <w:ind w:firstLine="396" w:firstLineChars="200"/>
        <w:jc w:val="center"/>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（本合同为合同样稿，最终稿由双方协商后确定，合同实质性内容不得更改；签订合同时删除此行）</w:t>
      </w:r>
    </w:p>
    <w:p>
      <w:pPr>
        <w:spacing w:line="288" w:lineRule="auto"/>
        <w:ind w:firstLine="422" w:firstLineChars="200"/>
        <w:jc w:val="center"/>
        <w:outlineLvl w:val="1"/>
        <w:rPr>
          <w:rFonts w:ascii="仿宋" w:hAnsi="仿宋" w:eastAsia="仿宋" w:cs="仿宋"/>
          <w:b/>
          <w:bCs/>
          <w:color w:val="auto"/>
          <w:szCs w:val="21"/>
          <w:highlight w:val="none"/>
        </w:rPr>
      </w:pPr>
    </w:p>
    <w:p>
      <w:pPr>
        <w:spacing w:line="288" w:lineRule="auto"/>
        <w:ind w:firstLine="5040" w:firstLineChars="24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HSZB-2024-491</w:t>
      </w:r>
    </w:p>
    <w:p>
      <w:pPr>
        <w:spacing w:line="288" w:lineRule="auto"/>
        <w:ind w:firstLine="5040" w:firstLineChars="2400"/>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val="en-US" w:eastAsia="zh-CN"/>
        </w:rPr>
        <w:t>[2024]32220号、[2024]32221号</w:t>
      </w:r>
    </w:p>
    <w:p>
      <w:pPr>
        <w:spacing w:line="288" w:lineRule="auto"/>
        <w:ind w:firstLine="5040" w:firstLineChars="24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委托编号：ZJGDZC（W)-2024-HS024</w:t>
      </w:r>
    </w:p>
    <w:p>
      <w:pPr>
        <w:spacing w:line="288"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第一部分  合同协议书</w:t>
      </w:r>
    </w:p>
    <w:p>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发包人（全称）：浙江工业大学</w:t>
      </w:r>
    </w:p>
    <w:p>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bCs/>
          <w:color w:val="auto"/>
          <w:szCs w:val="21"/>
          <w:highlight w:val="none"/>
          <w:u w:val="single"/>
        </w:rPr>
        <w:t xml:space="preserve">            </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根据《中华人民共和国民法典》《中华人民共和国建筑法》及有关法律规定，遵循平等、自愿、公平和诚实信用的原则，双方就</w:t>
      </w:r>
      <w:r>
        <w:rPr>
          <w:rFonts w:hint="eastAsia" w:ascii="仿宋" w:hAnsi="仿宋" w:eastAsia="仿宋" w:cs="仿宋"/>
          <w:color w:val="auto"/>
          <w:szCs w:val="21"/>
          <w:highlight w:val="none"/>
          <w:lang w:eastAsia="zh-CN"/>
        </w:rPr>
        <w:t>浙江工业大学朝晖校区教学区生活供水管网改造工程</w:t>
      </w:r>
      <w:r>
        <w:rPr>
          <w:rFonts w:hint="eastAsia" w:ascii="仿宋" w:hAnsi="仿宋" w:eastAsia="仿宋" w:cs="仿宋"/>
          <w:color w:val="auto"/>
          <w:szCs w:val="21"/>
          <w:highlight w:val="none"/>
        </w:rPr>
        <w:t>施工及有关事项协商一致，共同达成如下协议：</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一、工程概况</w:t>
      </w:r>
    </w:p>
    <w:p>
      <w:pPr>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1.工程名称：</w:t>
      </w:r>
      <w:r>
        <w:rPr>
          <w:rFonts w:hint="eastAsia" w:ascii="仿宋" w:hAnsi="仿宋" w:eastAsia="仿宋" w:cs="仿宋"/>
          <w:color w:val="auto"/>
          <w:szCs w:val="21"/>
          <w:highlight w:val="none"/>
          <w:lang w:eastAsia="zh-CN"/>
        </w:rPr>
        <w:t>浙江工业大学朝晖校区教学区生活供水管网改造工程</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2.工程地点：浙江工业大学朝晖校区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3.工程立项批准文号：/</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4.资金来源：财政性资金</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5.工程内容：</w:t>
      </w:r>
      <w:r>
        <w:rPr>
          <w:rFonts w:hint="eastAsia" w:ascii="仿宋" w:hAnsi="仿宋" w:eastAsia="仿宋" w:cs="仿宋"/>
          <w:color w:val="auto"/>
          <w:szCs w:val="21"/>
          <w:highlight w:val="none"/>
          <w:u w:val="single"/>
        </w:rPr>
        <w:t xml:space="preserve">                      </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6.工程承包范围：工程量清单、图纸范围内的全部工程内容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二、合同工期</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计划开工日期：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计划竣工日期：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工期总日历天数：</w:t>
      </w:r>
      <w:r>
        <w:rPr>
          <w:rFonts w:hint="eastAsia" w:ascii="仿宋" w:hAnsi="仿宋" w:eastAsia="仿宋" w:cs="仿宋"/>
          <w:color w:val="auto"/>
          <w:szCs w:val="21"/>
          <w:highlight w:val="none"/>
          <w:lang w:eastAsia="zh-CN"/>
        </w:rPr>
        <w:t>50日历天</w:t>
      </w:r>
      <w:r>
        <w:rPr>
          <w:rFonts w:hint="eastAsia" w:ascii="仿宋" w:hAnsi="仿宋" w:eastAsia="仿宋" w:cs="仿宋"/>
          <w:color w:val="auto"/>
          <w:szCs w:val="21"/>
          <w:highlight w:val="none"/>
        </w:rPr>
        <w:t>，工期总日历天数与根据前述计划开竣工日期计算的工期天数不一致的，以工期总日历天数为准。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上述计划开工和竣工日期为暂定日期，具体开工日期以总监理工程师发出的开工令为准。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三、质量标准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工程质量符合国家施工验收规范合格标准。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四、签约合同价与合同价格形式</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其中：</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（4）暂列金额：</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rPr>
        <w:t>固定单价合同</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3.本次竞争性磋商包含两次报价，承包人在仔细研究了本项目施工磋商文件的全部内容，最后报价愿意在初始报价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万元基础上优惠至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万元，并完全响应磋商文件内容。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项目竣工结算时，最终结算价根据承诺优惠率同比例调整，调整范围包括合同部分及新增联系单部分。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五、项目经理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承包人项目经理：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六、合同文件构成</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本协议书与下列文件一起构成合同文件：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（1）成交通知书</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（2）磋商文件、答疑、磋商记录及补充文件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（3）响应文件及其附件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（4）专用合同条款及其附件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（5）通用合同条款</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（6）技术标准和要求</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（7）图纸</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（8）已标价工程量清单或预算书</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（9）其他合同文件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七、承诺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1.发包人承诺按照法律规定履行项目审批手续、筹集工程建设资金并按照合同约定的期限和方式支付合同价款。</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3.发包人和承包人通过招投标形式签订合同的，双方理解并承诺不再就同一工程另行签订与合同实质性内容相背离的协议。</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八、词语含义</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本协议书中词语含义与第二部分通用合同条款中赋予的含义相同。</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九、签订时间</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日签订。</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十、签订地点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本合同在浙江杭州签订。</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十一、补充协议</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合同未尽事宜，合同当事人另行签订补充协议，补充协议是合同的组成部分。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十二、合同生效</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本合同自双方签字盖章后生效。</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十三、合同份数</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捌</w:t>
      </w:r>
      <w:r>
        <w:rPr>
          <w:rFonts w:hint="eastAsia" w:ascii="仿宋" w:hAnsi="仿宋" w:eastAsia="仿宋" w:cs="仿宋"/>
          <w:color w:val="auto"/>
          <w:szCs w:val="21"/>
          <w:highlight w:val="none"/>
        </w:rPr>
        <w:t>份，均具有同等法律效力，发包人执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，承包人执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w:t>
      </w:r>
    </w:p>
    <w:p>
      <w:pPr>
        <w:spacing w:line="288" w:lineRule="auto"/>
        <w:rPr>
          <w:rFonts w:ascii="仿宋" w:hAnsi="仿宋" w:eastAsia="仿宋" w:cs="仿宋"/>
          <w:color w:val="auto"/>
          <w:szCs w:val="21"/>
          <w:highlight w:val="none"/>
        </w:rPr>
      </w:pP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发包人：(公章)                       承包人：(公章)</w:t>
      </w:r>
    </w:p>
    <w:p>
      <w:pPr>
        <w:spacing w:line="288" w:lineRule="auto"/>
        <w:ind w:firstLine="420" w:firstLineChars="200"/>
        <w:rPr>
          <w:rFonts w:ascii="仿宋" w:hAnsi="仿宋" w:eastAsia="仿宋" w:cs="仿宋"/>
          <w:color w:val="auto"/>
          <w:szCs w:val="21"/>
          <w:highlight w:val="none"/>
        </w:rPr>
      </w:pP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           法定代表人或其委托代理人：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（签字）                             （签字）</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组织机构代码：                        组织机构代码：</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地址：                                地址：</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邮政编码：                            邮政编码：</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委托代理人：                          委托代理人：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传真：                                传真：</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电子信箱：                            电子信箱：</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账号：                                账号：</w:t>
      </w:r>
    </w:p>
    <w:p>
      <w:pPr>
        <w:pStyle w:val="131"/>
        <w:spacing w:line="360" w:lineRule="auto"/>
        <w:ind w:firstLine="480"/>
        <w:rPr>
          <w:rFonts w:ascii="仿宋" w:hAnsi="仿宋" w:eastAsia="仿宋" w:cs="仿宋"/>
          <w:color w:val="auto"/>
          <w:szCs w:val="21"/>
          <w:highlight w:val="none"/>
          <w:u w:val="single"/>
        </w:rPr>
      </w:pPr>
    </w:p>
    <w:p>
      <w:pPr>
        <w:spacing w:line="400" w:lineRule="atLeast"/>
        <w:ind w:firstLine="570"/>
        <w:rPr>
          <w:rFonts w:ascii="仿宋" w:hAnsi="仿宋" w:eastAsia="仿宋" w:cs="仿宋"/>
          <w:color w:val="auto"/>
          <w:szCs w:val="21"/>
          <w:highlight w:val="none"/>
        </w:rPr>
      </w:pPr>
    </w:p>
    <w:p>
      <w:pPr>
        <w:spacing w:line="400" w:lineRule="atLeast"/>
        <w:rPr>
          <w:rFonts w:ascii="仿宋" w:hAnsi="仿宋" w:eastAsia="仿宋" w:cs="仿宋"/>
          <w:color w:val="auto"/>
          <w:szCs w:val="21"/>
          <w:highlight w:val="none"/>
        </w:rPr>
      </w:pPr>
    </w:p>
    <w:p>
      <w:pPr>
        <w:snapToGrid w:val="0"/>
        <w:spacing w:line="360" w:lineRule="auto"/>
        <w:jc w:val="center"/>
        <w:rPr>
          <w:rFonts w:ascii="仿宋" w:hAnsi="仿宋" w:eastAsia="仿宋" w:cs="仿宋"/>
          <w:b/>
          <w:bCs/>
          <w:color w:val="auto"/>
          <w:szCs w:val="21"/>
          <w:highlight w:val="none"/>
        </w:rPr>
      </w:pPr>
    </w:p>
    <w:p>
      <w:pPr>
        <w:snapToGrid w:val="0"/>
        <w:spacing w:line="360" w:lineRule="auto"/>
        <w:jc w:val="center"/>
        <w:rPr>
          <w:rFonts w:ascii="仿宋" w:hAnsi="仿宋" w:eastAsia="仿宋" w:cs="仿宋"/>
          <w:b/>
          <w:bCs/>
          <w:color w:val="auto"/>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30"/>
        <w:snapToGrid w:val="0"/>
        <w:spacing w:before="162" w:after="162" w:line="360" w:lineRule="auto"/>
        <w:rPr>
          <w:rFonts w:ascii="仿宋" w:hAnsi="仿宋" w:eastAsia="仿宋" w:cs="仿宋"/>
          <w:b/>
          <w:bCs/>
          <w:color w:val="auto"/>
          <w:sz w:val="21"/>
          <w:szCs w:val="21"/>
          <w:highlight w:val="none"/>
        </w:rPr>
      </w:pPr>
    </w:p>
    <w:p>
      <w:pPr>
        <w:pStyle w:val="55"/>
        <w:spacing w:line="440" w:lineRule="exact"/>
        <w:jc w:val="center"/>
        <w:rPr>
          <w:rFonts w:ascii="仿宋" w:hAnsi="仿宋" w:eastAsia="仿宋" w:cs="仿宋"/>
          <w:b/>
          <w:bCs/>
          <w:color w:val="auto"/>
          <w:sz w:val="32"/>
          <w:szCs w:val="32"/>
          <w:highlight w:val="none"/>
        </w:rPr>
      </w:pPr>
      <w:r>
        <w:rPr>
          <w:rFonts w:hint="eastAsia" w:ascii="仿宋" w:hAnsi="仿宋" w:eastAsia="仿宋" w:cs="仿宋"/>
          <w:b/>
          <w:snapToGrid w:val="0"/>
          <w:color w:val="auto"/>
          <w:sz w:val="28"/>
          <w:szCs w:val="28"/>
          <w:highlight w:val="none"/>
        </w:rPr>
        <w:t>第二部分  通用条款</w:t>
      </w:r>
    </w:p>
    <w:p>
      <w:pPr>
        <w:pStyle w:val="55"/>
        <w:spacing w:line="44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详见《建设工程施工合同（示范文本）》（GF-2017-0201）第二部分 通用合同条款。</w:t>
      </w:r>
    </w:p>
    <w:p>
      <w:pPr>
        <w:pStyle w:val="55"/>
        <w:spacing w:line="440" w:lineRule="exact"/>
        <w:jc w:val="center"/>
        <w:rPr>
          <w:rFonts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第三部分  专用条款</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一般约定</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 词语定义</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1.1.1合同</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1.1.1.10其他合同文件包括：</w:t>
      </w:r>
      <w:r>
        <w:rPr>
          <w:rFonts w:hint="eastAsia" w:ascii="仿宋" w:hAnsi="仿宋" w:eastAsia="仿宋" w:cs="仿宋"/>
          <w:color w:val="auto"/>
          <w:highlight w:val="none"/>
          <w:u w:val="single"/>
        </w:rPr>
        <w:t xml:space="preserve">           /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 合同当事人及其他相关方</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1.1.2.4监理人：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1.1.2.5 设计人：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 工程和设备</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1.1.3.7 作为施工现场组成部分的其他场所包括：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1.1.3.9 永久占地包括：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1.1.3.10 临时占地包括：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1.3法律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适用于合同的其他规范性文件：</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1.3.1《关于贯彻《省厅调整安全文明施工费的通知》的通知》(杭建市发〔2022)54号〕；</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1.3.2省市建设行政部门颁发的其他现行有效文件(包括但不仅限于以下文件)；</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(1)其他：</w:t>
      </w:r>
      <w:r>
        <w:rPr>
          <w:rFonts w:hint="eastAsia" w:ascii="仿宋" w:hAnsi="仿宋" w:eastAsia="仿宋" w:cs="仿宋"/>
          <w:b/>
          <w:bCs/>
          <w:color w:val="auto"/>
          <w:highlight w:val="none"/>
          <w:u w:val="single"/>
        </w:rPr>
        <w:t>《中华人民共和国建筑法》、《中华人民共和国民法典》及国家、浙江省、项目所在地市现行的其它法律、行政法规、地方性法规</w:t>
      </w:r>
      <w:r>
        <w:rPr>
          <w:rFonts w:hint="eastAsia" w:ascii="仿宋" w:hAnsi="仿宋" w:eastAsia="仿宋" w:cs="仿宋"/>
          <w:color w:val="auto"/>
          <w:highlight w:val="none"/>
          <w:u w:val="singl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新工艺、新技术的约定：：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1.3.7 其他</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 标准和规范</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1.4.1适用于工程的标准规范包括：</w:t>
      </w:r>
      <w:r>
        <w:rPr>
          <w:rFonts w:hint="eastAsia" w:ascii="仿宋" w:hAnsi="仿宋" w:eastAsia="仿宋" w:cs="仿宋"/>
          <w:b/>
          <w:bCs/>
          <w:color w:val="auto"/>
          <w:highlight w:val="none"/>
          <w:u w:val="single"/>
        </w:rPr>
        <w:t>按通用条款约定</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1.4.2 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发包人提供国外标准、规范的份数：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1.4.3发包人对工程的技术标准和功能要求的特殊要求：</w:t>
      </w:r>
      <w:r>
        <w:rPr>
          <w:rFonts w:hint="eastAsia" w:ascii="仿宋" w:hAnsi="仿宋" w:eastAsia="仿宋" w:cs="仿宋"/>
          <w:b/>
          <w:bCs/>
          <w:color w:val="auto"/>
          <w:highlight w:val="none"/>
          <w:u w:val="single"/>
        </w:rPr>
        <w:t>按磋商文件第三章采购需求书中的技术标准约定</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 合同文件的优先顺序</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合同文件组成及优先顺序为：</w:t>
      </w:r>
      <w:r>
        <w:rPr>
          <w:rFonts w:hint="eastAsia" w:ascii="仿宋" w:hAnsi="仿宋" w:eastAsia="仿宋" w:cs="仿宋"/>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 图纸和承包人文件</w:t>
      </w:r>
      <w:r>
        <w:rPr>
          <w:rFonts w:hint="eastAsia" w:ascii="仿宋" w:hAnsi="仿宋" w:eastAsia="仿宋" w:cs="仿宋"/>
          <w:color w:val="auto"/>
          <w:highlight w:val="none"/>
        </w:rPr>
        <w:tab/>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图纸的提供</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发包人向承包人提供图纸的期限：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25"/>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发包人向承包人提供图纸的数量：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u w:val="single"/>
        </w:rPr>
      </w:pPr>
      <w:r>
        <w:rPr>
          <w:rFonts w:hint="eastAsia" w:ascii="仿宋" w:hAnsi="仿宋" w:eastAsia="仿宋" w:cs="仿宋"/>
          <w:color w:val="auto"/>
          <w:highlight w:val="none"/>
        </w:rPr>
        <w:t>发包人向承包人提供图纸的内容：</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1.6.4 承包人文件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需要由承包人提供的文件，包括：</w:t>
      </w:r>
      <w:r>
        <w:rPr>
          <w:rFonts w:hint="eastAsia" w:ascii="仿宋" w:hAnsi="仿宋" w:eastAsia="仿宋" w:cs="仿宋"/>
          <w:b/>
          <w:bCs/>
          <w:color w:val="auto"/>
          <w:highlight w:val="none"/>
          <w:u w:val="single"/>
        </w:rPr>
        <w:t>施工组织设计（施工方案）和进度计划</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承包人提供的文件的期限为：</w:t>
      </w:r>
      <w:r>
        <w:rPr>
          <w:rFonts w:hint="eastAsia" w:ascii="仿宋" w:hAnsi="仿宋" w:eastAsia="仿宋" w:cs="仿宋"/>
          <w:b/>
          <w:bCs/>
          <w:color w:val="auto"/>
          <w:highlight w:val="none"/>
          <w:u w:val="single"/>
        </w:rPr>
        <w:t>开工前7天提供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承包人提供的文件的数量为：</w:t>
      </w:r>
      <w:r>
        <w:rPr>
          <w:rFonts w:hint="eastAsia" w:ascii="仿宋" w:hAnsi="仿宋" w:eastAsia="仿宋" w:cs="仿宋"/>
          <w:b/>
          <w:bCs/>
          <w:color w:val="auto"/>
          <w:highlight w:val="none"/>
          <w:u w:val="single"/>
        </w:rPr>
        <w:t xml:space="preserve">三套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承包人提供的文件的形式为：</w:t>
      </w:r>
      <w:r>
        <w:rPr>
          <w:rFonts w:hint="eastAsia" w:ascii="仿宋" w:hAnsi="仿宋" w:eastAsia="仿宋" w:cs="仿宋"/>
          <w:b/>
          <w:bCs/>
          <w:color w:val="auto"/>
          <w:highlight w:val="none"/>
          <w:u w:val="single"/>
        </w:rPr>
        <w:t>书面文件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发包人审批承包人文件的期限：</w:t>
      </w:r>
      <w:r>
        <w:rPr>
          <w:rFonts w:hint="eastAsia" w:ascii="仿宋" w:hAnsi="仿宋" w:eastAsia="仿宋" w:cs="仿宋"/>
          <w:b/>
          <w:bCs/>
          <w:color w:val="auto"/>
          <w:highlight w:val="none"/>
          <w:u w:val="single"/>
        </w:rPr>
        <w:t>收到报告后7天内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1.6.5 现场图纸准备</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关于现场图纸准备的约定：</w:t>
      </w:r>
      <w:r>
        <w:rPr>
          <w:rFonts w:hint="eastAsia" w:ascii="仿宋" w:hAnsi="仿宋" w:eastAsia="仿宋" w:cs="仿宋"/>
          <w:b/>
          <w:bCs/>
          <w:color w:val="auto"/>
          <w:highlight w:val="none"/>
          <w:u w:val="single"/>
        </w:rPr>
        <w:t>按通用合同条款第1.6.5条规定执行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 联络</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1.7.1发包人和承包人应当在</w:t>
      </w:r>
      <w:r>
        <w:rPr>
          <w:rFonts w:hint="eastAsia" w:ascii="仿宋" w:hAnsi="仿宋" w:eastAsia="仿宋" w:cs="仿宋"/>
          <w:b/>
          <w:bCs/>
          <w:color w:val="auto"/>
          <w:highlight w:val="none"/>
          <w:u w:val="single"/>
        </w:rPr>
        <w:t>7</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天内将与合同有关的通知、批准、证明、证书、指示、指令、要求、请求、同意、意见、确定和决定等书面函件送达对方当事人。</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1.7.2 发包人接收文件的地点：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监理人指定的接收人为：</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 交通运输</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1.10.1 出入现场的权利</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关于出入现场的权利的约定：</w:t>
      </w:r>
      <w:r>
        <w:rPr>
          <w:rFonts w:hint="eastAsia" w:ascii="仿宋" w:hAnsi="仿宋" w:eastAsia="仿宋" w:cs="仿宋"/>
          <w:b/>
          <w:bCs/>
          <w:color w:val="auto"/>
          <w:highlight w:val="none"/>
          <w:u w:val="single"/>
        </w:rPr>
        <w:t>按通用合同条款第1.10.1条规定执行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1.10.3 场内交通</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关于场外交通和场内交通的边界的约定：</w:t>
      </w:r>
      <w:r>
        <w:rPr>
          <w:rFonts w:hint="eastAsia" w:ascii="仿宋" w:hAnsi="仿宋" w:eastAsia="仿宋" w:cs="仿宋"/>
          <w:b/>
          <w:bCs/>
          <w:color w:val="auto"/>
          <w:highlight w:val="none"/>
          <w:u w:val="single"/>
        </w:rPr>
        <w:t>施工范围内的场地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关于发包人向承包人免费提供满足工程施工需要的场内道路和交通设施的约定：</w:t>
      </w:r>
      <w:r>
        <w:rPr>
          <w:rFonts w:hint="eastAsia" w:ascii="仿宋" w:hAnsi="仿宋" w:eastAsia="仿宋" w:cs="仿宋"/>
          <w:b/>
          <w:bCs/>
          <w:color w:val="auto"/>
          <w:highlight w:val="none"/>
          <w:u w:val="single"/>
        </w:rPr>
        <w:t>开工前7天，发包人负责施工场地道路畅通，确保承包人施工车辆进出工地畅通；承包人须办理校内施工相关手续并承担相应费用</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1.10.4超大件和超重件的运输</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运输超大件或超重件所需的道路和桥梁临时加固改造费用和其他有关费用由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承担。</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本工程的超大件：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本工程的超重件：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知识产权</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bCs/>
          <w:color w:val="auto"/>
          <w:highlight w:val="none"/>
          <w:u w:val="single"/>
        </w:rPr>
        <w:t>按通用合同条款第1.11.1条规定执行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关于发包人提供的上述文件的使用限制的要求：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1.11.2 关于承包人为实施工程所编制文件的著作权的归属：</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按通用合同条款第1.11.2条规定执行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关于承包人提供的上述文件的使用限制的要求：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highlight w:val="none"/>
        </w:rPr>
        <w:t>1.11.4 承包人在施工过程中所采用的专利、专有技术、技术秘密的使用费的承担方式：</w:t>
      </w:r>
      <w:r>
        <w:rPr>
          <w:rFonts w:hint="eastAsia" w:ascii="仿宋" w:hAnsi="仿宋" w:eastAsia="仿宋" w:cs="仿宋"/>
          <w:b/>
          <w:bCs/>
          <w:color w:val="auto"/>
          <w:highlight w:val="none"/>
          <w:u w:val="single"/>
        </w:rPr>
        <w:t xml:space="preserve"> (除发包人指明外)承包人在施工过 程中所采用的专利、专有技术、技术秘密的使用费包含在合同价款内。</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1.13工程量清单错误的修正</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出现工程量清单错误时，是否调整合同价格：</w:t>
      </w:r>
      <w:r>
        <w:rPr>
          <w:rFonts w:hint="eastAsia" w:ascii="仿宋" w:hAnsi="仿宋" w:eastAsia="仿宋" w:cs="仿宋"/>
          <w:b/>
          <w:bCs/>
          <w:color w:val="auto"/>
          <w:highlight w:val="none"/>
          <w:u w:val="single"/>
        </w:rPr>
        <w:t xml:space="preserve">但单价不作调整 </w:t>
      </w:r>
      <w:r>
        <w:rPr>
          <w:rFonts w:hint="eastAsia" w:ascii="仿宋" w:hAnsi="仿宋" w:eastAsia="仿宋" w:cs="仿宋"/>
          <w:color w:val="auto"/>
          <w:kern w:val="0"/>
          <w:highlight w:val="none"/>
        </w:rPr>
        <w:t>。</w:t>
      </w:r>
    </w:p>
    <w:p>
      <w:pPr>
        <w:pStyle w:val="131"/>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允许调整合同价格的工程量偏差范围：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调整合同价格的修正时间：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 发包人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 发包人代表</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发包人代表：</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525" w:firstLineChars="250"/>
        <w:rPr>
          <w:rFonts w:ascii="仿宋" w:hAnsi="仿宋" w:eastAsia="仿宋" w:cs="仿宋"/>
          <w:b/>
          <w:bCs/>
          <w:color w:val="auto"/>
          <w:highlight w:val="none"/>
          <w:u w:val="single"/>
        </w:rPr>
      </w:pPr>
      <w:r>
        <w:rPr>
          <w:rFonts w:hint="eastAsia" w:ascii="仿宋" w:hAnsi="仿宋" w:eastAsia="仿宋" w:cs="仿宋"/>
          <w:color w:val="auto"/>
          <w:highlight w:val="none"/>
        </w:rPr>
        <w:t>发包人对发包人代表的授权范围如下：</w:t>
      </w:r>
      <w:r>
        <w:rPr>
          <w:rFonts w:hint="eastAsia" w:ascii="仿宋" w:hAnsi="仿宋" w:eastAsia="仿宋" w:cs="仿宋"/>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pPr>
        <w:pStyle w:val="131"/>
        <w:adjustRightInd w:val="0"/>
        <w:snapToGrid w:val="0"/>
        <w:spacing w:line="360" w:lineRule="exact"/>
        <w:ind w:firstLine="527" w:firstLineChars="25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（2）发包人代表可委派有关具体管理人员，承担自己部分权力和职责，并可在任何时候撤回并重新委派，委派和撤回均应提前3个工作日通知承包方；</w:t>
      </w:r>
    </w:p>
    <w:p>
      <w:pPr>
        <w:pStyle w:val="125"/>
        <w:adjustRightInd w:val="0"/>
        <w:snapToGrid w:val="0"/>
        <w:spacing w:line="360" w:lineRule="exact"/>
        <w:ind w:firstLine="474" w:firstLineChars="225"/>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 施工现场、施工条件和基础资料的提供</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2.4.1 提供施工现场</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关于发包人移交施工现场的期限要求：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开工前7天提供符合施工条件的施工场地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2.4.2 提供施工条件</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关于发包人应负责提供施工所需要的条件，包括：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除通用合同条款第2.4.2条规定外，开工前7天，完成水准点与坐标点，并进行现场校验</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 资金来源证明及支付担保</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发包人提供资金来源证明的期限要求：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发包人是否提供支付担保：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发包人提供支付担保的形式：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 承包人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3.1 承包人的一般义务</w:t>
      </w:r>
    </w:p>
    <w:p>
      <w:pPr>
        <w:pStyle w:val="131"/>
        <w:adjustRightInd w:val="0"/>
        <w:snapToGrid w:val="0"/>
        <w:spacing w:line="360" w:lineRule="exact"/>
        <w:ind w:firstLine="315" w:firstLineChars="150"/>
        <w:jc w:val="left"/>
        <w:rPr>
          <w:rFonts w:ascii="仿宋" w:hAnsi="仿宋" w:eastAsia="仿宋" w:cs="仿宋"/>
          <w:color w:val="auto"/>
          <w:highlight w:val="none"/>
        </w:rPr>
      </w:pPr>
      <w:r>
        <w:rPr>
          <w:rFonts w:hint="eastAsia" w:ascii="仿宋" w:hAnsi="仿宋" w:eastAsia="仿宋" w:cs="仿宋"/>
          <w:color w:val="auto"/>
          <w:kern w:val="0"/>
          <w:highlight w:val="none"/>
        </w:rPr>
        <w:t>（5）</w:t>
      </w:r>
      <w:r>
        <w:rPr>
          <w:rFonts w:hint="eastAsia" w:ascii="仿宋" w:hAnsi="仿宋" w:eastAsia="仿宋" w:cs="仿宋"/>
          <w:color w:val="auto"/>
          <w:highlight w:val="none"/>
        </w:rPr>
        <w:t>承包人提交的竣工资料的内容：</w:t>
      </w:r>
      <w:r>
        <w:rPr>
          <w:rFonts w:hint="eastAsia" w:ascii="仿宋" w:hAnsi="仿宋" w:eastAsia="仿宋" w:cs="仿宋"/>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承包人需要提交的竣工资料套数：</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承包人提交的竣工资料的费用承担：</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承包人提交的竣工资料移交时间：</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工程竣工验收合格后15天内</w:t>
      </w:r>
      <w:r>
        <w:rPr>
          <w:rFonts w:hint="eastAsia" w:ascii="仿宋" w:hAnsi="仿宋" w:eastAsia="仿宋" w:cs="仿宋"/>
          <w:color w:val="auto"/>
          <w:highlight w:val="none"/>
          <w:u w:val="single"/>
        </w:rPr>
        <w:t>。</w:t>
      </w:r>
    </w:p>
    <w:p>
      <w:pPr>
        <w:pStyle w:val="131"/>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承包人提交的竣工资料形式要求:</w:t>
      </w:r>
      <w:r>
        <w:rPr>
          <w:rFonts w:hint="eastAsia" w:ascii="仿宋" w:hAnsi="仿宋" w:eastAsia="仿宋" w:cs="仿宋"/>
          <w:b/>
          <w:bCs/>
          <w:color w:val="auto"/>
          <w:highlight w:val="none"/>
          <w:u w:val="single"/>
        </w:rPr>
        <w:t>竣工资料按规范装订成册。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（6）承包人应履行的其他义务：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3.2 项目经理</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 xml:space="preserve">3.2.1 </w:t>
      </w:r>
      <w:r>
        <w:rPr>
          <w:rFonts w:hint="eastAsia" w:ascii="仿宋" w:hAnsi="仿宋" w:eastAsia="仿宋" w:cs="仿宋"/>
          <w:color w:val="auto"/>
          <w:highlight w:val="none"/>
        </w:rPr>
        <w:t>项目经理：</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建造师执业资格等级：</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建造师注册证书号：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建造师执业印章号：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安全生产考核合格证书号：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承包人对项目经理的授权范围如下：</w:t>
      </w:r>
      <w:r>
        <w:rPr>
          <w:rFonts w:hint="eastAsia" w:ascii="仿宋" w:hAnsi="仿宋" w:eastAsia="仿宋" w:cs="仿宋"/>
          <w:b/>
          <w:bCs/>
          <w:color w:val="auto"/>
          <w:highlight w:val="none"/>
          <w:u w:val="single"/>
        </w:rPr>
        <w:t>项目经理按合同约定组织工程实施</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关于项目经理每月在施工现场的时间要求：</w:t>
      </w:r>
      <w:r>
        <w:rPr>
          <w:rFonts w:hint="eastAsia" w:ascii="仿宋" w:hAnsi="仿宋" w:eastAsia="仿宋" w:cs="仿宋"/>
          <w:b/>
          <w:bCs/>
          <w:color w:val="auto"/>
          <w:highlight w:val="none"/>
          <w:u w:val="single"/>
        </w:rPr>
        <w:t>到位率不低于80%（以供应商承诺到位率为准）。</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承包人未提交劳动合同，以及没有为项目经理缴纳社会保险证明的违约责任：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由承包人承担违约责任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kern w:val="0"/>
          <w:highlight w:val="none"/>
        </w:rPr>
        <w:t>项目经理未经批准，擅自离开施工现场的违约责任：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按500元/次予以处罚</w:t>
      </w:r>
      <w:r>
        <w:rPr>
          <w:rFonts w:hint="eastAsia" w:ascii="仿宋" w:hAnsi="仿宋" w:eastAsia="仿宋" w:cs="仿宋"/>
          <w:color w:val="auto"/>
          <w:highlight w:val="none"/>
        </w:rPr>
        <w:t>。</w:t>
      </w:r>
    </w:p>
    <w:p>
      <w:pPr>
        <w:pStyle w:val="125"/>
        <w:adjustRightInd w:val="0"/>
        <w:snapToGrid w:val="0"/>
        <w:spacing w:line="360" w:lineRule="exact"/>
        <w:ind w:firstLine="359" w:firstLineChars="171"/>
        <w:rPr>
          <w:rFonts w:ascii="仿宋" w:hAnsi="仿宋" w:eastAsia="仿宋" w:cs="仿宋"/>
          <w:color w:val="auto"/>
          <w:highlight w:val="none"/>
        </w:rPr>
      </w:pPr>
      <w:r>
        <w:rPr>
          <w:rFonts w:hint="eastAsia" w:ascii="仿宋" w:hAnsi="仿宋" w:eastAsia="仿宋" w:cs="仿宋"/>
          <w:color w:val="auto"/>
          <w:highlight w:val="none"/>
        </w:rPr>
        <w:t>3.2.3承包人擅自更换项目经理的违约责任：</w:t>
      </w:r>
    </w:p>
    <w:p>
      <w:pPr>
        <w:pStyle w:val="125"/>
        <w:numPr>
          <w:ilvl w:val="0"/>
          <w:numId w:val="8"/>
        </w:numPr>
        <w:adjustRightInd w:val="0"/>
        <w:snapToGrid w:val="0"/>
        <w:spacing w:line="360" w:lineRule="exact"/>
        <w:ind w:firstLine="420" w:firstLineChars="20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承包人确需更换项目经理的，继任项目经理注册执业 资格、管理经验的约定：</w:t>
      </w:r>
      <w:r>
        <w:rPr>
          <w:rFonts w:hint="eastAsia" w:ascii="仿宋" w:hAnsi="仿宋" w:eastAsia="仿宋" w:cs="仿宋"/>
          <w:color w:val="auto"/>
          <w:kern w:val="0"/>
          <w:szCs w:val="24"/>
          <w:highlight w:val="none"/>
          <w:u w:val="single"/>
        </w:rPr>
        <w:t>/ 。</w:t>
      </w:r>
    </w:p>
    <w:p>
      <w:pPr>
        <w:pStyle w:val="125"/>
        <w:numPr>
          <w:ilvl w:val="0"/>
          <w:numId w:val="8"/>
        </w:numPr>
        <w:adjustRightInd w:val="0"/>
        <w:snapToGrid w:val="0"/>
        <w:spacing w:line="360" w:lineRule="exact"/>
        <w:ind w:firstLine="420" w:firstLineChars="200"/>
        <w:rPr>
          <w:rFonts w:ascii="仿宋" w:hAnsi="仿宋" w:eastAsia="仿宋" w:cs="仿宋"/>
          <w:b/>
          <w:bCs/>
          <w:color w:val="auto"/>
          <w:kern w:val="0"/>
          <w:highlight w:val="none"/>
          <w:u w:val="single"/>
        </w:rPr>
      </w:pPr>
      <w:r>
        <w:rPr>
          <w:rFonts w:hint="eastAsia" w:ascii="仿宋" w:hAnsi="仿宋" w:eastAsia="仿宋" w:cs="仿宋"/>
          <w:color w:val="auto"/>
          <w:kern w:val="0"/>
          <w:szCs w:val="24"/>
          <w:highlight w:val="none"/>
        </w:rPr>
        <w:t>承包人擅自更换项目经理的违约责任：</w:t>
      </w:r>
      <w:r>
        <w:rPr>
          <w:rFonts w:hint="eastAsia" w:ascii="仿宋" w:hAnsi="仿宋" w:eastAsia="仿宋" w:cs="仿宋"/>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按通用合同条款第3.2.4条规定执行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 承包人人员</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3.3.1 承包人提交项目管理机构及施工现场管理人员安排报告的期限：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3.3.2 承包人需更换主要施工管理人员的，继任人员的数量、注册执业资格、管理经验的约定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3.3.3 承包人无正当理由拒绝撤换主要施工管理人员的违约责任：</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3.3.4 承包人主要施工管理人员离开施工现场的批准要求：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按通用合同条款第3.3.4条规定执行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3.3.5承包人擅自更换主要施工管理人员的违约责任：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承包人主要施工管理人员擅自离开施工现场的违约责任：</w:t>
      </w:r>
      <w:r>
        <w:rPr>
          <w:rFonts w:hint="eastAsia" w:ascii="仿宋" w:hAnsi="仿宋" w:eastAsia="仿宋" w:cs="仿宋"/>
          <w:b/>
          <w:bCs/>
          <w:color w:val="auto"/>
          <w:highlight w:val="none"/>
          <w:u w:val="single"/>
        </w:rPr>
        <w:t>发包人有权要求更换管理人员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 分包</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3.5.1 分包的一般约定</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禁止分包的工程包括：</w:t>
      </w:r>
      <w:r>
        <w:rPr>
          <w:rFonts w:hint="eastAsia" w:ascii="仿宋" w:hAnsi="仿宋" w:eastAsia="仿宋" w:cs="仿宋"/>
          <w:b/>
          <w:bCs/>
          <w:color w:val="auto"/>
          <w:highlight w:val="none"/>
          <w:u w:val="single"/>
        </w:rPr>
        <w:t xml:space="preserve"> 未经发包人同意一律不得分包。  </w:t>
      </w:r>
    </w:p>
    <w:p>
      <w:pPr>
        <w:pStyle w:val="131"/>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主体结构、关键性工作的范围：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3.5.2分包的确定</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允许分包的专业工程包括：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其他关于分包的约定：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3.5.4 分包合同价款</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关于分包合同价款支付的约定：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3.6 工程照管与成品、半成品保护</w:t>
      </w:r>
    </w:p>
    <w:p>
      <w:pPr>
        <w:pStyle w:val="131"/>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承包人负责照管工程及工程相关的材料、工程设备的起始时间：</w:t>
      </w:r>
      <w:r>
        <w:rPr>
          <w:rFonts w:hint="eastAsia" w:ascii="仿宋" w:hAnsi="仿宋" w:eastAsia="仿宋" w:cs="仿宋"/>
          <w:b/>
          <w:bCs/>
          <w:color w:val="auto"/>
          <w:kern w:val="0"/>
          <w:highlight w:val="none"/>
          <w:u w:val="single"/>
        </w:rPr>
        <w:t>按通用合同条款第3.6条规定执行</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3.7 履约担保</w:t>
      </w:r>
    </w:p>
    <w:p>
      <w:pPr>
        <w:pStyle w:val="131"/>
        <w:adjustRightInd w:val="0"/>
        <w:snapToGrid w:val="0"/>
        <w:spacing w:line="360" w:lineRule="auto"/>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承包人是否提供履约担保：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承包人提供履约担保的形式、金额及期限的，采用以下第</w:t>
      </w:r>
      <w:r>
        <w:rPr>
          <w:rFonts w:hint="eastAsia" w:ascii="仿宋" w:hAnsi="仿宋" w:eastAsia="仿宋" w:cs="仿宋"/>
          <w:color w:val="auto"/>
          <w:highlight w:val="none"/>
          <w:u w:val="single"/>
        </w:rPr>
        <w:t>3</w:t>
      </w:r>
      <w:r>
        <w:rPr>
          <w:rFonts w:hint="eastAsia" w:ascii="仿宋" w:hAnsi="仿宋" w:eastAsia="仿宋" w:cs="仿宋"/>
          <w:color w:val="auto"/>
          <w:highlight w:val="none"/>
        </w:rPr>
        <w:t>种方式：</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(1)保证保险，金额及期限为：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(2)银行保函，金额及期限为：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szCs w:val="24"/>
          <w:highlight w:val="none"/>
        </w:rPr>
        <w:t>(3)其他方式，</w:t>
      </w:r>
      <w:r>
        <w:rPr>
          <w:rFonts w:hint="eastAsia" w:ascii="仿宋" w:hAnsi="仿宋" w:eastAsia="仿宋" w:cs="仿宋"/>
          <w:b/>
          <w:bCs/>
          <w:color w:val="auto"/>
          <w:highlight w:val="none"/>
          <w:u w:val="single"/>
        </w:rPr>
        <w:t>合同签订后7天内，承包人向发包人递交合同价2%的履约保证金（履约担保的形式：电汇、汇票、支票形式或银行、保险公司出具的保函）</w:t>
      </w:r>
      <w:r>
        <w:rPr>
          <w:rFonts w:hint="eastAsia" w:ascii="仿宋" w:hAnsi="仿宋" w:eastAsia="仿宋" w:cs="仿宋"/>
          <w:color w:val="auto"/>
          <w:highlight w:val="none"/>
          <w:u w:val="single"/>
        </w:rPr>
        <w:t>。</w:t>
      </w:r>
    </w:p>
    <w:p>
      <w:pPr>
        <w:pStyle w:val="131"/>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履约保证金分五部分，其中：</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（a）质量履约保证金占30%，发生质量事故的，则按磋商文件和合同中相关条款处罚。</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（b）工期履约保证金占40%，工期以合同为准，若不能按期竣工，则按磋商文件和合同中相关条款处罚。</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（c）项目经理及项目班子到位履约保证金占20%。项目经理不能到位，则按磋商文件和合同中相关条款处罚。</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（d）安全生产、文明施工履约保证金占5%。发生重大人身安全事故的，罚没该部分保证金。</w:t>
      </w:r>
    </w:p>
    <w:p>
      <w:pPr>
        <w:pStyle w:val="131"/>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（e）廉洁自律、计划生育履约保证金占5%。发生违反廉政合同或计划生育行为的，罚没该部分保证金。</w:t>
      </w:r>
    </w:p>
    <w:p>
      <w:pPr>
        <w:pStyle w:val="131"/>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pPr>
        <w:pStyle w:val="131"/>
        <w:adjustRightInd w:val="0"/>
        <w:snapToGrid w:val="0"/>
        <w:spacing w:line="360"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4. 监理人</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4.1监理人的一般规定</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关于监理人的监理内容：</w:t>
      </w:r>
      <w:r>
        <w:rPr>
          <w:rFonts w:hint="eastAsia" w:ascii="仿宋" w:hAnsi="仿宋" w:eastAsia="仿宋" w:cs="仿宋"/>
          <w:b/>
          <w:bCs/>
          <w:color w:val="auto"/>
          <w:highlight w:val="none"/>
          <w:u w:val="single"/>
        </w:rPr>
        <w:t>现场全过程协调，负责质量、安全、投资、进度管理</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关于监理人的监理权限：</w:t>
      </w:r>
      <w:r>
        <w:rPr>
          <w:rFonts w:hint="eastAsia" w:ascii="仿宋" w:hAnsi="仿宋" w:eastAsia="仿宋" w:cs="仿宋"/>
          <w:b/>
          <w:bCs/>
          <w:color w:val="auto"/>
          <w:highlight w:val="none"/>
          <w:u w:val="single"/>
        </w:rPr>
        <w:t>按监理合同约定实行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pStyle w:val="125"/>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需要取得发包人批准才能行使的职权：</w:t>
      </w:r>
      <w:r>
        <w:rPr>
          <w:rFonts w:hint="eastAsia" w:ascii="仿宋" w:hAnsi="仿宋" w:eastAsia="仿宋" w:cs="仿宋"/>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仿宋" w:hAnsi="仿宋" w:eastAsia="仿宋" w:cs="仿宋"/>
          <w:b/>
          <w:bCs/>
          <w:color w:val="auto"/>
          <w:highlight w:val="none"/>
          <w:u w:val="single"/>
        </w:rPr>
        <w:t xml:space="preserve">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关于监理人在施工现场的办公场所、生活场所的提供和费用承担的约定：</w:t>
      </w:r>
      <w:r>
        <w:rPr>
          <w:rFonts w:hint="eastAsia" w:ascii="仿宋" w:hAnsi="仿宋" w:eastAsia="仿宋" w:cs="仿宋"/>
          <w:b/>
          <w:bCs/>
          <w:color w:val="auto"/>
          <w:highlight w:val="none"/>
          <w:u w:val="single"/>
        </w:rPr>
        <w:t>监理人在施工现场的办公场所、生活场所及发生的水电费由承包人提供和承担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4.2 监理人员</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总监理工程师：</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监理工程师执业资格证书号：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关于监理人的其他约定：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4.4 商定或确定</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在发包人和承包人不能通过协商达成一致意见时，发包人授权监理人对以下事项进行确定：</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 工程质量</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5.1 质量要求</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5.1.1 特殊质量标准和要求：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关于工程奖项的约定：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5.3 隐蔽工程检查</w:t>
      </w:r>
    </w:p>
    <w:p>
      <w:pPr>
        <w:pStyle w:val="131"/>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5.3.2承包人提前通知监理人隐蔽工程检查的期限的约定：</w:t>
      </w:r>
      <w:r>
        <w:rPr>
          <w:rFonts w:hint="eastAsia" w:ascii="仿宋" w:hAnsi="仿宋" w:eastAsia="仿宋" w:cs="仿宋"/>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监理人不能按时进行检查时，应提前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b/>
          <w:bCs/>
          <w:color w:val="auto"/>
          <w:highlight w:val="none"/>
          <w:u w:val="single"/>
        </w:rPr>
        <w:t xml:space="preserve"> 48</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 安全文明施工与环境保护</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6.1安全文明施工</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6.1.1 项目安全生产的达标目标及相应事项的约定：</w:t>
      </w:r>
      <w:r>
        <w:rPr>
          <w:rFonts w:hint="eastAsia" w:ascii="仿宋" w:hAnsi="仿宋" w:eastAsia="仿宋" w:cs="仿宋"/>
          <w:color w:val="auto"/>
          <w:highlight w:val="none"/>
          <w:u w:val="single"/>
        </w:rPr>
        <w:t xml:space="preserve"> 施工现场按照《建筑施工安全检查标准》(JGJ59-2011)评定达到“合格”标准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6.1.4 关于治安保卫的特别约定：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关于编制施工场地治安管理计划的约定：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6.1.5 文明施工</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合同当事人对文明施工的要求：</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（2）承包人应对进入施工现场的施工人员进行安全文明教育，配备必要的劳动保护用具，保证工程的施工安全和人身安全；</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（3）承包人应注意保护施工现场已完建筑物的安全；</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（4）如由于承包人安全措施不力造成事故的责任和由此发生的全部费用，包括但不限于给发包人或其他单位造成的直接和间接损失均由承包人承担；</w:t>
      </w:r>
    </w:p>
    <w:p>
      <w:pPr>
        <w:pStyle w:val="131"/>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（5）安全文明施工措施费的使用由监理单位按工程进度现场实际落实情况审核，发包人检查签证确认，但费用总额不得超过投标报价数。</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（8）上述手续办理费用约定如下：</w:t>
      </w:r>
      <w:r>
        <w:rPr>
          <w:rFonts w:hint="eastAsia" w:ascii="仿宋" w:hAnsi="仿宋" w:eastAsia="仿宋" w:cs="仿宋"/>
          <w:color w:val="auto"/>
          <w:highlight w:val="none"/>
          <w:u w:val="single"/>
        </w:rPr>
        <w:t xml:space="preserve"> 由承包人承担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6.1.6 关于安全文明施工费支付比例和支付期限的约定：</w:t>
      </w:r>
      <w:r>
        <w:rPr>
          <w:rFonts w:hint="eastAsia" w:ascii="仿宋" w:hAnsi="仿宋" w:eastAsia="仿宋" w:cs="仿宋"/>
          <w:color w:val="auto"/>
          <w:highlight w:val="none"/>
          <w:u w:val="single"/>
          <w:lang w:val="en-US" w:eastAsia="zh-CN"/>
        </w:rPr>
        <w:t>按通用合同条款第6.1.6条规定执行</w:t>
      </w:r>
      <w:r>
        <w:rPr>
          <w:rFonts w:hint="eastAsia" w:ascii="仿宋" w:hAnsi="仿宋" w:eastAsia="仿宋" w:cs="仿宋"/>
          <w:color w:val="auto"/>
          <w:highlight w:val="none"/>
          <w:lang w:val="en-US" w:eastAsia="zh-CN"/>
        </w:rPr>
        <w:t>。</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 工期和进度</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7.1 施工组织设计</w:t>
      </w:r>
    </w:p>
    <w:p>
      <w:pPr>
        <w:pStyle w:val="131"/>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7.1.1 合</w:t>
      </w:r>
      <w:r>
        <w:rPr>
          <w:rFonts w:hint="eastAsia" w:ascii="仿宋" w:hAnsi="仿宋" w:eastAsia="仿宋" w:cs="仿宋"/>
          <w:color w:val="auto"/>
          <w:kern w:val="0"/>
          <w:highlight w:val="none"/>
        </w:rPr>
        <w:t>同当事人约定的施工组织设计应包括的其他内容：</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 xml:space="preserve">7.1.2 </w:t>
      </w:r>
      <w:r>
        <w:rPr>
          <w:rFonts w:hint="eastAsia" w:ascii="仿宋" w:hAnsi="仿宋" w:eastAsia="仿宋" w:cs="仿宋"/>
          <w:color w:val="auto"/>
          <w:kern w:val="0"/>
          <w:highlight w:val="none"/>
        </w:rPr>
        <w:t>施工组织设计的提交和修改</w:t>
      </w:r>
    </w:p>
    <w:p>
      <w:pPr>
        <w:pStyle w:val="131"/>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承包人提交详细施工组织设计的期限的约定：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开工前7天内提供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发包人和监理人在收到详细的施工组织设计后确认或提出修改意见的期限：</w:t>
      </w:r>
      <w:r>
        <w:rPr>
          <w:rFonts w:hint="eastAsia" w:ascii="仿宋" w:hAnsi="仿宋" w:eastAsia="仿宋" w:cs="仿宋"/>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7.2 施工进度计划</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7.2.2 施工进度计划的修订</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发包人和监理人在收到修订的施工进度计划后确认或提出修改意见的期限：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接到报告后7天内予以批复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7.3 开工</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7.3.1 开工准备</w:t>
      </w:r>
    </w:p>
    <w:p>
      <w:pPr>
        <w:pStyle w:val="131"/>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关于承包人提交</w:t>
      </w:r>
      <w:r>
        <w:rPr>
          <w:rFonts w:hint="eastAsia" w:ascii="仿宋" w:hAnsi="仿宋" w:eastAsia="仿宋" w:cs="仿宋"/>
          <w:color w:val="auto"/>
          <w:kern w:val="0"/>
          <w:highlight w:val="none"/>
        </w:rPr>
        <w:t>工程开工报审表的期限：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开工前7天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关于发包人应完成的其他开工准备工作及期限：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关于承包人应完成的其他开工准备工作及期限：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7.3.2开工通知</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因发包人原因造成监理人未能在计划开工日期之日起</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120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天内发出开工通知的，承包人有权提出价格调整要求，或者解除合同。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7.4 测量放线</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7.4.1发包人通过监理人向承包人提供测量基准点、基准线和水准点及其书面资料的期限：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7.5 工期延误</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7.5.1 因发包人原因导致工期延误</w:t>
      </w:r>
    </w:p>
    <w:p>
      <w:pPr>
        <w:pStyle w:val="131"/>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（7）因发包人原因导致工期延误的其他情形：</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①重大设计变更引起的工期延误；</w:t>
      </w:r>
    </w:p>
    <w:p>
      <w:pPr>
        <w:pStyle w:val="131"/>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②其他：</w:t>
      </w:r>
      <w:r>
        <w:rPr>
          <w:rFonts w:hint="eastAsia" w:ascii="仿宋" w:hAnsi="仿宋" w:eastAsia="仿宋" w:cs="仿宋"/>
          <w:b/>
          <w:bCs/>
          <w:color w:val="auto"/>
          <w:highlight w:val="none"/>
          <w:u w:val="single"/>
        </w:rPr>
        <w:t>由发包人原因造成的工期延误，并经发包人和监理签证确认；</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对于因发包人原因造成的工期延误，承包人要求顺延工期的，应在延误发生后14日内提出；逾期提出的，发包人有权不予认可；未提出顺延签证的，视为工期不需顺延。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7.5.2 因承包人原因导致工期延误</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因承包人原因造成工期延误，逾期竣工违约金的计算方法为：</w:t>
      </w:r>
    </w:p>
    <w:p>
      <w:pPr>
        <w:pStyle w:val="131"/>
        <w:adjustRightInd w:val="0"/>
        <w:snapToGrid w:val="0"/>
        <w:spacing w:line="360" w:lineRule="exact"/>
        <w:ind w:firstLine="422" w:firstLineChars="200"/>
        <w:jc w:val="left"/>
        <w:rPr>
          <w:rFonts w:ascii="仿宋" w:hAnsi="仿宋" w:eastAsia="仿宋" w:cs="仿宋"/>
          <w:b/>
          <w:bCs/>
          <w:color w:val="auto"/>
          <w:highlight w:val="none"/>
        </w:rPr>
      </w:pPr>
      <w:r>
        <w:rPr>
          <w:rFonts w:hint="eastAsia" w:ascii="仿宋" w:hAnsi="仿宋" w:eastAsia="仿宋" w:cs="仿宋"/>
          <w:b/>
          <w:bCs/>
          <w:color w:val="auto"/>
          <w:highlight w:val="none"/>
          <w:u w:val="single"/>
        </w:rPr>
        <w:t>因承包人原因工程不能按合同约定工期竣工，每延误一天，承包人应按每天人民币3000元向发包人支付违约金。</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因承包人原因造成工期延误，逾期竣工违约金的上限：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扣除全部工期履约保证金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7.5.3因其他原因导致工期延误</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（1）非承包人原因停水当天累计8小时以上计算工期延误；（2）不可抗力因素；（3）非承包人的过失造成工期延误，并经发包人和监理签证确认。</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 对于前述三种情形造成的工期延误，承包人要求顺延工期的，应在延误发生后14日内提出；逾期提出的，发包人有权不予认可；未提出顺延签证的，视为工期不需顺延。</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7.6 不利物质条件</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不利物质条件的其他情形和有关约定：</w:t>
      </w:r>
      <w:r>
        <w:rPr>
          <w:rFonts w:hint="eastAsia" w:ascii="仿宋" w:hAnsi="仿宋" w:eastAsia="仿宋" w:cs="仿宋"/>
          <w:color w:val="auto"/>
          <w:highlight w:val="none"/>
          <w:u w:val="single"/>
        </w:rPr>
        <w:t>按通用合同条款第7.6条规定执行</w:t>
      </w:r>
      <w:r>
        <w:rPr>
          <w:rFonts w:hint="eastAsia" w:ascii="仿宋" w:hAnsi="仿宋" w:eastAsia="仿宋" w:cs="仿宋"/>
          <w:color w:val="auto"/>
          <w:highlight w:val="none"/>
        </w:rPr>
        <w:t>。</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szCs w:val="24"/>
          <w:highlight w:val="none"/>
        </w:rPr>
        <w:t>(4)其他：</w:t>
      </w:r>
      <w:r>
        <w:rPr>
          <w:rFonts w:hint="eastAsia" w:ascii="仿宋" w:hAnsi="仿宋" w:eastAsia="仿宋" w:cs="仿宋"/>
          <w:b/>
          <w:bCs/>
          <w:color w:val="auto"/>
          <w:highlight w:val="none"/>
          <w:u w:val="single"/>
        </w:rPr>
        <w:t>按通用合同条款第7.6条规定执行</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7.7异常恶劣的气候条件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发包人和承包人同意以下情形视为异常恶劣的气候条件：</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7.9 提前竣工的奖励</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7.9.2提前竣工的奖励：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r>
        <w:rPr>
          <w:rFonts w:hint="eastAsia" w:ascii="仿宋" w:hAnsi="仿宋" w:eastAsia="仿宋" w:cs="仿宋"/>
          <w:color w:val="auto"/>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 材料与设备</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8.4材料与工程设备的保管与使用</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8.4.1发包人供应的材料设备的保管费用的承担：</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1、发包人供应的材料设备保管费用、安装过程中的二次搬运和设备就位费、检验试验费由承包人投标时报价包干；</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2、因承包人原因发生材料丢失损坏，由承包人负责赔偿。</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8.6 样品</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8.6.1样品的报送与封存</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需要承包人报送样品的材料或工程设备，样品的种类、名称、规格、数量要求：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按通用合同条款8.6.1条规定执行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8.8 施工设备和临时设施</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8.8.1 承包人提供的施工设备和临时设施</w:t>
      </w:r>
    </w:p>
    <w:p>
      <w:pPr>
        <w:pStyle w:val="131"/>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关于修建临时设施费用承担的约定：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按通用合同条款第8.8.1条规定执行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 试验与检验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9.1试验设备与试验人员</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9.1.2 试验设备</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施工现场需要配置的试验场所：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施工现场需要配备的试验设备：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施工现场需要具备的其他试验条件：</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9.3材料、工程设备和工程的试验和检验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试验、检测单位资质条件约定；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试验、检测单位选择约定：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试验、检测费用约定：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9.4 现场工艺试验 </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现场工艺试验的有关约定：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按通用合同条款第9.4条规定执行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 变更</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10.1变更的范围</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关于变更的范围的约定：</w:t>
      </w:r>
      <w:r>
        <w:rPr>
          <w:rFonts w:hint="eastAsia" w:ascii="仿宋" w:hAnsi="仿宋" w:eastAsia="仿宋" w:cs="仿宋"/>
          <w:color w:val="auto"/>
          <w:highlight w:val="none"/>
          <w:u w:val="single"/>
        </w:rPr>
        <w:t>按通用合同条款约定</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10.4 变更估价</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10.4.1 变更估价原则</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关于变更估价的约定:</w:t>
      </w:r>
      <w:r>
        <w:rPr>
          <w:rFonts w:hint="eastAsia" w:ascii="仿宋" w:hAnsi="仿宋" w:eastAsia="仿宋" w:cs="仿宋"/>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10.5承包人的合理化建议</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监理人审查承包人合理化建议的期限：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按通用合同条款第10.5条规定执行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发包人审批承包人合理化建议的期限：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按通用合同条款第10.5条规定执行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承包人提出的合理化建议降低了合同价格或者提高了工程经济效益的奖励的方法和金额为：</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另行协商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10.7 暂估价</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暂估价材料和工程设备的明细：</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10.7.1 依法必须招标的暂估价项目</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10.7.2 不属于依法必须招标的暂估价项目</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对于不属于依法必须招标的暂估价项目的确认和批准采取第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第3种方式：</w:t>
      </w:r>
      <w:r>
        <w:rPr>
          <w:rFonts w:hint="eastAsia" w:ascii="仿宋" w:hAnsi="仿宋" w:eastAsia="仿宋" w:cs="仿宋"/>
          <w:color w:val="auto"/>
          <w:kern w:val="0"/>
          <w:highlight w:val="none"/>
        </w:rPr>
        <w:t>承包人直接实施的暂估价项目</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承包人直接实施的暂估价项目的约定：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10.8 暂列金额</w:t>
      </w:r>
    </w:p>
    <w:p>
      <w:pPr>
        <w:pStyle w:val="131"/>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合同当事人关于暂列金额使用的约定：</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 价格调整</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市场价格波动引起的调整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市场价格波动是否调整合同价格的约定：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因市场价格波动调整合同价格，采用以下第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种方式对合同价格进行调整：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第1种方式：采用价格指数进行价格调整。</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关于各可调因子、定值和变值权重，以及基本价格指数及其来源的约定：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第2种方式：采用造价信息进行价格调整。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（2）关于基准价格的约定：</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%时，或材料单价跌幅以已标价工程量清单或预算书中载明材料单价为基础超过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%时，材料单价涨幅以已标价工程量清单或预算书中载明材料单价为基础超过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第3种方式：其他价格调整方式：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 合同价格、计量与支付</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12.1 合同价格形式</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1、单价合同。</w:t>
      </w:r>
    </w:p>
    <w:p>
      <w:pPr>
        <w:pStyle w:val="131"/>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综合单价包含的风险范围：</w:t>
      </w:r>
    </w:p>
    <w:p>
      <w:pPr>
        <w:spacing w:line="36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u w:val="single"/>
        </w:rPr>
        <w:t>应由承包人承担的工、料、机在投标编制期或预算书编制期与合同实施期间所发生的市场价格波动</w:t>
      </w:r>
      <w:r>
        <w:rPr>
          <w:rFonts w:hint="eastAsia" w:ascii="仿宋" w:hAnsi="仿宋" w:eastAsia="仿宋" w:cs="仿宋"/>
          <w:bCs/>
          <w:color w:val="auto"/>
          <w:szCs w:val="21"/>
          <w:highlight w:val="none"/>
        </w:rPr>
        <w:t>。</w:t>
      </w:r>
    </w:p>
    <w:p>
      <w:pPr>
        <w:pStyle w:val="131"/>
        <w:adjustRightInd w:val="0"/>
        <w:snapToGrid w:val="0"/>
        <w:spacing w:line="360" w:lineRule="exact"/>
        <w:ind w:firstLine="420"/>
        <w:jc w:val="left"/>
        <w:rPr>
          <w:rFonts w:ascii="仿宋" w:hAnsi="仿宋" w:eastAsia="仿宋" w:cs="仿宋"/>
          <w:b/>
          <w:bCs/>
          <w:i/>
          <w:iCs/>
          <w:color w:val="auto"/>
          <w:highlight w:val="non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仿宋" w:hAnsi="仿宋" w:eastAsia="仿宋" w:cs="仿宋"/>
          <w:b/>
          <w:bCs/>
          <w:color w:val="auto"/>
          <w:kern w:val="0"/>
          <w:highlight w:val="none"/>
          <w:u w:val="single"/>
          <w:shd w:val="clear" w:color="auto" w:fill="FFFFFF"/>
        </w:rPr>
        <w:t>。除政府出台价格调整政策且审计单位认为适用情况外，价格不作调整。</w:t>
      </w:r>
    </w:p>
    <w:p>
      <w:pPr>
        <w:pStyle w:val="131"/>
        <w:adjustRightInd w:val="0"/>
        <w:snapToGrid w:val="0"/>
        <w:spacing w:line="360" w:lineRule="exact"/>
        <w:ind w:firstLine="420"/>
        <w:jc w:val="left"/>
        <w:rPr>
          <w:rFonts w:ascii="仿宋" w:hAnsi="仿宋" w:eastAsia="仿宋" w:cs="仿宋"/>
          <w:b/>
          <w:bCs/>
          <w:color w:val="auto"/>
          <w:highlight w:val="none"/>
          <w:u w:val="single"/>
        </w:rPr>
      </w:pPr>
      <w:r>
        <w:rPr>
          <w:rFonts w:hint="eastAsia" w:ascii="仿宋" w:hAnsi="仿宋" w:eastAsia="仿宋" w:cs="仿宋"/>
          <w:color w:val="auto"/>
          <w:highlight w:val="none"/>
        </w:rPr>
        <w:t>风险费用计算方法：</w:t>
      </w:r>
      <w:r>
        <w:rPr>
          <w:rFonts w:hint="eastAsia" w:ascii="仿宋" w:hAnsi="仿宋" w:eastAsia="仿宋" w:cs="仿宋"/>
          <w:b/>
          <w:bCs/>
          <w:color w:val="auto"/>
          <w:highlight w:val="none"/>
          <w:u w:val="single"/>
        </w:rPr>
        <w:t>以上风险费用在投标报价时考虑，不再另行计取。</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风险范围以外合同价格的调整方法：</w:t>
      </w:r>
    </w:p>
    <w:p>
      <w:pPr>
        <w:pStyle w:val="131"/>
        <w:adjustRightInd w:val="0"/>
        <w:snapToGrid w:val="0"/>
        <w:spacing w:line="360" w:lineRule="exact"/>
        <w:ind w:firstLine="420" w:firstLineChars="200"/>
        <w:rPr>
          <w:rFonts w:ascii="仿宋" w:hAnsi="仿宋" w:eastAsia="仿宋" w:cs="仿宋"/>
          <w:bCs/>
          <w:snapToGrid w:val="0"/>
          <w:color w:val="auto"/>
          <w:kern w:val="0"/>
          <w:szCs w:val="21"/>
          <w:highlight w:val="none"/>
          <w:u w:val="single"/>
        </w:rPr>
      </w:pPr>
      <w:r>
        <w:rPr>
          <w:rFonts w:hint="eastAsia" w:ascii="仿宋" w:hAnsi="仿宋" w:eastAsia="仿宋" w:cs="仿宋"/>
          <w:bCs/>
          <w:snapToGrid w:val="0"/>
          <w:color w:val="auto"/>
          <w:kern w:val="0"/>
          <w:szCs w:val="21"/>
          <w:highlight w:val="none"/>
          <w:u w:val="single"/>
        </w:rPr>
        <w:t>（1）市场价格波动引起的调整按本合同11.1第3种方式的约定计算。</w:t>
      </w:r>
    </w:p>
    <w:p>
      <w:pPr>
        <w:pStyle w:val="131"/>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总价包含的风险范围：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风险费用的计算方法：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风险范围以外合同价格的调整方法：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3、其他价格方式：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12.2 预付款</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12.2.1 预付款的支付</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预付款支付比例或金额：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合同总价的40%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工资预付款支付比例或金额：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预付款支付期限：</w:t>
      </w:r>
      <w:r>
        <w:rPr>
          <w:rFonts w:hint="eastAsia" w:ascii="仿宋" w:hAnsi="仿宋" w:eastAsia="仿宋" w:cs="仿宋"/>
          <w:b/>
          <w:bCs/>
          <w:color w:val="auto"/>
          <w:highlight w:val="none"/>
          <w:u w:val="single"/>
        </w:rPr>
        <w:t xml:space="preserve"> 合同签订，承包人递交履约保证金及对等金额的预付款担保后</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预付款扣回的方式：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12.2.2 预付款担保</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承包人提交预付款担保的期限：</w:t>
      </w:r>
      <w:r>
        <w:rPr>
          <w:rFonts w:hint="eastAsia" w:ascii="仿宋" w:hAnsi="仿宋" w:eastAsia="仿宋" w:cs="仿宋"/>
          <w:color w:val="auto"/>
          <w:highlight w:val="none"/>
          <w:u w:val="single"/>
        </w:rPr>
        <w:t xml:space="preserve"> 本合同签订之日起7日内承包人向发包人提交担保额度为合同价的40%的无条件的不可撤销的保函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预付款担保的形式为：</w:t>
      </w:r>
      <w:r>
        <w:rPr>
          <w:rFonts w:hint="eastAsia" w:ascii="仿宋" w:hAnsi="仿宋" w:eastAsia="仿宋" w:cs="仿宋"/>
          <w:color w:val="auto"/>
          <w:highlight w:val="none"/>
          <w:u w:val="single"/>
        </w:rPr>
        <w:t>银行、保险公司出具的保函</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12.3 计量</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12.3.1 计量原则</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工程量计算规则：</w:t>
      </w:r>
    </w:p>
    <w:p>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（1）</w:t>
      </w:r>
      <w:r>
        <w:rPr>
          <w:rFonts w:hint="eastAsia" w:ascii="仿宋" w:hAnsi="仿宋" w:eastAsia="仿宋" w:cs="仿宋"/>
          <w:bCs/>
          <w:color w:val="auto"/>
          <w:szCs w:val="32"/>
          <w:highlight w:val="none"/>
          <w:u w:val="single"/>
        </w:rPr>
        <w:t>实行工程量清单计价的工程项目，其工程量的计算规则应按国家标准工程量计算规范及省级行业主管部门颁布的补充规定执行。</w:t>
      </w:r>
    </w:p>
    <w:p>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（2）</w:t>
      </w:r>
      <w:r>
        <w:rPr>
          <w:rFonts w:hint="eastAsia" w:ascii="仿宋" w:hAnsi="仿宋" w:eastAsia="仿宋" w:cs="仿宋"/>
          <w:bCs/>
          <w:color w:val="auto"/>
          <w:szCs w:val="32"/>
          <w:highlight w:val="none"/>
          <w:u w:val="single"/>
        </w:rPr>
        <w:t>不实行工程量清单计价的工程项目，工程量的计算规则应按省、市行业主管部门颁布的各专业工程定额的工程量计算规则执行。</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12.3.2 计量周期</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关于计量周期的约定：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工程量的计量按月进行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12.3.3 单价合同的计量</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关于单价合同计量的约定：</w:t>
      </w:r>
      <w:r>
        <w:rPr>
          <w:rFonts w:hint="eastAsia" w:ascii="仿宋" w:hAnsi="仿宋" w:eastAsia="仿宋" w:cs="仿宋"/>
          <w:b/>
          <w:bCs/>
          <w:color w:val="auto"/>
          <w:highlight w:val="none"/>
          <w:u w:val="single"/>
        </w:rPr>
        <w:t xml:space="preserve">  按通用合同条款第12.3.3条规定执行。</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12.3.4 总价合同的计量</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关于总价合同计量的约定：</w:t>
      </w:r>
      <w:r>
        <w:rPr>
          <w:rFonts w:hint="eastAsia" w:ascii="仿宋" w:hAnsi="仿宋" w:eastAsia="仿宋" w:cs="仿宋"/>
          <w:color w:val="auto"/>
          <w:highlight w:val="none"/>
          <w:u w:val="single"/>
        </w:rPr>
        <w:t>/</w:t>
      </w:r>
      <w:r>
        <w:rPr>
          <w:rFonts w:hint="eastAsia" w:ascii="仿宋" w:hAnsi="仿宋" w:eastAsia="仿宋" w:cs="仿宋"/>
          <w:color w:val="auto"/>
          <w:highlight w:val="none"/>
        </w:rPr>
        <w:t>。</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12.3.5总价合同采用支付分解表计量支付的，是否适用第</w:t>
      </w:r>
      <w:r>
        <w:rPr>
          <w:rFonts w:hint="eastAsia" w:ascii="仿宋" w:hAnsi="仿宋" w:eastAsia="仿宋" w:cs="仿宋"/>
          <w:color w:val="auto"/>
          <w:kern w:val="0"/>
          <w:highlight w:val="none"/>
        </w:rPr>
        <w:t xml:space="preserve">12.3.4 </w:t>
      </w:r>
      <w:r>
        <w:rPr>
          <w:rFonts w:hint="eastAsia" w:ascii="仿宋" w:hAnsi="仿宋" w:eastAsia="仿宋" w:cs="仿宋"/>
          <w:color w:val="auto"/>
          <w:highlight w:val="none"/>
        </w:rPr>
        <w:t>项</w:t>
      </w:r>
      <w:r>
        <w:rPr>
          <w:rFonts w:hint="eastAsia" w:ascii="仿宋" w:hAnsi="仿宋" w:eastAsia="仿宋" w:cs="仿宋"/>
          <w:color w:val="auto"/>
          <w:kern w:val="0"/>
          <w:highlight w:val="none"/>
        </w:rPr>
        <w:t>〔总价合同的计量〕</w:t>
      </w:r>
      <w:r>
        <w:rPr>
          <w:rFonts w:hint="eastAsia" w:ascii="仿宋" w:hAnsi="仿宋" w:eastAsia="仿宋" w:cs="仿宋"/>
          <w:color w:val="auto"/>
          <w:highlight w:val="none"/>
        </w:rPr>
        <w:t>约定进行计量：</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12.3.6 其他价格形式合同的计量</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其他价格形式的计量方式和程序：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12.4 工程进度款支付</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12.4.1 付款周期</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关于付款周期的约定：</w:t>
      </w:r>
    </w:p>
    <w:p>
      <w:pPr>
        <w:pStyle w:val="131"/>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1、合同价款内的工程款支付：</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（4）施工水电费按工程竣工结算审定价的</w:t>
      </w:r>
      <w:r>
        <w:rPr>
          <w:rFonts w:hint="eastAsia" w:ascii="仿宋" w:hAnsi="仿宋" w:eastAsia="仿宋" w:cs="仿宋"/>
          <w:b/>
          <w:bCs/>
          <w:color w:val="auto"/>
          <w:highlight w:val="none"/>
          <w:u w:val="single"/>
          <w:lang w:val="en-US" w:eastAsia="zh-CN"/>
        </w:rPr>
        <w:t>0.5</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u w:val="single"/>
        </w:rPr>
        <w:t>计算，在结算审定款中直接扣除。</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（5）以上款项均不计息。在发包人支付上述款项前，承包人必须开具同等数额的正规税务发票，否则发包人有权拒绝支付。</w:t>
      </w:r>
    </w:p>
    <w:p>
      <w:pPr>
        <w:pStyle w:val="131"/>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2、合同价款外的工程款支付：因工程变更、工程量清单等引起的工程价款在工程审计审定后支付。</w:t>
      </w:r>
    </w:p>
    <w:p>
      <w:pPr>
        <w:pStyle w:val="131"/>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3、发包人审核的进度款工程量仅作为进度款支付依据，不作为结算依据。</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12.4.2 进度付款申请单的编制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关于进度付款申请单编制的约定：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按通用合同条款第12.4.2条规定执行。</w:t>
      </w:r>
      <w:r>
        <w:rPr>
          <w:rFonts w:hint="eastAsia" w:ascii="仿宋" w:hAnsi="仿宋" w:eastAsia="仿宋" w:cs="仿宋"/>
          <w:color w:val="auto"/>
          <w:highlight w:val="none"/>
          <w:u w:val="singl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12.4.3 进度付款申请单的提交</w:t>
      </w:r>
    </w:p>
    <w:p>
      <w:pPr>
        <w:pStyle w:val="131"/>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（1）单价合同进度付款申请单提交的约定：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（3）其他价格形式合同进度付款申请单提交的约定：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12.4.4 进度款审核和支付</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（1）监理人审查并报送发包人的期限：</w:t>
      </w:r>
      <w:r>
        <w:rPr>
          <w:rFonts w:hint="eastAsia" w:ascii="仿宋" w:hAnsi="仿宋" w:eastAsia="仿宋" w:cs="仿宋"/>
          <w:b/>
          <w:bCs/>
          <w:color w:val="auto"/>
          <w:highlight w:val="none"/>
          <w:u w:val="single"/>
        </w:rPr>
        <w:t>7天内完成审查。</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发包人完成审批并签发进度款支付证书的期限：</w:t>
      </w:r>
      <w:r>
        <w:rPr>
          <w:rFonts w:hint="eastAsia" w:ascii="仿宋" w:hAnsi="仿宋" w:eastAsia="仿宋" w:cs="仿宋"/>
          <w:b/>
          <w:bCs/>
          <w:color w:val="auto"/>
          <w:highlight w:val="none"/>
          <w:u w:val="single"/>
        </w:rPr>
        <w:t>收到监理人报送的进度付款申请单及相关资料后7天内。</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（2）发包人支付进度款的期限：</w:t>
      </w:r>
      <w:r>
        <w:rPr>
          <w:rFonts w:hint="eastAsia" w:ascii="仿宋" w:hAnsi="仿宋" w:eastAsia="仿宋" w:cs="仿宋"/>
          <w:b/>
          <w:bCs/>
          <w:color w:val="auto"/>
          <w:highlight w:val="none"/>
          <w:u w:val="singl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发包人逾期支付进度款的违约金的计算方式：</w:t>
      </w:r>
      <w:r>
        <w:rPr>
          <w:rFonts w:hint="eastAsia" w:ascii="仿宋" w:hAnsi="仿宋" w:eastAsia="仿宋" w:cs="仿宋"/>
          <w:b/>
          <w:bCs/>
          <w:color w:val="auto"/>
          <w:highlight w:val="none"/>
          <w:u w:val="single"/>
        </w:rPr>
        <w:t>/。</w:t>
      </w:r>
    </w:p>
    <w:p>
      <w:pPr>
        <w:pStyle w:val="131"/>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12.4.6 支付分解表的编制</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2、总价合同支付分解表的编制与审批：</w:t>
      </w:r>
      <w:r>
        <w:rPr>
          <w:rFonts w:hint="eastAsia" w:ascii="仿宋" w:hAnsi="仿宋" w:eastAsia="仿宋" w:cs="仿宋"/>
          <w:b/>
          <w:bCs/>
          <w:color w:val="auto"/>
          <w:highlight w:val="none"/>
          <w:u w:val="single"/>
        </w:rPr>
        <w:t>/。</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3、单价合同的总价项目支付分解表的编制与审批：</w:t>
      </w:r>
      <w:r>
        <w:rPr>
          <w:rFonts w:hint="eastAsia" w:ascii="仿宋" w:hAnsi="仿宋" w:eastAsia="仿宋" w:cs="仿宋"/>
          <w:b/>
          <w:bCs/>
          <w:color w:val="auto"/>
          <w:highlight w:val="none"/>
          <w:u w:val="single"/>
        </w:rPr>
        <w:t>按通用合同条款第12.4.6条第3项规定执行。</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 验收和工程试车</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 分部分项工程验收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13.1.2监理人不能按时进行验收时，应提前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pPr>
        <w:pStyle w:val="131"/>
        <w:adjustRightInd w:val="0"/>
        <w:snapToGrid w:val="0"/>
        <w:spacing w:line="360" w:lineRule="exact"/>
        <w:ind w:firstLine="420" w:firstLineChars="200"/>
        <w:jc w:val="left"/>
        <w:rPr>
          <w:rFonts w:ascii="仿宋" w:hAnsi="仿宋" w:eastAsia="仿宋" w:cs="仿宋"/>
          <w:b/>
          <w:bCs/>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48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 竣工验收</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13.2.2竣工验收程序</w:t>
      </w:r>
    </w:p>
    <w:p>
      <w:pPr>
        <w:pStyle w:val="131"/>
        <w:adjustRightInd w:val="0"/>
        <w:snapToGrid w:val="0"/>
        <w:spacing w:line="360" w:lineRule="exact"/>
        <w:ind w:left="4200" w:hanging="4200" w:hangingChars="2000"/>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关于竣工验收程序的约定：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按通用合同条款第13.2.2条规定执行。</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发包人不按照本项约定组织竣工验收、颁发工程接收证书的违约金的计算方法：</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13.2.5移交、接收全部与部分工程</w:t>
      </w:r>
    </w:p>
    <w:p>
      <w:pPr>
        <w:pStyle w:val="131"/>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承包人向发包人移交工程的期限：</w:t>
      </w:r>
      <w:r>
        <w:rPr>
          <w:rFonts w:hint="eastAsia" w:ascii="仿宋" w:hAnsi="仿宋" w:eastAsia="仿宋" w:cs="仿宋"/>
          <w:b/>
          <w:bCs/>
          <w:color w:val="auto"/>
          <w:highlight w:val="none"/>
          <w:u w:val="single"/>
        </w:rPr>
        <w:t>竣工验收合格后7天内完成工程的移交。</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发包人未按本合同约定接收全部或部分工程的，违约金的计算方法为：</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pPr>
        <w:pStyle w:val="131"/>
        <w:adjustRightInd w:val="0"/>
        <w:snapToGrid w:val="0"/>
        <w:spacing w:line="360" w:lineRule="exact"/>
        <w:jc w:val="left"/>
        <w:rPr>
          <w:rFonts w:ascii="仿宋" w:hAnsi="仿宋" w:eastAsia="仿宋" w:cs="仿宋"/>
          <w:b/>
          <w:bCs/>
          <w:color w:val="auto"/>
          <w:highlight w:val="none"/>
          <w:u w:val="single"/>
        </w:rPr>
      </w:pPr>
      <w:r>
        <w:rPr>
          <w:rFonts w:hint="eastAsia" w:ascii="仿宋" w:hAnsi="仿宋" w:eastAsia="仿宋" w:cs="仿宋"/>
          <w:color w:val="auto"/>
          <w:highlight w:val="none"/>
        </w:rPr>
        <w:t xml:space="preserve">    承包人未按时移交工程的，违约金的计算方法为：</w:t>
      </w:r>
      <w:r>
        <w:rPr>
          <w:rFonts w:hint="eastAsia" w:ascii="仿宋" w:hAnsi="仿宋" w:eastAsia="仿宋" w:cs="仿宋"/>
          <w:b/>
          <w:bCs/>
          <w:color w:val="auto"/>
          <w:highlight w:val="none"/>
          <w:u w:val="single"/>
        </w:rPr>
        <w:t xml:space="preserve">承担违约责任，每延期一天按每天3000元向发包人支付违约金，在工程结算审定款中扣除。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13.3 工程试车</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13.3.1 试车程序</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工程试车内容：</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试车内容应与承包人承包范围相一致，试车费用由承包人承担。  </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（1）单机无负荷试车费用由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（2）无负荷联动试车费用由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13.3.3 投料试车</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关于投料试车相关事项的约定：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按通用合同条款第13.3.3条规定执行。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竣工退场</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13.6.1 竣工退场</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承包人完成竣工退场的期限：</w:t>
      </w:r>
      <w:r>
        <w:rPr>
          <w:rFonts w:hint="eastAsia" w:ascii="仿宋" w:hAnsi="仿宋" w:eastAsia="仿宋" w:cs="仿宋"/>
          <w:b/>
          <w:bCs/>
          <w:color w:val="auto"/>
          <w:highlight w:val="none"/>
          <w:u w:val="single"/>
        </w:rPr>
        <w:t xml:space="preserve"> 竣工验收合格后15天内清退全部临时设施、建筑材料、机械设备及建筑垃圾等</w:t>
      </w:r>
      <w:r>
        <w:rPr>
          <w:rFonts w:hint="eastAsia" w:ascii="仿宋" w:hAnsi="仿宋" w:eastAsia="仿宋" w:cs="仿宋"/>
          <w:b/>
          <w:bCs/>
          <w:color w:val="auto"/>
          <w:kern w:val="0"/>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 竣工结算</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 竣工付款申请</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承包人提交竣工付款申请单的期限：</w:t>
      </w:r>
      <w:r>
        <w:rPr>
          <w:rFonts w:hint="eastAsia" w:ascii="仿宋" w:hAnsi="仿宋" w:eastAsia="仿宋" w:cs="仿宋"/>
          <w:b/>
          <w:bCs/>
          <w:color w:val="auto"/>
          <w:highlight w:val="none"/>
          <w:u w:val="single"/>
        </w:rPr>
        <w:t>在工程竣工验收合格并提交以下资料后30天内。</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竣工付款申请单应包括的内容：</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（1）工程结算审核报告；</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（2）纸质竣工图纸、技术资料各3套及电子版(光盘)竣工图2套等相关资料</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（3）发包人已支付承包人的款项；</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 xml:space="preserve">（4）应扣留的质量保证金等； </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（5）发包人应支付承包人的价款。</w:t>
      </w:r>
    </w:p>
    <w:p>
      <w:pPr>
        <w:pStyle w:val="131"/>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工程最终结算价款以政府审计部门确定的为准。政府审计部门审计的期限不受通用条款约定的结算审核期限的限制。</w:t>
      </w:r>
    </w:p>
    <w:p>
      <w:pPr>
        <w:pStyle w:val="131"/>
        <w:adjustRightInd w:val="0"/>
        <w:snapToGrid w:val="0"/>
        <w:spacing w:line="360" w:lineRule="exact"/>
        <w:ind w:firstLine="420" w:firstLineChars="199"/>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若政府审计过程中产生审计服务费，则审计服务收费中审核追加费按相关文件收取，由承包人承担，发包人有权从任何应付工程价款中扣除。</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14.2 竣工结算审核</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szCs w:val="24"/>
          <w:highlight w:val="none"/>
        </w:rPr>
        <w:t>发包人审批竣工付款申请单的期限：</w:t>
      </w:r>
      <w:r>
        <w:rPr>
          <w:rFonts w:hint="eastAsia" w:ascii="仿宋" w:hAnsi="仿宋" w:eastAsia="仿宋" w:cs="仿宋"/>
          <w:b/>
          <w:bCs/>
          <w:color w:val="auto"/>
          <w:highlight w:val="none"/>
          <w:u w:val="single"/>
        </w:rPr>
        <w:t>在收到承包人提交的全部资料后14天内。</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发包人完成竣工付款的期限：</w:t>
      </w:r>
      <w:r>
        <w:rPr>
          <w:rFonts w:hint="eastAsia" w:ascii="仿宋" w:hAnsi="仿宋" w:eastAsia="仿宋" w:cs="仿宋"/>
          <w:b/>
          <w:bCs/>
          <w:color w:val="auto"/>
          <w:highlight w:val="none"/>
          <w:u w:val="single"/>
        </w:rPr>
        <w:t>在签发竣工付款证书后的14天内。</w:t>
      </w:r>
    </w:p>
    <w:p>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关于竣工付款证书异议部分复核的方式和程序：</w:t>
      </w:r>
      <w:r>
        <w:rPr>
          <w:rFonts w:hint="eastAsia" w:ascii="仿宋" w:hAnsi="仿宋" w:eastAsia="仿宋" w:cs="仿宋"/>
          <w:color w:val="auto"/>
          <w:highlight w:val="none"/>
          <w:u w:val="singl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14.4 最终结清</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14.4.1 最终结清申请单</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承包人提交最终结清申请单的份数：</w:t>
      </w:r>
      <w:r>
        <w:rPr>
          <w:rFonts w:hint="eastAsia" w:ascii="仿宋" w:hAnsi="仿宋" w:eastAsia="仿宋" w:cs="仿宋"/>
          <w:b/>
          <w:bCs/>
          <w:color w:val="auto"/>
          <w:highlight w:val="none"/>
          <w:u w:val="single"/>
        </w:rPr>
        <w:t>叁份。</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承包人提交最终结算申请单的期限：</w:t>
      </w:r>
      <w:r>
        <w:rPr>
          <w:rFonts w:hint="eastAsia" w:ascii="仿宋" w:hAnsi="仿宋" w:eastAsia="仿宋" w:cs="仿宋"/>
          <w:b/>
          <w:bCs/>
          <w:color w:val="auto"/>
          <w:highlight w:val="none"/>
          <w:u w:val="single"/>
        </w:rPr>
        <w:t xml:space="preserve">在质保期满后7天内。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14.4.2 最终结清证书和支付</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（1）发包人完成最终结清申请单的审批并颁发最终结清证书的期限：</w:t>
      </w:r>
      <w:r>
        <w:rPr>
          <w:rFonts w:hint="eastAsia" w:ascii="仿宋" w:hAnsi="仿宋" w:eastAsia="仿宋" w:cs="仿宋"/>
          <w:b/>
          <w:bCs/>
          <w:color w:val="auto"/>
          <w:highlight w:val="none"/>
          <w:u w:val="single"/>
        </w:rPr>
        <w:t>在收到承包人提交的最终结算申请单后14天内。</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（2）发包人完成支付的期限：</w:t>
      </w:r>
      <w:r>
        <w:rPr>
          <w:rFonts w:hint="eastAsia" w:ascii="仿宋" w:hAnsi="仿宋" w:eastAsia="仿宋" w:cs="仿宋"/>
          <w:b/>
          <w:bCs/>
          <w:color w:val="auto"/>
          <w:highlight w:val="none"/>
          <w:u w:val="single"/>
        </w:rPr>
        <w:t>在颁发最终结清证书后7天内完成支付。</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 缺陷责任期与保修</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15.2缺陷责任期</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缺陷责任期的具体期限：</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15.3 质量保证金</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关于是否扣留质量保证金的约定：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在工程项目竣工前，承包人按专用合同条款第3.7条提供履约担保的，发包人不得同时预留工程质量保证金</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15.3.1 承包人提供质量保证金的方式</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质量保证金采用以下第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（3）</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（1）质量保证金保函，保证金额为：</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%的工程款；</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（3）其他方式:</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按结算审定价的1.5%缴纳</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15.3.2 质量保证金的扣留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质量保证金的扣留采取以下第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(3)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（1）在支付工程进度款时逐次扣留，在此情形下，质量保证金的计算基数不包括预付款的支付、扣回以及价格调整的金额；</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（2）工程竣工结算时一次性扣留质量保证金；</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（3）其他扣留方式: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630" w:firstLineChars="300"/>
        <w:jc w:val="left"/>
        <w:rPr>
          <w:rFonts w:ascii="仿宋" w:hAnsi="仿宋" w:eastAsia="仿宋" w:cs="仿宋"/>
          <w:color w:val="auto"/>
          <w:highlight w:val="none"/>
        </w:rPr>
      </w:pPr>
      <w:r>
        <w:rPr>
          <w:rFonts w:hint="eastAsia" w:ascii="仿宋" w:hAnsi="仿宋" w:eastAsia="仿宋" w:cs="仿宋"/>
          <w:color w:val="auto"/>
          <w:highlight w:val="none"/>
        </w:rPr>
        <w:t>关于质量保证金的补充约定：</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按结算审定价的1.5%缴纳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15.4保修</w:t>
      </w:r>
    </w:p>
    <w:p>
      <w:pPr>
        <w:pStyle w:val="131"/>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15.4.1 保修责任</w:t>
      </w:r>
    </w:p>
    <w:p>
      <w:pPr>
        <w:pStyle w:val="131"/>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工程保修期为：</w:t>
      </w:r>
      <w:r>
        <w:rPr>
          <w:rFonts w:hint="eastAsia" w:ascii="仿宋" w:hAnsi="仿宋" w:eastAsia="仿宋" w:cs="仿宋"/>
          <w:b/>
          <w:bCs/>
          <w:color w:val="auto"/>
          <w:highlight w:val="none"/>
          <w:u w:val="single"/>
        </w:rPr>
        <w:t>按工程质量保修书规定执行。</w:t>
      </w:r>
    </w:p>
    <w:p>
      <w:pPr>
        <w:pStyle w:val="131"/>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15.4.3 修复通知</w:t>
      </w:r>
    </w:p>
    <w:p>
      <w:pPr>
        <w:pStyle w:val="131"/>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承包人收到保修通知并到达工程现场的合理时间：</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highlight w:val="none"/>
          <w:u w:val="single"/>
        </w:rPr>
        <w:t xml:space="preserve"> 2日内。</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 违约</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发包人违约</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16.1.1发包人违约的情形</w:t>
      </w:r>
    </w:p>
    <w:p>
      <w:pPr>
        <w:pStyle w:val="131"/>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left="1050" w:hanging="1050" w:hangingChars="500"/>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16.1.2 发包人违约的责任</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发包人违约责任的承担方式和计算方法：</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（1）因发包人原因未能在计划开工日期前7天内下达开工通知的违约责任：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（2）因发包人原因未能按合同约定支付合同价款的违约责任：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（3）发包人违反第10.1款〔变更的范围〕第（2）项约定，自行实施被取消的工作或转由他人实施的违约责任：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（5）因发包人违反合同约定造成暂停施工的违约责任：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（6）发包人无正当理由没有在约定期限内发出复工指示，导致承包人无法复工的违约责任：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pPr>
        <w:pStyle w:val="131"/>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（7）其他：</w:t>
      </w:r>
      <w:r>
        <w:rPr>
          <w:rFonts w:hint="eastAsia" w:ascii="仿宋" w:hAnsi="仿宋" w:eastAsia="仿宋" w:cs="仿宋"/>
          <w:color w:val="auto"/>
          <w:highlight w:val="none"/>
          <w:u w:val="single"/>
        </w:rPr>
        <w:t xml:space="preserve"> /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16.1.3 因发包人违约解除合同</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承包人按16.1.1项〔发包人违约的情形〕约定暂停施工满</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60</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天后发包人仍不纠正其违约行为并致使合同目的不能实现的，承包人有权解除合同。</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16.2 承包人违约</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16.2.1 承包人违约的情形</w:t>
      </w:r>
    </w:p>
    <w:p>
      <w:pPr>
        <w:pStyle w:val="131"/>
        <w:adjustRightInd w:val="0"/>
        <w:snapToGrid w:val="0"/>
        <w:spacing w:line="360" w:lineRule="exact"/>
        <w:ind w:left="1050" w:leftChars="200" w:hanging="630" w:hangingChars="3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16.2.2承包人违约的责任</w:t>
      </w:r>
    </w:p>
    <w:p>
      <w:pPr>
        <w:pStyle w:val="131"/>
        <w:adjustRightInd w:val="0"/>
        <w:snapToGrid w:val="0"/>
        <w:spacing w:line="360" w:lineRule="exact"/>
        <w:ind w:left="1050" w:leftChars="200" w:hanging="630" w:hangingChars="3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承包人违约责任的承担方式和计算方法：</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16.2.3 因承包人违约解除合同</w:t>
      </w:r>
    </w:p>
    <w:p>
      <w:pPr>
        <w:pStyle w:val="131"/>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关于承包人违约解除合同的特别约定：</w:t>
      </w:r>
      <w:r>
        <w:rPr>
          <w:rFonts w:hint="eastAsia" w:ascii="仿宋" w:hAnsi="仿宋" w:eastAsia="仿宋" w:cs="仿宋"/>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pPr>
        <w:pStyle w:val="131"/>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17. 不可抗力 </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17.1 不可抗力的确认</w:t>
      </w:r>
    </w:p>
    <w:p>
      <w:pPr>
        <w:pStyle w:val="131"/>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highlight w:val="none"/>
        </w:rPr>
        <w:t>除通用合同条款约定的不可抗力事件之外，视为不可抗力的其他情形：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17.4 因不可抗力解除合同</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合同解除后，发包人应在商定或确定发包人应支付款项后</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天内完成款项的支付。</w:t>
      </w:r>
    </w:p>
    <w:p>
      <w:pPr>
        <w:pStyle w:val="552"/>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 保险</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18.1 工程保险</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关于工程保险的特别约定：</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18.3 其他保险</w:t>
      </w:r>
    </w:p>
    <w:p>
      <w:pPr>
        <w:pStyle w:val="131"/>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关于其他保险的约定：</w:t>
      </w:r>
      <w:r>
        <w:rPr>
          <w:rFonts w:hint="eastAsia" w:ascii="仿宋" w:hAnsi="仿宋" w:eastAsia="仿宋" w:cs="仿宋"/>
          <w:b/>
          <w:bCs/>
          <w:color w:val="auto"/>
          <w:highlight w:val="none"/>
          <w:u w:val="single"/>
        </w:rPr>
        <w:t>承包人投保建筑工人及管理人员意外伤害保险。</w:t>
      </w:r>
    </w:p>
    <w:p>
      <w:pPr>
        <w:pStyle w:val="131"/>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承包人是否应为其施工设备等办理财产保险：</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18.7 通知义务</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关于变更保险合同时的通知义务的约定：</w:t>
      </w:r>
      <w:r>
        <w:rPr>
          <w:rFonts w:hint="eastAsia" w:ascii="仿宋" w:hAnsi="仿宋" w:eastAsia="仿宋" w:cs="仿宋"/>
          <w:b/>
          <w:bCs/>
          <w:color w:val="auto"/>
          <w:highlight w:val="none"/>
          <w:u w:val="single"/>
        </w:rPr>
        <w:t>按通用合同条款第18.7条项规定执行。</w:t>
      </w:r>
    </w:p>
    <w:p>
      <w:pPr>
        <w:pStyle w:val="552"/>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 争议解决</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20.3 争议评审</w:t>
      </w:r>
    </w:p>
    <w:p>
      <w:pPr>
        <w:pStyle w:val="131"/>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合同当事人是否同意将工程争议提交争议评审小组决定：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20.3.1 争议评审小组的确定</w:t>
      </w:r>
    </w:p>
    <w:p>
      <w:pPr>
        <w:pStyle w:val="131"/>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争议评审小组成员的确定：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选定争议评审员的期限：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争议评审小组成员的报酬承担方式：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其他事项的约定：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20.3.2 争议评审小组的决定</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合同当事人关于本项的约定：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20.4仲裁或诉讼</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因合同及合同有关事项发生的争议，双方当事人一致同意提交杭州仲裁委员会申请仲裁；但双方当事人特别约定下列解决方式中第</w:t>
      </w:r>
      <w:r>
        <w:rPr>
          <w:rFonts w:hint="eastAsia" w:ascii="仿宋" w:hAnsi="仿宋" w:eastAsia="仿宋" w:cs="仿宋"/>
          <w:color w:val="auto"/>
          <w:highlight w:val="none"/>
          <w:u w:val="single"/>
        </w:rPr>
        <w:t>（2）</w:t>
      </w:r>
      <w:r>
        <w:rPr>
          <w:rFonts w:hint="eastAsia" w:ascii="仿宋" w:hAnsi="仿宋" w:eastAsia="仿宋" w:cs="仿宋"/>
          <w:color w:val="auto"/>
          <w:highlight w:val="none"/>
        </w:rPr>
        <w:t>种方式解决争议的除外：</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仲裁委员会申请仲裁；</w:t>
      </w:r>
    </w:p>
    <w:p>
      <w:pPr>
        <w:pStyle w:val="131"/>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（2）向</w:t>
      </w:r>
      <w:r>
        <w:rPr>
          <w:rFonts w:hint="eastAsia" w:ascii="仿宋" w:hAnsi="仿宋" w:eastAsia="仿宋" w:cs="仿宋"/>
          <w:color w:val="auto"/>
          <w:highlight w:val="none"/>
          <w:u w:val="single"/>
        </w:rPr>
        <w:t xml:space="preserve"> 合同履行地（工程所在地） </w:t>
      </w:r>
      <w:r>
        <w:rPr>
          <w:rFonts w:hint="eastAsia" w:ascii="仿宋" w:hAnsi="仿宋" w:eastAsia="仿宋" w:cs="仿宋"/>
          <w:color w:val="auto"/>
          <w:highlight w:val="none"/>
        </w:rPr>
        <w:t>人民法院起诉。</w:t>
      </w:r>
    </w:p>
    <w:p>
      <w:pPr>
        <w:pStyle w:val="131"/>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21.其他补充事项的约定</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21.1进场项目班子应当是承包人建制内的，违法转包、挂靠承包人或临时拼凑的施工班子一经发现并经查实后，</w:t>
      </w:r>
      <w:r>
        <w:rPr>
          <w:rFonts w:hint="eastAsia" w:ascii="仿宋" w:hAnsi="仿宋" w:eastAsia="仿宋" w:cs="仿宋"/>
          <w:color w:val="auto"/>
          <w:szCs w:val="21"/>
          <w:highlight w:val="none"/>
        </w:rPr>
        <w:t>除扣罚履约保证金外，</w:t>
      </w:r>
      <w:r>
        <w:rPr>
          <w:rFonts w:hint="eastAsia" w:ascii="仿宋" w:hAnsi="仿宋" w:eastAsia="仿宋" w:cs="仿宋"/>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21.2 承包人应严格按已确认的施工技术方案实施，并接受发包人派遣的现场代表及委托的监理单位对施工质量、进度、安全、投资及协调方面的监督和管理。</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21.3 承包人应按期支付工人的劳动工资，发包人有权监督承包人对于工人工资支付和发放。</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21.4本工程结算造价以审计结果为准。承包人必须保证施工签证的真实性、合理性和合法性并不得与合同约定相违背，否则有权予以调整。</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21.5 工程变更严格按照变更程序办理，所有的工程变更须经设计、监理及发包人三方确认后实施。</w:t>
      </w:r>
    </w:p>
    <w:p>
      <w:pPr>
        <w:pStyle w:val="131"/>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pPr>
        <w:pStyle w:val="131"/>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本工程未明确的违约赔偿事宜，均在工程竣工结算时处理，在工程结算款中增加或扣减有关费用。</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21.8发包人有权取消或调整合同范围内的任何工程内容，承包人无条件接受，调整部分按实结算，取消部分相应扣除投标相对应的费用。</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21.9承包人承诺在发包人使用投标所有产品时不会因知识产权或产品所有权等问题引起的第三方索赔或其他要求，由此给发包人造成的一切损失都应由承包人承担。</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21.11承包人在踏勘现场时要充分了解现场地理人文条件，合理处理与周边关系。</w:t>
      </w:r>
    </w:p>
    <w:p>
      <w:pPr>
        <w:pStyle w:val="131"/>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pPr>
        <w:pStyle w:val="131"/>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pPr>
        <w:pStyle w:val="131"/>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21.14本工程施工管理、竣工验收与结算须按照发包人《浙江工业大学修缮工程管理办法》相关规定执行。施工单位在校内须严格遵守国家相关法律法规，严格遵守学校有关疫情防控、意识形态、宗教管理教育工作等相关规定。</w:t>
      </w:r>
    </w:p>
    <w:p>
      <w:pPr>
        <w:pStyle w:val="131"/>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21.15 </w:t>
      </w:r>
      <w:r>
        <w:rPr>
          <w:rFonts w:hint="eastAsia" w:ascii="仿宋" w:hAnsi="仿宋" w:eastAsia="仿宋" w:cs="仿宋"/>
          <w:color w:val="auto"/>
          <w:szCs w:val="21"/>
          <w:highlight w:val="none"/>
        </w:rPr>
        <w:t>承包人应提前做好各类材料的备货工作，同时充分考虑施工期可能存在暂停施工、二次进场的问题，不得以上述原因提出工期延误及费用调整。</w:t>
      </w:r>
    </w:p>
    <w:p>
      <w:pPr>
        <w:autoSpaceDE w:val="0"/>
        <w:autoSpaceDN w:val="0"/>
        <w:adjustRightInd w:val="0"/>
        <w:snapToGrid w:val="0"/>
        <w:spacing w:line="360" w:lineRule="auto"/>
        <w:ind w:firstLine="420"/>
        <w:jc w:val="left"/>
        <w:rPr>
          <w:rFonts w:hint="eastAsia" w:ascii="仿宋" w:hAnsi="仿宋" w:eastAsia="仿宋" w:cs="仿宋"/>
          <w:color w:val="auto"/>
          <w:highlight w:val="none"/>
        </w:rPr>
      </w:pPr>
      <w:r>
        <w:rPr>
          <w:rFonts w:hint="eastAsia" w:ascii="仿宋" w:hAnsi="仿宋" w:eastAsia="仿宋" w:cs="仿宋"/>
          <w:color w:val="auto"/>
          <w:highlight w:val="none"/>
        </w:rPr>
        <w:t>21.16工程移交前，承包人需编制修缮工程使用说明书，明确本项目改造情况、使用注意事项、主要设施设备品牌、工程质量保修期限及范围等内容。</w:t>
      </w:r>
    </w:p>
    <w:p>
      <w:pPr>
        <w:autoSpaceDE w:val="0"/>
        <w:autoSpaceDN w:val="0"/>
        <w:adjustRightInd w:val="0"/>
        <w:snapToGrid w:val="0"/>
        <w:spacing w:line="360" w:lineRule="auto"/>
        <w:ind w:firstLine="42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21.17本项目改造完成的目标：</w:t>
      </w:r>
    </w:p>
    <w:p>
      <w:pPr>
        <w:autoSpaceDE w:val="0"/>
        <w:autoSpaceDN w:val="0"/>
        <w:adjustRightInd w:val="0"/>
        <w:snapToGrid w:val="0"/>
        <w:spacing w:line="360" w:lineRule="auto"/>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1）系统需接入学校现有平台，相应费用已在投标报价中综合考虑。</w:t>
      </w:r>
    </w:p>
    <w:p>
      <w:pPr>
        <w:autoSpaceDE w:val="0"/>
        <w:autoSpaceDN w:val="0"/>
        <w:adjustRightInd w:val="0"/>
        <w:snapToGrid w:val="0"/>
        <w:spacing w:line="360" w:lineRule="auto"/>
        <w:ind w:firstLine="420"/>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2）供水管网的管道漏损率小于5%。项目完工后，甲方将委托第三方检测单位进行水平衡测试，漏损率达标后方可进行验收。</w:t>
      </w:r>
    </w:p>
    <w:p>
      <w:pPr>
        <w:pStyle w:val="30"/>
        <w:adjustRightInd w:val="0"/>
        <w:snapToGrid w:val="0"/>
        <w:spacing w:before="162" w:after="162" w:line="276" w:lineRule="auto"/>
        <w:rPr>
          <w:rFonts w:hint="eastAsia" w:ascii="仿宋" w:hAnsi="仿宋" w:eastAsia="仿宋" w:cs="仿宋"/>
          <w:b/>
          <w:bCs/>
          <w:color w:val="auto"/>
          <w:highlight w:val="none"/>
        </w:rPr>
      </w:pPr>
    </w:p>
    <w:p>
      <w:pPr>
        <w:pStyle w:val="30"/>
        <w:adjustRightInd w:val="0"/>
        <w:snapToGrid w:val="0"/>
        <w:spacing w:before="162" w:after="162" w:line="276" w:lineRule="auto"/>
        <w:rPr>
          <w:rFonts w:ascii="仿宋" w:hAnsi="仿宋" w:eastAsia="仿宋" w:cs="仿宋"/>
          <w:color w:val="auto"/>
          <w:highlight w:val="none"/>
        </w:rPr>
      </w:pPr>
      <w:r>
        <w:rPr>
          <w:rFonts w:hint="eastAsia" w:ascii="仿宋" w:hAnsi="仿宋" w:eastAsia="仿宋" w:cs="仿宋"/>
          <w:b/>
          <w:bCs/>
          <w:color w:val="auto"/>
          <w:highlight w:val="none"/>
        </w:rPr>
        <w:t>附件：</w:t>
      </w:r>
    </w:p>
    <w:p>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附件1：房屋建筑工程质量保修书</w:t>
      </w:r>
    </w:p>
    <w:p>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附件2：廉政协议书 </w:t>
      </w:r>
    </w:p>
    <w:p>
      <w:pPr>
        <w:spacing w:line="276"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附件3：建筑施工安全责任书</w:t>
      </w:r>
    </w:p>
    <w:p>
      <w:pPr>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 </w:t>
      </w:r>
    </w:p>
    <w:p>
      <w:pPr>
        <w:pStyle w:val="30"/>
        <w:spacing w:before="162" w:after="162" w:line="440" w:lineRule="exact"/>
        <w:rPr>
          <w:rFonts w:ascii="仿宋" w:hAnsi="仿宋" w:eastAsia="仿宋" w:cs="仿宋"/>
          <w:b/>
          <w:bCs/>
          <w:color w:val="auto"/>
          <w:highlight w:val="none"/>
        </w:rPr>
      </w:pPr>
      <w:r>
        <w:rPr>
          <w:rFonts w:hint="eastAsia" w:ascii="仿宋" w:hAnsi="仿宋" w:eastAsia="仿宋" w:cs="仿宋"/>
          <w:color w:val="auto"/>
          <w:highlight w:val="none"/>
          <w:u w:val="single"/>
        </w:rPr>
        <w:br w:type="page"/>
      </w:r>
      <w:r>
        <w:rPr>
          <w:rFonts w:hint="eastAsia" w:ascii="仿宋" w:hAnsi="仿宋" w:eastAsia="仿宋" w:cs="仿宋"/>
          <w:b/>
          <w:bCs/>
          <w:color w:val="auto"/>
          <w:highlight w:val="none"/>
        </w:rPr>
        <w:t>附件1:</w:t>
      </w:r>
    </w:p>
    <w:p>
      <w:pPr>
        <w:pStyle w:val="131"/>
        <w:spacing w:before="162" w:beforeLines="50" w:after="162" w:afterLines="50" w:line="440" w:lineRule="exact"/>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工程质量保修书</w:t>
      </w:r>
    </w:p>
    <w:p>
      <w:pPr>
        <w:pStyle w:val="131"/>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发包人（全称）：</w:t>
      </w:r>
      <w:r>
        <w:rPr>
          <w:rFonts w:hint="eastAsia" w:ascii="仿宋" w:hAnsi="仿宋" w:eastAsia="仿宋" w:cs="仿宋"/>
          <w:color w:val="auto"/>
          <w:szCs w:val="21"/>
          <w:highlight w:val="none"/>
          <w:u w:val="single"/>
        </w:rPr>
        <w:t xml:space="preserve">                                  </w:t>
      </w:r>
    </w:p>
    <w:p>
      <w:pPr>
        <w:pStyle w:val="131"/>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color w:val="auto"/>
          <w:szCs w:val="21"/>
          <w:highlight w:val="none"/>
          <w:u w:val="single"/>
        </w:rPr>
        <w:t xml:space="preserve">                                  </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发包人和承包人根据《中华人民共和国建筑法》和《建设工程质量管理条例》，经协商一致就</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（工程全称）签订工程质量保修书。</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一、工程质量保修范围和内容</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承包人在质量保修期内，按照有关法律规定和合同约定，承担工程质量保修责任。</w:t>
      </w:r>
    </w:p>
    <w:p>
      <w:pPr>
        <w:pStyle w:val="131"/>
        <w:spacing w:line="300" w:lineRule="auto"/>
        <w:ind w:firstLine="420" w:firstLineChars="200"/>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b/>
          <w:bCs/>
          <w:color w:val="auto"/>
          <w:szCs w:val="21"/>
          <w:highlight w:val="none"/>
          <w:u w:val="single"/>
        </w:rPr>
        <w:t>承包范围内所有工程。</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二、质量保修期</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根据《建设工程质量管理条例》及有关规定，工程的质量保修期如下：</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1、地基基础工程和主体结构工程为设计文件规定的该工程合理使用年限；</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2、屋面防水工程、有防水要求的卫生间、房间和外墙的防渗漏为</w:t>
      </w:r>
      <w:r>
        <w:rPr>
          <w:rFonts w:hint="eastAsia" w:ascii="仿宋" w:hAnsi="仿宋" w:eastAsia="仿宋" w:cs="仿宋"/>
          <w:color w:val="auto"/>
          <w:szCs w:val="21"/>
          <w:highlight w:val="none"/>
          <w:u w:val="single"/>
        </w:rPr>
        <w:t xml:space="preserve"> 5 </w:t>
      </w:r>
      <w:r>
        <w:rPr>
          <w:rFonts w:hint="eastAsia" w:ascii="仿宋" w:hAnsi="仿宋" w:eastAsia="仿宋" w:cs="仿宋"/>
          <w:color w:val="auto"/>
          <w:szCs w:val="21"/>
          <w:highlight w:val="none"/>
        </w:rPr>
        <w:t>年；</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3、装修工程为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年；</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4、电气管线、给排水管道、设备安装工程为</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年；</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5、供热与供冷系统为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个采暖期、供冷期；</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6、住宅小区内的给排水设施、道路等配套工程为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p>
    <w:p>
      <w:pPr>
        <w:pStyle w:val="131"/>
        <w:spacing w:line="30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7、其他项目保修期限约定如下：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本项目保修期限为2年</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质量保修期自工程竣工验收合格之日起计算，具体期限以承包人承诺的延长质保期为准。</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三、缺陷责任期</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工程缺陷责任期为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个月，缺陷责任期自工程通过竣工验收之日起计算。单位工程先于全部工程进行验收，单位工程缺陷责任期自单位工程验收合格之日起算。</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四、质量保修责任</w:t>
      </w:r>
    </w:p>
    <w:p>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1．属于保修范围、内容的项目，承包人应当在接到保修通知之日起7天内派人保修。承包人不在约定期限内派人保修的，发包人可以委托他人修理。</w:t>
      </w:r>
    </w:p>
    <w:p>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2. 发生紧急抢修事故的，承包人在接到事故通知后，应当立即到达事故现场抢修。</w:t>
      </w:r>
    </w:p>
    <w:p>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31"/>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4．质量保修完成后，由发包人组织验收。</w:t>
      </w:r>
    </w:p>
    <w:p>
      <w:pPr>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五、保修费用</w:t>
      </w:r>
    </w:p>
    <w:p>
      <w:pPr>
        <w:pStyle w:val="131"/>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1.保修费用由造成质量缺陷的责任方承担。</w:t>
      </w:r>
    </w:p>
    <w:p>
      <w:pPr>
        <w:adjustRightInd w:val="0"/>
        <w:snapToGrid w:val="0"/>
        <w:spacing w:line="300" w:lineRule="auto"/>
        <w:ind w:firstLine="407" w:firstLineChars="194"/>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2.工程质量保证金的退还：</w:t>
      </w:r>
      <w:r>
        <w:rPr>
          <w:rFonts w:hint="eastAsia" w:ascii="仿宋" w:hAnsi="仿宋" w:eastAsia="仿宋" w:cs="仿宋"/>
          <w:b/>
          <w:bCs/>
          <w:color w:val="auto"/>
          <w:szCs w:val="21"/>
          <w:highlight w:val="none"/>
          <w:u w:val="single"/>
        </w:rPr>
        <w:t>工程竣工验收合格之日起满两年且回访质量符合要求后一次性付清（无息）；如保修期间产生维修费、赔偿金等，则扣除相应的维修费、赔偿金等款项后退还。</w:t>
      </w:r>
    </w:p>
    <w:p>
      <w:pPr>
        <w:pStyle w:val="131"/>
        <w:spacing w:line="300" w:lineRule="auto"/>
        <w:ind w:left="105" w:leftChars="50" w:firstLine="373" w:firstLineChars="178"/>
        <w:rPr>
          <w:rFonts w:ascii="仿宋" w:hAnsi="仿宋" w:eastAsia="仿宋" w:cs="仿宋"/>
          <w:color w:val="auto"/>
          <w:szCs w:val="21"/>
          <w:highlight w:val="none"/>
        </w:rPr>
      </w:pPr>
      <w:r>
        <w:rPr>
          <w:rFonts w:hint="eastAsia" w:ascii="仿宋" w:hAnsi="仿宋" w:eastAsia="仿宋" w:cs="仿宋"/>
          <w:color w:val="auto"/>
          <w:szCs w:val="21"/>
          <w:highlight w:val="none"/>
        </w:rPr>
        <w:t>六、双方约定的其他工程质量保修事项：</w:t>
      </w:r>
      <w:r>
        <w:rPr>
          <w:rFonts w:hint="eastAsia" w:ascii="仿宋" w:hAnsi="仿宋" w:eastAsia="仿宋" w:cs="仿宋"/>
          <w:color w:val="auto"/>
          <w:szCs w:val="21"/>
          <w:highlight w:val="none"/>
          <w:u w:val="single"/>
        </w:rPr>
        <w:t xml:space="preserve">   无     。</w:t>
      </w:r>
    </w:p>
    <w:p>
      <w:pPr>
        <w:pStyle w:val="131"/>
        <w:spacing w:line="300" w:lineRule="auto"/>
        <w:ind w:left="105" w:leftChars="5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工程质量保修书由发包人、承包人在工程竣工验收前共同签署，作为施工合同附件，其有效期限至保修期满。</w:t>
      </w:r>
    </w:p>
    <w:p>
      <w:pPr>
        <w:pStyle w:val="131"/>
        <w:spacing w:line="300" w:lineRule="auto"/>
        <w:ind w:firstLine="399" w:firstLineChars="19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发包人(公章)：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承包人(公章)：</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地  址：</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法定代表人(签字)：</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委托代理人(签字)：</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电  话：</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传  真：</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开户银行：</w:t>
      </w:r>
      <w:r>
        <w:rPr>
          <w:rFonts w:hint="eastAsia" w:ascii="仿宋" w:hAnsi="仿宋" w:eastAsia="仿宋" w:cs="仿宋"/>
          <w:color w:val="auto"/>
          <w:szCs w:val="21"/>
          <w:highlight w:val="none"/>
          <w:u w:val="single"/>
        </w:rPr>
        <w:t xml:space="preserve">                 </w:t>
      </w:r>
    </w:p>
    <w:p>
      <w:pPr>
        <w:pStyle w:val="131"/>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账  号：</w:t>
      </w:r>
      <w:r>
        <w:rPr>
          <w:rFonts w:hint="eastAsia" w:ascii="仿宋" w:hAnsi="仿宋" w:eastAsia="仿宋" w:cs="仿宋"/>
          <w:color w:val="auto"/>
          <w:szCs w:val="21"/>
          <w:highlight w:val="none"/>
          <w:u w:val="single"/>
        </w:rPr>
        <w:t xml:space="preserve">             </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邮政编码：</w:t>
      </w:r>
      <w:r>
        <w:rPr>
          <w:rFonts w:hint="eastAsia" w:ascii="仿宋" w:hAnsi="仿宋" w:eastAsia="仿宋" w:cs="仿宋"/>
          <w:color w:val="auto"/>
          <w:szCs w:val="21"/>
          <w:highlight w:val="none"/>
          <w:u w:val="single"/>
        </w:rPr>
        <w:t xml:space="preserve">           </w:t>
      </w:r>
    </w:p>
    <w:p>
      <w:pPr>
        <w:pStyle w:val="30"/>
        <w:spacing w:before="162" w:after="162" w:line="440" w:lineRule="exact"/>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r>
        <w:rPr>
          <w:rFonts w:hint="eastAsia" w:ascii="仿宋" w:hAnsi="仿宋" w:eastAsia="仿宋" w:cs="仿宋"/>
          <w:b/>
          <w:bCs/>
          <w:color w:val="auto"/>
          <w:sz w:val="21"/>
          <w:szCs w:val="21"/>
          <w:highlight w:val="none"/>
        </w:rPr>
        <w:t xml:space="preserve">附件2： </w:t>
      </w:r>
    </w:p>
    <w:p>
      <w:pPr>
        <w:topLinePun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廉政责任合同</w:t>
      </w:r>
    </w:p>
    <w:p>
      <w:pPr>
        <w:topLinePunct/>
        <w:ind w:firstLine="643"/>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第一条</w:t>
      </w:r>
      <w:r>
        <w:rPr>
          <w:rFonts w:hint="eastAsia" w:ascii="仿宋" w:hAnsi="仿宋" w:eastAsia="仿宋" w:cs="仿宋"/>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第二条</w:t>
      </w:r>
      <w:r>
        <w:rPr>
          <w:rFonts w:hint="eastAsia" w:ascii="仿宋" w:hAnsi="仿宋" w:eastAsia="仿宋" w:cs="仿宋"/>
          <w:color w:val="auto"/>
          <w:szCs w:val="21"/>
          <w:highlight w:val="none"/>
        </w:rPr>
        <w:t>：廉政责任合同（以下简称本合同）由浙江工业大学与承包方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（以下简称乙方）共同签订。</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第三条</w:t>
      </w:r>
      <w:r>
        <w:rPr>
          <w:rFonts w:hint="eastAsia" w:ascii="仿宋" w:hAnsi="仿宋" w:eastAsia="仿宋" w:cs="仿宋"/>
          <w:color w:val="auto"/>
          <w:szCs w:val="21"/>
          <w:highlight w:val="none"/>
        </w:rPr>
        <w:t>：纪检监察部门负责履行本合同的监督管理工作。</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第四条</w:t>
      </w:r>
      <w:r>
        <w:rPr>
          <w:rFonts w:hint="eastAsia" w:ascii="仿宋" w:hAnsi="仿宋" w:eastAsia="仿宋" w:cs="仿宋"/>
          <w:color w:val="auto"/>
          <w:szCs w:val="21"/>
          <w:highlight w:val="none"/>
        </w:rPr>
        <w:t>：甲乙双方的权利和义务</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一、甲乙双方应严格遵守党和国家法规、党风廉政建设及《反不正当竞争法》的各项规定。</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二、甲乙双方严格执行所签订的经济合同各项条款，自觉按合同办事，严禁因违法违纪、违反工程建设管理的各项规章制度而损害国家和集体利益。</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三、甲、乙双方人员洽谈业务时，必须选择在办公场所或发包人确定的其它公共场所由二人以上共同进行，严禁私下商谈串通。</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 xml:space="preserve">第五条  </w:t>
      </w:r>
      <w:r>
        <w:rPr>
          <w:rFonts w:hint="eastAsia" w:ascii="仿宋" w:hAnsi="仿宋" w:eastAsia="仿宋" w:cs="仿宋"/>
          <w:color w:val="auto"/>
          <w:szCs w:val="21"/>
          <w:highlight w:val="none"/>
        </w:rPr>
        <w:t>甲方的权利和义务</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一、甲方人员不得以任何形式向乙方索要回扣；对无法拒收的，应及时上交纪检部门。</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二、甲方人员在业务交往中或项目结束后，不得接受乙方以任何形式给予的礼金、礼品和有价证券，不得在乙方报销应由个人支付的任何费用。</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三、甲方人员不得参加可能对公正执行公务有影响的宴请、旅游和娱乐活动。</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四、甲方人员不得向乙方介绍家属或亲友从事与甲方工程有关的材料设备供应、工程分包等经济活动。</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第六条</w:t>
      </w:r>
      <w:r>
        <w:rPr>
          <w:rFonts w:hint="eastAsia" w:ascii="仿宋" w:hAnsi="仿宋" w:eastAsia="仿宋" w:cs="仿宋"/>
          <w:color w:val="auto"/>
          <w:szCs w:val="21"/>
          <w:highlight w:val="none"/>
        </w:rPr>
        <w:t>：乙方的权利和义务</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一、乙方人员不得以任何形式向甲方人员赠送礼金、礼品和有价证券。项目结束后，也不得进行上述赠送。</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二、乙方不准以任何名义为甲方人员报销应由甲方人员个人支付的费用。</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三、乙方人员不得以洽谈业务、签订经济合同为借口，邀请甲方人员参加宴会、旅游和娱乐活动等。</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第七条</w:t>
      </w:r>
      <w:r>
        <w:rPr>
          <w:rFonts w:hint="eastAsia" w:ascii="仿宋" w:hAnsi="仿宋" w:eastAsia="仿宋" w:cs="仿宋"/>
          <w:color w:val="auto"/>
          <w:szCs w:val="21"/>
          <w:highlight w:val="none"/>
        </w:rPr>
        <w:t>：违约责任</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一、甲方人员若违反本合同，其主管部门将对违法、违纪、违规人员严肃查处。因此而给乙方造成的损失，甲方按有关规定予以赔偿。</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三、乙方人员若违反本合同，其主管部门应对违法违纪人员严肃查处，因此而给甲方造成的损失，乙方按有关规定予以赔偿。</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四、如乙方发现甲方人员有违反本合同的行为，应及时向甲方纪检监察部门举报。甲方不得以任何借口报复乙方。</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第八条</w:t>
      </w:r>
      <w:r>
        <w:rPr>
          <w:rFonts w:hint="eastAsia" w:ascii="仿宋" w:hAnsi="仿宋" w:eastAsia="仿宋" w:cs="仿宋"/>
          <w:color w:val="auto"/>
          <w:szCs w:val="21"/>
          <w:highlight w:val="none"/>
        </w:rPr>
        <w:t>：甲乙双方必须将“廉政责任合同”贯穿于所签订的经济合同实施的全过程，及时布置、认真检查、严格考核。</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第九条</w:t>
      </w:r>
      <w:r>
        <w:rPr>
          <w:rFonts w:hint="eastAsia" w:ascii="仿宋" w:hAnsi="仿宋" w:eastAsia="仿宋" w:cs="仿宋"/>
          <w:color w:val="auto"/>
          <w:szCs w:val="21"/>
          <w:highlight w:val="none"/>
        </w:rPr>
        <w:t>：本合同在甲乙双方签订重大经济合同的同时签订。</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第十条</w:t>
      </w:r>
      <w:r>
        <w:rPr>
          <w:rFonts w:hint="eastAsia" w:ascii="仿宋" w:hAnsi="仿宋" w:eastAsia="仿宋" w:cs="仿宋"/>
          <w:color w:val="auto"/>
          <w:szCs w:val="21"/>
          <w:highlight w:val="none"/>
        </w:rPr>
        <w:t>：本合同作为本次所签订的</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的附件，经合同双方共同签署后立即生效。</w:t>
      </w:r>
    </w:p>
    <w:p>
      <w:pPr>
        <w:pStyle w:val="154"/>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第十一条：</w:t>
      </w:r>
      <w:r>
        <w:rPr>
          <w:rFonts w:hint="eastAsia" w:ascii="仿宋" w:hAnsi="仿宋" w:eastAsia="仿宋" w:cs="仿宋"/>
          <w:color w:val="auto"/>
          <w:szCs w:val="21"/>
          <w:highlight w:val="none"/>
        </w:rPr>
        <w:t>本合同一式三份，由甲乙双方及甲方纪检监察部门各执一份。</w:t>
      </w:r>
    </w:p>
    <w:p>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154"/>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甲方（盖章）                        乙方（盖章）</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甲方法定代表人 ：                   乙方法定代表人：</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或                                  或</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甲方委托代理人：                    乙方委托代理人：</w:t>
      </w:r>
    </w:p>
    <w:p>
      <w:pPr>
        <w:pStyle w:val="154"/>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154"/>
        <w:spacing w:line="360" w:lineRule="auto"/>
        <w:ind w:firstLine="1470" w:firstLineChars="700"/>
        <w:rPr>
          <w:rFonts w:ascii="仿宋" w:hAnsi="仿宋" w:eastAsia="仿宋" w:cs="仿宋"/>
          <w:color w:val="auto"/>
          <w:szCs w:val="21"/>
          <w:highlight w:val="none"/>
        </w:rPr>
      </w:pPr>
      <w:r>
        <w:rPr>
          <w:rFonts w:hint="eastAsia" w:ascii="仿宋" w:hAnsi="仿宋" w:eastAsia="仿宋" w:cs="仿宋"/>
          <w:color w:val="auto"/>
          <w:szCs w:val="21"/>
          <w:highlight w:val="none"/>
        </w:rPr>
        <w:t>年   月   日                        年   月   日</w:t>
      </w:r>
    </w:p>
    <w:p>
      <w:pPr>
        <w:pStyle w:val="154"/>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签约地点：</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附件3： </w:t>
      </w:r>
    </w:p>
    <w:p>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建筑施工安全责任书</w:t>
      </w:r>
    </w:p>
    <w:p>
      <w:pP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pPr>
        <w:numPr>
          <w:ilvl w:val="0"/>
          <w:numId w:val="9"/>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1、项目名称：____________________________________________________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2、项目地点: 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3、项目时间: _____________________________________________________</w:t>
      </w:r>
    </w:p>
    <w:p>
      <w:pPr>
        <w:numPr>
          <w:ilvl w:val="0"/>
          <w:numId w:val="9"/>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施工单位责任管理目标及承诺</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2.承诺对本单位施工人员进行安全教育，有健全的安全管理制度，保证施工人员遵守相关规范，服从浙江工业大学现场管理人员的管理。</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4.承诺施工期间不影响浙江工业大学师生正常教学、工作、生活和学校卫生、环境安全，对本单位施工人员造成的一切不良影响负责。</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5.在责任期内的施工过程中，各级部门安全文明检查中合格率达到100%，杜绝不良影响。</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6.在责任期内，杜绝发生重大事故，包括火灾事故、现场交通事故等。</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7.施工过程中有责任在施工单位区域内和作业点做好文明施工，减少施工噪音，施工污染、杜绝扬尘，控制污染源并及时处理，严禁建筑垃圾随意堆放。</w:t>
      </w:r>
    </w:p>
    <w:p>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8.以人为本，关心员工，努力做好各种疾病和职业病的防治工作，减少或消除各类疾病和职业病的发生。同时现场员工必须正确使用劳动保护用品，特种作业人员必须持证上岗。</w:t>
      </w:r>
    </w:p>
    <w:p>
      <w:pPr>
        <w:spacing w:line="400" w:lineRule="exact"/>
        <w:ind w:right="-607" w:rightChars="-289" w:firstLine="480"/>
        <w:rPr>
          <w:rFonts w:ascii="仿宋" w:hAnsi="仿宋" w:eastAsia="仿宋" w:cs="仿宋"/>
          <w:color w:val="auto"/>
          <w:highlight w:val="none"/>
        </w:rPr>
      </w:pPr>
      <w:r>
        <w:rPr>
          <w:rFonts w:hint="eastAsia" w:ascii="仿宋" w:hAnsi="仿宋" w:eastAsia="仿宋" w:cs="仿宋"/>
          <w:color w:val="auto"/>
          <w:highlight w:val="none"/>
        </w:rPr>
        <w:t>9.在责任期限内杜绝发生火灾事故，落实各级消防制度。</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10.注意和加强内部治安宣传教育管理，杜绝重大治安事件和刑事案件的发生。</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11.如涉及高空作业，施工单位则需另外签订《高空作业安全施工承诺书》</w:t>
      </w:r>
    </w:p>
    <w:p>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二、施工单位安全责任</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为了完成上述管理目标，施工单位必须采取有力措施，行使下列职责：</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1.施工时是安全生产的直接责任人，必须严格执行甲方的有关安全生产的规定、制度；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3.应对现场安装施工的行为完全负责，施工方安装施工人员不得违章作业，冒险作业，不能疲劳作业，并按规定做好保护工作；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4.在施工现场人员必须有配备齐全的安全防护用品，不能满足安全施工需要时，人员不得进入施工现场。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5.高空悬空作业必须系好安全带；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6.施工前不得喝酒，在禁止吸烟的区域不得吸烟；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7.现场内不得赤脚，不得穿拖鞋、高跟鞋，高空作业不得穿皮鞋和带钉易滑鞋；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9.不得私自乱接乱拉电线，保护工地上临时用电电缆及配电箱的完好，不得用材料、工具等压砸电缆电线，确保用电安全；</w:t>
      </w:r>
    </w:p>
    <w:p>
      <w:pPr>
        <w:spacing w:line="400" w:lineRule="exact"/>
        <w:ind w:right="-607" w:rightChars="-289"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10.不得在施工现场烧火，不得违反用电、明火作业、易燃易爆物品等安全管理制度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11.不得从高处向下抛扔任何物资、材料，堆放时不得超过支撑限重的70%；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12.不得在高处临边一米范围内堆放活动材料；</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13.不得在操作面上及高处临边竖立放置工具和线材；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14.使用电动工具，必须按操作规程和说明书要求正确佩戴防护用品；</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15.施工过程中必须严格遵守安全操作规程；</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16.不应疲劳作业，不得在操作面上及楼层上睡觉。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17.不得在道路广场等公共场合搅拌水泥、混凝土、制作各类预制件，如场地狭小，确需在公共场合施工，必须及时清理，恢复地面原貌。</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18.现场所有的材料应统一摆放整齐，且不得放置在道路、广场等公共场合，保证校园环境整洁。</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19.工程施工过程中所产生的建筑垃圾应采取袋装，不得放置在道路、广场等公共场合，同时建筑垃圾应及时清理，做到人走场清，建筑垃圾最长堆放时间不得超过48小时。</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23.把好现场安全防护用品、设备、设施安全使用关，严禁不合格产品进入施工现场。</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24.做好本单位施工区域和作业点的安全生产、文明施工工作，并服从建设单位统一布置安排。</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25.施工方人员进入校内楼栋应服从学校相关人员（宿管员及楼宇管理员等）管理，不得随意翻阅室内任何物品，如室内发生失窃事件，应积极配合相关人员检查。</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26.施工方人员如需进入楼层作业，应事先提供当天现场作业人员相关证件（身份证扫描件、劳动合同扫描件等），报甲方备案，并及时办理所需相关证件。</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27.施工方人员进出校内楼栋应积极配合学校相关人员检查：如包裹口袋、工具箱（盒）、器械等。</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28.施工方人员如需进入校内楼栋施工，应提前三个工作日向建设方报备，不得擅自进入楼内施工。</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29.安全问题包括不仅限于上述情况，如有未尽详细事宜，参照国家法律法规的有关条款执行。</w:t>
      </w:r>
    </w:p>
    <w:p>
      <w:pPr>
        <w:spacing w:line="400" w:lineRule="exact"/>
        <w:rPr>
          <w:rFonts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三、处罚条款</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1.发生重伤和死亡事故，应由甲方主管部门牵头，双方参加，组成事故调查组，查清事故原因，分清事故责任，提出对事故的处理意见，并按有关规定及时向有上级报告；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2.由于施工方没有尽到自身安全责任，造成重大安全事故，主要和相关责任者已触及刑律的，报检察院或劳动监督部门处理；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3.施工方安装施工人员违章违纪作业造成安全事故的，施工方负全部责任，并由施工方事故责任者承担造成的经济损失和刑事责任；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4.施工现场发生安全事故，导致重大伤亡的，相关赔偿责任全部由施工方承担。 </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5.如因施工方或施工方安装施工人员过错给学校造成损失，由施工方负责向校方赔偿，校方有权直接从施工方工程款中将相关损失赔偿款进行抵扣。</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6.如施工方未经建设方允许，擅自进入楼内施工，需承担因此造成的经济损失和刑事责任，且建设方保留追究责任的权利。</w:t>
      </w:r>
    </w:p>
    <w:p>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7.在施工中产生严重安全问题，将被列入黑名单，禁止进入我校进行任何施工。</w:t>
      </w:r>
    </w:p>
    <w:p>
      <w:pPr>
        <w:spacing w:line="400" w:lineRule="exact"/>
        <w:ind w:firstLine="422" w:firstLineChars="200"/>
        <w:rPr>
          <w:rFonts w:ascii="仿宋" w:hAnsi="仿宋" w:eastAsia="仿宋" w:cs="仿宋"/>
          <w:color w:val="auto"/>
          <w:highlight w:val="none"/>
        </w:rPr>
      </w:pPr>
      <w:r>
        <w:rPr>
          <w:rFonts w:hint="eastAsia" w:ascii="仿宋" w:hAnsi="仿宋" w:eastAsia="仿宋" w:cs="仿宋"/>
          <w:b/>
          <w:bCs/>
          <w:color w:val="auto"/>
          <w:highlight w:val="none"/>
        </w:rPr>
        <w:t>三、本承诺书是浙江工业大学对外来施工安全监管的有效证明文件，是合同的附件，具有法律效力。</w:t>
      </w:r>
    </w:p>
    <w:p>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四、本协议自签订之日起生效，一式两份，双方各执一份。</w:t>
      </w:r>
    </w:p>
    <w:p>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施工单位（盖章）：</w:t>
      </w:r>
    </w:p>
    <w:p>
      <w:pPr>
        <w:rPr>
          <w:rFonts w:ascii="仿宋" w:hAnsi="仿宋" w:eastAsia="仿宋" w:cs="仿宋"/>
          <w:color w:val="auto"/>
          <w:highlight w:val="none"/>
        </w:rPr>
      </w:pPr>
      <w:r>
        <w:rPr>
          <w:rFonts w:hint="eastAsia" w:ascii="仿宋" w:hAnsi="仿宋" w:eastAsia="仿宋" w:cs="仿宋"/>
          <w:color w:val="auto"/>
          <w:highlight w:val="none"/>
        </w:rPr>
        <w:t xml:space="preserve"> </w:t>
      </w:r>
    </w:p>
    <w:p>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负责人（签字或盖章）：</w:t>
      </w:r>
    </w:p>
    <w:p>
      <w:pPr>
        <w:pStyle w:val="30"/>
        <w:snapToGrid w:val="0"/>
        <w:spacing w:before="162" w:after="162" w:line="360" w:lineRule="auto"/>
        <w:jc w:val="center"/>
        <w:rPr>
          <w:rFonts w:ascii="仿宋" w:hAnsi="仿宋" w:eastAsia="仿宋" w:cs="仿宋"/>
          <w:b/>
          <w:bCs/>
          <w:color w:val="auto"/>
          <w:sz w:val="21"/>
          <w:szCs w:val="21"/>
          <w:highlight w:val="none"/>
        </w:rPr>
        <w:sectPr>
          <w:pgSz w:w="11906" w:h="16838"/>
          <w:pgMar w:top="1276" w:right="1417" w:bottom="1276" w:left="1417" w:header="851" w:footer="992" w:gutter="0"/>
          <w:cols w:space="720" w:num="1"/>
          <w:docGrid w:type="lines" w:linePitch="325" w:charSpace="0"/>
        </w:sectPr>
      </w:pPr>
    </w:p>
    <w:p>
      <w:pPr>
        <w:autoSpaceDN w:val="0"/>
        <w:snapToGrid w:val="0"/>
        <w:spacing w:line="360" w:lineRule="auto"/>
        <w:ind w:left="238"/>
        <w:jc w:val="center"/>
        <w:outlineLvl w:val="0"/>
        <w:rPr>
          <w:rFonts w:ascii="仿宋" w:hAnsi="仿宋" w:eastAsia="仿宋" w:cs="宋体"/>
          <w:b/>
          <w:color w:val="auto"/>
          <w:sz w:val="32"/>
          <w:szCs w:val="32"/>
          <w:highlight w:val="none"/>
        </w:rPr>
      </w:pPr>
      <w:bookmarkStart w:id="98" w:name="_Toc351203642"/>
      <w:bookmarkEnd w:id="98"/>
      <w:r>
        <w:rPr>
          <w:rFonts w:hint="eastAsia" w:ascii="仿宋" w:hAnsi="仿宋" w:eastAsia="仿宋" w:cs="宋体"/>
          <w:b/>
          <w:color w:val="auto"/>
          <w:sz w:val="32"/>
          <w:szCs w:val="32"/>
          <w:highlight w:val="none"/>
        </w:rPr>
        <w:t>第六章 响应文件格式</w:t>
      </w:r>
      <w:bookmarkEnd w:id="97"/>
    </w:p>
    <w:p>
      <w:pPr>
        <w:autoSpaceDN w:val="0"/>
        <w:snapToGrid w:val="0"/>
        <w:spacing w:line="360" w:lineRule="auto"/>
        <w:rPr>
          <w:rFonts w:ascii="仿宋" w:hAnsi="仿宋" w:eastAsia="仿宋" w:cs="宋体"/>
          <w:color w:val="auto"/>
          <w:sz w:val="24"/>
          <w:szCs w:val="24"/>
          <w:highlight w:val="none"/>
        </w:r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99" w:name="_Toc1935"/>
      <w:r>
        <w:rPr>
          <w:rFonts w:hint="eastAsia" w:ascii="仿宋" w:hAnsi="仿宋" w:eastAsia="仿宋" w:cs="Times New Roman"/>
          <w:b/>
          <w:bCs/>
          <w:color w:val="auto"/>
          <w:sz w:val="32"/>
          <w:szCs w:val="32"/>
          <w:highlight w:val="none"/>
        </w:rPr>
        <w:t>一、资格文件部分格式</w:t>
      </w:r>
      <w:bookmarkEnd w:id="99"/>
    </w:p>
    <w:p>
      <w:pPr>
        <w:autoSpaceDE w:val="0"/>
        <w:autoSpaceDN w:val="0"/>
        <w:adjustRightInd w:val="0"/>
        <w:spacing w:line="480" w:lineRule="auto"/>
        <w:ind w:left="1050" w:leftChars="500"/>
        <w:jc w:val="left"/>
        <w:rPr>
          <w:rFonts w:ascii="仿宋" w:hAnsi="仿宋" w:eastAsia="仿宋" w:cs="Times New Roman"/>
          <w:b/>
          <w:bCs/>
          <w:color w:val="auto"/>
          <w:sz w:val="32"/>
          <w:szCs w:val="32"/>
          <w:highlight w:val="none"/>
        </w:rPr>
      </w:pPr>
    </w:p>
    <w:p>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pPr>
        <w:autoSpaceDE w:val="0"/>
        <w:autoSpaceDN w:val="0"/>
        <w:adjustRightInd w:val="0"/>
        <w:spacing w:line="480" w:lineRule="auto"/>
        <w:ind w:left="1050" w:leftChars="500"/>
        <w:jc w:val="left"/>
        <w:rPr>
          <w:rFonts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pPr>
        <w:widowControl/>
        <w:autoSpaceDN w:val="0"/>
        <w:ind w:left="2550"/>
        <w:rPr>
          <w:rFonts w:ascii="仿宋" w:hAnsi="仿宋" w:eastAsia="仿宋" w:cs="Times New Roman"/>
          <w:color w:val="auto"/>
          <w:kern w:val="0"/>
          <w:highlight w:val="none"/>
        </w:rPr>
      </w:pPr>
    </w:p>
    <w:p>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pPr>
        <w:autoSpaceDE w:val="0"/>
        <w:autoSpaceDN w:val="0"/>
        <w:adjustRightInd w:val="0"/>
        <w:jc w:val="left"/>
        <w:rPr>
          <w:rFonts w:ascii="仿宋" w:hAnsi="仿宋" w:eastAsia="仿宋" w:cs="..ì."/>
          <w:color w:val="auto"/>
          <w:kern w:val="0"/>
          <w:sz w:val="24"/>
          <w:szCs w:val="24"/>
          <w:highlight w:val="none"/>
        </w:rPr>
      </w:pPr>
    </w:p>
    <w:p>
      <w:pPr>
        <w:widowControl/>
        <w:autoSpaceDN w:val="0"/>
        <w:ind w:left="2550"/>
        <w:rPr>
          <w:rFonts w:ascii="仿宋" w:hAnsi="仿宋" w:eastAsia="仿宋" w:cs="Times New Roman"/>
          <w:color w:val="auto"/>
          <w:kern w:val="0"/>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pPr>
        <w:autoSpaceDE w:val="0"/>
        <w:autoSpaceDN w:val="0"/>
        <w:adjustRightInd w:val="0"/>
        <w:snapToGrid w:val="0"/>
        <w:spacing w:line="48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napToGrid w:val="0"/>
        <w:spacing w:line="480" w:lineRule="auto"/>
        <w:ind w:firstLine="840" w:firstLineChars="300"/>
        <w:jc w:val="left"/>
        <w:rPr>
          <w:rFonts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pPr>
        <w:autoSpaceDN w:val="0"/>
        <w:spacing w:line="360" w:lineRule="auto"/>
        <w:ind w:firstLine="420" w:firstLineChars="200"/>
        <w:rPr>
          <w:rFonts w:ascii="仿宋" w:hAnsi="仿宋" w:eastAsia="仿宋" w:cs="Times New Roman"/>
          <w:color w:val="auto"/>
          <w:szCs w:val="24"/>
          <w:highlight w:val="none"/>
        </w:rPr>
      </w:pPr>
    </w:p>
    <w:p>
      <w:pPr>
        <w:keepNext/>
        <w:keepLines/>
        <w:autoSpaceDN w:val="0"/>
        <w:spacing w:line="376" w:lineRule="auto"/>
        <w:jc w:val="left"/>
        <w:outlineLvl w:val="4"/>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pPr>
        <w:keepNext/>
        <w:keepLines/>
        <w:autoSpaceDN w:val="0"/>
        <w:spacing w:before="280" w:after="290" w:line="374" w:lineRule="auto"/>
        <w:ind w:firstLine="480"/>
        <w:jc w:val="left"/>
        <w:outlineLvl w:val="3"/>
        <w:rPr>
          <w:rFonts w:ascii="仿宋" w:hAnsi="仿宋" w:eastAsia="仿宋" w:cs="华文中宋"/>
          <w:b/>
          <w:bCs/>
          <w:color w:val="auto"/>
          <w:kern w:val="0"/>
          <w:sz w:val="28"/>
          <w:szCs w:val="28"/>
          <w:highlight w:val="none"/>
        </w:rPr>
      </w:pPr>
      <w:bookmarkStart w:id="100" w:name="_Hlk96934705"/>
      <w:r>
        <w:rPr>
          <w:rFonts w:hint="eastAsia" w:ascii="仿宋" w:hAnsi="仿宋" w:eastAsia="仿宋" w:cs="Times New Roman"/>
          <w:color w:val="auto"/>
          <w:kern w:val="0"/>
          <w:sz w:val="28"/>
          <w:szCs w:val="28"/>
          <w:highlight w:val="none"/>
        </w:rPr>
        <w:t>▲</w:t>
      </w:r>
      <w:bookmarkEnd w:id="100"/>
      <w:r>
        <w:rPr>
          <w:rFonts w:hint="eastAsia" w:ascii="仿宋" w:hAnsi="仿宋" w:eastAsia="仿宋" w:cs="华文中宋"/>
          <w:b/>
          <w:bCs/>
          <w:color w:val="auto"/>
          <w:kern w:val="0"/>
          <w:sz w:val="28"/>
          <w:szCs w:val="28"/>
          <w:highlight w:val="none"/>
        </w:rPr>
        <w:t>（1）资格承诺函</w:t>
      </w:r>
    </w:p>
    <w:p>
      <w:pPr>
        <w:autoSpaceDN w:val="0"/>
        <w:spacing w:line="36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pPr>
        <w:autoSpaceDN w:val="0"/>
        <w:spacing w:line="360" w:lineRule="auto"/>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rPr>
        <w:t>浙江工业大学、浙江豪圣建设项目管理有限公司</w:t>
      </w:r>
      <w:r>
        <w:rPr>
          <w:rFonts w:hint="eastAsia" w:ascii="仿宋" w:hAnsi="仿宋" w:eastAsia="仿宋" w:cs="Arial"/>
          <w:b/>
          <w:color w:val="auto"/>
          <w:kern w:val="0"/>
          <w:sz w:val="24"/>
          <w:szCs w:val="24"/>
          <w:highlight w:val="none"/>
        </w:rPr>
        <w:t>：</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lang w:eastAsia="zh-CN"/>
        </w:rPr>
        <w:t>浙江工业大学朝晖校区教学区生活供水管网改造工程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HSZB-2024-491</w:t>
      </w:r>
      <w:r>
        <w:rPr>
          <w:rFonts w:hint="eastAsia"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rPr>
        <w:t>的政府采购活动，依据采购文件相关规定，郑重承诺如下：</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pPr>
        <w:autoSpaceDN w:val="0"/>
        <w:adjustRightInd w:val="0"/>
        <w:snapToGrid w:val="0"/>
        <w:spacing w:line="480" w:lineRule="auto"/>
        <w:rPr>
          <w:rFonts w:ascii="仿宋" w:hAnsi="仿宋" w:eastAsia="仿宋" w:cs="Times New Roman"/>
          <w:b/>
          <w:bCs/>
          <w:color w:val="auto"/>
          <w:sz w:val="24"/>
          <w:szCs w:val="24"/>
          <w:highlight w:val="none"/>
        </w:rPr>
      </w:pPr>
    </w:p>
    <w:p>
      <w:pPr>
        <w:autoSpaceDN w:val="0"/>
        <w:adjustRightInd w:val="0"/>
        <w:snapToGrid w:val="0"/>
        <w:spacing w:line="480" w:lineRule="auto"/>
        <w:rPr>
          <w:rFonts w:ascii="仿宋" w:hAnsi="仿宋" w:eastAsia="仿宋" w:cs="Times New Roman"/>
          <w:b/>
          <w:bCs/>
          <w:color w:val="auto"/>
          <w:sz w:val="24"/>
          <w:szCs w:val="24"/>
          <w:highlight w:val="none"/>
        </w:rPr>
      </w:pPr>
      <w:r>
        <w:rPr>
          <w:rFonts w:hint="eastAsia" w:ascii="仿宋" w:hAnsi="仿宋" w:eastAsia="仿宋" w:cs="Times New Roman"/>
          <w:b/>
          <w:color w:val="auto"/>
          <w:sz w:val="28"/>
          <w:szCs w:val="28"/>
          <w:highlight w:val="none"/>
        </w:rPr>
        <w:t>（2）营业执照（或其他同类证明文件）</w:t>
      </w:r>
    </w:p>
    <w:p>
      <w:pPr>
        <w:autoSpaceDN w:val="0"/>
        <w:adjustRightInd w:val="0"/>
        <w:snapToGrid w:val="0"/>
        <w:spacing w:line="48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jc w:val="left"/>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pPr>
              <w:autoSpaceDN w:val="0"/>
              <w:spacing w:line="360" w:lineRule="auto"/>
              <w:jc w:val="left"/>
              <w:rPr>
                <w:rFonts w:ascii="仿宋" w:hAnsi="仿宋" w:eastAsia="仿宋" w:cs="Times New Roman"/>
                <w:i/>
                <w:color w:val="auto"/>
                <w:sz w:val="24"/>
                <w:szCs w:val="24"/>
                <w:highlight w:val="none"/>
              </w:rPr>
            </w:pPr>
          </w:p>
          <w:p>
            <w:pPr>
              <w:autoSpaceDN w:val="0"/>
              <w:spacing w:line="360" w:lineRule="auto"/>
              <w:jc w:val="left"/>
              <w:rPr>
                <w:rFonts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pPr>
              <w:autoSpaceDN w:val="0"/>
              <w:spacing w:line="360" w:lineRule="auto"/>
              <w:ind w:firstLine="369" w:firstLineChars="132"/>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281"/>
              <w:outlineLvl w:val="2"/>
              <w:rPr>
                <w:rFonts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pPr>
        <w:autoSpaceDN w:val="0"/>
        <w:adjustRightInd w:val="0"/>
        <w:snapToGrid w:val="0"/>
        <w:spacing w:line="480" w:lineRule="auto"/>
        <w:rPr>
          <w:rFonts w:ascii="Times New Roman" w:hAnsi="Times New Roman" w:eastAsia="宋体" w:cs="Times New Roman"/>
          <w:color w:val="auto"/>
          <w:szCs w:val="24"/>
          <w:highlight w:val="none"/>
        </w:rPr>
      </w:pPr>
    </w:p>
    <w:p>
      <w:pPr>
        <w:autoSpaceDN w:val="0"/>
        <w:adjustRightInd w:val="0"/>
        <w:snapToGrid w:val="0"/>
        <w:spacing w:line="480" w:lineRule="auto"/>
        <w:rPr>
          <w:rFonts w:ascii="Times New Roman" w:hAnsi="Times New Roman" w:eastAsia="宋体" w:cs="Times New Roman"/>
          <w:color w:val="auto"/>
          <w:szCs w:val="24"/>
          <w:highlight w:val="none"/>
        </w:r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p>
    <w:p>
      <w:pPr>
        <w:widowControl/>
        <w:autoSpaceDE w:val="0"/>
        <w:autoSpaceDN w:val="0"/>
        <w:spacing w:before="120" w:beforeLines="50" w:after="120" w:afterLines="50" w:line="300" w:lineRule="auto"/>
        <w:ind w:firstLine="281" w:firstLineChars="100"/>
        <w:outlineLvl w:val="2"/>
        <w:rPr>
          <w:rFonts w:ascii="华文中宋" w:hAnsi="华文中宋" w:eastAsia="宋体" w:cs="Times New Roman"/>
          <w:bCs/>
          <w:color w:val="auto"/>
          <w:kern w:val="0"/>
          <w:sz w:val="28"/>
          <w:szCs w:val="28"/>
          <w:highlight w:val="none"/>
        </w:rPr>
      </w:pPr>
      <w:r>
        <w:rPr>
          <w:rFonts w:hint="eastAsia" w:ascii="仿宋" w:hAnsi="仿宋" w:eastAsia="仿宋" w:cs="Times New Roman"/>
          <w:b/>
          <w:bCs/>
          <w:color w:val="auto"/>
          <w:kern w:val="0"/>
          <w:sz w:val="28"/>
          <w:szCs w:val="28"/>
          <w:highlight w:val="none"/>
        </w:rPr>
        <w:t>▲1-2</w:t>
      </w:r>
      <w:r>
        <w:rPr>
          <w:rFonts w:hint="eastAsia" w:ascii="华文中宋" w:hAnsi="华文中宋" w:eastAsia="宋体" w:cs="Times New Roman"/>
          <w:bCs/>
          <w:color w:val="auto"/>
          <w:kern w:val="0"/>
          <w:sz w:val="28"/>
          <w:szCs w:val="28"/>
          <w:highlight w:val="none"/>
        </w:rPr>
        <w:t>符合“申请人的资格要求”第2条“落实政府采购政策需满足的资格要求”规定的证明文件</w:t>
      </w:r>
    </w:p>
    <w:p>
      <w:pPr>
        <w:autoSpaceDN w:val="0"/>
        <w:spacing w:line="312"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w:t>
      </w:r>
    </w:p>
    <w:p>
      <w:pPr>
        <w:widowControl/>
        <w:autoSpaceDN w:val="0"/>
        <w:spacing w:before="60" w:after="60" w:line="312" w:lineRule="auto"/>
        <w:ind w:firstLine="560" w:firstLineChars="200"/>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r>
        <w:rPr>
          <w:rFonts w:hint="eastAsia" w:ascii="仿宋" w:hAnsi="仿宋" w:eastAsia="仿宋" w:cs="Arial"/>
          <w:b/>
          <w:bCs/>
          <w:color w:val="auto"/>
          <w:kern w:val="0"/>
          <w:sz w:val="28"/>
          <w:szCs w:val="28"/>
          <w:highlight w:val="none"/>
          <w:u w:val="single"/>
        </w:rPr>
        <w:t>浙江工业大学</w:t>
      </w:r>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lang w:eastAsia="zh-CN"/>
        </w:rPr>
        <w:t>浙江工业大学朝晖校区教学区生活供水管网改造工程</w:t>
      </w:r>
      <w:r>
        <w:rPr>
          <w:rFonts w:hint="eastAsia" w:ascii="仿宋" w:hAnsi="仿宋" w:eastAsia="仿宋" w:cs="Arial"/>
          <w:color w:val="auto"/>
          <w:kern w:val="0"/>
          <w:sz w:val="28"/>
          <w:szCs w:val="28"/>
          <w:highlight w:val="none"/>
        </w:rPr>
        <w:t>采购活动，工程的施工单位全部为符合政策要求的中小企业。企业具体情况如下：</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bookmarkStart w:id="101" w:name="_Hlk97721535"/>
      <w:r>
        <w:rPr>
          <w:rFonts w:hint="eastAsia" w:ascii="仿宋" w:hAnsi="仿宋" w:eastAsia="仿宋" w:cs="宋体"/>
          <w:color w:val="auto"/>
          <w:kern w:val="0"/>
          <w:sz w:val="28"/>
          <w:szCs w:val="28"/>
          <w:highlight w:val="none"/>
        </w:rPr>
        <w:t>.</w:t>
      </w:r>
      <w:bookmarkEnd w:id="101"/>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pPr>
        <w:autoSpaceDN w:val="0"/>
        <w:spacing w:line="312" w:lineRule="auto"/>
        <w:rPr>
          <w:rFonts w:ascii="仿宋" w:hAnsi="仿宋" w:eastAsia="仿宋" w:cs="Times New Roman"/>
          <w:b/>
          <w:color w:val="auto"/>
          <w:sz w:val="36"/>
          <w:szCs w:val="36"/>
          <w:highlight w:val="none"/>
        </w:rPr>
      </w:pPr>
    </w:p>
    <w:p>
      <w:pPr>
        <w:autoSpaceDN w:val="0"/>
        <w:spacing w:line="312" w:lineRule="auto"/>
        <w:rPr>
          <w:rFonts w:ascii="仿宋" w:hAnsi="仿宋" w:eastAsia="仿宋" w:cs="Times New Roman"/>
          <w:b/>
          <w:color w:val="auto"/>
          <w:sz w:val="28"/>
          <w:szCs w:val="28"/>
          <w:highlight w:val="none"/>
        </w:rPr>
      </w:pPr>
    </w:p>
    <w:p>
      <w:pPr>
        <w:autoSpaceDN w:val="0"/>
        <w:spacing w:line="312" w:lineRule="auto"/>
        <w:rPr>
          <w:rFonts w:ascii="仿宋" w:hAnsi="仿宋" w:eastAsia="仿宋" w:cs="Times New Roman"/>
          <w:b/>
          <w:color w:val="auto"/>
          <w:sz w:val="28"/>
          <w:szCs w:val="28"/>
          <w:highlight w:val="none"/>
        </w:rPr>
      </w:pPr>
    </w:p>
    <w:p>
      <w:pPr>
        <w:autoSpaceDN w:val="0"/>
        <w:spacing w:line="312" w:lineRule="auto"/>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（1）残疾人福利性单位声明函</w:t>
      </w:r>
      <w:bookmarkStart w:id="102" w:name="_Hlk97621277"/>
      <w:r>
        <w:rPr>
          <w:rFonts w:hint="eastAsia" w:ascii="仿宋" w:hAnsi="仿宋" w:eastAsia="仿宋" w:cs="Times New Roman"/>
          <w:b/>
          <w:color w:val="auto"/>
          <w:sz w:val="28"/>
          <w:szCs w:val="28"/>
          <w:highlight w:val="none"/>
        </w:rPr>
        <w:t>（如是）</w:t>
      </w:r>
      <w:bookmarkEnd w:id="102"/>
    </w:p>
    <w:p>
      <w:pPr>
        <w:autoSpaceDN w:val="0"/>
        <w:spacing w:before="240" w:line="360" w:lineRule="auto"/>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lang w:eastAsia="zh-CN"/>
        </w:rPr>
        <w:t>浙江工业大学朝晖校区教学区生活供水管网改造工程</w:t>
      </w:r>
      <w:r>
        <w:rPr>
          <w:rFonts w:hint="eastAsia" w:ascii="仿宋" w:hAnsi="仿宋" w:eastAsia="仿宋" w:cs="宋体"/>
          <w:b/>
          <w:bCs/>
          <w:color w:val="auto"/>
          <w:kern w:val="0"/>
          <w:sz w:val="28"/>
          <w:szCs w:val="28"/>
          <w:highlight w:val="none"/>
          <w:u w:val="single"/>
        </w:rPr>
        <w:t>（项目编号：</w:t>
      </w:r>
      <w:r>
        <w:rPr>
          <w:rFonts w:hint="eastAsia" w:ascii="仿宋" w:hAnsi="仿宋" w:eastAsia="仿宋" w:cs="宋体"/>
          <w:b/>
          <w:bCs/>
          <w:color w:val="auto"/>
          <w:kern w:val="0"/>
          <w:sz w:val="28"/>
          <w:szCs w:val="28"/>
          <w:highlight w:val="none"/>
          <w:u w:val="single"/>
          <w:lang w:eastAsia="zh-CN"/>
        </w:rPr>
        <w:t>HSZB-2024-491</w:t>
      </w:r>
      <w:r>
        <w:rPr>
          <w:rFonts w:hint="eastAsia" w:ascii="仿宋" w:hAnsi="仿宋" w:eastAsia="仿宋" w:cs="宋体"/>
          <w:b/>
          <w:bCs/>
          <w:color w:val="auto"/>
          <w:kern w:val="0"/>
          <w:sz w:val="28"/>
          <w:szCs w:val="28"/>
          <w:highlight w:val="none"/>
          <w:u w:val="single"/>
        </w:rPr>
        <w:t>）</w:t>
      </w:r>
      <w:r>
        <w:rPr>
          <w:rFonts w:hint="eastAsia" w:ascii="仿宋" w:hAnsi="仿宋" w:eastAsia="仿宋" w:cs="Times New Roman"/>
          <w:color w:val="auto"/>
          <w:spacing w:val="6"/>
          <w:sz w:val="28"/>
          <w:szCs w:val="24"/>
          <w:highlight w:val="none"/>
        </w:rPr>
        <w:t>的采购活动，由本单位承担工程。</w:t>
      </w:r>
    </w:p>
    <w:p>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pPr>
        <w:autoSpaceDN w:val="0"/>
        <w:spacing w:line="360" w:lineRule="auto"/>
        <w:ind w:firstLine="504" w:firstLineChars="200"/>
        <w:rPr>
          <w:rFonts w:ascii="仿宋" w:hAnsi="仿宋" w:eastAsia="仿宋" w:cs="Times New Roman"/>
          <w:color w:val="auto"/>
          <w:spacing w:val="6"/>
          <w:sz w:val="24"/>
          <w:szCs w:val="24"/>
          <w:highlight w:val="none"/>
        </w:rPr>
      </w:pPr>
    </w:p>
    <w:p>
      <w:pPr>
        <w:autoSpaceDN w:val="0"/>
        <w:spacing w:line="360" w:lineRule="auto"/>
        <w:ind w:firstLine="504" w:firstLineChars="200"/>
        <w:rPr>
          <w:rFonts w:ascii="仿宋" w:hAnsi="仿宋" w:eastAsia="仿宋" w:cs="Times New Roman"/>
          <w:color w:val="auto"/>
          <w:spacing w:val="6"/>
          <w:sz w:val="24"/>
          <w:szCs w:val="24"/>
          <w:highlight w:val="none"/>
        </w:rPr>
      </w:pPr>
    </w:p>
    <w:p>
      <w:pPr>
        <w:tabs>
          <w:tab w:val="left" w:pos="4860"/>
        </w:tabs>
        <w:autoSpaceDN w:val="0"/>
        <w:spacing w:line="360" w:lineRule="auto"/>
        <w:ind w:right="1560"/>
        <w:jc w:val="left"/>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pPr>
        <w:autoSpaceDN w:val="0"/>
        <w:spacing w:line="360" w:lineRule="auto"/>
        <w:rPr>
          <w:rFonts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宋体" w:hAnsi="宋体" w:eastAsia="宋体" w:cs="宋体"/>
          <w:b/>
          <w:bCs/>
          <w:color w:val="auto"/>
          <w:sz w:val="28"/>
          <w:szCs w:val="28"/>
          <w:highlight w:val="none"/>
        </w:rPr>
        <w:t>（2）</w:t>
      </w:r>
      <w:r>
        <w:rPr>
          <w:rFonts w:hint="eastAsia" w:ascii="仿宋" w:hAnsi="仿宋" w:eastAsia="仿宋" w:cs="Times New Roman"/>
          <w:b/>
          <w:bCs/>
          <w:color w:val="auto"/>
          <w:sz w:val="28"/>
          <w:szCs w:val="28"/>
          <w:highlight w:val="none"/>
        </w:rPr>
        <w:t>监狱企业证明文件（如是）</w:t>
      </w:r>
    </w:p>
    <w:p>
      <w:pPr>
        <w:autoSpaceDN w:val="0"/>
        <w:spacing w:before="240"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ascii="仿宋_GB2312" w:hAnsi="仿宋" w:eastAsia="仿宋_GB2312" w:cs="仿宋_GB2312"/>
          <w:color w:val="auto"/>
          <w:kern w:val="0"/>
          <w:sz w:val="24"/>
          <w:szCs w:val="20"/>
          <w:highlight w:val="none"/>
        </w:rPr>
        <w:sectPr>
          <w:headerReference r:id="rId7" w:type="default"/>
          <w:footerReference r:id="rId8" w:type="default"/>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（1）▲具备建筑工程施工总承包三级及以上资质；具有有效的安全生产许可证（扫描件加盖磋商响应供应商公章）；</w:t>
            </w:r>
          </w:p>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2）▲企业主要负责人（法定代表人、企业经理、企业分管安全生产的副经理、企业技术负责人）具有“三类人员”有效A类证书，企业分管安全生产的副经理具有任命文件；拟派项目经理具有有效的建筑工程专业二级及以上注册建造师证书及“三类人员”有效B类证书；拟派现场安全生产专职管理人员具有“三类人员”有效C类证书（扫描件加盖磋商响应供应商公章）；</w:t>
            </w:r>
          </w:p>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（3）▲有效的《联合投标协议书》（仅联合体须提供）（格式附后）；</w:t>
            </w:r>
          </w:p>
          <w:p>
            <w:pPr>
              <w:autoSpaceDN w:val="0"/>
              <w:snapToGrid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（4）▲有效的《分包意向协议》（仅分包须提供）（格式附后）。</w:t>
            </w: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p>
            <w:pPr>
              <w:autoSpaceDN w:val="0"/>
              <w:spacing w:line="360" w:lineRule="auto"/>
              <w:ind w:firstLine="703" w:firstLineChars="250"/>
              <w:rPr>
                <w:rFonts w:ascii="仿宋" w:hAnsi="仿宋" w:eastAsia="仿宋" w:cs="Times New Roman"/>
                <w:b/>
                <w:color w:val="auto"/>
                <w:sz w:val="28"/>
                <w:szCs w:val="24"/>
                <w:highlight w:val="none"/>
              </w:rPr>
            </w:pP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tc>
      </w:tr>
    </w:tbl>
    <w:p>
      <w:pPr>
        <w:widowControl/>
        <w:spacing w:line="360" w:lineRule="auto"/>
        <w:jc w:val="left"/>
        <w:rPr>
          <w:rFonts w:ascii="Cambria" w:hAnsi="Cambria" w:eastAsia="华文中宋" w:cs="Times New Roman"/>
          <w:b/>
          <w:bCs/>
          <w:color w:val="auto"/>
          <w:kern w:val="0"/>
          <w:sz w:val="28"/>
          <w:szCs w:val="28"/>
          <w:highlight w:val="none"/>
        </w:rPr>
        <w:sectPr>
          <w:headerReference r:id="rId9" w:type="default"/>
          <w:footerReference r:id="rId10" w:type="default"/>
          <w:pgSz w:w="11906" w:h="16838"/>
          <w:pgMar w:top="1440" w:right="1416" w:bottom="1440" w:left="1560" w:header="851" w:footer="1077" w:gutter="0"/>
          <w:cols w:space="720" w:num="1"/>
          <w:docGrid w:linePitch="286" w:charSpace="0"/>
        </w:sectPr>
      </w:pP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bookmarkStart w:id="103" w:name="_Hlk106785996"/>
      <w:r>
        <w:rPr>
          <w:rFonts w:hint="eastAsia" w:ascii="仿宋" w:hAnsi="仿宋" w:eastAsia="仿宋" w:cs="Times New Roman"/>
          <w:b/>
          <w:bCs/>
          <w:color w:val="auto"/>
          <w:sz w:val="28"/>
          <w:szCs w:val="28"/>
          <w:highlight w:val="none"/>
        </w:rPr>
        <w:t>4联</w:t>
      </w:r>
      <w:bookmarkEnd w:id="103"/>
      <w:r>
        <w:rPr>
          <w:rFonts w:hint="eastAsia" w:ascii="仿宋" w:hAnsi="仿宋" w:eastAsia="仿宋" w:cs="Times New Roman"/>
          <w:b/>
          <w:bCs/>
          <w:color w:val="auto"/>
          <w:sz w:val="28"/>
          <w:szCs w:val="28"/>
          <w:highlight w:val="none"/>
        </w:rPr>
        <w:t>合投标协议书</w:t>
      </w:r>
    </w:p>
    <w:p>
      <w:pPr>
        <w:widowControl/>
        <w:autoSpaceDN w:val="0"/>
        <w:spacing w:line="360" w:lineRule="auto"/>
        <w:jc w:val="center"/>
        <w:rPr>
          <w:rFonts w:ascii="仿宋" w:hAnsi="仿宋" w:eastAsia="仿宋" w:cs="Arial"/>
          <w:b/>
          <w:color w:val="auto"/>
          <w:w w:val="80"/>
          <w:kern w:val="0"/>
          <w:sz w:val="32"/>
          <w:szCs w:val="32"/>
          <w:highlight w:val="none"/>
        </w:rPr>
      </w:pPr>
      <w:bookmarkStart w:id="104" w:name="_Hlk106785969"/>
      <w:r>
        <w:rPr>
          <w:rFonts w:hint="eastAsia" w:ascii="仿宋" w:hAnsi="仿宋" w:eastAsia="仿宋" w:cs="Times New Roman"/>
          <w:b/>
          <w:color w:val="auto"/>
          <w:sz w:val="32"/>
          <w:szCs w:val="32"/>
          <w:highlight w:val="none"/>
        </w:rPr>
        <w:t>▲</w:t>
      </w:r>
      <w:bookmarkEnd w:id="104"/>
      <w:r>
        <w:rPr>
          <w:rFonts w:hint="eastAsia" w:ascii="仿宋" w:hAnsi="仿宋" w:eastAsia="仿宋" w:cs="Times New Roman"/>
          <w:b/>
          <w:color w:val="auto"/>
          <w:sz w:val="32"/>
          <w:szCs w:val="32"/>
          <w:highlight w:val="none"/>
        </w:rPr>
        <w:t>联合投标协议书（仅联合体适用）</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105" w:name="_Hlk106698985"/>
      <w:r>
        <w:rPr>
          <w:rFonts w:hint="eastAsia" w:ascii="仿宋" w:hAnsi="仿宋" w:eastAsia="仿宋" w:cs="Arial"/>
          <w:b/>
          <w:color w:val="auto"/>
          <w:kern w:val="0"/>
          <w:sz w:val="24"/>
          <w:szCs w:val="24"/>
          <w:highlight w:val="none"/>
          <w:u w:val="single"/>
          <w:lang w:eastAsia="zh-CN"/>
        </w:rPr>
        <w:t>浙江工业大学朝晖校区教学区生活供水管网改造工程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HSZB-2024-491</w:t>
      </w:r>
      <w:r>
        <w:rPr>
          <w:rFonts w:hint="eastAsia" w:ascii="仿宋" w:hAnsi="仿宋" w:eastAsia="仿宋" w:cs="Arial"/>
          <w:b/>
          <w:color w:val="auto"/>
          <w:kern w:val="0"/>
          <w:sz w:val="24"/>
          <w:szCs w:val="24"/>
          <w:highlight w:val="none"/>
          <w:u w:val="single"/>
        </w:rPr>
        <w:t>）</w:t>
      </w:r>
      <w:bookmarkEnd w:id="105"/>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pPr>
        <w:autoSpaceDN w:val="0"/>
        <w:spacing w:line="360" w:lineRule="auto"/>
        <w:ind w:firstLine="465" w:firstLineChars="193"/>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pPr>
        <w:autoSpaceDN w:val="0"/>
        <w:spacing w:line="360" w:lineRule="auto"/>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_______________________________________________________________</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pPr>
        <w:autoSpaceDN w:val="0"/>
        <w:spacing w:line="360" w:lineRule="auto"/>
        <w:ind w:firstLine="463" w:firstLineChars="193"/>
        <w:rPr>
          <w:rFonts w:ascii="仿宋" w:hAnsi="仿宋" w:eastAsia="仿宋" w:cs="Arial"/>
          <w:color w:val="auto"/>
          <w:sz w:val="24"/>
          <w:szCs w:val="24"/>
          <w:highlight w:val="none"/>
        </w:rPr>
      </w:pPr>
    </w:p>
    <w:p>
      <w:pPr>
        <w:widowControl/>
        <w:autoSpaceDN w:val="0"/>
        <w:spacing w:line="360" w:lineRule="auto"/>
        <w:rPr>
          <w:rFonts w:ascii="仿宋" w:hAnsi="仿宋" w:eastAsia="仿宋" w:cs="Arial"/>
          <w:color w:val="auto"/>
          <w:sz w:val="24"/>
          <w:szCs w:val="24"/>
          <w:highlight w:val="none"/>
        </w:rPr>
      </w:pP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pPr>
        <w:widowControl/>
        <w:autoSpaceDN w:val="0"/>
        <w:spacing w:line="360" w:lineRule="auto"/>
        <w:rPr>
          <w:rFonts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360" w:lineRule="auto"/>
        <w:ind w:firstLine="463" w:firstLineChars="193"/>
        <w:rPr>
          <w:rFonts w:ascii="仿宋" w:hAnsi="仿宋" w:eastAsia="仿宋" w:cs="Arial"/>
          <w:color w:val="auto"/>
          <w:sz w:val="24"/>
          <w:szCs w:val="24"/>
          <w:highlight w:val="none"/>
        </w:rPr>
      </w:pPr>
    </w:p>
    <w:p>
      <w:p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pStyle w:val="75"/>
        <w:rPr>
          <w:color w:val="auto"/>
          <w:highlight w:val="none"/>
        </w:rPr>
      </w:pP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▲1-5分包意向协议</w:t>
      </w:r>
    </w:p>
    <w:p>
      <w:pPr>
        <w:widowControl/>
        <w:autoSpaceDN w:val="0"/>
        <w:spacing w:line="360" w:lineRule="auto"/>
        <w:jc w:val="center"/>
        <w:rPr>
          <w:rFonts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lang w:eastAsia="zh-CN"/>
        </w:rPr>
        <w:t>浙江工业大学朝晖校区教学区生活供水管网改造工程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HSZB-2024-491</w:t>
      </w:r>
      <w:r>
        <w:rPr>
          <w:rFonts w:hint="eastAsia" w:ascii="仿宋" w:hAnsi="仿宋" w:eastAsia="仿宋" w:cs="Arial"/>
          <w:b/>
          <w:color w:val="auto"/>
          <w:kern w:val="0"/>
          <w:sz w:val="24"/>
          <w:szCs w:val="24"/>
          <w:highlight w:val="none"/>
          <w:u w:val="single"/>
        </w:rPr>
        <w:t>）</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pPr>
        <w:autoSpaceDN w:val="0"/>
        <w:spacing w:line="360" w:lineRule="auto"/>
        <w:ind w:firstLine="465" w:firstLineChars="193"/>
        <w:rPr>
          <w:rFonts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三、</w:t>
      </w:r>
      <w:r>
        <w:rPr>
          <w:rFonts w:hint="eastAsia" w:ascii="仿宋_GB2312" w:hAnsi="仿宋" w:eastAsia="仿宋_GB2312" w:cs="仿宋_GB2312"/>
          <w:color w:val="auto"/>
          <w:kern w:val="0"/>
          <w:sz w:val="24"/>
          <w:szCs w:val="24"/>
          <w:highlight w:val="none"/>
          <w:lang w:val="zh-CN"/>
        </w:rPr>
        <w:t>质量</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四、</w:t>
      </w:r>
      <w:r>
        <w:rPr>
          <w:rFonts w:hint="eastAsia" w:ascii="仿宋_GB2312" w:hAnsi="仿宋" w:eastAsia="仿宋_GB2312" w:cs="仿宋_GB2312"/>
          <w:color w:val="auto"/>
          <w:kern w:val="0"/>
          <w:sz w:val="24"/>
          <w:szCs w:val="24"/>
          <w:highlight w:val="none"/>
          <w:lang w:val="zh-CN"/>
        </w:rPr>
        <w:t>价款或者报酬</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五、</w:t>
      </w:r>
      <w:r>
        <w:rPr>
          <w:rFonts w:hint="eastAsia" w:ascii="仿宋_GB2312" w:hAnsi="仿宋" w:eastAsia="仿宋_GB2312" w:cs="仿宋_GB2312"/>
          <w:color w:val="auto"/>
          <w:kern w:val="0"/>
          <w:sz w:val="24"/>
          <w:szCs w:val="24"/>
          <w:highlight w:val="none"/>
          <w:lang w:val="zh-CN"/>
        </w:rPr>
        <w:t>违约责任</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六、</w:t>
      </w:r>
      <w:r>
        <w:rPr>
          <w:rFonts w:hint="eastAsia" w:ascii="仿宋_GB2312" w:hAnsi="仿宋" w:eastAsia="仿宋_GB2312" w:cs="仿宋_GB2312"/>
          <w:color w:val="auto"/>
          <w:kern w:val="0"/>
          <w:sz w:val="24"/>
          <w:szCs w:val="24"/>
          <w:highlight w:val="none"/>
          <w:lang w:val="zh-CN"/>
        </w:rPr>
        <w:t>争议解决的办法</w:t>
      </w:r>
    </w:p>
    <w:p>
      <w:pPr>
        <w:autoSpaceDN w:val="0"/>
        <w:snapToGrid w:val="0"/>
        <w:spacing w:line="360" w:lineRule="auto"/>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七、</w:t>
      </w:r>
      <w:r>
        <w:rPr>
          <w:rFonts w:hint="eastAsia" w:ascii="仿宋_GB2312" w:hAnsi="仿宋" w:eastAsia="仿宋_GB2312" w:cs="仿宋_GB2312"/>
          <w:color w:val="auto"/>
          <w:kern w:val="0"/>
          <w:sz w:val="24"/>
          <w:szCs w:val="24"/>
          <w:highlight w:val="none"/>
          <w:lang w:val="zh-CN"/>
        </w:rPr>
        <w:t>其他</w:t>
      </w:r>
    </w:p>
    <w:p>
      <w:pPr>
        <w:autoSpaceDN w:val="0"/>
        <w:snapToGrid w:val="0"/>
        <w:spacing w:line="360" w:lineRule="auto"/>
        <w:ind w:left="5760" w:hanging="5760" w:hangingChars="2400"/>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rPr>
        <w:t>磋商响应供应商</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pPr>
        <w:autoSpaceDN w:val="0"/>
        <w:snapToGrid w:val="0"/>
        <w:spacing w:line="360" w:lineRule="auto"/>
        <w:ind w:firstLine="5640" w:firstLineChars="23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pPr>
        <w:autoSpaceDN w:val="0"/>
        <w:spacing w:line="360" w:lineRule="auto"/>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日期：  年  月   日</w:t>
      </w: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rPr>
          <w:rFonts w:ascii="仿宋" w:hAnsi="仿宋" w:eastAsia="仿宋" w:cs="Times New Roman"/>
          <w:b/>
          <w:bCs/>
          <w:color w:val="auto"/>
          <w:sz w:val="32"/>
          <w:szCs w:val="32"/>
          <w:highlight w:val="none"/>
        </w:rPr>
      </w:pPr>
      <w:bookmarkStart w:id="106" w:name="_Toc96947080"/>
      <w:r>
        <w:rPr>
          <w:rFonts w:hint="eastAsia" w:ascii="仿宋" w:hAnsi="仿宋" w:eastAsia="仿宋" w:cs="Times New Roman"/>
          <w:b/>
          <w:bCs/>
          <w:color w:val="auto"/>
          <w:sz w:val="32"/>
          <w:szCs w:val="32"/>
          <w:highlight w:val="none"/>
        </w:rPr>
        <w:br w:type="page"/>
      </w: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07" w:name="_Toc16209"/>
      <w:r>
        <w:rPr>
          <w:rFonts w:hint="eastAsia" w:ascii="仿宋" w:hAnsi="仿宋" w:eastAsia="仿宋" w:cs="Times New Roman"/>
          <w:b/>
          <w:bCs/>
          <w:color w:val="auto"/>
          <w:sz w:val="32"/>
          <w:szCs w:val="32"/>
          <w:highlight w:val="none"/>
        </w:rPr>
        <w:t>二、商务技术文件部分格式</w:t>
      </w:r>
      <w:bookmarkEnd w:id="106"/>
      <w:bookmarkEnd w:id="107"/>
    </w:p>
    <w:p>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pPr>
        <w:autoSpaceDN w:val="0"/>
        <w:spacing w:line="360" w:lineRule="auto"/>
        <w:rPr>
          <w:rFonts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▲关于投标文件所有内容真实有效的承诺函</w:t>
      </w:r>
    </w:p>
    <w:p>
      <w:pPr>
        <w:autoSpaceDN w:val="0"/>
        <w:spacing w:line="360" w:lineRule="auto"/>
        <w:jc w:val="center"/>
        <w:rPr>
          <w:rFonts w:ascii="华文中宋" w:hAnsi="华文中宋" w:eastAsia="华文中宋" w:cs="Arial"/>
          <w:b/>
          <w:color w:val="auto"/>
          <w:kern w:val="0"/>
          <w:sz w:val="36"/>
          <w:szCs w:val="32"/>
          <w:highlight w:val="none"/>
        </w:rPr>
      </w:pPr>
    </w:p>
    <w:p>
      <w:pPr>
        <w:autoSpaceDN w:val="0"/>
        <w:spacing w:line="360" w:lineRule="auto"/>
        <w:jc w:val="center"/>
        <w:rPr>
          <w:rFonts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关于投标文件所有内容真实、有效的承诺函</w:t>
      </w:r>
    </w:p>
    <w:p>
      <w:pPr>
        <w:autoSpaceDN w:val="0"/>
        <w:spacing w:line="360" w:lineRule="auto"/>
        <w:rPr>
          <w:rFonts w:ascii="Arial" w:hAnsi="新宋体" w:eastAsia="新宋体" w:cs="Arial"/>
          <w:b/>
          <w:color w:val="auto"/>
          <w:kern w:val="0"/>
          <w:sz w:val="28"/>
          <w:szCs w:val="28"/>
          <w:highlight w:val="none"/>
          <w:u w:val="single"/>
        </w:rPr>
      </w:pPr>
    </w:p>
    <w:p>
      <w:pPr>
        <w:autoSpaceDN w:val="0"/>
        <w:spacing w:line="360" w:lineRule="auto"/>
        <w:rPr>
          <w:rFonts w:ascii="仿宋" w:hAnsi="仿宋" w:eastAsia="仿宋" w:cs="Arial"/>
          <w:b/>
          <w:color w:val="auto"/>
          <w:kern w:val="0"/>
          <w:sz w:val="32"/>
          <w:szCs w:val="28"/>
          <w:highlight w:val="none"/>
          <w:u w:val="single"/>
        </w:rPr>
      </w:pPr>
      <w:bookmarkStart w:id="108" w:name="_Hlk96945497"/>
      <w:r>
        <w:rPr>
          <w:rFonts w:hint="eastAsia" w:ascii="仿宋" w:hAnsi="仿宋" w:eastAsia="仿宋" w:cs="Arial"/>
          <w:b/>
          <w:color w:val="auto"/>
          <w:w w:val="90"/>
          <w:kern w:val="0"/>
          <w:sz w:val="28"/>
          <w:highlight w:val="none"/>
          <w:u w:val="single"/>
        </w:rPr>
        <w:t>浙江工业大学、浙江豪圣建设项目管理有限公司</w:t>
      </w:r>
      <w:r>
        <w:rPr>
          <w:rFonts w:hint="eastAsia" w:ascii="仿宋" w:hAnsi="仿宋" w:eastAsia="仿宋" w:cs="Arial"/>
          <w:b/>
          <w:color w:val="auto"/>
          <w:w w:val="90"/>
          <w:kern w:val="0"/>
          <w:sz w:val="28"/>
          <w:highlight w:val="none"/>
        </w:rPr>
        <w:t>：</w:t>
      </w:r>
    </w:p>
    <w:bookmarkEnd w:id="108"/>
    <w:p>
      <w:pPr>
        <w:autoSpaceDN w:val="0"/>
        <w:spacing w:line="360" w:lineRule="auto"/>
        <w:rPr>
          <w:rFonts w:ascii="仿宋" w:hAnsi="仿宋" w:eastAsia="仿宋" w:cs="Arial"/>
          <w:color w:val="auto"/>
          <w:kern w:val="0"/>
          <w:sz w:val="32"/>
          <w:szCs w:val="28"/>
          <w:highlight w:val="none"/>
        </w:rPr>
      </w:pPr>
    </w:p>
    <w:p>
      <w:pPr>
        <w:autoSpaceDN w:val="0"/>
        <w:spacing w:line="360" w:lineRule="auto"/>
        <w:ind w:firstLine="560" w:firstLineChars="200"/>
        <w:rPr>
          <w:rFonts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lang w:eastAsia="zh-CN"/>
        </w:rPr>
        <w:t>浙江工业大学朝晖校区教学区生活供水管网改造工程</w:t>
      </w:r>
      <w:r>
        <w:rPr>
          <w:rFonts w:hint="eastAsia" w:ascii="仿宋" w:hAnsi="仿宋" w:eastAsia="仿宋" w:cs="Arial"/>
          <w:b/>
          <w:color w:val="auto"/>
          <w:kern w:val="0"/>
          <w:sz w:val="28"/>
          <w:highlight w:val="none"/>
          <w:u w:val="single"/>
        </w:rPr>
        <w:t>（项目编号：</w:t>
      </w:r>
      <w:r>
        <w:rPr>
          <w:rFonts w:hint="eastAsia" w:ascii="仿宋" w:hAnsi="仿宋" w:eastAsia="仿宋" w:cs="Arial"/>
          <w:b/>
          <w:color w:val="auto"/>
          <w:kern w:val="0"/>
          <w:sz w:val="28"/>
          <w:highlight w:val="none"/>
          <w:u w:val="single"/>
          <w:lang w:eastAsia="zh-CN"/>
        </w:rPr>
        <w:t>HSZB-2024-491</w:t>
      </w:r>
      <w:r>
        <w:rPr>
          <w:rFonts w:hint="eastAsia" w:ascii="仿宋" w:hAnsi="仿宋" w:eastAsia="仿宋" w:cs="Arial"/>
          <w:b/>
          <w:color w:val="auto"/>
          <w:kern w:val="0"/>
          <w:sz w:val="28"/>
          <w:highlight w:val="none"/>
          <w:u w:val="single"/>
        </w:rPr>
        <w:t>）</w:t>
      </w:r>
      <w:r>
        <w:rPr>
          <w:rFonts w:hint="eastAsia" w:ascii="仿宋" w:hAnsi="仿宋" w:eastAsia="仿宋" w:cs="Arial"/>
          <w:color w:val="auto"/>
          <w:kern w:val="0"/>
          <w:sz w:val="28"/>
          <w:highlight w:val="none"/>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ascii="仿宋" w:hAnsi="仿宋" w:eastAsia="仿宋" w:cs="Arial"/>
          <w:color w:val="auto"/>
          <w:kern w:val="0"/>
          <w:sz w:val="28"/>
          <w:highlight w:val="none"/>
        </w:rPr>
      </w:pPr>
    </w:p>
    <w:p>
      <w:pPr>
        <w:autoSpaceDN w:val="0"/>
        <w:spacing w:line="360" w:lineRule="auto"/>
        <w:ind w:firstLine="560" w:firstLineChars="200"/>
        <w:rPr>
          <w:rFonts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pPr>
        <w:autoSpaceDN w:val="0"/>
        <w:spacing w:line="360" w:lineRule="auto"/>
        <w:ind w:firstLine="420" w:firstLineChars="200"/>
        <w:rPr>
          <w:rFonts w:ascii="仿宋" w:hAnsi="仿宋" w:eastAsia="仿宋" w:cs="Arial"/>
          <w:color w:val="auto"/>
          <w:kern w:val="0"/>
          <w:highlight w:val="none"/>
        </w:rPr>
      </w:pPr>
    </w:p>
    <w:p>
      <w:pPr>
        <w:autoSpaceDN w:val="0"/>
        <w:snapToGrid w:val="0"/>
        <w:spacing w:line="360" w:lineRule="auto"/>
        <w:ind w:left="567" w:leftChars="270"/>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pPr>
        <w:autoSpaceDN w:val="0"/>
        <w:snapToGrid w:val="0"/>
        <w:spacing w:line="360" w:lineRule="auto"/>
        <w:ind w:left="567" w:leftChars="270"/>
        <w:rPr>
          <w:rFonts w:ascii="仿宋" w:hAnsi="仿宋" w:eastAsia="仿宋" w:cs="Arial"/>
          <w:color w:val="auto"/>
          <w:sz w:val="28"/>
          <w:szCs w:val="28"/>
          <w:highlight w:val="none"/>
        </w:rPr>
      </w:pPr>
    </w:p>
    <w:p>
      <w:pPr>
        <w:autoSpaceDN w:val="0"/>
        <w:snapToGrid w:val="0"/>
        <w:spacing w:line="360" w:lineRule="auto"/>
        <w:ind w:left="567" w:leftChars="27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pPr>
        <w:autoSpaceDN w:val="0"/>
        <w:snapToGrid w:val="0"/>
        <w:spacing w:line="360" w:lineRule="auto"/>
        <w:ind w:left="567" w:leftChars="27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ind w:firstLine="280"/>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pPr>
        <w:autoSpaceDN w:val="0"/>
        <w:adjustRightInd w:val="0"/>
        <w:spacing w:before="120" w:beforeLines="50" w:after="120" w:afterLines="50" w:line="360" w:lineRule="auto"/>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浙江工业大学、浙江豪圣建设项目管理有限公司</w:t>
      </w:r>
      <w:r>
        <w:rPr>
          <w:rFonts w:hint="eastAsia" w:ascii="仿宋" w:hAnsi="仿宋" w:eastAsia="仿宋" w:cs="Times New Roman"/>
          <w:color w:val="auto"/>
          <w:kern w:val="0"/>
          <w:sz w:val="24"/>
          <w:szCs w:val="24"/>
          <w:highlight w:val="none"/>
        </w:rPr>
        <w:t>：</w:t>
      </w:r>
    </w:p>
    <w:p>
      <w:pPr>
        <w:autoSpaceDN w:val="0"/>
        <w:adjustRightInd w:val="0"/>
        <w:spacing w:line="360" w:lineRule="auto"/>
        <w:ind w:firstLine="549" w:firstLineChars="237"/>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pPr>
        <w:autoSpaceDN w:val="0"/>
        <w:adjustRightInd w:val="0"/>
        <w:snapToGrid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pPr>
        <w:keepNext/>
        <w:keepLines/>
        <w:autoSpaceDN w:val="0"/>
        <w:spacing w:before="260" w:after="260" w:line="415" w:lineRule="auto"/>
        <w:ind w:firstLine="240"/>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rPr>
        <w:t>浙江工业大学：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磋商响应文件格式中所提到的供应商代表是指以上两文件确定的签署人员。</w:t>
      </w:r>
    </w:p>
    <w:p>
      <w:pPr>
        <w:autoSpaceDN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pPr>
        <w:widowControl/>
        <w:spacing w:line="360" w:lineRule="auto"/>
        <w:jc w:val="left"/>
        <w:rPr>
          <w:rFonts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bookmarkStart w:id="109" w:name="_Toc358842834"/>
      <w:r>
        <w:rPr>
          <w:rFonts w:hint="eastAsia" w:ascii="仿宋" w:hAnsi="仿宋" w:eastAsia="仿宋" w:cs="Times New Roman"/>
          <w:b/>
          <w:bCs/>
          <w:color w:val="auto"/>
          <w:kern w:val="0"/>
          <w:sz w:val="28"/>
          <w:szCs w:val="28"/>
          <w:highlight w:val="none"/>
        </w:rPr>
        <w:t>2-4.磋商响应供应商履约能力评价证明材料</w:t>
      </w:r>
    </w:p>
    <w:p>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磋商响应供应商履约能力评价证明材料</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jc w:val="center"/>
              <w:rPr>
                <w:rFonts w:ascii="仿宋" w:hAnsi="仿宋" w:eastAsia="仿宋" w:cs="Arial"/>
                <w:i/>
                <w:color w:val="auto"/>
                <w:kern w:val="0"/>
                <w:sz w:val="36"/>
                <w:highlight w:val="none"/>
              </w:rPr>
            </w:pPr>
            <w:r>
              <w:rPr>
                <w:rFonts w:hint="eastAsia" w:ascii="仿宋" w:hAnsi="仿宋" w:eastAsia="仿宋" w:cs="Arial"/>
                <w:i/>
                <w:color w:val="auto"/>
                <w:kern w:val="0"/>
                <w:sz w:val="36"/>
                <w:highlight w:val="none"/>
              </w:rPr>
              <w:t>对照评分要求提供</w:t>
            </w:r>
          </w:p>
          <w:p>
            <w:pPr>
              <w:autoSpaceDN w:val="0"/>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highlight w:val="none"/>
              </w:rPr>
              <w:t>（加盖磋商响应供应商公章，否则视为未提供）</w:t>
            </w:r>
          </w:p>
        </w:tc>
      </w:tr>
    </w:tbl>
    <w:p>
      <w:pPr>
        <w:tabs>
          <w:tab w:val="left" w:pos="720"/>
        </w:tabs>
        <w:autoSpaceDN w:val="0"/>
        <w:spacing w:line="440" w:lineRule="exact"/>
        <w:ind w:firstLine="420" w:firstLineChars="20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2-5.磋商响应供应商类似项目业绩情况</w:t>
      </w:r>
    </w:p>
    <w:p>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磋商响应供应商类似业绩表及证明材料</w:t>
      </w:r>
    </w:p>
    <w:p>
      <w:pPr>
        <w:autoSpaceDN w:val="0"/>
        <w:spacing w:line="360" w:lineRule="auto"/>
        <w:rPr>
          <w:rFonts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pPr>
        <w:autoSpaceDN w:val="0"/>
        <w:spacing w:line="360" w:lineRule="auto"/>
        <w:rPr>
          <w:rFonts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bl>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pPr>
        <w:autoSpaceDN w:val="0"/>
        <w:spacing w:line="360" w:lineRule="auto"/>
        <w:rPr>
          <w:rFonts w:ascii="仿宋" w:hAnsi="仿宋" w:eastAsia="仿宋" w:cs="Times New Roman"/>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2-6.拟派项目经理类似项目业绩情况</w:t>
      </w:r>
    </w:p>
    <w:p>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拟派项目经理类似业绩表及证明材料</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bl>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pPr>
        <w:autoSpaceDN w:val="0"/>
        <w:spacing w:line="360" w:lineRule="auto"/>
        <w:rPr>
          <w:rFonts w:ascii="仿宋" w:hAnsi="仿宋" w:eastAsia="仿宋" w:cs="Times New Roman"/>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ind w:firstLine="420"/>
        <w:jc w:val="left"/>
        <w:rPr>
          <w:rFonts w:ascii="仿宋" w:hAnsi="仿宋" w:eastAsia="仿宋" w:cs="Times New Roman"/>
          <w:color w:val="auto"/>
          <w:w w:val="90"/>
          <w:kern w:val="0"/>
          <w:sz w:val="22"/>
          <w:highlight w:val="none"/>
        </w:rPr>
      </w:pPr>
    </w:p>
    <w:p>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2-7.商务技术偏离表</w:t>
      </w:r>
    </w:p>
    <w:p>
      <w:pPr>
        <w:autoSpaceDN w:val="0"/>
        <w:spacing w:line="360" w:lineRule="auto"/>
        <w:jc w:val="center"/>
        <w:rPr>
          <w:rFonts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bl>
    <w:p>
      <w:pPr>
        <w:autoSpaceDN w:val="0"/>
        <w:spacing w:line="360" w:lineRule="auto"/>
        <w:rPr>
          <w:rFonts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pPr>
        <w:autoSpaceDN w:val="0"/>
        <w:rPr>
          <w:rFonts w:ascii="仿宋" w:hAnsi="仿宋" w:eastAsia="仿宋" w:cs="Times New Roman"/>
          <w:color w:val="auto"/>
          <w:szCs w:val="24"/>
          <w:highlight w:val="none"/>
        </w:rPr>
      </w:pPr>
    </w:p>
    <w:p>
      <w:pPr>
        <w:autoSpaceDE w:val="0"/>
        <w:autoSpaceDN w:val="0"/>
        <w:adjustRightInd w:val="0"/>
        <w:jc w:val="left"/>
        <w:rPr>
          <w:rFonts w:ascii="仿宋" w:hAnsi="仿宋" w:eastAsia="仿宋" w:cs="..ì."/>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widowControl/>
        <w:jc w:val="left"/>
        <w:rPr>
          <w:rFonts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2-8.施工组织设计</w:t>
      </w:r>
    </w:p>
    <w:p>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1.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2.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施工组织设计除采用文字表述外可附下列图表，图表及格式要求附后。</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附表一  拟投入的主要施工设备表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附表二  拟配备的试验和检测仪器设备表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附表三  项目管理班子配备情况表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附表四、项目经理简历表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附表五、技术负责人简历表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附表六：计划开、竣工日期和施工进度网络图</w:t>
      </w:r>
    </w:p>
    <w:p>
      <w:pPr>
        <w:tabs>
          <w:tab w:val="left" w:pos="720"/>
        </w:tabs>
        <w:autoSpaceDN w:val="0"/>
        <w:spacing w:line="440" w:lineRule="exact"/>
        <w:jc w:val="left"/>
        <w:rPr>
          <w:rFonts w:ascii="仿宋" w:hAnsi="仿宋" w:eastAsia="仿宋" w:cs="Times New Roman"/>
          <w:color w:val="auto"/>
          <w:sz w:val="22"/>
          <w:highlight w:val="none"/>
        </w:rPr>
      </w:pPr>
      <w:bookmarkStart w:id="110" w:name="_Toc179632817"/>
      <w:bookmarkStart w:id="111" w:name="_Toc152045797"/>
      <w:bookmarkStart w:id="112" w:name="_Toc144974865"/>
      <w:bookmarkStart w:id="113" w:name="_Toc152042586"/>
      <w:bookmarkStart w:id="114" w:name="_Toc246392155"/>
      <w:r>
        <w:rPr>
          <w:rFonts w:hint="eastAsia" w:ascii="仿宋" w:hAnsi="仿宋" w:eastAsia="仿宋" w:cs="Times New Roman"/>
          <w:b/>
          <w:bCs/>
          <w:color w:val="auto"/>
          <w:sz w:val="22"/>
          <w:highlight w:val="none"/>
        </w:rPr>
        <w:t>附表一：拟投入的主要施工设备表</w:t>
      </w:r>
      <w:bookmarkEnd w:id="110"/>
      <w:bookmarkEnd w:id="111"/>
      <w:bookmarkEnd w:id="112"/>
      <w:bookmarkEnd w:id="113"/>
      <w:bookmarkEnd w:id="11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生产</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autoSpaceDN w:val="0"/>
        <w:spacing w:line="440" w:lineRule="exact"/>
        <w:rPr>
          <w:rFonts w:ascii="仿宋" w:hAnsi="仿宋" w:eastAsia="仿宋" w:cs="Times New Roman"/>
          <w:color w:val="auto"/>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15" w:name="_Toc152042587"/>
      <w:bookmarkStart w:id="116" w:name="_Toc246392156"/>
      <w:bookmarkStart w:id="117" w:name="_Toc152045798"/>
      <w:bookmarkStart w:id="118" w:name="_Toc179632818"/>
      <w:bookmarkStart w:id="119" w:name="_Toc144974866"/>
      <w:r>
        <w:rPr>
          <w:rFonts w:hint="eastAsia" w:ascii="仿宋" w:hAnsi="仿宋" w:eastAsia="仿宋" w:cs="Times New Roman"/>
          <w:b/>
          <w:bCs/>
          <w:color w:val="auto"/>
          <w:sz w:val="22"/>
          <w:highlight w:val="none"/>
        </w:rPr>
        <w:t>附表二：拟配备的试验和检测仪器设备表</w:t>
      </w:r>
      <w:bookmarkEnd w:id="115"/>
      <w:bookmarkEnd w:id="116"/>
      <w:bookmarkEnd w:id="117"/>
      <w:bookmarkEnd w:id="118"/>
      <w:bookmarkEnd w:id="119"/>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autoSpaceDN w:val="0"/>
        <w:spacing w:line="440" w:lineRule="exact"/>
        <w:rPr>
          <w:rFonts w:ascii="仿宋" w:hAnsi="仿宋" w:eastAsia="仿宋" w:cs="Times New Roman"/>
          <w:color w:val="auto"/>
          <w:sz w:val="22"/>
          <w:highlight w:val="none"/>
        </w:rPr>
      </w:pPr>
    </w:p>
    <w:p>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br w:type="page"/>
      </w:r>
      <w:r>
        <w:rPr>
          <w:rFonts w:hint="eastAsia" w:ascii="仿宋" w:hAnsi="仿宋" w:eastAsia="仿宋" w:cs="Times New Roman"/>
          <w:b/>
          <w:bCs/>
          <w:color w:val="auto"/>
          <w:sz w:val="22"/>
          <w:highlight w:val="none"/>
        </w:rPr>
        <w:t>附表三、</w:t>
      </w:r>
      <w:r>
        <w:rPr>
          <w:rFonts w:hint="eastAsia" w:ascii="仿宋" w:hAnsi="仿宋" w:eastAsia="仿宋" w:cs="Times New Roman"/>
          <w:b/>
          <w:bCs/>
          <w:color w:val="auto"/>
          <w:kern w:val="0"/>
          <w:sz w:val="22"/>
          <w:highlight w:val="none"/>
        </w:rPr>
        <w:t>项目管理班子配备情况表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证书</w:t>
            </w:r>
          </w:p>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autoSpaceDN w:val="0"/>
              <w:spacing w:line="360" w:lineRule="auto"/>
              <w:ind w:firstLine="495" w:firstLineChars="225"/>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rPr>
          <w:rFonts w:ascii="仿宋" w:hAnsi="仿宋" w:eastAsia="仿宋" w:cs="Times New Roman"/>
          <w:b/>
          <w:bCs/>
          <w:color w:val="auto"/>
          <w:sz w:val="22"/>
          <w:highlight w:val="none"/>
        </w:rPr>
      </w:pPr>
    </w:p>
    <w:p>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t>附表四、</w:t>
      </w:r>
      <w:r>
        <w:rPr>
          <w:rFonts w:hint="eastAsia" w:ascii="仿宋" w:hAnsi="仿宋" w:eastAsia="仿宋" w:cs="Times New Roman"/>
          <w:b/>
          <w:bCs/>
          <w:color w:val="auto"/>
          <w:kern w:val="0"/>
          <w:sz w:val="22"/>
          <w:highlight w:val="none"/>
        </w:rPr>
        <w:t>项目经理简历表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bl>
    <w:p>
      <w:pPr>
        <w:autoSpaceDN w:val="0"/>
        <w:spacing w:line="360" w:lineRule="auto"/>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备注：后附项目经理注册证书、B证、职称证等</w:t>
      </w:r>
    </w:p>
    <w:p>
      <w:pPr>
        <w:autoSpaceDN w:val="0"/>
        <w:spacing w:line="360" w:lineRule="auto"/>
        <w:jc w:val="left"/>
        <w:rPr>
          <w:rFonts w:ascii="仿宋" w:hAnsi="仿宋" w:eastAsia="仿宋" w:cs="Times New Roman"/>
          <w:b/>
          <w:bCs/>
          <w:color w:val="auto"/>
          <w:kern w:val="0"/>
          <w:sz w:val="22"/>
          <w:highlight w:val="none"/>
        </w:rPr>
      </w:pPr>
      <w:r>
        <w:rPr>
          <w:rFonts w:hint="eastAsia" w:ascii="仿宋" w:hAnsi="仿宋" w:eastAsia="仿宋" w:cs="Times New Roman"/>
          <w:color w:val="auto"/>
          <w:sz w:val="22"/>
          <w:highlight w:val="none"/>
        </w:rPr>
        <w:br w:type="page"/>
      </w:r>
      <w:r>
        <w:rPr>
          <w:rFonts w:hint="eastAsia" w:ascii="仿宋" w:hAnsi="仿宋" w:eastAsia="仿宋" w:cs="Times New Roman"/>
          <w:b/>
          <w:bCs/>
          <w:color w:val="auto"/>
          <w:sz w:val="22"/>
          <w:highlight w:val="none"/>
        </w:rPr>
        <w:t>附表五、</w:t>
      </w:r>
      <w:r>
        <w:rPr>
          <w:rFonts w:hint="eastAsia" w:ascii="仿宋" w:hAnsi="仿宋" w:eastAsia="仿宋" w:cs="Times New Roman"/>
          <w:b/>
          <w:bCs/>
          <w:color w:val="auto"/>
          <w:kern w:val="0"/>
          <w:sz w:val="22"/>
          <w:highlight w:val="none"/>
        </w:rPr>
        <w:t>技术负责人简历表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bl>
    <w:p>
      <w:pPr>
        <w:autoSpaceDN w:val="0"/>
        <w:spacing w:line="360" w:lineRule="auto"/>
        <w:rPr>
          <w:rFonts w:ascii="仿宋" w:hAnsi="仿宋" w:eastAsia="仿宋" w:cs="Times New Roman"/>
          <w:b/>
          <w:bCs/>
          <w:color w:val="auto"/>
          <w:kern w:val="0"/>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20" w:name="_Toc152042588"/>
      <w:bookmarkStart w:id="121" w:name="_Toc152045799"/>
      <w:bookmarkStart w:id="122" w:name="_Toc144974867"/>
      <w:bookmarkStart w:id="123" w:name="_Toc246392157"/>
      <w:bookmarkStart w:id="124" w:name="_Toc179632819"/>
      <w:r>
        <w:rPr>
          <w:rFonts w:hint="eastAsia" w:ascii="仿宋" w:hAnsi="仿宋" w:eastAsia="仿宋" w:cs="Times New Roman"/>
          <w:b/>
          <w:bCs/>
          <w:color w:val="auto"/>
          <w:sz w:val="22"/>
          <w:highlight w:val="none"/>
        </w:rPr>
        <w:t>附表五：劳动力计划表</w:t>
      </w:r>
      <w:bookmarkEnd w:id="120"/>
      <w:bookmarkEnd w:id="121"/>
      <w:bookmarkEnd w:id="122"/>
      <w:bookmarkEnd w:id="123"/>
      <w:bookmarkEnd w:id="124"/>
    </w:p>
    <w:p>
      <w:pPr>
        <w:autoSpaceDN w:val="0"/>
        <w:spacing w:line="440" w:lineRule="exact"/>
        <w:ind w:right="410"/>
        <w:jc w:val="right"/>
        <w:rPr>
          <w:rFonts w:ascii="仿宋" w:hAnsi="仿宋" w:eastAsia="仿宋" w:cs="Times New Roman"/>
          <w:color w:val="auto"/>
          <w:sz w:val="22"/>
          <w:highlight w:val="none"/>
        </w:rPr>
      </w:pPr>
      <w:r>
        <w:rPr>
          <w:rFonts w:hint="eastAsia" w:ascii="仿宋" w:hAnsi="仿宋" w:eastAsia="仿宋" w:cs="Times New Roman"/>
          <w:color w:val="auto"/>
          <w:sz w:val="22"/>
          <w:highlight w:val="none"/>
        </w:rPr>
        <w:t>单位：人</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topLinePunct/>
        <w:autoSpaceDN w:val="0"/>
        <w:spacing w:line="440" w:lineRule="exact"/>
        <w:jc w:val="center"/>
        <w:rPr>
          <w:rFonts w:ascii="仿宋" w:hAnsi="仿宋" w:eastAsia="仿宋" w:cs="Times New Roman"/>
          <w:color w:val="auto"/>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25" w:name="_Toc152045800"/>
      <w:bookmarkStart w:id="126" w:name="_Toc179632820"/>
      <w:bookmarkStart w:id="127" w:name="_Toc152042589"/>
      <w:bookmarkStart w:id="128" w:name="_Toc144974868"/>
      <w:bookmarkStart w:id="129" w:name="_Toc246392158"/>
      <w:r>
        <w:rPr>
          <w:rFonts w:hint="eastAsia" w:ascii="仿宋" w:hAnsi="仿宋" w:eastAsia="仿宋" w:cs="Times New Roman"/>
          <w:b/>
          <w:bCs/>
          <w:color w:val="auto"/>
          <w:sz w:val="22"/>
          <w:highlight w:val="none"/>
        </w:rPr>
        <w:t>附表六：计划开、竣工日期和施工进度网络图</w:t>
      </w:r>
      <w:bookmarkEnd w:id="125"/>
      <w:bookmarkEnd w:id="126"/>
      <w:bookmarkEnd w:id="127"/>
      <w:bookmarkEnd w:id="128"/>
      <w:bookmarkEnd w:id="129"/>
    </w:p>
    <w:p>
      <w:pPr>
        <w:autoSpaceDN w:val="0"/>
        <w:spacing w:line="440" w:lineRule="exact"/>
        <w:rPr>
          <w:rFonts w:ascii="仿宋" w:hAnsi="仿宋" w:eastAsia="仿宋" w:cs="Times New Roman"/>
          <w:color w:val="auto"/>
          <w:sz w:val="22"/>
          <w:highlight w:val="none"/>
        </w:rPr>
      </w:pPr>
    </w:p>
    <w:p>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1. 磋商响应供应商应递交施工进度网络图或施工进度表，说明按磋商文件要求的计划工期进行施工的各个关键日期。</w:t>
      </w:r>
    </w:p>
    <w:p>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2. 施工进度表可采用网络图（或横道图）表示。</w:t>
      </w:r>
    </w:p>
    <w:p>
      <w:pPr>
        <w:widowControl/>
        <w:spacing w:line="415" w:lineRule="auto"/>
        <w:jc w:val="left"/>
        <w:rPr>
          <w:rFonts w:ascii="仿宋" w:hAnsi="仿宋" w:eastAsia="仿宋" w:cs="Times New Roman"/>
          <w:b/>
          <w:bCs/>
          <w:color w:val="auto"/>
          <w:kern w:val="0"/>
          <w:sz w:val="2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2-9. 技术（服务）方案</w:t>
      </w:r>
    </w:p>
    <w:p>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pPr>
        <w:autoSpaceDN w:val="0"/>
        <w:spacing w:line="360" w:lineRule="auto"/>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2-10. 节能、环保产品证明材料</w:t>
      </w:r>
    </w:p>
    <w:p>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节能、环保产品证明材料</w:t>
      </w:r>
    </w:p>
    <w:p>
      <w:pPr>
        <w:autoSpaceDN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napToGrid w:val="0"/>
        <w:spacing w:line="360" w:lineRule="auto"/>
        <w:ind w:firstLine="1920" w:firstLineChars="800"/>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N w:val="0"/>
        <w:spacing w:line="360" w:lineRule="auto"/>
        <w:ind w:firstLine="1920" w:firstLineChars="800"/>
        <w:rPr>
          <w:rFonts w:ascii="仿宋" w:hAnsi="仿宋" w:eastAsia="仿宋" w:cs="Times New Roman"/>
          <w:color w:val="auto"/>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keepNext/>
        <w:keepLines/>
        <w:autoSpaceDN w:val="0"/>
        <w:snapToGrid w:val="0"/>
        <w:spacing w:line="412"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bookmarkEnd w:id="109"/>
      <w:r>
        <w:rPr>
          <w:rFonts w:hint="eastAsia" w:ascii="仿宋" w:hAnsi="仿宋" w:eastAsia="仿宋" w:cs="Times New Roman"/>
          <w:b/>
          <w:bCs/>
          <w:color w:val="auto"/>
          <w:kern w:val="0"/>
          <w:sz w:val="28"/>
          <w:szCs w:val="28"/>
          <w:highlight w:val="none"/>
        </w:rPr>
        <w:t>2-11.主要材料推荐品牌（如有）</w:t>
      </w:r>
    </w:p>
    <w:p>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w:t>
      </w:r>
    </w:p>
    <w:p>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8789" w:type="dxa"/>
        <w:jc w:val="center"/>
        <w:tblLayout w:type="fixed"/>
        <w:tblCellMar>
          <w:top w:w="0" w:type="dxa"/>
          <w:left w:w="10" w:type="dxa"/>
          <w:bottom w:w="0" w:type="dxa"/>
          <w:right w:w="10" w:type="dxa"/>
        </w:tblCellMar>
      </w:tblPr>
      <w:tblGrid>
        <w:gridCol w:w="846"/>
        <w:gridCol w:w="1984"/>
        <w:gridCol w:w="3124"/>
        <w:gridCol w:w="2835"/>
      </w:tblGrid>
      <w:tr>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sz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b/>
                <w:bCs/>
                <w:color w:val="auto"/>
                <w:szCs w:val="21"/>
                <w:highlight w:val="none"/>
              </w:rPr>
            </w:pPr>
          </w:p>
        </w:tc>
      </w:tr>
    </w:tbl>
    <w:p>
      <w:pPr>
        <w:snapToGrid w:val="0"/>
        <w:spacing w:line="360" w:lineRule="auto"/>
        <w:jc w:val="left"/>
        <w:rPr>
          <w:rFonts w:ascii="宋体" w:hAnsi="宋体" w:eastAsia="宋体" w:cs="Times New Roman"/>
          <w:color w:val="auto"/>
          <w:sz w:val="24"/>
          <w:szCs w:val="24"/>
          <w:highlight w:val="none"/>
          <w:u w:val="single"/>
        </w:rPr>
      </w:pPr>
    </w:p>
    <w:p>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color w:val="auto"/>
          <w:szCs w:val="24"/>
          <w:highlight w:val="none"/>
        </w:rPr>
      </w:pPr>
      <w:r>
        <w:rPr>
          <w:rFonts w:hint="eastAsia" w:ascii="仿宋" w:hAnsi="仿宋" w:eastAsia="仿宋" w:cs="仿宋"/>
          <w:b/>
          <w:color w:val="auto"/>
          <w:kern w:val="0"/>
          <w:sz w:val="22"/>
          <w:highlight w:val="none"/>
        </w:rPr>
        <w:t>⑥</w:t>
      </w:r>
      <w:r>
        <w:rPr>
          <w:rFonts w:hint="eastAsia" w:ascii="仿宋" w:hAnsi="仿宋" w:eastAsia="仿宋" w:cs="仿宋"/>
          <w:b/>
          <w:color w:val="auto"/>
          <w:kern w:val="0"/>
          <w:sz w:val="22"/>
          <w:highlight w:val="none"/>
          <w:u w:val="single"/>
        </w:rPr>
        <w:t>请将本表放置在商务技术文件中最后一页。若磋商响应文件未按要求放置或未填写，磋商小组可能做出不利于该磋商响应供应商的评审。</w:t>
      </w:r>
    </w:p>
    <w:p>
      <w:pPr>
        <w:widowControl/>
        <w:spacing w:line="415" w:lineRule="auto"/>
        <w:jc w:val="left"/>
        <w:rPr>
          <w:rFonts w:ascii="仿宋" w:hAnsi="仿宋" w:eastAsia="仿宋" w:cs="仿宋"/>
          <w:b/>
          <w:bCs/>
          <w:color w:val="auto"/>
          <w:sz w:val="32"/>
          <w:szCs w:val="3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2-12.其他资料</w:t>
      </w:r>
    </w:p>
    <w:p>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pPr>
        <w:autoSpaceDN w:val="0"/>
        <w:spacing w:line="360" w:lineRule="auto"/>
        <w:rPr>
          <w:rFonts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仿宋" w:hAnsi="仿宋" w:eastAsia="仿宋" w:cs="Times New Roman"/>
                <w:color w:val="auto"/>
                <w:sz w:val="22"/>
                <w:szCs w:val="21"/>
                <w:highlight w:val="none"/>
              </w:rPr>
            </w:pPr>
          </w:p>
        </w:tc>
      </w:tr>
    </w:tbl>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N w:val="0"/>
        <w:spacing w:line="360" w:lineRule="auto"/>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autoSpaceDN w:val="0"/>
        <w:rPr>
          <w:rFonts w:ascii="Times New Roman" w:hAnsi="Times New Roman" w:eastAsia="宋体" w:cs="Times New Roman"/>
          <w:color w:val="auto"/>
          <w:szCs w:val="24"/>
          <w:highlight w:val="none"/>
        </w:rPr>
      </w:pPr>
    </w:p>
    <w:p>
      <w:pPr>
        <w:autoSpaceDN w:val="0"/>
        <w:rPr>
          <w:rFonts w:ascii="Times New Roman" w:hAnsi="Times New Roman" w:eastAsia="宋体" w:cs="Times New Roman"/>
          <w:color w:val="auto"/>
          <w:szCs w:val="24"/>
          <w:highlight w:val="none"/>
        </w:rPr>
      </w:pPr>
    </w:p>
    <w:p>
      <w:pPr>
        <w:rPr>
          <w:color w:val="auto"/>
          <w:highlight w:val="none"/>
        </w:rPr>
      </w:pPr>
    </w:p>
    <w:p>
      <w:pPr>
        <w:autoSpaceDN w:val="0"/>
        <w:rPr>
          <w:rFonts w:ascii="Times New Roman" w:hAnsi="Times New Roman" w:eastAsia="宋体" w:cs="Times New Roman"/>
          <w:color w:val="auto"/>
          <w:szCs w:val="24"/>
          <w:highlight w:val="none"/>
        </w:r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30" w:name="_Toc11526"/>
      <w:bookmarkStart w:id="131" w:name="_Toc96947081"/>
      <w:r>
        <w:rPr>
          <w:rFonts w:hint="eastAsia" w:ascii="仿宋" w:hAnsi="仿宋" w:eastAsia="仿宋" w:cs="Times New Roman"/>
          <w:b/>
          <w:bCs/>
          <w:color w:val="auto"/>
          <w:sz w:val="32"/>
          <w:szCs w:val="32"/>
          <w:highlight w:val="none"/>
        </w:rPr>
        <w:t>三、报价文件部分格式</w:t>
      </w:r>
      <w:bookmarkEnd w:id="130"/>
      <w:bookmarkEnd w:id="131"/>
    </w:p>
    <w:p>
      <w:pPr>
        <w:autoSpaceDN w:val="0"/>
        <w:rPr>
          <w:rFonts w:ascii="Times New Roman" w:hAnsi="Times New Roman" w:eastAsia="宋体" w:cs="Times New Roman"/>
          <w:color w:val="auto"/>
          <w:szCs w:val="24"/>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highlight w:val="none"/>
          <w:lang w:eastAsia="zh-CN"/>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lang w:eastAsia="zh-CN"/>
        </w:rPr>
        <w:t>浙江工业大学朝晖校区教学区生活供水管网改造工程</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28"/>
          <w:szCs w:val="28"/>
          <w:highlight w:val="none"/>
          <w:u w:val="single"/>
        </w:rPr>
      </w:pPr>
      <w:r>
        <w:rPr>
          <w:rFonts w:hint="eastAsia" w:ascii="仿宋" w:hAnsi="仿宋" w:eastAsia="仿宋" w:cs="Times New Roman"/>
          <w:color w:val="auto"/>
          <w:kern w:val="0"/>
          <w:sz w:val="28"/>
          <w:szCs w:val="28"/>
          <w:highlight w:val="none"/>
        </w:rPr>
        <w:t>项目编号：</w:t>
      </w:r>
    </w:p>
    <w:p>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pPr>
        <w:widowControl/>
        <w:jc w:val="left"/>
        <w:rPr>
          <w:rFonts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pPr>
        <w:keepNext/>
        <w:keepLines/>
        <w:autoSpaceDN w:val="0"/>
        <w:spacing w:before="260" w:after="260" w:line="415" w:lineRule="auto"/>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pPr>
        <w:autoSpaceDN w:val="0"/>
        <w:spacing w:after="312" w:afterLines="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浙江工业大学 </w:t>
      </w:r>
      <w:r>
        <w:rPr>
          <w:rFonts w:hint="eastAsia" w:ascii="仿宋" w:hAnsi="仿宋" w:eastAsia="仿宋" w:cs="仿宋"/>
          <w:color w:val="auto"/>
          <w:sz w:val="24"/>
          <w:szCs w:val="24"/>
          <w:highlight w:val="none"/>
        </w:rPr>
        <w:t>：</w:t>
      </w:r>
    </w:p>
    <w:p>
      <w:pPr>
        <w:autoSpaceDE w:val="0"/>
        <w:autoSpaceDN w:val="0"/>
        <w:adjustRightInd w:val="0"/>
        <w:spacing w:line="48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施工磋商文件的全部内容，愿意以人民币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）的磋商总报价，工期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 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，按合同约定实施和完成承包工程，修补工程中的任何缺陷，工程质量达到。</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2．我方承诺磋商响应文件有效期</w:t>
      </w:r>
      <w:r>
        <w:rPr>
          <w:rFonts w:hint="eastAsia" w:ascii="仿宋" w:hAnsi="仿宋" w:eastAsia="仿宋" w:cs="仿宋"/>
          <w:color w:val="auto"/>
          <w:sz w:val="24"/>
          <w:szCs w:val="24"/>
          <w:highlight w:val="none"/>
          <w:lang w:val="en-US" w:eastAsia="zh-CN"/>
        </w:rPr>
        <w:t>为</w:t>
      </w: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r>
        <w:rPr>
          <w:rFonts w:hint="eastAsia" w:ascii="仿宋" w:hAnsi="仿宋" w:eastAsia="仿宋" w:cs="宋体"/>
          <w:color w:val="auto"/>
          <w:sz w:val="24"/>
          <w:szCs w:val="24"/>
          <w:highlight w:val="none"/>
          <w:lang w:eastAsia="zh-CN"/>
        </w:rPr>
        <w:t>，</w:t>
      </w:r>
      <w:r>
        <w:rPr>
          <w:rFonts w:hint="eastAsia" w:ascii="仿宋" w:hAnsi="仿宋" w:eastAsia="仿宋" w:cs="仿宋"/>
          <w:color w:val="auto"/>
          <w:sz w:val="24"/>
          <w:szCs w:val="24"/>
          <w:highlight w:val="none"/>
        </w:rPr>
        <w:t>在竞争性磋商有效期内不修改、撤销磋商响应文件。</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（3）我方承诺在合同约定的期限内完成并移交全部合同工程。</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pPr>
        <w:autoSpaceDN w:val="0"/>
        <w:spacing w:line="360" w:lineRule="auto"/>
        <w:rPr>
          <w:rFonts w:ascii="仿宋" w:hAnsi="仿宋" w:eastAsia="仿宋" w:cs="仿宋"/>
          <w:color w:val="auto"/>
          <w:sz w:val="24"/>
          <w:szCs w:val="24"/>
          <w:highlight w:val="none"/>
        </w:rPr>
      </w:pP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autoSpaceDN w:val="0"/>
        <w:spacing w:line="360" w:lineRule="auto"/>
        <w:ind w:firstLine="7800" w:firstLineChars="3250"/>
        <w:jc w:val="left"/>
        <w:rPr>
          <w:rFonts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pPr>
        <w:autoSpaceDN w:val="0"/>
        <w:spacing w:line="360" w:lineRule="auto"/>
        <w:ind w:firstLine="440" w:firstLineChars="200"/>
        <w:rPr>
          <w:rFonts w:ascii="仿宋" w:hAnsi="仿宋" w:eastAsia="仿宋" w:cs="Times New Roman"/>
          <w:b/>
          <w:bCs/>
          <w:color w:val="auto"/>
          <w:sz w:val="22"/>
          <w:highlight w:val="none"/>
        </w:rPr>
      </w:pPr>
    </w:p>
    <w:p>
      <w:pPr>
        <w:tabs>
          <w:tab w:val="center" w:pos="4755"/>
          <w:tab w:val="right" w:pos="9070"/>
        </w:tabs>
        <w:autoSpaceDN w:val="0"/>
        <w:spacing w:line="440" w:lineRule="exact"/>
        <w:ind w:firstLine="160" w:firstLineChars="50"/>
        <w:rPr>
          <w:rFonts w:ascii="仿宋" w:hAnsi="仿宋" w:eastAsia="仿宋" w:cs="Times New Roman"/>
          <w:b/>
          <w:bCs/>
          <w:color w:val="auto"/>
          <w:sz w:val="22"/>
          <w:highlight w:val="none"/>
        </w:rPr>
      </w:pPr>
      <w:r>
        <w:rPr>
          <w:rFonts w:hint="eastAsia" w:ascii="仿宋" w:hAnsi="仿宋" w:eastAsia="仿宋" w:cs="Times New Roman"/>
          <w:b/>
          <w:bCs/>
          <w:color w:val="auto"/>
          <w:kern w:val="0"/>
          <w:sz w:val="32"/>
          <w:szCs w:val="24"/>
          <w:highlight w:val="none"/>
        </w:rPr>
        <w:t>（2）工程量清单及计价表式</w:t>
      </w:r>
    </w:p>
    <w:p>
      <w:pPr>
        <w:tabs>
          <w:tab w:val="center" w:pos="4755"/>
          <w:tab w:val="right" w:pos="9070"/>
        </w:tabs>
        <w:autoSpaceDN w:val="0"/>
        <w:spacing w:line="440" w:lineRule="exact"/>
        <w:ind w:firstLine="110" w:firstLineChars="50"/>
        <w:rPr>
          <w:rFonts w:ascii="仿宋" w:hAnsi="仿宋" w:eastAsia="仿宋" w:cs="Times New Roman"/>
          <w:color w:val="auto"/>
          <w:kern w:val="0"/>
          <w:sz w:val="22"/>
          <w:highlight w:val="none"/>
        </w:rPr>
      </w:pPr>
      <w:r>
        <w:rPr>
          <w:rFonts w:hint="eastAsia" w:ascii="仿宋" w:hAnsi="仿宋" w:eastAsia="仿宋" w:cs="Times New Roman"/>
          <w:b/>
          <w:bCs/>
          <w:color w:val="auto"/>
          <w:sz w:val="22"/>
          <w:highlight w:val="none"/>
        </w:rPr>
        <w:t>格式一：</w:t>
      </w:r>
    </w:p>
    <w:p>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highlight w:val="none"/>
        </w:rPr>
      </w:pPr>
    </w:p>
    <w:p>
      <w:pPr>
        <w:keepNext/>
        <w:keepLines/>
        <w:autoSpaceDN w:val="0"/>
        <w:spacing w:before="280" w:after="290" w:line="374" w:lineRule="auto"/>
        <w:jc w:val="center"/>
        <w:outlineLvl w:val="3"/>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磋商总价</w:t>
      </w:r>
    </w:p>
    <w:p>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highlight w:val="none"/>
        </w:rPr>
      </w:pP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采 购 人：</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磋商总价（小写）：</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2415" w:leftChars="115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（大写）：</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供应商：</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（单位盖章）</w:t>
      </w:r>
    </w:p>
    <w:p>
      <w:pPr>
        <w:widowControl/>
        <w:autoSpaceDN w:val="0"/>
        <w:spacing w:after="100"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法定代表人：</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（签字或盖章）</w:t>
      </w:r>
    </w:p>
    <w:p>
      <w:pPr>
        <w:widowControl/>
        <w:tabs>
          <w:tab w:val="center" w:pos="4755"/>
          <w:tab w:val="right" w:pos="9070"/>
        </w:tabs>
        <w:autoSpaceDN w:val="0"/>
        <w:spacing w:after="100" w:afterAutospacing="1"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编制人员：</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rPr>
        <w:t>（签字或盖章）</w:t>
      </w:r>
    </w:p>
    <w:p>
      <w:pPr>
        <w:widowControl/>
        <w:tabs>
          <w:tab w:val="center" w:pos="4755"/>
          <w:tab w:val="right" w:pos="9070"/>
        </w:tabs>
        <w:autoSpaceDN w:val="0"/>
        <w:spacing w:line="400" w:lineRule="exact"/>
        <w:ind w:left="1260" w:leftChars="600"/>
        <w:rPr>
          <w:rFonts w:ascii="仿宋" w:hAnsi="仿宋" w:eastAsia="仿宋" w:cs="Times New Roman"/>
          <w:b/>
          <w:color w:val="auto"/>
          <w:kern w:val="0"/>
          <w:sz w:val="28"/>
          <w:szCs w:val="28"/>
          <w:highlight w:val="none"/>
        </w:rPr>
      </w:pPr>
      <w:r>
        <w:rPr>
          <w:rFonts w:hint="eastAsia" w:ascii="仿宋" w:hAnsi="仿宋" w:eastAsia="仿宋" w:cs="Times New Roman"/>
          <w:color w:val="auto"/>
          <w:kern w:val="0"/>
          <w:sz w:val="28"/>
          <w:szCs w:val="28"/>
          <w:highlight w:val="none"/>
        </w:rPr>
        <w:t>编制时间：</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u w:val="single"/>
        </w:rPr>
        <w:t xml:space="preserve"> </w:t>
      </w:r>
      <w:r>
        <w:rPr>
          <w:rFonts w:ascii="Calibri" w:hAnsi="Calibri" w:eastAsia="仿宋" w:cs="Calibri"/>
          <w:color w:val="auto"/>
          <w:sz w:val="28"/>
          <w:szCs w:val="28"/>
          <w:highlight w:val="none"/>
          <w:u w:val="single"/>
        </w:rPr>
        <w:t>      </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工程量清单报价说明</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Times New Roman"/>
                <w:color w:val="auto"/>
                <w:sz w:val="24"/>
                <w:szCs w:val="24"/>
                <w:highlight w:val="none"/>
              </w:rPr>
            </w:pPr>
          </w:p>
        </w:tc>
      </w:tr>
    </w:tbl>
    <w:p>
      <w:pPr>
        <w:autoSpaceDN w:val="0"/>
        <w:ind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磋商响应供应商：（盖章）</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表1-1-1  工程项目报价汇总表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2．本表中的整体项目措施清单报价指根据采购人要求和项目特点应从采购项目整体上考虑的措施项目报价。</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3．本表中的整体其他项目清单报价指根据采购人要求需按采购项目整体考虑的其他项目清单报价。</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4．本表中的规费指整体措施清单项目应计取的规费。</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5．本表中的税金指未纳入单位工程费的整体措施项目清单、其他项目清单以及相应规费等费用应计取的税金。</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widowControl/>
        <w:spacing w:beforeAutospacing="1" w:afterAutospacing="1"/>
        <w:jc w:val="left"/>
        <w:rPr>
          <w:rFonts w:ascii="仿宋" w:hAnsi="仿宋" w:eastAsia="仿宋" w:cs="Times New Roman"/>
          <w:color w:val="auto"/>
          <w:sz w:val="22"/>
          <w:highlight w:val="none"/>
        </w:rPr>
        <w:sectPr>
          <w:headerReference r:id="rId11" w:type="default"/>
          <w:footerReference r:id="rId12" w:type="default"/>
          <w:pgSz w:w="11906" w:h="16838"/>
          <w:pgMar w:top="1361" w:right="1191" w:bottom="1361" w:left="141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表1-1-2 单位工程报价汇总表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注:本表适用于：</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（1）只有1个专业工程分部分项工程量清单的单位工程发包项目的报价汇总；</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（2）其余采购项目的单位工程报价汇总。</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表1-2  分部分项工程量清单及计价表(  号清单)</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注：表中（1）～〔6）栏由采购人提供内容，（7）栏由采购人按需提出要求，如采购人需要磋商响应供应商提供清单项目综合单价的计算分析和工料机分析，请在（7）备注中明确。</w:t>
      </w:r>
    </w:p>
    <w:p>
      <w:pPr>
        <w:widowControl/>
        <w:spacing w:beforeAutospacing="1" w:afterAutospacing="1"/>
        <w:jc w:val="left"/>
        <w:rPr>
          <w:rFonts w:ascii="仿宋" w:hAnsi="仿宋" w:eastAsia="仿宋" w:cs="仿宋"/>
          <w:color w:val="auto"/>
          <w:sz w:val="24"/>
          <w:szCs w:val="24"/>
          <w:highlight w:val="none"/>
        </w:rPr>
        <w:sectPr>
          <w:pgSz w:w="16838" w:h="11906" w:orient="landscape"/>
          <w:pgMar w:top="1191" w:right="1361" w:bottom="1191" w:left="1814" w:header="851" w:footer="124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  组织措施项目（整体）清单及计价表</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二</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autoSpaceDN w:val="0"/>
        <w:rPr>
          <w:rFonts w:ascii="仿宋" w:hAnsi="仿宋" w:eastAsia="仿宋" w:cs="Times New Roman"/>
          <w:color w:val="auto"/>
          <w:sz w:val="22"/>
          <w:highlight w:val="none"/>
        </w:rPr>
      </w:pPr>
    </w:p>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专业工程组织措施项目清单表1-3-B中已报价的组织措施费不得与整体组织措施项目清单表1-3-A中的其他组织措施项目重复报价。</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表1-3-B  组织措施项目（专业工程）清单及计价表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4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表1-3-C  技术措施项目清单及计价表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注：1．本表适用于以“项”为单位计价和以“分部分项工程量清单项目综合单价”方式计价的技术措施项目。</w:t>
      </w:r>
    </w:p>
    <w:p>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4．第（6）栏由采购人按需出要求，如采购人需要供应商提供清单项目综合单价的计算分析和工料机分析，请在备注中明确。</w:t>
      </w:r>
    </w:p>
    <w:p>
      <w:pPr>
        <w:widowControl/>
        <w:spacing w:beforeAutospacing="1" w:afterAutospacing="1"/>
        <w:jc w:val="left"/>
        <w:rPr>
          <w:rFonts w:ascii="仿宋" w:hAnsi="仿宋" w:eastAsia="仿宋" w:cs="Times New Roman"/>
          <w:color w:val="auto"/>
          <w:sz w:val="18"/>
          <w:szCs w:val="18"/>
          <w:highlight w:val="none"/>
        </w:rPr>
        <w:sectPr>
          <w:pgSz w:w="16838" w:h="11906" w:orient="landscape"/>
          <w:pgMar w:top="1191" w:right="1814" w:bottom="1191" w:left="136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表1-3-A-1  安全文明施工措施项目清单及计价表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bl>
    <w:p>
      <w:pPr>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注：表中（1）～（3）栏由采购人根据具体工程特点提供，供应商可补充。安全文明施工措施项目及费用应按采购项目整体报价。</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  其他项目清单及计价表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bl>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表1-4-1  计日工表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注：表中（1）～（4）由采购人按需要提出，其中第（4）栏数量为暂定。</w:t>
      </w:r>
    </w:p>
    <w:p>
      <w:pPr>
        <w:keepNext/>
        <w:keepLines/>
        <w:autoSpaceDN w:val="0"/>
        <w:spacing w:before="280" w:after="290" w:line="374" w:lineRule="auto"/>
        <w:jc w:val="center"/>
        <w:outlineLvl w:val="3"/>
        <w:rPr>
          <w:rFonts w:ascii="仿宋" w:hAnsi="仿宋" w:eastAsia="仿宋" w:cs="Times New Roman"/>
          <w:b/>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1-4-2   总承包服务费项目及计价表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w:t>
      </w:r>
    </w:p>
    <w:p>
      <w:pPr>
        <w:autoSpaceDN w:val="0"/>
        <w:rPr>
          <w:rFonts w:ascii="仿宋" w:hAnsi="仿宋" w:eastAsia="仿宋" w:cs="Times New Roman"/>
          <w:color w:val="auto"/>
          <w:sz w:val="22"/>
          <w:highlight w:val="none"/>
        </w:rPr>
      </w:pP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表1-5  主要工日价格表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注：本表（1）、（2）栏由采购人按需要提出。</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表1-6  主要材料及设备价格表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注：1、表（1）（2）（3）（5）（6）栏由采购人按需要提出，磋商响应供应商可补充。</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2、本表的材料及设备包括原材料、燃料、构配件以及按规定应计入建筑安装工程造价的设备。</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3、采购人指定、提供或暂定的材料和设备，按杭州市工程量清单计价实施细则的规定填写。</w:t>
      </w:r>
    </w:p>
    <w:p>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表1-7  主要机械台班价格表</w:t>
      </w:r>
    </w:p>
    <w:p>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注：表（1）（2）由采购人按需要提出，磋商响应供应商可补充。</w:t>
      </w:r>
    </w:p>
    <w:p>
      <w:pPr>
        <w:autoSpaceDN w:val="0"/>
        <w:rPr>
          <w:rFonts w:ascii="仿宋" w:hAnsi="仿宋" w:eastAsia="仿宋" w:cs="Times New Roman"/>
          <w:color w:val="auto"/>
          <w:sz w:val="22"/>
          <w:highlight w:val="none"/>
        </w:rPr>
      </w:pPr>
    </w:p>
    <w:p>
      <w:pPr>
        <w:autoSpaceDN w:val="0"/>
        <w:rPr>
          <w:rFonts w:ascii="仿宋" w:hAnsi="仿宋" w:eastAsia="仿宋" w:cs="Times New Roman"/>
          <w:color w:val="auto"/>
          <w:sz w:val="22"/>
          <w:highlight w:val="none"/>
        </w:rPr>
      </w:pPr>
    </w:p>
    <w:p>
      <w:pPr>
        <w:autoSpaceDN w:val="0"/>
        <w:rPr>
          <w:rFonts w:ascii="仿宋" w:hAnsi="仿宋" w:eastAsia="仿宋" w:cs="Times New Roman"/>
          <w:color w:val="auto"/>
          <w:sz w:val="22"/>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6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表2-1  分部分项工程量清单综合单价分析表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仿宋"/>
          <w:color w:val="auto"/>
          <w:kern w:val="0"/>
          <w:sz w:val="24"/>
          <w:szCs w:val="24"/>
          <w:highlight w:val="none"/>
        </w:rPr>
        <w:t>注：表（1）～（4）栏中的清单编号、清单名称、清单计量单位和数量由采购人按需要提出。</w:t>
      </w:r>
      <w:r>
        <w:rPr>
          <w:rFonts w:hint="eastAsia" w:ascii="仿宋" w:hAnsi="仿宋" w:eastAsia="仿宋" w:cs="仿宋"/>
          <w:b/>
          <w:bCs/>
          <w:color w:val="auto"/>
          <w:kern w:val="0"/>
          <w:sz w:val="24"/>
          <w:szCs w:val="24"/>
          <w:highlight w:val="none"/>
        </w:rPr>
        <w:br w:type="page"/>
      </w:r>
      <w:r>
        <w:rPr>
          <w:rFonts w:hint="eastAsia" w:ascii="仿宋" w:hAnsi="仿宋" w:eastAsia="仿宋" w:cs="Times New Roman"/>
          <w:b/>
          <w:bCs/>
          <w:color w:val="auto"/>
          <w:kern w:val="0"/>
          <w:sz w:val="28"/>
          <w:szCs w:val="28"/>
          <w:highlight w:val="none"/>
        </w:rPr>
        <w:t>表2-2  措施项目清单分析表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w:t>
            </w:r>
          </w:p>
          <w:p>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bl>
    <w:p>
      <w:pPr>
        <w:widowControl/>
        <w:tabs>
          <w:tab w:val="center" w:pos="4755"/>
          <w:tab w:val="right" w:pos="9070"/>
        </w:tabs>
        <w:autoSpaceDN w:val="0"/>
        <w:rPr>
          <w:rFonts w:ascii="仿宋" w:hAnsi="仿宋" w:eastAsia="仿宋" w:cs="仿宋"/>
          <w:color w:val="auto"/>
          <w:sz w:val="24"/>
          <w:szCs w:val="24"/>
          <w:highlight w:val="none"/>
        </w:rPr>
      </w:pPr>
    </w:p>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注：表（1）、（2）栏中清单编号和措施项目清单名称由采购人按需要提出。</w:t>
      </w:r>
    </w:p>
    <w:p>
      <w:pPr>
        <w:widowControl/>
        <w:spacing w:beforeAutospacing="1" w:afterAutospacing="1"/>
        <w:jc w:val="left"/>
        <w:rPr>
          <w:rFonts w:ascii="仿宋" w:hAnsi="仿宋" w:eastAsia="仿宋" w:cs="仿宋"/>
          <w:color w:val="auto"/>
          <w:sz w:val="24"/>
          <w:szCs w:val="24"/>
          <w:highlight w:val="none"/>
        </w:rPr>
        <w:sectPr>
          <w:pgSz w:w="16838" w:h="11906" w:orient="landscape"/>
          <w:pgMar w:top="1418" w:right="1440" w:bottom="1418" w:left="1440" w:header="851" w:footer="1077" w:gutter="0"/>
          <w:cols w:space="720" w:num="1"/>
          <w:docGrid w:type="linesAndChars" w:linePitch="312" w:charSpace="0"/>
        </w:sectPr>
      </w:pPr>
    </w:p>
    <w:p>
      <w:pPr>
        <w:widowControl/>
        <w:tabs>
          <w:tab w:val="center" w:pos="4755"/>
          <w:tab w:val="right" w:pos="9070"/>
        </w:tabs>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b/>
          <w:bCs/>
          <w:color w:val="auto"/>
          <w:kern w:val="0"/>
          <w:sz w:val="24"/>
          <w:szCs w:val="24"/>
          <w:highlight w:val="none"/>
        </w:rPr>
        <w:sectPr>
          <w:type w:val="continuous"/>
          <w:pgSz w:w="16838" w:h="11906" w:orient="landscape"/>
          <w:pgMar w:top="1418" w:right="1440" w:bottom="1418" w:left="1440" w:header="851" w:footer="992"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表2-3  综合单价工料机分析表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                                             计量单位：</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p>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注:本表由采购人按需要提出</w:t>
      </w: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4"/>
          <w:szCs w:val="28"/>
          <w:highlight w:val="none"/>
        </w:rPr>
        <w:br w:type="page"/>
      </w:r>
      <w:r>
        <w:rPr>
          <w:rFonts w:hint="eastAsia" w:ascii="仿宋" w:hAnsi="仿宋" w:eastAsia="仿宋" w:cs="Times New Roman"/>
          <w:b/>
          <w:bCs/>
          <w:color w:val="auto"/>
          <w:kern w:val="0"/>
          <w:sz w:val="28"/>
          <w:szCs w:val="28"/>
          <w:highlight w:val="none"/>
        </w:rPr>
        <w:t>表2-4  措施项目工料机分析表</w:t>
      </w:r>
    </w:p>
    <w:p>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项目编码:                                            计量单位：</w:t>
      </w:r>
    </w:p>
    <w:p>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bl>
    <w:p>
      <w:pPr>
        <w:widowControl/>
        <w:tabs>
          <w:tab w:val="center" w:pos="4755"/>
          <w:tab w:val="right" w:pos="9070"/>
        </w:tabs>
        <w:autoSpaceDN w:val="0"/>
        <w:jc w:val="left"/>
        <w:rPr>
          <w:rFonts w:ascii="仿宋" w:hAnsi="仿宋" w:eastAsia="仿宋" w:cs="新宋体"/>
          <w:color w:val="auto"/>
          <w:sz w:val="24"/>
          <w:szCs w:val="24"/>
          <w:highlight w:val="none"/>
        </w:rPr>
      </w:pPr>
    </w:p>
    <w:p>
      <w:pPr>
        <w:autoSpaceDN w:val="0"/>
        <w:rPr>
          <w:rFonts w:ascii="仿宋" w:hAnsi="仿宋" w:eastAsia="仿宋" w:cs="Times New Roman"/>
          <w:color w:val="auto"/>
          <w:sz w:val="22"/>
          <w:highlight w:val="none"/>
        </w:rPr>
      </w:pPr>
      <w:r>
        <w:rPr>
          <w:rFonts w:hint="eastAsia" w:ascii="仿宋" w:hAnsi="仿宋" w:eastAsia="仿宋" w:cs="新宋体"/>
          <w:color w:val="auto"/>
          <w:sz w:val="24"/>
          <w:szCs w:val="24"/>
          <w:highlight w:val="none"/>
        </w:rPr>
        <w:t>注:本表由采购人按需要提出</w:t>
      </w:r>
      <w:r>
        <w:rPr>
          <w:rFonts w:hint="eastAsia" w:ascii="仿宋" w:hAnsi="仿宋" w:eastAsia="仿宋" w:cs="Times New Roman"/>
          <w:color w:val="auto"/>
          <w:sz w:val="22"/>
          <w:highlight w:val="none"/>
        </w:rPr>
        <w:br w:type="page"/>
      </w: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表2-5  现场监控、临时宿舍取暖降温费用分析表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宋体" w:hAnsi="Courier New" w:eastAsia="宋体" w:cs="Times New Roman"/>
          <w:color w:val="auto"/>
          <w:kern w:val="0"/>
          <w:sz w:val="24"/>
          <w:szCs w:val="24"/>
          <w:highlight w:val="none"/>
        </w:rPr>
      </w:pPr>
    </w:p>
    <w:p>
      <w:pPr>
        <w:autoSpaceDN w:val="0"/>
        <w:spacing w:before="156" w:beforeLines="50" w:after="156" w:afterLines="50" w:line="400" w:lineRule="exact"/>
        <w:rPr>
          <w:rFonts w:ascii="仿宋" w:hAnsi="仿宋" w:eastAsia="仿宋" w:cs="Times New Roman"/>
          <w:b/>
          <w:bCs/>
          <w:color w:val="auto"/>
          <w:kern w:val="0"/>
          <w:sz w:val="28"/>
          <w:szCs w:val="28"/>
          <w:highlight w:val="none"/>
        </w:rPr>
      </w:pPr>
    </w:p>
    <w:p>
      <w:pPr>
        <w:autoSpaceDN w:val="0"/>
        <w:spacing w:before="156" w:beforeLines="50" w:after="156" w:afterLines="50" w:line="400" w:lineRule="exact"/>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（3）供应商认为其他需要提供的资料（如有）</w:t>
      </w:r>
    </w:p>
    <w:p>
      <w:pPr>
        <w:autoSpaceDN w:val="0"/>
        <w:spacing w:before="156" w:beforeLines="50" w:after="156" w:afterLines="50" w:line="400" w:lineRule="exact"/>
        <w:ind w:left="480"/>
        <w:rPr>
          <w:rFonts w:ascii="仿宋" w:hAnsi="仿宋" w:eastAsia="仿宋" w:cs="Times New Roman"/>
          <w:color w:val="auto"/>
          <w:kern w:val="0"/>
          <w:sz w:val="24"/>
          <w:szCs w:val="24"/>
          <w:highlight w:val="none"/>
        </w:rPr>
      </w:pPr>
    </w:p>
    <w:p>
      <w:pPr>
        <w:autoSpaceDN w:val="0"/>
        <w:spacing w:before="156" w:beforeLines="50" w:after="156" w:afterLines="50" w:line="400" w:lineRule="exact"/>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pPr>
              <w:autoSpaceDN w:val="0"/>
              <w:spacing w:before="156" w:beforeLines="50" w:after="156" w:afterLines="50" w:line="400" w:lineRule="exact"/>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pPr>
        <w:autoSpaceDN w:val="0"/>
        <w:rPr>
          <w:rFonts w:ascii="Times New Roman" w:hAnsi="Times New Roman" w:eastAsia="宋体"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napToGrid w:val="0"/>
        <w:spacing w:line="360" w:lineRule="auto"/>
        <w:ind w:left="238"/>
        <w:jc w:val="center"/>
        <w:outlineLvl w:val="0"/>
        <w:rPr>
          <w:rFonts w:ascii="仿宋" w:hAnsi="仿宋" w:eastAsia="仿宋" w:cs="宋体"/>
          <w:b/>
          <w:color w:val="auto"/>
          <w:sz w:val="32"/>
          <w:szCs w:val="32"/>
          <w:highlight w:val="none"/>
        </w:rPr>
      </w:pPr>
      <w:bookmarkStart w:id="132" w:name="_Toc5995"/>
      <w:r>
        <w:rPr>
          <w:rFonts w:hint="eastAsia" w:ascii="仿宋" w:hAnsi="仿宋" w:eastAsia="仿宋" w:cs="宋体"/>
          <w:b/>
          <w:color w:val="auto"/>
          <w:sz w:val="32"/>
          <w:szCs w:val="32"/>
          <w:highlight w:val="none"/>
        </w:rPr>
        <w:t>第七章 附件</w:t>
      </w:r>
      <w:bookmarkEnd w:id="132"/>
    </w:p>
    <w:p>
      <w:pPr>
        <w:autoSpaceDN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（以下相关文件及规定如与最新规定不一致的，以最新发布的为准）</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bookmarkStart w:id="133" w:name="_Toc4294377"/>
      <w:bookmarkStart w:id="134" w:name="_Toc7993638"/>
      <w:bookmarkStart w:id="135" w:name="_Toc7488756"/>
      <w:bookmarkStart w:id="136" w:name="_Toc10432455"/>
      <w:bookmarkStart w:id="137" w:name="_Toc25765007"/>
      <w:bookmarkStart w:id="138" w:name="_Toc7988472"/>
      <w:bookmarkStart w:id="139" w:name="_Toc20358289"/>
      <w:bookmarkStart w:id="140" w:name="_Toc17428346"/>
      <w:bookmarkStart w:id="141" w:name="_Toc7668947"/>
      <w:bookmarkStart w:id="142" w:name="_Toc24471815"/>
      <w:bookmarkStart w:id="143" w:name="_Toc7664194"/>
      <w:bookmarkStart w:id="144" w:name="_Toc7492525"/>
      <w:bookmarkStart w:id="145" w:name="_Toc7663594"/>
      <w:bookmarkStart w:id="146" w:name="_Toc7574702"/>
      <w:bookmarkStart w:id="147" w:name="_Toc7542913"/>
      <w:bookmarkStart w:id="148" w:name="_Toc7988418"/>
      <w:bookmarkStart w:id="149" w:name="_Toc17428251"/>
      <w:bookmarkStart w:id="150" w:name="_Toc8007002"/>
      <w:bookmarkStart w:id="151" w:name="_Toc522830351"/>
      <w:bookmarkStart w:id="152" w:name="_Toc4649580"/>
      <w:bookmarkStart w:id="153" w:name="_Toc2002574"/>
      <w:bookmarkStart w:id="154" w:name="_Toc532440701"/>
      <w:bookmarkStart w:id="155" w:name="_Toc522417531"/>
      <w:r>
        <w:rPr>
          <w:rFonts w:hint="eastAsia" w:ascii="仿宋" w:hAnsi="仿宋" w:eastAsia="仿宋" w:cs="宋体"/>
          <w:b/>
          <w:bCs/>
          <w:color w:val="auto"/>
          <w:kern w:val="0"/>
          <w:sz w:val="24"/>
          <w:szCs w:val="24"/>
          <w:highlight w:val="none"/>
        </w:rPr>
        <w:t>一、</w:t>
      </w:r>
      <w:bookmarkEnd w:id="133"/>
      <w:r>
        <w:rPr>
          <w:rFonts w:hint="eastAsia" w:ascii="仿宋" w:hAnsi="仿宋" w:eastAsia="仿宋" w:cs="宋体"/>
          <w:b/>
          <w:bCs/>
          <w:color w:val="auto"/>
          <w:kern w:val="0"/>
          <w:sz w:val="24"/>
          <w:szCs w:val="24"/>
          <w:highlight w:val="none"/>
        </w:rPr>
        <w:t>关于调整优化节能产品、环境标志产品政府采购执行机制的通知（财库[2019]9号）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6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财政部 发展改革委 生态环境部 市场监管总局</w:t>
            </w:r>
          </w:p>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关于调整优化节能产品、环境标志产品政府采购执行机制的通知</w:t>
            </w:r>
          </w:p>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财库〔2019〕9号</w:t>
            </w:r>
          </w:p>
          <w:p>
            <w:pPr>
              <w:autoSpaceDN w:val="0"/>
              <w:spacing w:line="360" w:lineRule="auto"/>
              <w:jc w:val="center"/>
              <w:rPr>
                <w:rFonts w:ascii="仿宋" w:hAnsi="仿宋" w:eastAsia="仿宋" w:cs="宋体"/>
                <w:b/>
                <w:color w:val="auto"/>
                <w:sz w:val="24"/>
                <w:szCs w:val="24"/>
                <w:highlight w:val="none"/>
              </w:rPr>
            </w:pPr>
          </w:p>
          <w:p>
            <w:pPr>
              <w:autoSpaceDN w:val="0"/>
              <w:spacing w:line="360" w:lineRule="auto"/>
              <w:ind w:firstLine="487"/>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一、对政府采购节能产品、环境标志产品实施品目清单管理。</w:t>
            </w:r>
            <w:r>
              <w:rPr>
                <w:rFonts w:hint="eastAsia" w:ascii="仿宋" w:hAnsi="仿宋" w:eastAsia="仿宋" w:cs="宋体"/>
                <w:color w:val="auto"/>
                <w:sz w:val="24"/>
                <w:szCs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二、依据品目清单和认证证书实施政府优先采购和强制采购。</w:t>
            </w:r>
            <w:r>
              <w:rPr>
                <w:rFonts w:hint="eastAsia" w:ascii="仿宋" w:hAnsi="仿宋" w:eastAsia="仿宋" w:cs="宋体"/>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三、逐步扩大节能产品、环境标志产品认证机构范围。</w:t>
            </w:r>
            <w:r>
              <w:rPr>
                <w:rFonts w:hint="eastAsia" w:ascii="仿宋" w:hAnsi="仿宋" w:eastAsia="仿宋" w:cs="宋体"/>
                <w:color w:val="auto"/>
                <w:sz w:val="24"/>
                <w:szCs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四、发布认证机构和获证产品信息。</w:t>
            </w:r>
            <w:r>
              <w:rPr>
                <w:rFonts w:hint="eastAsia" w:ascii="仿宋" w:hAnsi="仿宋" w:eastAsia="仿宋" w:cs="宋体"/>
                <w:color w:val="auto"/>
                <w:sz w:val="24"/>
                <w:szCs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五、加大政府绿色采购力度。</w:t>
            </w: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六、本通知自2019年4月1日起执行。</w:t>
            </w:r>
            <w:r>
              <w:rPr>
                <w:rFonts w:hint="eastAsia" w:ascii="仿宋" w:hAnsi="仿宋" w:eastAsia="仿宋" w:cs="宋体"/>
                <w:color w:val="auto"/>
                <w:sz w:val="24"/>
                <w:szCs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财政部 发展改革委 生态环境部 市场监管总局</w:t>
            </w: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2019年2月1日</w:t>
            </w:r>
          </w:p>
        </w:tc>
      </w:tr>
    </w:tbl>
    <w:p>
      <w:pPr>
        <w:widowControl/>
        <w:shd w:val="clear" w:color="auto" w:fill="FFFFFF"/>
        <w:autoSpaceDN w:val="0"/>
        <w:spacing w:line="360" w:lineRule="auto"/>
        <w:jc w:val="center"/>
        <w:textAlignment w:val="baseline"/>
        <w:rPr>
          <w:rFonts w:ascii="仿宋" w:hAnsi="仿宋" w:eastAsia="仿宋" w:cs="宋体"/>
          <w:color w:val="auto"/>
          <w:kern w:val="0"/>
          <w:sz w:val="24"/>
          <w:szCs w:val="24"/>
          <w:highlight w:val="none"/>
        </w:rPr>
      </w:pPr>
    </w:p>
    <w:p>
      <w:pPr>
        <w:widowControl/>
        <w:autoSpaceDN w:val="0"/>
        <w:spacing w:line="360" w:lineRule="auto"/>
        <w:jc w:val="right"/>
        <w:rPr>
          <w:rFonts w:ascii="仿宋" w:hAnsi="仿宋" w:eastAsia="仿宋" w:cs="宋体"/>
          <w:color w:val="auto"/>
          <w:kern w:val="0"/>
          <w:sz w:val="24"/>
          <w:szCs w:val="24"/>
          <w:highlight w:val="none"/>
        </w:rPr>
      </w:pP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56" w:name="_Toc7663595"/>
      <w:bookmarkStart w:id="157" w:name="_Toc7993639"/>
      <w:bookmarkStart w:id="158" w:name="_Toc7492526"/>
      <w:bookmarkStart w:id="159" w:name="_Toc25765008"/>
      <w:bookmarkStart w:id="160" w:name="_Toc17428347"/>
      <w:bookmarkStart w:id="161" w:name="_Toc7542914"/>
      <w:bookmarkStart w:id="162" w:name="_Toc10432456"/>
      <w:bookmarkStart w:id="163" w:name="_Toc7988473"/>
      <w:bookmarkStart w:id="164" w:name="_Toc8007003"/>
      <w:bookmarkStart w:id="165" w:name="_Toc20358290"/>
      <w:bookmarkStart w:id="166" w:name="_Toc7668948"/>
      <w:bookmarkStart w:id="167" w:name="_Toc7988419"/>
      <w:bookmarkStart w:id="168" w:name="_Toc24471816"/>
      <w:bookmarkStart w:id="169" w:name="_Toc7664195"/>
      <w:bookmarkStart w:id="170" w:name="_Toc7488757"/>
      <w:bookmarkStart w:id="171" w:name="_Toc7574703"/>
      <w:bookmarkStart w:id="172" w:name="_Toc17428252"/>
      <w:r>
        <w:rPr>
          <w:rFonts w:hint="eastAsia" w:ascii="仿宋" w:hAnsi="仿宋" w:eastAsia="仿宋" w:cs="宋体"/>
          <w:b/>
          <w:bCs/>
          <w:color w:val="auto"/>
          <w:kern w:val="0"/>
          <w:sz w:val="24"/>
          <w:szCs w:val="24"/>
          <w:highlight w:val="none"/>
        </w:rPr>
        <w:t>二、关于印发节能产品政府采购品目清单的通知（财库〔2019〕19号）</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bl>
      <w:tblPr>
        <w:tblStyle w:val="61"/>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关于印发节能产品政府采购品目清单的通知</w:t>
            </w:r>
          </w:p>
          <w:p>
            <w:pPr>
              <w:widowControl/>
              <w:autoSpaceDN w:val="0"/>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color w:val="auto"/>
                <w:kern w:val="0"/>
                <w:sz w:val="24"/>
                <w:szCs w:val="24"/>
                <w:highlight w:val="none"/>
              </w:rPr>
              <w:t>财库〔2019〕19号</w:t>
            </w:r>
          </w:p>
          <w:p>
            <w:pPr>
              <w:widowControl/>
              <w:autoSpaceDN w:val="0"/>
              <w:spacing w:line="360" w:lineRule="auto"/>
              <w:jc w:val="center"/>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ind w:firstLine="484" w:firstLineChars="202"/>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生态环境部</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市场监管总局关于调整优化节能产品</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附件：节能产品政府采购品目清单</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财政部发展改革委</w:t>
            </w:r>
          </w:p>
          <w:p>
            <w:pPr>
              <w:widowControl/>
              <w:autoSpaceDN w:val="0"/>
              <w:spacing w:line="360" w:lineRule="auto"/>
              <w:jc w:val="righ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2019年4月2日</w:t>
            </w:r>
          </w:p>
        </w:tc>
      </w:tr>
    </w:tbl>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附：节能产品政府采购品目清单</w:t>
      </w:r>
    </w:p>
    <w:tbl>
      <w:tblPr>
        <w:tblStyle w:val="61"/>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1 部分：中小型开式冷却塔》（GB /T 7190.1）</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《家用电冰箱耗电量限定值及能效等级》（GB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《转速可控型房间空气调节器能效限定值及能效等级》（GB21455-2013），待 2019 年修订发布后，按《房间空气调节器能效限定值及能效等级》（GB21455-2019</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《单元式空气调节机能效限定值及能源效率等级》（GB 19576）《风管送风式空调机组能效限定值及</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《储水式电热水器能效限定值及能效等级》（GB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《坐便器水效限定值及水效等级</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《淋浴器用水效率限定值及用水效率等级》（GB 28378）</w:t>
            </w:r>
          </w:p>
        </w:tc>
      </w:tr>
    </w:tbl>
    <w:p>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ascii="仿宋" w:hAnsi="仿宋" w:eastAsia="仿宋" w:cs="宋体"/>
          <w:color w:val="auto"/>
          <w:sz w:val="24"/>
          <w:szCs w:val="24"/>
          <w:highlight w:val="none"/>
        </w:rPr>
      </w:pPr>
      <w:r>
        <w:rPr>
          <w:rFonts w:hint="eastAsia" w:ascii="仿宋" w:hAnsi="仿宋" w:eastAsia="仿宋" w:cs="宋体"/>
          <w:b/>
          <w:color w:val="auto"/>
          <w:w w:val="90"/>
          <w:sz w:val="24"/>
          <w:szCs w:val="24"/>
          <w:highlight w:val="none"/>
        </w:rPr>
        <w:t>3、以“★”标注的为政府强制采购产品。</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73" w:name="_Toc7993640"/>
      <w:bookmarkStart w:id="174" w:name="_Toc7492527"/>
      <w:bookmarkStart w:id="175" w:name="_Toc8007004"/>
      <w:bookmarkStart w:id="176" w:name="_Toc7668949"/>
      <w:bookmarkStart w:id="177" w:name="_Toc17428253"/>
      <w:bookmarkStart w:id="178" w:name="_Toc7988420"/>
      <w:bookmarkStart w:id="179" w:name="_Toc7988474"/>
      <w:bookmarkStart w:id="180" w:name="_Toc20358291"/>
      <w:bookmarkStart w:id="181" w:name="_Toc7664196"/>
      <w:bookmarkStart w:id="182" w:name="_Toc7488758"/>
      <w:bookmarkStart w:id="183" w:name="_Toc17428348"/>
      <w:bookmarkStart w:id="184" w:name="_Toc25765009"/>
      <w:bookmarkStart w:id="185" w:name="_Toc7542915"/>
      <w:bookmarkStart w:id="186" w:name="_Toc10432457"/>
      <w:bookmarkStart w:id="187" w:name="_Toc7574704"/>
      <w:bookmarkStart w:id="188" w:name="_Toc24471817"/>
      <w:bookmarkStart w:id="189" w:name="_Toc7663596"/>
      <w:r>
        <w:rPr>
          <w:rFonts w:hint="eastAsia" w:ascii="仿宋" w:hAnsi="仿宋" w:eastAsia="仿宋" w:cs="宋体"/>
          <w:b/>
          <w:bCs/>
          <w:color w:val="auto"/>
          <w:kern w:val="0"/>
          <w:sz w:val="24"/>
          <w:szCs w:val="24"/>
          <w:highlight w:val="none"/>
        </w:rPr>
        <w:t>三、关于印发环境标志产品政府采购品目清单的通知（财库〔2019〕18号）</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autoSpaceDN w:val="0"/>
        <w:jc w:val="center"/>
        <w:rPr>
          <w:rFonts w:ascii="仿宋" w:hAnsi="仿宋" w:eastAsia="仿宋" w:cs="宋体"/>
          <w:color w:val="auto"/>
          <w:kern w:val="0"/>
          <w:sz w:val="24"/>
          <w:szCs w:val="24"/>
          <w:highlight w:val="none"/>
        </w:rPr>
      </w:pPr>
    </w:p>
    <w:p>
      <w:pPr>
        <w:autoSpaceDN w:val="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关于印发环境标志产品政府采购品目清单的通知</w:t>
      </w:r>
    </w:p>
    <w:p>
      <w:pPr>
        <w:autoSpaceDN w:val="0"/>
        <w:jc w:val="center"/>
        <w:rPr>
          <w:rFonts w:ascii="仿宋" w:hAnsi="仿宋" w:eastAsia="仿宋" w:cs="宋体"/>
          <w:color w:val="auto"/>
          <w:sz w:val="24"/>
          <w:szCs w:val="24"/>
          <w:highlight w:val="none"/>
        </w:rPr>
      </w:pPr>
      <w:r>
        <w:rPr>
          <w:rFonts w:hint="eastAsia" w:ascii="仿宋" w:hAnsi="仿宋" w:eastAsia="仿宋" w:cs="宋体"/>
          <w:b/>
          <w:color w:val="auto"/>
          <w:kern w:val="0"/>
          <w:sz w:val="24"/>
          <w:szCs w:val="24"/>
          <w:highlight w:val="none"/>
        </w:rPr>
        <w:t>财库〔2019〕18号</w:t>
      </w:r>
    </w:p>
    <w:p>
      <w:pPr>
        <w:autoSpaceDN w:val="0"/>
        <w:spacing w:line="360" w:lineRule="auto"/>
        <w:rPr>
          <w:rFonts w:ascii="仿宋" w:hAnsi="仿宋" w:eastAsia="仿宋" w:cs="宋体"/>
          <w:color w:val="auto"/>
          <w:kern w:val="0"/>
          <w:sz w:val="24"/>
          <w:szCs w:val="24"/>
          <w:highlight w:val="none"/>
        </w:rPr>
      </w:pPr>
    </w:p>
    <w:p>
      <w:pPr>
        <w:autoSpaceDN w:val="0"/>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color w:val="auto"/>
          <w:kern w:val="0"/>
          <w:sz w:val="24"/>
          <w:szCs w:val="24"/>
          <w:highlight w:val="none"/>
        </w:rPr>
      </w:pPr>
    </w:p>
    <w:p>
      <w:pPr>
        <w:autoSpaceDN w:val="0"/>
        <w:spacing w:line="360" w:lineRule="auto"/>
        <w:ind w:firstLine="484" w:firstLineChars="202"/>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ascii="仿宋" w:hAnsi="仿宋" w:eastAsia="仿宋" w:cs="宋体"/>
          <w:color w:val="auto"/>
          <w:kern w:val="0"/>
          <w:sz w:val="24"/>
          <w:szCs w:val="24"/>
          <w:highlight w:val="none"/>
        </w:rPr>
      </w:pPr>
    </w:p>
    <w:p>
      <w:pPr>
        <w:autoSpaceDN w:val="0"/>
        <w:spacing w:line="360" w:lineRule="auto"/>
        <w:ind w:firstLine="336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附件：环境标志产品政府采购品目清单</w:t>
      </w:r>
    </w:p>
    <w:p>
      <w:pPr>
        <w:autoSpaceDN w:val="0"/>
        <w:spacing w:line="360" w:lineRule="auto"/>
        <w:ind w:firstLine="3360"/>
        <w:rPr>
          <w:rFonts w:ascii="仿宋" w:hAnsi="仿宋" w:eastAsia="仿宋" w:cs="宋体"/>
          <w:color w:val="auto"/>
          <w:kern w:val="0"/>
          <w:sz w:val="24"/>
          <w:szCs w:val="24"/>
          <w:highlight w:val="none"/>
        </w:rPr>
      </w:pP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   生态环境部</w:t>
      </w: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2019年3月29日</w:t>
      </w:r>
    </w:p>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附：环境标志产品政府采购品目清单</w:t>
      </w:r>
    </w:p>
    <w:tbl>
      <w:tblPr>
        <w:tblStyle w:val="61"/>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A0699其他家具</w:t>
            </w:r>
          </w:p>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HJ/T226建筑用塑料管材/HJ/T231 再生塑料制品</w:t>
            </w:r>
          </w:p>
        </w:tc>
      </w:tr>
    </w:tbl>
    <w:p>
      <w:pPr>
        <w:autoSpaceDN w:val="0"/>
        <w:spacing w:line="360" w:lineRule="auto"/>
        <w:ind w:left="-850" w:leftChars="-405" w:right="-1050" w:rightChars="-500" w:firstLine="436" w:firstLineChars="201"/>
        <w:rPr>
          <w:rFonts w:ascii="仿宋" w:hAnsi="仿宋" w:eastAsia="仿宋" w:cs="宋体"/>
          <w:color w:val="auto"/>
          <w:kern w:val="0"/>
          <w:sz w:val="24"/>
          <w:szCs w:val="24"/>
          <w:highlight w:val="none"/>
        </w:rPr>
      </w:pPr>
      <w:r>
        <w:rPr>
          <w:rFonts w:hint="eastAsia" w:ascii="仿宋" w:hAnsi="仿宋" w:eastAsia="仿宋" w:cs="宋体"/>
          <w:b/>
          <w:color w:val="auto"/>
          <w:w w:val="90"/>
          <w:sz w:val="24"/>
          <w:szCs w:val="24"/>
          <w:highlight w:val="none"/>
        </w:rPr>
        <w:t>注：环境标志产品认证应依据相关标准的最新版本。</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90" w:name="_Toc7668950"/>
      <w:bookmarkStart w:id="191" w:name="_Toc20358292"/>
      <w:bookmarkStart w:id="192" w:name="_Toc7492528"/>
      <w:bookmarkStart w:id="193" w:name="_Toc7574705"/>
      <w:bookmarkStart w:id="194" w:name="_Toc7993641"/>
      <w:bookmarkStart w:id="195" w:name="_Toc7988475"/>
      <w:bookmarkStart w:id="196" w:name="_Toc25765010"/>
      <w:bookmarkStart w:id="197" w:name="_Toc7488759"/>
      <w:bookmarkStart w:id="198" w:name="_Toc7664197"/>
      <w:bookmarkStart w:id="199" w:name="_Toc7663597"/>
      <w:bookmarkStart w:id="200" w:name="_Toc7542916"/>
      <w:bookmarkStart w:id="201" w:name="_Toc7988421"/>
      <w:bookmarkStart w:id="202" w:name="_Toc10432458"/>
      <w:bookmarkStart w:id="203" w:name="_Toc17428254"/>
      <w:bookmarkStart w:id="204" w:name="_Toc8007005"/>
      <w:bookmarkStart w:id="205" w:name="_Toc17428349"/>
      <w:bookmarkStart w:id="206" w:name="_Toc24471818"/>
      <w:r>
        <w:rPr>
          <w:rFonts w:hint="eastAsia" w:ascii="仿宋" w:hAnsi="仿宋" w:eastAsia="仿宋" w:cs="宋体"/>
          <w:b/>
          <w:bCs/>
          <w:color w:val="auto"/>
          <w:kern w:val="0"/>
          <w:sz w:val="24"/>
          <w:szCs w:val="24"/>
          <w:highlight w:val="none"/>
        </w:rPr>
        <w:t>四、市场监管总局关于发布参与实施政府采购节能产品、环境标志产品认证机构名录的公告（2019年第16号）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市场监管总局关于发布参与实施政府采购节能产品、环境</w:t>
      </w:r>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市场监管总局</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2019年4月3日</w:t>
      </w:r>
    </w:p>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b/>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北京赛西认证有限责任公司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中国网络安全审查技术与认证中心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北京泰瑞特认证有限责任公司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北京鉴衡认证中心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北京新华节水产品认证有限公司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bl>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中环联合（北京）认证中心有限公司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中标合信（北京）认证有限公司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中环协（北京）认证有限公司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天津华诚认证有限公司</w:t>
            </w:r>
          </w:p>
        </w:tc>
      </w:tr>
      <w:bookmarkEnd w:id="151"/>
      <w:bookmarkEnd w:id="152"/>
      <w:bookmarkEnd w:id="153"/>
      <w:bookmarkEnd w:id="154"/>
      <w:bookmarkEnd w:id="155"/>
    </w:tbl>
    <w:p>
      <w:pPr>
        <w:autoSpaceDN w:val="0"/>
        <w:rPr>
          <w:rFonts w:ascii="仿宋" w:hAnsi="仿宋" w:eastAsia="仿宋" w:cs="宋体"/>
          <w:b/>
          <w:bCs/>
          <w:color w:val="auto"/>
          <w:sz w:val="24"/>
          <w:szCs w:val="24"/>
          <w:highlight w:val="none"/>
        </w:rPr>
      </w:pPr>
    </w:p>
    <w:p>
      <w:pPr>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bookmarkEnd w:id="0"/>
    <w:p>
      <w:pPr>
        <w:rPr>
          <w:color w:val="auto"/>
          <w:highlight w:val="none"/>
        </w:rPr>
      </w:pPr>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Malgun Gothic Semilight"/>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7734"/>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6"/>
      <w:lvlText w:val="%1"/>
      <w:lvlJc w:val="left"/>
      <w:pPr>
        <w:ind w:left="704" w:hanging="420"/>
      </w:pPr>
      <w:rPr>
        <w:rFonts w:cs="Times New Roman"/>
      </w:rPr>
    </w:lvl>
    <w:lvl w:ilvl="1" w:tentative="0">
      <w:start w:val="1"/>
      <w:numFmt w:val="lowerLetter"/>
      <w:pStyle w:val="514"/>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4"/>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26"/>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YWVjYzNjM2Q3MDVlNWEzYWIwMjY4YzcyMTM0ZmU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2356D6A"/>
    <w:rsid w:val="028B4E8E"/>
    <w:rsid w:val="02925A61"/>
    <w:rsid w:val="02B1391C"/>
    <w:rsid w:val="02B96468"/>
    <w:rsid w:val="030B374D"/>
    <w:rsid w:val="0326440A"/>
    <w:rsid w:val="03443858"/>
    <w:rsid w:val="0369158A"/>
    <w:rsid w:val="041D6583"/>
    <w:rsid w:val="048E122E"/>
    <w:rsid w:val="04E23328"/>
    <w:rsid w:val="05065269"/>
    <w:rsid w:val="052D36E5"/>
    <w:rsid w:val="05EF03F3"/>
    <w:rsid w:val="0610493F"/>
    <w:rsid w:val="06147E59"/>
    <w:rsid w:val="062F6624"/>
    <w:rsid w:val="06541A9E"/>
    <w:rsid w:val="069F7DB0"/>
    <w:rsid w:val="06F2019A"/>
    <w:rsid w:val="06F86E33"/>
    <w:rsid w:val="06FC2DC7"/>
    <w:rsid w:val="07057522"/>
    <w:rsid w:val="071B5392"/>
    <w:rsid w:val="07224AC8"/>
    <w:rsid w:val="07807554"/>
    <w:rsid w:val="079925E1"/>
    <w:rsid w:val="07B54E60"/>
    <w:rsid w:val="07D94EB6"/>
    <w:rsid w:val="08A2799E"/>
    <w:rsid w:val="08B52B24"/>
    <w:rsid w:val="08F17D67"/>
    <w:rsid w:val="08FF6B9F"/>
    <w:rsid w:val="0949606C"/>
    <w:rsid w:val="094D790A"/>
    <w:rsid w:val="098502D3"/>
    <w:rsid w:val="09BE4C65"/>
    <w:rsid w:val="09D27A29"/>
    <w:rsid w:val="0A16757C"/>
    <w:rsid w:val="0A3E36F7"/>
    <w:rsid w:val="0A780FD3"/>
    <w:rsid w:val="0ADB7197"/>
    <w:rsid w:val="0AF3628F"/>
    <w:rsid w:val="0B064214"/>
    <w:rsid w:val="0B3C7C36"/>
    <w:rsid w:val="0BBC0505"/>
    <w:rsid w:val="0BE43E2A"/>
    <w:rsid w:val="0C6812D0"/>
    <w:rsid w:val="0C851169"/>
    <w:rsid w:val="0D3E56CD"/>
    <w:rsid w:val="0D4E1EA3"/>
    <w:rsid w:val="0DD979BE"/>
    <w:rsid w:val="0E48092C"/>
    <w:rsid w:val="0E545297"/>
    <w:rsid w:val="0E9B1118"/>
    <w:rsid w:val="0EEB2A4C"/>
    <w:rsid w:val="0F9A0092"/>
    <w:rsid w:val="101A2510"/>
    <w:rsid w:val="104B091B"/>
    <w:rsid w:val="1084221D"/>
    <w:rsid w:val="10B72A0C"/>
    <w:rsid w:val="10BB15FD"/>
    <w:rsid w:val="1102547E"/>
    <w:rsid w:val="112C0073"/>
    <w:rsid w:val="1152290F"/>
    <w:rsid w:val="1178361C"/>
    <w:rsid w:val="117A1879"/>
    <w:rsid w:val="118C512A"/>
    <w:rsid w:val="11F078CC"/>
    <w:rsid w:val="121B4BF4"/>
    <w:rsid w:val="129F0AAB"/>
    <w:rsid w:val="12AB56BA"/>
    <w:rsid w:val="13223BB5"/>
    <w:rsid w:val="136F5004"/>
    <w:rsid w:val="13731A92"/>
    <w:rsid w:val="13B567D8"/>
    <w:rsid w:val="13BD7245"/>
    <w:rsid w:val="14550A82"/>
    <w:rsid w:val="14884E2D"/>
    <w:rsid w:val="14BB6070"/>
    <w:rsid w:val="14D56A06"/>
    <w:rsid w:val="14EF3F6B"/>
    <w:rsid w:val="151856A7"/>
    <w:rsid w:val="15454D0E"/>
    <w:rsid w:val="15712BD2"/>
    <w:rsid w:val="158F12AA"/>
    <w:rsid w:val="16414353"/>
    <w:rsid w:val="17455FEB"/>
    <w:rsid w:val="17481711"/>
    <w:rsid w:val="1767603B"/>
    <w:rsid w:val="18131D1F"/>
    <w:rsid w:val="182F0E04"/>
    <w:rsid w:val="18C748B7"/>
    <w:rsid w:val="18C80D5B"/>
    <w:rsid w:val="18CE20EA"/>
    <w:rsid w:val="18DA283C"/>
    <w:rsid w:val="19566367"/>
    <w:rsid w:val="19575C3B"/>
    <w:rsid w:val="19894F54"/>
    <w:rsid w:val="19991019"/>
    <w:rsid w:val="19BB441C"/>
    <w:rsid w:val="19D52777"/>
    <w:rsid w:val="1A4C776A"/>
    <w:rsid w:val="1AC6751C"/>
    <w:rsid w:val="1AF1649A"/>
    <w:rsid w:val="1AFC6E58"/>
    <w:rsid w:val="1BEA2178"/>
    <w:rsid w:val="1BEE6D2B"/>
    <w:rsid w:val="1C281B11"/>
    <w:rsid w:val="1C2C7DBA"/>
    <w:rsid w:val="1C7E5859"/>
    <w:rsid w:val="1CE7377A"/>
    <w:rsid w:val="1D040DAB"/>
    <w:rsid w:val="1D4604F3"/>
    <w:rsid w:val="1D7C655F"/>
    <w:rsid w:val="1DF20628"/>
    <w:rsid w:val="1E1E36A6"/>
    <w:rsid w:val="1E4F5A7B"/>
    <w:rsid w:val="1E761FB4"/>
    <w:rsid w:val="1F0B19A2"/>
    <w:rsid w:val="1F15637C"/>
    <w:rsid w:val="1F371E52"/>
    <w:rsid w:val="1F427E7B"/>
    <w:rsid w:val="1FAE731F"/>
    <w:rsid w:val="1FF64A1D"/>
    <w:rsid w:val="2059498F"/>
    <w:rsid w:val="207B66B3"/>
    <w:rsid w:val="207D68CF"/>
    <w:rsid w:val="20904E15"/>
    <w:rsid w:val="21333432"/>
    <w:rsid w:val="21385966"/>
    <w:rsid w:val="217E4766"/>
    <w:rsid w:val="21D00C81"/>
    <w:rsid w:val="21D20555"/>
    <w:rsid w:val="21E8421C"/>
    <w:rsid w:val="22066484"/>
    <w:rsid w:val="223D3B7A"/>
    <w:rsid w:val="226E008B"/>
    <w:rsid w:val="22D958E1"/>
    <w:rsid w:val="22E83DA8"/>
    <w:rsid w:val="22FC115A"/>
    <w:rsid w:val="23775858"/>
    <w:rsid w:val="238B1783"/>
    <w:rsid w:val="239F5281"/>
    <w:rsid w:val="23CD2307"/>
    <w:rsid w:val="242C042C"/>
    <w:rsid w:val="248F1CB6"/>
    <w:rsid w:val="24E76A0D"/>
    <w:rsid w:val="25CA2314"/>
    <w:rsid w:val="265D4703"/>
    <w:rsid w:val="26704BBE"/>
    <w:rsid w:val="26C64400"/>
    <w:rsid w:val="26E33204"/>
    <w:rsid w:val="26EF2BC4"/>
    <w:rsid w:val="26F1147D"/>
    <w:rsid w:val="27455C6D"/>
    <w:rsid w:val="27572D81"/>
    <w:rsid w:val="27987C58"/>
    <w:rsid w:val="27B33F58"/>
    <w:rsid w:val="27B8643F"/>
    <w:rsid w:val="27FA7609"/>
    <w:rsid w:val="28127A77"/>
    <w:rsid w:val="28133675"/>
    <w:rsid w:val="283E1BE5"/>
    <w:rsid w:val="28420898"/>
    <w:rsid w:val="285C501C"/>
    <w:rsid w:val="28996270"/>
    <w:rsid w:val="28C055AB"/>
    <w:rsid w:val="290A5ABA"/>
    <w:rsid w:val="29493E47"/>
    <w:rsid w:val="29534B10"/>
    <w:rsid w:val="2A3049B2"/>
    <w:rsid w:val="2A391AB9"/>
    <w:rsid w:val="2A4B17EC"/>
    <w:rsid w:val="2ACB0237"/>
    <w:rsid w:val="2B326508"/>
    <w:rsid w:val="2B856638"/>
    <w:rsid w:val="2BDE1B3D"/>
    <w:rsid w:val="2C2C73FB"/>
    <w:rsid w:val="2C4D184B"/>
    <w:rsid w:val="2C5F157F"/>
    <w:rsid w:val="2C6B4AC3"/>
    <w:rsid w:val="2C730B86"/>
    <w:rsid w:val="2CCB6BEF"/>
    <w:rsid w:val="2CD226C8"/>
    <w:rsid w:val="2D23435A"/>
    <w:rsid w:val="2D7626DC"/>
    <w:rsid w:val="2D79220F"/>
    <w:rsid w:val="2EE43FBD"/>
    <w:rsid w:val="2F454A5C"/>
    <w:rsid w:val="2F741AF9"/>
    <w:rsid w:val="2FA96B3D"/>
    <w:rsid w:val="2FB054D4"/>
    <w:rsid w:val="30313232"/>
    <w:rsid w:val="306D4751"/>
    <w:rsid w:val="311F12DD"/>
    <w:rsid w:val="314C7B56"/>
    <w:rsid w:val="31501496"/>
    <w:rsid w:val="31AA32FC"/>
    <w:rsid w:val="31BA3142"/>
    <w:rsid w:val="31C14142"/>
    <w:rsid w:val="31D976DD"/>
    <w:rsid w:val="31ED3189"/>
    <w:rsid w:val="326A2A2B"/>
    <w:rsid w:val="32861A63"/>
    <w:rsid w:val="3291399D"/>
    <w:rsid w:val="3293373B"/>
    <w:rsid w:val="329B4993"/>
    <w:rsid w:val="33524AF4"/>
    <w:rsid w:val="343E1A7A"/>
    <w:rsid w:val="34A00986"/>
    <w:rsid w:val="34BD790F"/>
    <w:rsid w:val="350C7DCA"/>
    <w:rsid w:val="350E5DAF"/>
    <w:rsid w:val="352E1AEE"/>
    <w:rsid w:val="355879C5"/>
    <w:rsid w:val="35CC6F22"/>
    <w:rsid w:val="36015455"/>
    <w:rsid w:val="360B24B9"/>
    <w:rsid w:val="36127662"/>
    <w:rsid w:val="36335B90"/>
    <w:rsid w:val="364D6772"/>
    <w:rsid w:val="3666792F"/>
    <w:rsid w:val="367E6AA5"/>
    <w:rsid w:val="36857E34"/>
    <w:rsid w:val="36ED02CA"/>
    <w:rsid w:val="379A346B"/>
    <w:rsid w:val="379B25D7"/>
    <w:rsid w:val="37B025A2"/>
    <w:rsid w:val="37ED5C00"/>
    <w:rsid w:val="384004B6"/>
    <w:rsid w:val="389D2E4B"/>
    <w:rsid w:val="392B06F0"/>
    <w:rsid w:val="395D3A1B"/>
    <w:rsid w:val="396B70C2"/>
    <w:rsid w:val="397B72CC"/>
    <w:rsid w:val="3995213C"/>
    <w:rsid w:val="39964C0C"/>
    <w:rsid w:val="3A2C1FD8"/>
    <w:rsid w:val="3A2F2590"/>
    <w:rsid w:val="3A824DB6"/>
    <w:rsid w:val="3AD870A0"/>
    <w:rsid w:val="3B1E04A3"/>
    <w:rsid w:val="3B464036"/>
    <w:rsid w:val="3B5068F7"/>
    <w:rsid w:val="3B842468"/>
    <w:rsid w:val="3B887743"/>
    <w:rsid w:val="3B921D33"/>
    <w:rsid w:val="3B9C1EA7"/>
    <w:rsid w:val="3C2B135B"/>
    <w:rsid w:val="3C502C92"/>
    <w:rsid w:val="3C5A336A"/>
    <w:rsid w:val="3CC233F6"/>
    <w:rsid w:val="3CDB69FF"/>
    <w:rsid w:val="3CF47AC1"/>
    <w:rsid w:val="3D113ED7"/>
    <w:rsid w:val="3DD26D7F"/>
    <w:rsid w:val="3DEB4A20"/>
    <w:rsid w:val="3E2148E6"/>
    <w:rsid w:val="3E541694"/>
    <w:rsid w:val="3E64615F"/>
    <w:rsid w:val="3E6F7DAB"/>
    <w:rsid w:val="3E98746E"/>
    <w:rsid w:val="3E9C3F6D"/>
    <w:rsid w:val="3EC104C1"/>
    <w:rsid w:val="3EEB27FE"/>
    <w:rsid w:val="3FF73B50"/>
    <w:rsid w:val="40185F30"/>
    <w:rsid w:val="40750F19"/>
    <w:rsid w:val="40A47108"/>
    <w:rsid w:val="410706BB"/>
    <w:rsid w:val="415154E2"/>
    <w:rsid w:val="41753E74"/>
    <w:rsid w:val="42022339"/>
    <w:rsid w:val="426B77AA"/>
    <w:rsid w:val="42843695"/>
    <w:rsid w:val="442742D8"/>
    <w:rsid w:val="447119F7"/>
    <w:rsid w:val="44832FFF"/>
    <w:rsid w:val="44B034E0"/>
    <w:rsid w:val="44E06E90"/>
    <w:rsid w:val="44F87A23"/>
    <w:rsid w:val="45107462"/>
    <w:rsid w:val="45632161"/>
    <w:rsid w:val="45723C79"/>
    <w:rsid w:val="457C0654"/>
    <w:rsid w:val="458C4D3B"/>
    <w:rsid w:val="45B20519"/>
    <w:rsid w:val="463F0FEB"/>
    <w:rsid w:val="4654384D"/>
    <w:rsid w:val="466E4440"/>
    <w:rsid w:val="46853538"/>
    <w:rsid w:val="47512AB9"/>
    <w:rsid w:val="47527A52"/>
    <w:rsid w:val="478B5BE9"/>
    <w:rsid w:val="479F09BE"/>
    <w:rsid w:val="48074B4D"/>
    <w:rsid w:val="488A581A"/>
    <w:rsid w:val="48945CB4"/>
    <w:rsid w:val="48D72771"/>
    <w:rsid w:val="48ED216D"/>
    <w:rsid w:val="4A677B24"/>
    <w:rsid w:val="4A8174A6"/>
    <w:rsid w:val="4ABB5C20"/>
    <w:rsid w:val="4B3A44A1"/>
    <w:rsid w:val="4B712EE6"/>
    <w:rsid w:val="4B885FA4"/>
    <w:rsid w:val="4BB171F6"/>
    <w:rsid w:val="4BB8681F"/>
    <w:rsid w:val="4BD05870"/>
    <w:rsid w:val="4C0B2731"/>
    <w:rsid w:val="4C272D43"/>
    <w:rsid w:val="4C653BF0"/>
    <w:rsid w:val="4C8F3363"/>
    <w:rsid w:val="4C984320"/>
    <w:rsid w:val="4C9B1D07"/>
    <w:rsid w:val="4D074245"/>
    <w:rsid w:val="4D0B0C3B"/>
    <w:rsid w:val="4D730019"/>
    <w:rsid w:val="4D7B4228"/>
    <w:rsid w:val="4DBC0187"/>
    <w:rsid w:val="4DED0341"/>
    <w:rsid w:val="4F0A0A7E"/>
    <w:rsid w:val="4F245FE4"/>
    <w:rsid w:val="4F552641"/>
    <w:rsid w:val="4F555807"/>
    <w:rsid w:val="4FEB4D54"/>
    <w:rsid w:val="4FEE76AD"/>
    <w:rsid w:val="4FF04118"/>
    <w:rsid w:val="4FF57980"/>
    <w:rsid w:val="5023629C"/>
    <w:rsid w:val="502D4DCB"/>
    <w:rsid w:val="5066262C"/>
    <w:rsid w:val="51516E38"/>
    <w:rsid w:val="515B7CB7"/>
    <w:rsid w:val="51786173"/>
    <w:rsid w:val="51C43518"/>
    <w:rsid w:val="51D33A37"/>
    <w:rsid w:val="51DB3A12"/>
    <w:rsid w:val="52030738"/>
    <w:rsid w:val="520F39C4"/>
    <w:rsid w:val="528374C6"/>
    <w:rsid w:val="528E2CE3"/>
    <w:rsid w:val="52911BE2"/>
    <w:rsid w:val="5299786A"/>
    <w:rsid w:val="52B24DB9"/>
    <w:rsid w:val="52E837CD"/>
    <w:rsid w:val="53220A8C"/>
    <w:rsid w:val="532742F5"/>
    <w:rsid w:val="53806B14"/>
    <w:rsid w:val="53B8319F"/>
    <w:rsid w:val="540006A2"/>
    <w:rsid w:val="54E81862"/>
    <w:rsid w:val="54F209D1"/>
    <w:rsid w:val="55164621"/>
    <w:rsid w:val="55A31CC2"/>
    <w:rsid w:val="565A63C6"/>
    <w:rsid w:val="567A72D5"/>
    <w:rsid w:val="57790E97"/>
    <w:rsid w:val="578F06BB"/>
    <w:rsid w:val="579655A5"/>
    <w:rsid w:val="579752FC"/>
    <w:rsid w:val="57BB325E"/>
    <w:rsid w:val="57C2283E"/>
    <w:rsid w:val="57C87729"/>
    <w:rsid w:val="57F450C3"/>
    <w:rsid w:val="581666E6"/>
    <w:rsid w:val="582D6CCD"/>
    <w:rsid w:val="586121B4"/>
    <w:rsid w:val="58813437"/>
    <w:rsid w:val="58922210"/>
    <w:rsid w:val="589917F1"/>
    <w:rsid w:val="59314366"/>
    <w:rsid w:val="59525C4D"/>
    <w:rsid w:val="5A48414F"/>
    <w:rsid w:val="5A5C0D28"/>
    <w:rsid w:val="5AF03C74"/>
    <w:rsid w:val="5B9A0D03"/>
    <w:rsid w:val="5B9C33A6"/>
    <w:rsid w:val="5BA81D4B"/>
    <w:rsid w:val="5BBA55DA"/>
    <w:rsid w:val="5C190553"/>
    <w:rsid w:val="5C367B35"/>
    <w:rsid w:val="5C500B28"/>
    <w:rsid w:val="5C7C039B"/>
    <w:rsid w:val="5CF81C6E"/>
    <w:rsid w:val="5D1C19D8"/>
    <w:rsid w:val="5D256B55"/>
    <w:rsid w:val="5D706898"/>
    <w:rsid w:val="5DD40BD5"/>
    <w:rsid w:val="5DED58A9"/>
    <w:rsid w:val="5E40270F"/>
    <w:rsid w:val="5E783C56"/>
    <w:rsid w:val="5EEC45AB"/>
    <w:rsid w:val="5F437D21"/>
    <w:rsid w:val="5F5E475F"/>
    <w:rsid w:val="5F867F04"/>
    <w:rsid w:val="60363DC9"/>
    <w:rsid w:val="605B5D36"/>
    <w:rsid w:val="60A76A75"/>
    <w:rsid w:val="60B44CEE"/>
    <w:rsid w:val="60D12EC9"/>
    <w:rsid w:val="61176BE7"/>
    <w:rsid w:val="61700C3D"/>
    <w:rsid w:val="618D36C0"/>
    <w:rsid w:val="61AE5BE1"/>
    <w:rsid w:val="61E82EA1"/>
    <w:rsid w:val="62A72D5C"/>
    <w:rsid w:val="62BA151E"/>
    <w:rsid w:val="62C40459"/>
    <w:rsid w:val="62E10A89"/>
    <w:rsid w:val="63000BBC"/>
    <w:rsid w:val="633D0FCB"/>
    <w:rsid w:val="63CD05A1"/>
    <w:rsid w:val="63F26259"/>
    <w:rsid w:val="64430863"/>
    <w:rsid w:val="6458643A"/>
    <w:rsid w:val="646063F6"/>
    <w:rsid w:val="64680C55"/>
    <w:rsid w:val="646C600B"/>
    <w:rsid w:val="64B17EC2"/>
    <w:rsid w:val="65C50B86"/>
    <w:rsid w:val="65C60DEB"/>
    <w:rsid w:val="67492C4F"/>
    <w:rsid w:val="674E1D56"/>
    <w:rsid w:val="6751773B"/>
    <w:rsid w:val="675635B6"/>
    <w:rsid w:val="676A4358"/>
    <w:rsid w:val="67803B7C"/>
    <w:rsid w:val="67AD4D09"/>
    <w:rsid w:val="68833924"/>
    <w:rsid w:val="695F7AC2"/>
    <w:rsid w:val="696F0688"/>
    <w:rsid w:val="697469DA"/>
    <w:rsid w:val="6B00125C"/>
    <w:rsid w:val="6BEA35FD"/>
    <w:rsid w:val="6C91288D"/>
    <w:rsid w:val="6CE8198E"/>
    <w:rsid w:val="6CEB5F3B"/>
    <w:rsid w:val="6CF46B9E"/>
    <w:rsid w:val="6D0D53A0"/>
    <w:rsid w:val="6D1159A2"/>
    <w:rsid w:val="6D14184B"/>
    <w:rsid w:val="6D2F407A"/>
    <w:rsid w:val="6D8758DA"/>
    <w:rsid w:val="6D9E29F3"/>
    <w:rsid w:val="6E146DCC"/>
    <w:rsid w:val="6E3D16A6"/>
    <w:rsid w:val="6E4219E4"/>
    <w:rsid w:val="6E966AF8"/>
    <w:rsid w:val="6EBC193D"/>
    <w:rsid w:val="6F2F65B3"/>
    <w:rsid w:val="6F360946"/>
    <w:rsid w:val="6F4638FD"/>
    <w:rsid w:val="6F647FD2"/>
    <w:rsid w:val="6F9603E0"/>
    <w:rsid w:val="6FFB46E7"/>
    <w:rsid w:val="702A2EE5"/>
    <w:rsid w:val="7082629A"/>
    <w:rsid w:val="70A82003"/>
    <w:rsid w:val="7105409D"/>
    <w:rsid w:val="715916C6"/>
    <w:rsid w:val="71AF7A24"/>
    <w:rsid w:val="72895FDA"/>
    <w:rsid w:val="72E72D01"/>
    <w:rsid w:val="72F464CC"/>
    <w:rsid w:val="73AA2C22"/>
    <w:rsid w:val="73CF2113"/>
    <w:rsid w:val="73EF6311"/>
    <w:rsid w:val="74387CB8"/>
    <w:rsid w:val="74411194"/>
    <w:rsid w:val="744A543C"/>
    <w:rsid w:val="74B44E65"/>
    <w:rsid w:val="74DF1168"/>
    <w:rsid w:val="74FD6465"/>
    <w:rsid w:val="751007EA"/>
    <w:rsid w:val="7531025A"/>
    <w:rsid w:val="7551712E"/>
    <w:rsid w:val="758E71FE"/>
    <w:rsid w:val="75BD235C"/>
    <w:rsid w:val="75D141C0"/>
    <w:rsid w:val="75E17EDC"/>
    <w:rsid w:val="761A49D3"/>
    <w:rsid w:val="771816DB"/>
    <w:rsid w:val="772269FE"/>
    <w:rsid w:val="77297D8C"/>
    <w:rsid w:val="773724A9"/>
    <w:rsid w:val="77390BA8"/>
    <w:rsid w:val="776F1462"/>
    <w:rsid w:val="779416A9"/>
    <w:rsid w:val="77E84A4C"/>
    <w:rsid w:val="78172511"/>
    <w:rsid w:val="781A1483"/>
    <w:rsid w:val="78342545"/>
    <w:rsid w:val="789F75AD"/>
    <w:rsid w:val="78C049FB"/>
    <w:rsid w:val="78E734DC"/>
    <w:rsid w:val="78FA1106"/>
    <w:rsid w:val="79A56C45"/>
    <w:rsid w:val="79E47F9A"/>
    <w:rsid w:val="7A5E2B5E"/>
    <w:rsid w:val="7AC0574F"/>
    <w:rsid w:val="7AF63774"/>
    <w:rsid w:val="7B1526FE"/>
    <w:rsid w:val="7B3B1E3C"/>
    <w:rsid w:val="7B6E00A7"/>
    <w:rsid w:val="7B7D7929"/>
    <w:rsid w:val="7BD04C7A"/>
    <w:rsid w:val="7BFD3595"/>
    <w:rsid w:val="7C140119"/>
    <w:rsid w:val="7C217284"/>
    <w:rsid w:val="7C2211FF"/>
    <w:rsid w:val="7C3D41A1"/>
    <w:rsid w:val="7C502461"/>
    <w:rsid w:val="7C661E10"/>
    <w:rsid w:val="7CE72622"/>
    <w:rsid w:val="7D7A6BA6"/>
    <w:rsid w:val="7DBA7990"/>
    <w:rsid w:val="7DD547CA"/>
    <w:rsid w:val="7DDB4957"/>
    <w:rsid w:val="7E1C41A7"/>
    <w:rsid w:val="7E953F59"/>
    <w:rsid w:val="7EA30424"/>
    <w:rsid w:val="7EE84089"/>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6"/>
    <w:autoRedefine/>
    <w:qFormat/>
    <w:uiPriority w:val="0"/>
    <w:pPr>
      <w:keepNext/>
      <w:jc w:val="center"/>
      <w:outlineLvl w:val="0"/>
    </w:pPr>
    <w:rPr>
      <w:rFonts w:ascii="Times New Roman" w:hAnsi="Times New Roman" w:eastAsia="宋体" w:cs="Times New Roman"/>
      <w:b/>
      <w:bCs/>
      <w:kern w:val="0"/>
      <w:sz w:val="24"/>
      <w:szCs w:val="24"/>
    </w:rPr>
  </w:style>
  <w:style w:type="paragraph" w:styleId="4">
    <w:name w:val="heading 2"/>
    <w:basedOn w:val="1"/>
    <w:next w:val="1"/>
    <w:link w:val="77"/>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5">
    <w:name w:val="heading 3"/>
    <w:basedOn w:val="1"/>
    <w:next w:val="1"/>
    <w:link w:val="78"/>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6">
    <w:name w:val="heading 4"/>
    <w:basedOn w:val="1"/>
    <w:next w:val="1"/>
    <w:link w:val="79"/>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7">
    <w:name w:val="heading 5"/>
    <w:basedOn w:val="1"/>
    <w:next w:val="1"/>
    <w:link w:val="80"/>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8">
    <w:name w:val="heading 6"/>
    <w:next w:val="1"/>
    <w:link w:val="81"/>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9">
    <w:name w:val="heading 7"/>
    <w:next w:val="1"/>
    <w:link w:val="82"/>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0">
    <w:name w:val="heading 8"/>
    <w:next w:val="1"/>
    <w:link w:val="83"/>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1">
    <w:name w:val="heading 9"/>
    <w:basedOn w:val="1"/>
    <w:next w:val="1"/>
    <w:link w:val="84"/>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95"/>
    <w:autoRedefine/>
    <w:semiHidden/>
    <w:unhideWhenUsed/>
    <w:qFormat/>
    <w:uiPriority w:val="99"/>
    <w:pPr>
      <w:spacing w:after="120"/>
    </w:pPr>
    <w:rPr>
      <w:rFonts w:ascii="Times New Roman" w:hAnsi="Times New Roman" w:eastAsia="宋体" w:cs="Times New Roman"/>
      <w:kern w:val="0"/>
      <w:sz w:val="28"/>
      <w:szCs w:val="24"/>
    </w:rPr>
  </w:style>
  <w:style w:type="paragraph" w:styleId="12">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3">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4">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5">
    <w:name w:val="Normal Indent"/>
    <w:basedOn w:val="1"/>
    <w:link w:val="87"/>
    <w:autoRedefine/>
    <w:semiHidden/>
    <w:unhideWhenUsed/>
    <w:qFormat/>
    <w:uiPriority w:val="0"/>
    <w:pPr>
      <w:ind w:firstLine="420"/>
    </w:pPr>
  </w:style>
  <w:style w:type="paragraph" w:styleId="16">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7">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8">
    <w:name w:val="Document Map"/>
    <w:basedOn w:val="1"/>
    <w:link w:val="104"/>
    <w:autoRedefine/>
    <w:semiHidden/>
    <w:unhideWhenUsed/>
    <w:qFormat/>
    <w:uiPriority w:val="99"/>
    <w:pPr>
      <w:shd w:val="clear" w:color="auto" w:fill="000080"/>
    </w:pPr>
    <w:rPr>
      <w:rFonts w:ascii="宋体" w:hAnsi="Times New Roman" w:eastAsia="宋体" w:cs="Times New Roman"/>
      <w:sz w:val="18"/>
      <w:szCs w:val="18"/>
    </w:rPr>
  </w:style>
  <w:style w:type="paragraph" w:styleId="19">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0">
    <w:name w:val="annotation text"/>
    <w:basedOn w:val="1"/>
    <w:link w:val="710"/>
    <w:autoRedefine/>
    <w:semiHidden/>
    <w:unhideWhenUsed/>
    <w:qFormat/>
    <w:uiPriority w:val="99"/>
    <w:pPr>
      <w:jc w:val="left"/>
    </w:pPr>
    <w:rPr>
      <w:rFonts w:ascii="Times New Roman" w:hAnsi="Times New Roman" w:eastAsia="宋体" w:cs="Times New Roman"/>
      <w:kern w:val="0"/>
      <w:sz w:val="20"/>
      <w:szCs w:val="24"/>
    </w:rPr>
  </w:style>
  <w:style w:type="paragraph" w:styleId="21">
    <w:name w:val="Body Text 3"/>
    <w:basedOn w:val="1"/>
    <w:link w:val="101"/>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2">
    <w:name w:val="Body Text Indent"/>
    <w:basedOn w:val="1"/>
    <w:next w:val="23"/>
    <w:link w:val="96"/>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Body Text First Indent 2"/>
    <w:basedOn w:val="2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5"/>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98"/>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2"/>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2"/>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07"/>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1"/>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0"/>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4"/>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97"/>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88"/>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3"/>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0"/>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5"/>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3"/>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0"/>
    <w:next w:val="20"/>
    <w:link w:val="106"/>
    <w:autoRedefine/>
    <w:semiHidden/>
    <w:unhideWhenUsed/>
    <w:qFormat/>
    <w:uiPriority w:val="99"/>
    <w:rPr>
      <w:b/>
      <w:bCs/>
      <w:szCs w:val="20"/>
    </w:rPr>
  </w:style>
  <w:style w:type="paragraph" w:styleId="60">
    <w:name w:val="Body Text First Indent"/>
    <w:basedOn w:val="2"/>
    <w:next w:val="45"/>
    <w:link w:val="99"/>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6">
    <w:name w:val="标题 1 字符"/>
    <w:basedOn w:val="65"/>
    <w:link w:val="3"/>
    <w:autoRedefine/>
    <w:qFormat/>
    <w:uiPriority w:val="0"/>
    <w:rPr>
      <w:rFonts w:ascii="Times New Roman" w:hAnsi="Times New Roman" w:eastAsia="宋体" w:cs="Times New Roman"/>
      <w:b/>
      <w:bCs/>
      <w:kern w:val="0"/>
      <w:sz w:val="24"/>
      <w:szCs w:val="24"/>
    </w:rPr>
  </w:style>
  <w:style w:type="character" w:customStyle="1" w:styleId="77">
    <w:name w:val="标题 2 字符"/>
    <w:basedOn w:val="65"/>
    <w:link w:val="4"/>
    <w:autoRedefine/>
    <w:semiHidden/>
    <w:qFormat/>
    <w:uiPriority w:val="0"/>
    <w:rPr>
      <w:rFonts w:ascii="等线 Light" w:hAnsi="等线 Light" w:eastAsia="等线 Light" w:cs="Times New Roman"/>
      <w:b/>
      <w:bCs/>
      <w:sz w:val="32"/>
      <w:szCs w:val="32"/>
    </w:rPr>
  </w:style>
  <w:style w:type="character" w:customStyle="1" w:styleId="78">
    <w:name w:val="标题 3 字符"/>
    <w:basedOn w:val="65"/>
    <w:link w:val="5"/>
    <w:autoRedefine/>
    <w:semiHidden/>
    <w:qFormat/>
    <w:uiPriority w:val="0"/>
    <w:rPr>
      <w:rFonts w:ascii="Times New Roman" w:hAnsi="Times New Roman" w:eastAsia="宋体" w:cs="Times New Roman"/>
      <w:b/>
      <w:bCs/>
      <w:kern w:val="0"/>
      <w:sz w:val="32"/>
      <w:szCs w:val="32"/>
    </w:rPr>
  </w:style>
  <w:style w:type="character" w:customStyle="1" w:styleId="79">
    <w:name w:val="标题 4 字符"/>
    <w:basedOn w:val="65"/>
    <w:link w:val="6"/>
    <w:autoRedefine/>
    <w:semiHidden/>
    <w:qFormat/>
    <w:uiPriority w:val="0"/>
    <w:rPr>
      <w:rFonts w:ascii="Arial" w:hAnsi="Arial" w:eastAsia="黑体" w:cs="Times New Roman"/>
      <w:b/>
      <w:bCs/>
      <w:kern w:val="0"/>
      <w:sz w:val="28"/>
      <w:szCs w:val="28"/>
    </w:rPr>
  </w:style>
  <w:style w:type="character" w:customStyle="1" w:styleId="80">
    <w:name w:val="标题 5 字符"/>
    <w:basedOn w:val="65"/>
    <w:link w:val="7"/>
    <w:autoRedefine/>
    <w:semiHidden/>
    <w:qFormat/>
    <w:uiPriority w:val="0"/>
    <w:rPr>
      <w:rFonts w:ascii="Times New Roman" w:hAnsi="Times New Roman" w:eastAsia="宋体" w:cs="Times New Roman"/>
      <w:b/>
      <w:bCs/>
      <w:kern w:val="0"/>
      <w:sz w:val="28"/>
      <w:szCs w:val="28"/>
    </w:rPr>
  </w:style>
  <w:style w:type="character" w:customStyle="1" w:styleId="81">
    <w:name w:val="标题 6 字符"/>
    <w:basedOn w:val="65"/>
    <w:link w:val="8"/>
    <w:autoRedefine/>
    <w:semiHidden/>
    <w:qFormat/>
    <w:uiPriority w:val="0"/>
    <w:rPr>
      <w:rFonts w:ascii="Times New Roman" w:hAnsi="Times New Roman" w:eastAsia="宋体" w:cs="Times New Roman"/>
      <w:b/>
      <w:kern w:val="0"/>
      <w:szCs w:val="20"/>
    </w:rPr>
  </w:style>
  <w:style w:type="character" w:customStyle="1" w:styleId="82">
    <w:name w:val="标题 7 字符"/>
    <w:basedOn w:val="65"/>
    <w:link w:val="9"/>
    <w:autoRedefine/>
    <w:semiHidden/>
    <w:qFormat/>
    <w:uiPriority w:val="99"/>
    <w:rPr>
      <w:rFonts w:ascii="Times New Roman" w:hAnsi="Times New Roman" w:eastAsia="宋体" w:cs="Times New Roman"/>
      <w:kern w:val="0"/>
      <w:szCs w:val="20"/>
    </w:rPr>
  </w:style>
  <w:style w:type="character" w:customStyle="1" w:styleId="83">
    <w:name w:val="标题 8 字符"/>
    <w:basedOn w:val="65"/>
    <w:link w:val="10"/>
    <w:autoRedefine/>
    <w:semiHidden/>
    <w:qFormat/>
    <w:uiPriority w:val="99"/>
    <w:rPr>
      <w:rFonts w:ascii="Times New Roman" w:hAnsi="Times New Roman" w:eastAsia="宋体" w:cs="Times New Roman"/>
      <w:kern w:val="0"/>
      <w:szCs w:val="20"/>
    </w:rPr>
  </w:style>
  <w:style w:type="character" w:customStyle="1" w:styleId="84">
    <w:name w:val="标题 9 字符"/>
    <w:basedOn w:val="65"/>
    <w:link w:val="11"/>
    <w:autoRedefine/>
    <w:semiHidden/>
    <w:qFormat/>
    <w:uiPriority w:val="99"/>
    <w:rPr>
      <w:rFonts w:ascii="Arial" w:hAnsi="Arial" w:eastAsia="黑体" w:cs="Times New Roman"/>
      <w:kern w:val="0"/>
      <w:sz w:val="20"/>
      <w:szCs w:val="20"/>
    </w:rPr>
  </w:style>
  <w:style w:type="character" w:customStyle="1" w:styleId="85">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6">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7">
    <w:name w:val="正文缩进 字符"/>
    <w:link w:val="15"/>
    <w:autoRedefine/>
    <w:semiHidden/>
    <w:qFormat/>
    <w:locked/>
    <w:uiPriority w:val="0"/>
  </w:style>
  <w:style w:type="character" w:customStyle="1" w:styleId="88">
    <w:name w:val="脚注文本 字符"/>
    <w:basedOn w:val="65"/>
    <w:link w:val="44"/>
    <w:autoRedefine/>
    <w:semiHidden/>
    <w:qFormat/>
    <w:uiPriority w:val="99"/>
    <w:rPr>
      <w:rFonts w:ascii="Calibri" w:hAnsi="Calibri" w:eastAsia="宋体" w:cs="Times New Roman"/>
      <w:sz w:val="18"/>
      <w:szCs w:val="20"/>
    </w:rPr>
  </w:style>
  <w:style w:type="character" w:customStyle="1" w:styleId="89">
    <w:name w:val="批注文字 字符"/>
    <w:basedOn w:val="65"/>
    <w:autoRedefine/>
    <w:semiHidden/>
    <w:qFormat/>
    <w:uiPriority w:val="0"/>
  </w:style>
  <w:style w:type="character" w:customStyle="1" w:styleId="90">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1">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2">
    <w:name w:val="尾注文本 字符"/>
    <w:basedOn w:val="65"/>
    <w:link w:val="35"/>
    <w:autoRedefine/>
    <w:semiHidden/>
    <w:qFormat/>
    <w:uiPriority w:val="99"/>
    <w:rPr>
      <w:rFonts w:ascii="Calibri" w:hAnsi="Calibri" w:eastAsia="宋体" w:cs="Times New Roman"/>
      <w:szCs w:val="20"/>
    </w:rPr>
  </w:style>
  <w:style w:type="character" w:customStyle="1" w:styleId="93">
    <w:name w:val="标题 字符"/>
    <w:basedOn w:val="65"/>
    <w:link w:val="58"/>
    <w:autoRedefine/>
    <w:qFormat/>
    <w:uiPriority w:val="99"/>
    <w:rPr>
      <w:rFonts w:ascii="Cambria" w:hAnsi="Cambria" w:eastAsia="宋体" w:cs="Times New Roman"/>
      <w:b/>
      <w:bCs/>
      <w:kern w:val="0"/>
      <w:sz w:val="28"/>
      <w:szCs w:val="32"/>
    </w:rPr>
  </w:style>
  <w:style w:type="character" w:customStyle="1" w:styleId="94">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5">
    <w:name w:val="正文文本 字符"/>
    <w:basedOn w:val="65"/>
    <w:link w:val="2"/>
    <w:autoRedefine/>
    <w:semiHidden/>
    <w:qFormat/>
    <w:uiPriority w:val="99"/>
    <w:rPr>
      <w:rFonts w:ascii="Times New Roman" w:hAnsi="Times New Roman" w:eastAsia="宋体" w:cs="Times New Roman"/>
      <w:kern w:val="0"/>
      <w:sz w:val="28"/>
      <w:szCs w:val="24"/>
    </w:rPr>
  </w:style>
  <w:style w:type="character" w:customStyle="1" w:styleId="96">
    <w:name w:val="正文文本缩进 字符"/>
    <w:basedOn w:val="65"/>
    <w:link w:val="22"/>
    <w:autoRedefine/>
    <w:semiHidden/>
    <w:qFormat/>
    <w:uiPriority w:val="99"/>
    <w:rPr>
      <w:rFonts w:ascii="宋体" w:hAnsi="Courier New" w:eastAsia="宋体" w:cs="Times New Roman"/>
      <w:spacing w:val="-4"/>
      <w:kern w:val="0"/>
      <w:sz w:val="18"/>
      <w:szCs w:val="20"/>
    </w:rPr>
  </w:style>
  <w:style w:type="character" w:customStyle="1" w:styleId="97">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98">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99">
    <w:name w:val="正文文本首行缩进 字符"/>
    <w:basedOn w:val="95"/>
    <w:link w:val="60"/>
    <w:autoRedefine/>
    <w:semiHidden/>
    <w:qFormat/>
    <w:uiPriority w:val="99"/>
    <w:rPr>
      <w:rFonts w:ascii="Calibri" w:hAnsi="Calibri" w:eastAsia="宋体" w:cs="Times New Roman"/>
      <w:kern w:val="0"/>
      <w:sz w:val="28"/>
      <w:szCs w:val="24"/>
    </w:rPr>
  </w:style>
  <w:style w:type="character" w:customStyle="1" w:styleId="100">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1">
    <w:name w:val="正文文本 3 字符"/>
    <w:basedOn w:val="65"/>
    <w:link w:val="21"/>
    <w:autoRedefine/>
    <w:semiHidden/>
    <w:qFormat/>
    <w:uiPriority w:val="99"/>
    <w:rPr>
      <w:rFonts w:ascii="Times New Roman" w:hAnsi="宋体" w:eastAsia="仿宋_GB2312" w:cs="Times New Roman"/>
      <w:b/>
      <w:bCs/>
      <w:kern w:val="0"/>
      <w:sz w:val="24"/>
      <w:szCs w:val="20"/>
    </w:rPr>
  </w:style>
  <w:style w:type="character" w:customStyle="1" w:styleId="102">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3">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4">
    <w:name w:val="文档结构图 字符"/>
    <w:basedOn w:val="65"/>
    <w:link w:val="18"/>
    <w:autoRedefine/>
    <w:semiHidden/>
    <w:qFormat/>
    <w:uiPriority w:val="99"/>
    <w:rPr>
      <w:rFonts w:ascii="宋体" w:hAnsi="Times New Roman" w:eastAsia="宋体" w:cs="Times New Roman"/>
      <w:sz w:val="18"/>
      <w:szCs w:val="18"/>
      <w:shd w:val="clear" w:color="auto" w:fill="000080"/>
    </w:rPr>
  </w:style>
  <w:style w:type="character" w:customStyle="1" w:styleId="105">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6">
    <w:name w:val="批注主题 字符"/>
    <w:basedOn w:val="89"/>
    <w:link w:val="59"/>
    <w:autoRedefine/>
    <w:semiHidden/>
    <w:qFormat/>
    <w:uiPriority w:val="99"/>
    <w:rPr>
      <w:rFonts w:ascii="Times New Roman" w:hAnsi="Times New Roman" w:eastAsia="宋体" w:cs="Times New Roman"/>
      <w:b/>
      <w:bCs/>
      <w:kern w:val="0"/>
      <w:sz w:val="20"/>
      <w:szCs w:val="20"/>
    </w:rPr>
  </w:style>
  <w:style w:type="character" w:customStyle="1" w:styleId="107">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08">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09">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0">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1">
    <w:name w:val="Quote"/>
    <w:next w:val="1"/>
    <w:link w:val="112"/>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2">
    <w:name w:val="引用 字符"/>
    <w:basedOn w:val="65"/>
    <w:link w:val="111"/>
    <w:autoRedefine/>
    <w:qFormat/>
    <w:uiPriority w:val="99"/>
    <w:rPr>
      <w:rFonts w:ascii="Times New Roman" w:hAnsi="Times New Roman" w:eastAsia="宋体" w:cs="Times New Roman"/>
      <w:i/>
      <w:kern w:val="0"/>
      <w:szCs w:val="20"/>
    </w:rPr>
  </w:style>
  <w:style w:type="paragraph" w:styleId="113">
    <w:name w:val="Intense Quote"/>
    <w:next w:val="1"/>
    <w:link w:val="114"/>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4">
    <w:name w:val="明显引用 字符"/>
    <w:basedOn w:val="65"/>
    <w:link w:val="113"/>
    <w:autoRedefine/>
    <w:qFormat/>
    <w:uiPriority w:val="99"/>
    <w:rPr>
      <w:rFonts w:ascii="Times New Roman" w:hAnsi="Times New Roman" w:eastAsia="宋体" w:cs="Times New Roman"/>
      <w:i/>
      <w:kern w:val="0"/>
      <w:szCs w:val="20"/>
    </w:rPr>
  </w:style>
  <w:style w:type="paragraph" w:customStyle="1" w:styleId="115">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6">
    <w:name w:val="List Paragraph Char"/>
    <w:link w:val="117"/>
    <w:autoRedefine/>
    <w:qFormat/>
    <w:locked/>
    <w:uiPriority w:val="0"/>
    <w:rPr>
      <w:szCs w:val="24"/>
    </w:rPr>
  </w:style>
  <w:style w:type="paragraph" w:customStyle="1" w:styleId="117">
    <w:name w:val="列表段落1"/>
    <w:basedOn w:val="1"/>
    <w:link w:val="116"/>
    <w:autoRedefine/>
    <w:qFormat/>
    <w:uiPriority w:val="0"/>
    <w:pPr>
      <w:ind w:firstLine="420" w:firstLineChars="200"/>
    </w:pPr>
    <w:rPr>
      <w:szCs w:val="24"/>
    </w:rPr>
  </w:style>
  <w:style w:type="character" w:customStyle="1" w:styleId="118">
    <w:name w:val="目录3 Char"/>
    <w:link w:val="119"/>
    <w:autoRedefine/>
    <w:qFormat/>
    <w:locked/>
    <w:uiPriority w:val="99"/>
    <w:rPr>
      <w:rFonts w:ascii="宋体" w:hAnsi="宋体" w:eastAsia="宋体"/>
      <w:b/>
      <w:sz w:val="24"/>
    </w:rPr>
  </w:style>
  <w:style w:type="paragraph" w:customStyle="1" w:styleId="119">
    <w:name w:val="目录3"/>
    <w:basedOn w:val="1"/>
    <w:link w:val="118"/>
    <w:autoRedefine/>
    <w:qFormat/>
    <w:uiPriority w:val="99"/>
    <w:pPr>
      <w:adjustRightInd w:val="0"/>
      <w:snapToGrid w:val="0"/>
      <w:jc w:val="left"/>
    </w:pPr>
    <w:rPr>
      <w:rFonts w:ascii="宋体" w:hAnsi="宋体" w:eastAsia="宋体"/>
      <w:b/>
      <w:sz w:val="24"/>
    </w:rPr>
  </w:style>
  <w:style w:type="paragraph" w:customStyle="1" w:styleId="120">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1">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2">
    <w:name w:val="无间隔 Char"/>
    <w:link w:val="123"/>
    <w:autoRedefine/>
    <w:qFormat/>
    <w:locked/>
    <w:uiPriority w:val="0"/>
    <w:rPr>
      <w:rFonts w:ascii="Times New Roman" w:hAnsi="Times New Roman" w:eastAsia="Times New Roman" w:cs="Times New Roman"/>
      <w:szCs w:val="24"/>
    </w:rPr>
  </w:style>
  <w:style w:type="paragraph" w:customStyle="1" w:styleId="123">
    <w:name w:val="无间隔1"/>
    <w:link w:val="122"/>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4">
    <w:name w:val="普通文字 Char Char_0"/>
    <w:link w:val="125"/>
    <w:autoRedefine/>
    <w:qFormat/>
    <w:locked/>
    <w:uiPriority w:val="0"/>
    <w:rPr>
      <w:rFonts w:ascii="Arial Unicode MS" w:hAnsi="Arial Unicode MS" w:eastAsia="ヒラギノ角ゴ Pro W3"/>
      <w:color w:val="000000"/>
    </w:rPr>
  </w:style>
  <w:style w:type="paragraph" w:customStyle="1" w:styleId="125">
    <w:name w:val="纯文本_0"/>
    <w:link w:val="124"/>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6">
    <w:name w:val="样式1 Char Char"/>
    <w:link w:val="127"/>
    <w:autoRedefine/>
    <w:qFormat/>
    <w:locked/>
    <w:uiPriority w:val="0"/>
    <w:rPr>
      <w:rFonts w:ascii="宋体" w:hAnsi="宋体" w:eastAsia="宋体"/>
      <w:b/>
      <w:sz w:val="24"/>
    </w:rPr>
  </w:style>
  <w:style w:type="paragraph" w:customStyle="1" w:styleId="127">
    <w:name w:val="样式1"/>
    <w:basedOn w:val="1"/>
    <w:link w:val="126"/>
    <w:autoRedefine/>
    <w:qFormat/>
    <w:uiPriority w:val="0"/>
    <w:pPr>
      <w:spacing w:before="120" w:after="120" w:line="300" w:lineRule="auto"/>
    </w:pPr>
    <w:rPr>
      <w:rFonts w:ascii="宋体" w:hAnsi="宋体" w:eastAsia="宋体"/>
      <w:b/>
      <w:sz w:val="24"/>
    </w:rPr>
  </w:style>
  <w:style w:type="paragraph" w:customStyle="1" w:styleId="128">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纯文本 Char_0"/>
    <w:link w:val="130"/>
    <w:autoRedefine/>
    <w:qFormat/>
    <w:locked/>
    <w:uiPriority w:val="0"/>
    <w:rPr>
      <w:rFonts w:ascii="宋体" w:hAnsi="宋体" w:eastAsia="ヒラギノ角ゴ Pro W3"/>
      <w:color w:val="000000"/>
    </w:rPr>
  </w:style>
  <w:style w:type="paragraph" w:customStyle="1" w:styleId="130">
    <w:name w:val="纯文本_1"/>
    <w:link w:val="129"/>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1">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2">
    <w:name w:val="彩色网格 - 强调文字颜色 1 Char"/>
    <w:link w:val="133"/>
    <w:autoRedefine/>
    <w:qFormat/>
    <w:locked/>
    <w:uiPriority w:val="0"/>
    <w:rPr>
      <w:i/>
      <w:iCs/>
      <w:color w:val="000000"/>
    </w:rPr>
  </w:style>
  <w:style w:type="paragraph" w:customStyle="1" w:styleId="133">
    <w:name w:val="彩色网格 - 强调文字颜色 11"/>
    <w:basedOn w:val="1"/>
    <w:next w:val="1"/>
    <w:link w:val="132"/>
    <w:autoRedefine/>
    <w:qFormat/>
    <w:uiPriority w:val="0"/>
    <w:rPr>
      <w:i/>
      <w:iCs/>
      <w:color w:val="000000"/>
    </w:rPr>
  </w:style>
  <w:style w:type="character" w:customStyle="1" w:styleId="134">
    <w:name w:val="样式 纯文本普通文字 Char纯文本 Char Char普通文字纯文本 Char Char Char Char Char...6 Char Char"/>
    <w:link w:val="135"/>
    <w:autoRedefine/>
    <w:qFormat/>
    <w:locked/>
    <w:uiPriority w:val="0"/>
    <w:rPr>
      <w:rFonts w:ascii="宋体" w:hAnsi="Courier New" w:eastAsia="宋体"/>
      <w:color w:val="000000"/>
      <w:szCs w:val="21"/>
    </w:rPr>
  </w:style>
  <w:style w:type="paragraph" w:customStyle="1" w:styleId="135">
    <w:name w:val="样式 纯文本普通文字 Char纯文本 Char Char普通文字纯文本 Char Char Char Char Char...6"/>
    <w:basedOn w:val="30"/>
    <w:link w:val="134"/>
    <w:autoRedefine/>
    <w:qFormat/>
    <w:uiPriority w:val="0"/>
    <w:pPr>
      <w:spacing w:beforeLines="0" w:afterLines="0" w:line="240" w:lineRule="auto"/>
    </w:pPr>
    <w:rPr>
      <w:rFonts w:cstheme="minorBidi"/>
      <w:color w:val="000000"/>
      <w:kern w:val="2"/>
      <w:sz w:val="21"/>
      <w:szCs w:val="21"/>
    </w:rPr>
  </w:style>
  <w:style w:type="character" w:customStyle="1" w:styleId="136">
    <w:name w:val="引用 Char1"/>
    <w:link w:val="137"/>
    <w:autoRedefine/>
    <w:qFormat/>
    <w:locked/>
    <w:uiPriority w:val="0"/>
    <w:rPr>
      <w:i/>
      <w:iCs/>
      <w:color w:val="000000"/>
      <w:szCs w:val="24"/>
    </w:rPr>
  </w:style>
  <w:style w:type="paragraph" w:customStyle="1" w:styleId="137">
    <w:name w:val="引用1"/>
    <w:basedOn w:val="1"/>
    <w:next w:val="1"/>
    <w:link w:val="136"/>
    <w:autoRedefine/>
    <w:qFormat/>
    <w:uiPriority w:val="0"/>
    <w:rPr>
      <w:i/>
      <w:iCs/>
      <w:color w:val="000000"/>
      <w:szCs w:val="24"/>
    </w:rPr>
  </w:style>
  <w:style w:type="character" w:customStyle="1" w:styleId="138">
    <w:name w:val="标题4 Char Char"/>
    <w:link w:val="139"/>
    <w:autoRedefine/>
    <w:qFormat/>
    <w:locked/>
    <w:uiPriority w:val="0"/>
    <w:rPr>
      <w:rFonts w:ascii="Arial" w:hAnsi="Arial" w:cs="Arial"/>
      <w:b/>
      <w:bCs/>
      <w:sz w:val="24"/>
      <w:szCs w:val="32"/>
    </w:rPr>
  </w:style>
  <w:style w:type="paragraph" w:customStyle="1" w:styleId="139">
    <w:name w:val="标题4"/>
    <w:basedOn w:val="1"/>
    <w:link w:val="138"/>
    <w:autoRedefine/>
    <w:qFormat/>
    <w:uiPriority w:val="0"/>
    <w:rPr>
      <w:rFonts w:ascii="Arial" w:hAnsi="Arial" w:cs="Arial"/>
      <w:b/>
      <w:bCs/>
      <w:sz w:val="24"/>
      <w:szCs w:val="32"/>
    </w:rPr>
  </w:style>
  <w:style w:type="character" w:customStyle="1" w:styleId="140">
    <w:name w:val="明显引用 Char1"/>
    <w:link w:val="141"/>
    <w:autoRedefine/>
    <w:qFormat/>
    <w:locked/>
    <w:uiPriority w:val="0"/>
    <w:rPr>
      <w:b/>
      <w:bCs/>
      <w:i/>
      <w:iCs/>
      <w:color w:val="4F81BD"/>
      <w:szCs w:val="24"/>
    </w:rPr>
  </w:style>
  <w:style w:type="paragraph" w:customStyle="1" w:styleId="141">
    <w:name w:val="Intense Quote1"/>
    <w:basedOn w:val="1"/>
    <w:next w:val="1"/>
    <w:link w:val="140"/>
    <w:autoRedefine/>
    <w:qFormat/>
    <w:uiPriority w:val="0"/>
    <w:pPr>
      <w:pBdr>
        <w:bottom w:val="single" w:color="4F81BD" w:sz="4" w:space="4"/>
      </w:pBdr>
      <w:spacing w:before="200" w:after="280"/>
      <w:ind w:left="936" w:right="936"/>
    </w:pPr>
    <w:rPr>
      <w:b/>
      <w:bCs/>
      <w:i/>
      <w:iCs/>
      <w:color w:val="4F81BD"/>
      <w:szCs w:val="24"/>
    </w:rPr>
  </w:style>
  <w:style w:type="paragraph" w:customStyle="1" w:styleId="142">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3">
    <w:name w:val="标题5 Char Char"/>
    <w:link w:val="144"/>
    <w:autoRedefine/>
    <w:qFormat/>
    <w:locked/>
    <w:uiPriority w:val="0"/>
    <w:rPr>
      <w:rFonts w:ascii="Arial" w:hAnsi="Arial" w:cs="Arial"/>
      <w:b/>
      <w:bCs/>
      <w:sz w:val="24"/>
      <w:szCs w:val="32"/>
    </w:rPr>
  </w:style>
  <w:style w:type="paragraph" w:customStyle="1" w:styleId="144">
    <w:name w:val="标题5"/>
    <w:basedOn w:val="5"/>
    <w:link w:val="143"/>
    <w:autoRedefine/>
    <w:qFormat/>
    <w:uiPriority w:val="0"/>
    <w:pPr>
      <w:spacing w:line="412" w:lineRule="auto"/>
    </w:pPr>
    <w:rPr>
      <w:rFonts w:ascii="Arial" w:hAnsi="Arial" w:cs="Arial" w:eastAsiaTheme="minorEastAsia"/>
      <w:kern w:val="2"/>
      <w:sz w:val="24"/>
    </w:rPr>
  </w:style>
  <w:style w:type="character" w:customStyle="1" w:styleId="145">
    <w:name w:val="正文文字4 Char1_0"/>
    <w:link w:val="146"/>
    <w:autoRedefine/>
    <w:qFormat/>
    <w:locked/>
    <w:uiPriority w:val="0"/>
  </w:style>
  <w:style w:type="paragraph" w:customStyle="1" w:styleId="146">
    <w:name w:val="正文文本缩进_0"/>
    <w:basedOn w:val="131"/>
    <w:link w:val="145"/>
    <w:autoRedefine/>
    <w:qFormat/>
    <w:uiPriority w:val="0"/>
    <w:pPr>
      <w:spacing w:after="120"/>
      <w:ind w:left="420" w:leftChars="200"/>
    </w:pPr>
    <w:rPr>
      <w:rFonts w:asciiTheme="minorHAnsi" w:hAnsiTheme="minorHAnsi" w:eastAsiaTheme="minorEastAsia" w:cstheme="minorBidi"/>
    </w:rPr>
  </w:style>
  <w:style w:type="character" w:customStyle="1" w:styleId="147">
    <w:name w:val="内文 Char Char"/>
    <w:link w:val="148"/>
    <w:autoRedefine/>
    <w:qFormat/>
    <w:locked/>
    <w:uiPriority w:val="0"/>
    <w:rPr>
      <w:rFonts w:ascii="Arial" w:hAnsi="Arial" w:eastAsia="Times New Roman" w:cs="Arial"/>
      <w:szCs w:val="24"/>
    </w:rPr>
  </w:style>
  <w:style w:type="paragraph" w:customStyle="1" w:styleId="148">
    <w:name w:val="内文"/>
    <w:link w:val="147"/>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9">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普通文字 Char Char_1"/>
    <w:link w:val="151"/>
    <w:autoRedefine/>
    <w:qFormat/>
    <w:locked/>
    <w:uiPriority w:val="0"/>
    <w:rPr>
      <w:rFonts w:ascii="宋体" w:hAnsi="Courier New" w:eastAsia="宋体"/>
      <w:szCs w:val="21"/>
    </w:rPr>
  </w:style>
  <w:style w:type="paragraph" w:customStyle="1" w:styleId="151">
    <w:name w:val="纯文本_1_0"/>
    <w:basedOn w:val="142"/>
    <w:link w:val="150"/>
    <w:autoRedefine/>
    <w:qFormat/>
    <w:uiPriority w:val="0"/>
    <w:rPr>
      <w:rFonts w:ascii="宋体" w:hAnsi="Courier New" w:cstheme="minorBidi"/>
      <w:szCs w:val="21"/>
    </w:rPr>
  </w:style>
  <w:style w:type="paragraph" w:customStyle="1" w:styleId="152">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3">
    <w:name w:val="样式 正文文本 Char Char"/>
    <w:link w:val="154"/>
    <w:autoRedefine/>
    <w:qFormat/>
    <w:locked/>
    <w:uiPriority w:val="0"/>
    <w:rPr>
      <w:rFonts w:ascii="Arial" w:hAnsi="Arial" w:cs="Arial"/>
      <w:color w:val="000000"/>
    </w:rPr>
  </w:style>
  <w:style w:type="paragraph" w:customStyle="1" w:styleId="154">
    <w:name w:val="样式 正文文本"/>
    <w:basedOn w:val="1"/>
    <w:link w:val="153"/>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5">
    <w:name w:val="浅色底纹 - 强调文字颜色 2 Char"/>
    <w:link w:val="156"/>
    <w:autoRedefine/>
    <w:qFormat/>
    <w:locked/>
    <w:uiPriority w:val="0"/>
    <w:rPr>
      <w:b/>
      <w:bCs/>
      <w:i/>
      <w:iCs/>
      <w:color w:val="4F81BD"/>
    </w:rPr>
  </w:style>
  <w:style w:type="paragraph" w:customStyle="1" w:styleId="156">
    <w:name w:val="浅色底纹 - 强调文字颜色 21"/>
    <w:basedOn w:val="1"/>
    <w:next w:val="1"/>
    <w:link w:val="155"/>
    <w:autoRedefine/>
    <w:qFormat/>
    <w:uiPriority w:val="0"/>
    <w:pPr>
      <w:pBdr>
        <w:bottom w:val="single" w:color="4F81BD" w:sz="4" w:space="4"/>
      </w:pBdr>
      <w:spacing w:before="200" w:after="280"/>
      <w:ind w:left="936" w:right="936"/>
    </w:pPr>
    <w:rPr>
      <w:b/>
      <w:bCs/>
      <w:i/>
      <w:iCs/>
      <w:color w:val="4F81BD"/>
    </w:rPr>
  </w:style>
  <w:style w:type="character" w:customStyle="1" w:styleId="157">
    <w:name w:val="Intense Quote Char"/>
    <w:link w:val="158"/>
    <w:autoRedefine/>
    <w:qFormat/>
    <w:locked/>
    <w:uiPriority w:val="0"/>
    <w:rPr>
      <w:b/>
      <w:i/>
      <w:color w:val="4F81BD"/>
      <w:sz w:val="22"/>
    </w:rPr>
  </w:style>
  <w:style w:type="paragraph" w:customStyle="1" w:styleId="158">
    <w:name w:val="明显引用1"/>
    <w:basedOn w:val="1"/>
    <w:next w:val="1"/>
    <w:link w:val="157"/>
    <w:autoRedefine/>
    <w:qFormat/>
    <w:uiPriority w:val="0"/>
    <w:pPr>
      <w:pBdr>
        <w:bottom w:val="single" w:color="4F81BD" w:sz="4" w:space="4"/>
      </w:pBdr>
      <w:spacing w:before="200" w:after="280"/>
      <w:ind w:left="936" w:right="936"/>
    </w:pPr>
    <w:rPr>
      <w:b/>
      <w:i/>
      <w:color w:val="4F81BD"/>
      <w:sz w:val="22"/>
    </w:rPr>
  </w:style>
  <w:style w:type="character" w:customStyle="1" w:styleId="159">
    <w:name w:val="Default Char Char"/>
    <w:link w:val="160"/>
    <w:autoRedefine/>
    <w:qFormat/>
    <w:locked/>
    <w:uiPriority w:val="0"/>
    <w:rPr>
      <w:rFonts w:ascii="..ì." w:hAnsi="..ì." w:eastAsia="..ì." w:cs="..ì."/>
      <w:color w:val="000000"/>
      <w:sz w:val="24"/>
      <w:szCs w:val="24"/>
    </w:rPr>
  </w:style>
  <w:style w:type="paragraph" w:customStyle="1" w:styleId="160">
    <w:name w:val="Default"/>
    <w:link w:val="159"/>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1">
    <w:name w:val="Quote Char"/>
    <w:link w:val="162"/>
    <w:autoRedefine/>
    <w:qFormat/>
    <w:locked/>
    <w:uiPriority w:val="0"/>
    <w:rPr>
      <w:i/>
      <w:color w:val="000000"/>
      <w:sz w:val="22"/>
    </w:rPr>
  </w:style>
  <w:style w:type="paragraph" w:customStyle="1" w:styleId="162">
    <w:name w:val="引用11"/>
    <w:basedOn w:val="1"/>
    <w:next w:val="1"/>
    <w:link w:val="161"/>
    <w:autoRedefine/>
    <w:qFormat/>
    <w:uiPriority w:val="0"/>
    <w:rPr>
      <w:i/>
      <w:color w:val="000000"/>
      <w:sz w:val="22"/>
    </w:rPr>
  </w:style>
  <w:style w:type="character" w:customStyle="1" w:styleId="163">
    <w:name w:val="明显引用 Char"/>
    <w:link w:val="164"/>
    <w:autoRedefine/>
    <w:qFormat/>
    <w:locked/>
    <w:uiPriority w:val="0"/>
    <w:rPr>
      <w:b/>
      <w:bCs/>
      <w:i/>
      <w:iCs/>
      <w:color w:val="4F81BD"/>
    </w:rPr>
  </w:style>
  <w:style w:type="paragraph" w:customStyle="1" w:styleId="164">
    <w:name w:val="明显引用2"/>
    <w:basedOn w:val="1"/>
    <w:next w:val="1"/>
    <w:link w:val="163"/>
    <w:autoRedefine/>
    <w:qFormat/>
    <w:uiPriority w:val="0"/>
    <w:pPr>
      <w:pBdr>
        <w:bottom w:val="single" w:color="4F81BD" w:sz="4" w:space="4"/>
      </w:pBdr>
      <w:spacing w:before="200" w:after="280"/>
      <w:ind w:left="936" w:right="936"/>
    </w:pPr>
    <w:rPr>
      <w:b/>
      <w:bCs/>
      <w:i/>
      <w:iCs/>
      <w:color w:val="4F81BD"/>
    </w:rPr>
  </w:style>
  <w:style w:type="paragraph" w:customStyle="1" w:styleId="165">
    <w:name w:val="样式 标题 3 + (中文) 黑体 小四 非加粗 段前: 7.8 磅 段后: 0 磅 行距: 固定值 20 磅"/>
    <w:basedOn w:val="5"/>
    <w:autoRedefine/>
    <w:qFormat/>
    <w:uiPriority w:val="99"/>
    <w:pPr>
      <w:spacing w:before="0" w:after="0" w:line="400" w:lineRule="exact"/>
    </w:pPr>
    <w:rPr>
      <w:rFonts w:ascii="Calibri" w:hAnsi="Calibri" w:eastAsia="黑体" w:cs="宋体"/>
      <w:b w:val="0"/>
      <w:bCs w:val="0"/>
      <w:sz w:val="24"/>
      <w:szCs w:val="20"/>
    </w:rPr>
  </w:style>
  <w:style w:type="paragraph" w:customStyle="1" w:styleId="166">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67">
    <w:name w:val="ca-28"/>
    <w:basedOn w:val="1"/>
    <w:autoRedefine/>
    <w:qFormat/>
    <w:uiPriority w:val="99"/>
    <w:pPr>
      <w:widowControl/>
      <w:jc w:val="left"/>
    </w:pPr>
    <w:rPr>
      <w:rFonts w:ascii="宋体" w:hAnsi="宋体" w:eastAsia="宋体" w:cs="宋体"/>
      <w:color w:val="FF0000"/>
      <w:kern w:val="0"/>
      <w:szCs w:val="21"/>
    </w:rPr>
  </w:style>
  <w:style w:type="paragraph" w:customStyle="1" w:styleId="168">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0">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1">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2">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3">
    <w:name w:val="p0"/>
    <w:basedOn w:val="1"/>
    <w:autoRedefine/>
    <w:qFormat/>
    <w:uiPriority w:val="99"/>
    <w:pPr>
      <w:widowControl/>
    </w:pPr>
    <w:rPr>
      <w:rFonts w:ascii="Times New Roman" w:hAnsi="Times New Roman" w:eastAsia="宋体" w:cs="Times New Roman"/>
      <w:kern w:val="0"/>
      <w:szCs w:val="21"/>
    </w:rPr>
  </w:style>
  <w:style w:type="paragraph" w:customStyle="1" w:styleId="174">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5">
    <w:name w:val="标题 3_0"/>
    <w:next w:val="174"/>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6">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7">
    <w:name w:val="pa-129"/>
    <w:basedOn w:val="1"/>
    <w:autoRedefine/>
    <w:qFormat/>
    <w:uiPriority w:val="99"/>
    <w:pPr>
      <w:widowControl/>
      <w:spacing w:line="300" w:lineRule="atLeast"/>
    </w:pPr>
    <w:rPr>
      <w:rFonts w:ascii="宋体" w:hAnsi="宋体" w:eastAsia="宋体" w:cs="宋体"/>
      <w:kern w:val="0"/>
      <w:sz w:val="24"/>
    </w:rPr>
  </w:style>
  <w:style w:type="paragraph" w:customStyle="1" w:styleId="178">
    <w:name w:val="投标标题 2"/>
    <w:basedOn w:val="16"/>
    <w:autoRedefine/>
    <w:qFormat/>
    <w:uiPriority w:val="99"/>
    <w:pPr>
      <w:spacing w:before="0" w:after="0"/>
      <w:ind w:firstLine="6290" w:firstLineChars="2282"/>
    </w:pPr>
    <w:rPr>
      <w:rFonts w:ascii="Calibri" w:hAnsi="Calibri" w:cs="Times New Roman"/>
      <w:b/>
      <w:bCs/>
      <w:sz w:val="28"/>
      <w:szCs w:val="22"/>
    </w:rPr>
  </w:style>
  <w:style w:type="paragraph" w:customStyle="1" w:styleId="179">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0">
    <w:name w:val="Char Char Char Char"/>
    <w:basedOn w:val="1"/>
    <w:autoRedefine/>
    <w:qFormat/>
    <w:uiPriority w:val="99"/>
    <w:rPr>
      <w:rFonts w:ascii="Calibri" w:hAnsi="Calibri" w:eastAsia="宋体" w:cs="Times New Roman"/>
    </w:rPr>
  </w:style>
  <w:style w:type="paragraph" w:customStyle="1" w:styleId="181">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2">
    <w:name w:val="内文正文 Char"/>
    <w:link w:val="183"/>
    <w:autoRedefine/>
    <w:qFormat/>
    <w:locked/>
    <w:uiPriority w:val="0"/>
    <w:rPr>
      <w:rFonts w:ascii="宋体" w:hAnsi="???|CS?o｡ﾀ?" w:eastAsia="宋体"/>
      <w:szCs w:val="28"/>
    </w:rPr>
  </w:style>
  <w:style w:type="paragraph" w:customStyle="1" w:styleId="183">
    <w:name w:val="内文正文"/>
    <w:basedOn w:val="30"/>
    <w:link w:val="182"/>
    <w:autoRedefine/>
    <w:qFormat/>
    <w:uiPriority w:val="0"/>
    <w:pPr>
      <w:autoSpaceDE w:val="0"/>
      <w:autoSpaceDN w:val="0"/>
      <w:ind w:firstLine="200" w:firstLineChars="200"/>
    </w:pPr>
    <w:rPr>
      <w:rFonts w:hAnsi="???|CS?o｡ﾀ?" w:cstheme="minorBidi"/>
      <w:kern w:val="2"/>
      <w:sz w:val="21"/>
      <w:szCs w:val="28"/>
    </w:rPr>
  </w:style>
  <w:style w:type="paragraph" w:customStyle="1" w:styleId="184">
    <w:name w:val="Normal_21"/>
    <w:autoRedefine/>
    <w:qFormat/>
    <w:uiPriority w:val="99"/>
    <w:rPr>
      <w:rFonts w:ascii="黑体" w:hAnsi="黑体" w:eastAsia="黑体" w:cs="Times New Roman"/>
      <w:b/>
      <w:sz w:val="32"/>
      <w:szCs w:val="24"/>
      <w:lang w:val="en-US" w:eastAsia="zh-CN" w:bidi="ar-SA"/>
    </w:rPr>
  </w:style>
  <w:style w:type="paragraph" w:customStyle="1" w:styleId="185">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6">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7">
    <w:name w:val="pa-11"/>
    <w:basedOn w:val="1"/>
    <w:autoRedefine/>
    <w:qFormat/>
    <w:uiPriority w:val="99"/>
    <w:pPr>
      <w:widowControl/>
      <w:spacing w:line="280" w:lineRule="atLeast"/>
    </w:pPr>
    <w:rPr>
      <w:rFonts w:ascii="宋体" w:hAnsi="宋体" w:eastAsia="宋体" w:cs="宋体"/>
      <w:kern w:val="0"/>
      <w:sz w:val="24"/>
    </w:rPr>
  </w:style>
  <w:style w:type="paragraph" w:customStyle="1" w:styleId="188">
    <w:name w:val="pa-97"/>
    <w:basedOn w:val="1"/>
    <w:autoRedefine/>
    <w:qFormat/>
    <w:uiPriority w:val="99"/>
    <w:pPr>
      <w:widowControl/>
      <w:spacing w:line="720" w:lineRule="atLeast"/>
    </w:pPr>
    <w:rPr>
      <w:rFonts w:ascii="宋体" w:hAnsi="宋体" w:eastAsia="宋体" w:cs="宋体"/>
      <w:kern w:val="0"/>
      <w:sz w:val="24"/>
    </w:rPr>
  </w:style>
  <w:style w:type="paragraph" w:customStyle="1" w:styleId="189">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0">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1">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2">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3">
    <w:name w:val="Normal_18"/>
    <w:autoRedefine/>
    <w:qFormat/>
    <w:uiPriority w:val="99"/>
    <w:rPr>
      <w:rFonts w:ascii="黑体" w:hAnsi="黑体" w:eastAsia="黑体" w:cs="Times New Roman"/>
      <w:b/>
      <w:sz w:val="32"/>
      <w:szCs w:val="24"/>
      <w:lang w:val="en-US" w:eastAsia="zh-CN" w:bidi="ar-SA"/>
    </w:rPr>
  </w:style>
  <w:style w:type="paragraph" w:customStyle="1" w:styleId="194">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5">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197">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198">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9">
    <w:name w:val="页眉_0"/>
    <w:basedOn w:val="152"/>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0">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1">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2">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3">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4">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5">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6">
    <w:name w:val="pa-90"/>
    <w:basedOn w:val="1"/>
    <w:autoRedefine/>
    <w:qFormat/>
    <w:uiPriority w:val="99"/>
    <w:pPr>
      <w:widowControl/>
      <w:spacing w:line="280" w:lineRule="atLeast"/>
    </w:pPr>
    <w:rPr>
      <w:rFonts w:ascii="宋体" w:hAnsi="宋体" w:eastAsia="宋体" w:cs="宋体"/>
      <w:kern w:val="0"/>
      <w:sz w:val="24"/>
    </w:rPr>
  </w:style>
  <w:style w:type="paragraph" w:customStyle="1" w:styleId="207">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08">
    <w:name w:val="pa-78"/>
    <w:basedOn w:val="1"/>
    <w:autoRedefine/>
    <w:qFormat/>
    <w:uiPriority w:val="99"/>
    <w:pPr>
      <w:widowControl/>
      <w:spacing w:line="340" w:lineRule="atLeast"/>
    </w:pPr>
    <w:rPr>
      <w:rFonts w:ascii="宋体" w:hAnsi="宋体" w:eastAsia="宋体" w:cs="宋体"/>
      <w:kern w:val="0"/>
      <w:sz w:val="24"/>
    </w:rPr>
  </w:style>
  <w:style w:type="paragraph" w:customStyle="1" w:styleId="209">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0">
    <w:name w:val="pa-124"/>
    <w:basedOn w:val="1"/>
    <w:autoRedefine/>
    <w:qFormat/>
    <w:uiPriority w:val="99"/>
    <w:pPr>
      <w:widowControl/>
      <w:spacing w:line="760" w:lineRule="atLeast"/>
    </w:pPr>
    <w:rPr>
      <w:rFonts w:ascii="宋体" w:hAnsi="宋体" w:eastAsia="宋体" w:cs="宋体"/>
      <w:kern w:val="0"/>
      <w:sz w:val="24"/>
    </w:rPr>
  </w:style>
  <w:style w:type="paragraph" w:customStyle="1" w:styleId="211">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2">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3">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4">
    <w:name w:val="样式 正文缩进正文（首行缩进两字）特点ALT+Z表正文正文非缩进四号段1Normal Indent Char2..."/>
    <w:basedOn w:val="4"/>
    <w:next w:val="5"/>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5">
    <w:name w:val="Normal_0"/>
    <w:autoRedefine/>
    <w:qFormat/>
    <w:uiPriority w:val="99"/>
    <w:rPr>
      <w:rFonts w:ascii="黑体" w:hAnsi="黑体" w:eastAsia="黑体" w:cs="Times New Roman"/>
      <w:b/>
      <w:sz w:val="32"/>
      <w:szCs w:val="24"/>
      <w:lang w:val="en-US" w:eastAsia="zh-CN" w:bidi="ar-SA"/>
    </w:rPr>
  </w:style>
  <w:style w:type="paragraph" w:customStyle="1" w:styleId="216">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17">
    <w:name w:val="pa-12"/>
    <w:basedOn w:val="1"/>
    <w:autoRedefine/>
    <w:qFormat/>
    <w:uiPriority w:val="99"/>
    <w:pPr>
      <w:widowControl/>
      <w:spacing w:line="360" w:lineRule="atLeast"/>
    </w:pPr>
    <w:rPr>
      <w:rFonts w:ascii="宋体" w:hAnsi="宋体" w:eastAsia="宋体" w:cs="宋体"/>
      <w:kern w:val="0"/>
      <w:sz w:val="24"/>
    </w:rPr>
  </w:style>
  <w:style w:type="paragraph" w:customStyle="1" w:styleId="218">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9">
    <w:name w:val="pa-8"/>
    <w:basedOn w:val="1"/>
    <w:autoRedefine/>
    <w:qFormat/>
    <w:uiPriority w:val="99"/>
    <w:pPr>
      <w:widowControl/>
      <w:spacing w:line="360" w:lineRule="atLeast"/>
    </w:pPr>
    <w:rPr>
      <w:rFonts w:ascii="宋体" w:hAnsi="宋体" w:eastAsia="宋体" w:cs="宋体"/>
      <w:kern w:val="0"/>
      <w:sz w:val="24"/>
    </w:rPr>
  </w:style>
  <w:style w:type="paragraph" w:customStyle="1" w:styleId="220">
    <w:name w:val="样式 标题 1 + 黑体 三号 非加粗 居中 段前: 6 磅 段后: 6 磅 行距: 固定值 20 磅"/>
    <w:basedOn w:val="3"/>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1">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2">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3">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5">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6">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7">
    <w:name w:val="pa-61"/>
    <w:basedOn w:val="1"/>
    <w:autoRedefine/>
    <w:qFormat/>
    <w:uiPriority w:val="99"/>
    <w:pPr>
      <w:widowControl/>
      <w:spacing w:line="240" w:lineRule="atLeast"/>
    </w:pPr>
    <w:rPr>
      <w:rFonts w:ascii="宋体" w:hAnsi="宋体" w:eastAsia="宋体" w:cs="宋体"/>
      <w:kern w:val="0"/>
      <w:sz w:val="24"/>
    </w:rPr>
  </w:style>
  <w:style w:type="paragraph" w:customStyle="1" w:styleId="228">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29">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0">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1">
    <w:name w:val="pa-96"/>
    <w:basedOn w:val="1"/>
    <w:autoRedefine/>
    <w:qFormat/>
    <w:uiPriority w:val="99"/>
    <w:pPr>
      <w:widowControl/>
      <w:spacing w:line="480" w:lineRule="atLeast"/>
    </w:pPr>
    <w:rPr>
      <w:rFonts w:ascii="宋体" w:hAnsi="宋体" w:eastAsia="宋体" w:cs="宋体"/>
      <w:kern w:val="0"/>
      <w:sz w:val="24"/>
    </w:rPr>
  </w:style>
  <w:style w:type="paragraph" w:customStyle="1" w:styleId="232">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3">
    <w:name w:val="Normal_8"/>
    <w:autoRedefine/>
    <w:qFormat/>
    <w:uiPriority w:val="99"/>
    <w:rPr>
      <w:rFonts w:ascii="黑体" w:hAnsi="黑体" w:eastAsia="黑体" w:cs="Times New Roman"/>
      <w:b/>
      <w:sz w:val="32"/>
      <w:szCs w:val="24"/>
      <w:lang w:val="en-US" w:eastAsia="zh-CN" w:bidi="ar-SA"/>
    </w:rPr>
  </w:style>
  <w:style w:type="paragraph" w:customStyle="1" w:styleId="234">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5">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6">
    <w:name w:val="Normal_14"/>
    <w:autoRedefine/>
    <w:qFormat/>
    <w:uiPriority w:val="99"/>
    <w:rPr>
      <w:rFonts w:ascii="黑体" w:hAnsi="黑体" w:eastAsia="黑体" w:cs="Times New Roman"/>
      <w:b/>
      <w:sz w:val="32"/>
      <w:szCs w:val="24"/>
      <w:lang w:val="en-US" w:eastAsia="zh-CN" w:bidi="ar-SA"/>
    </w:rPr>
  </w:style>
  <w:style w:type="paragraph" w:customStyle="1" w:styleId="237">
    <w:name w:val="ca-21"/>
    <w:basedOn w:val="1"/>
    <w:autoRedefine/>
    <w:qFormat/>
    <w:uiPriority w:val="99"/>
    <w:pPr>
      <w:widowControl/>
      <w:jc w:val="left"/>
    </w:pPr>
    <w:rPr>
      <w:rFonts w:ascii="宋体" w:hAnsi="宋体" w:eastAsia="宋体" w:cs="宋体"/>
      <w:color w:val="000000"/>
      <w:kern w:val="0"/>
      <w:szCs w:val="21"/>
    </w:rPr>
  </w:style>
  <w:style w:type="paragraph" w:customStyle="1" w:styleId="238">
    <w:name w:val="样式 正文缩进正文（首行缩进两字）特点ALT+Z表正文正文非缩进四号段1Normal Indent Char2...1"/>
    <w:basedOn w:val="4"/>
    <w:autoRedefine/>
    <w:qFormat/>
    <w:uiPriority w:val="99"/>
    <w:pPr>
      <w:spacing w:before="1320" w:after="240" w:line="300" w:lineRule="auto"/>
      <w:jc w:val="center"/>
    </w:pPr>
    <w:rPr>
      <w:rFonts w:ascii="Arial" w:hAnsi="Arial" w:eastAsia="宋体"/>
      <w:bCs w:val="0"/>
      <w:kern w:val="0"/>
      <w:sz w:val="24"/>
      <w:szCs w:val="20"/>
    </w:rPr>
  </w:style>
  <w:style w:type="paragraph" w:customStyle="1" w:styleId="239">
    <w:name w:val="Normal_13"/>
    <w:autoRedefine/>
    <w:qFormat/>
    <w:uiPriority w:val="99"/>
    <w:rPr>
      <w:rFonts w:ascii="黑体" w:hAnsi="黑体" w:eastAsia="黑体" w:cs="Times New Roman"/>
      <w:b/>
      <w:sz w:val="32"/>
      <w:szCs w:val="24"/>
      <w:lang w:val="en-US" w:eastAsia="zh-CN" w:bidi="ar-SA"/>
    </w:rPr>
  </w:style>
  <w:style w:type="paragraph" w:customStyle="1" w:styleId="240">
    <w:name w:val="Normal_23"/>
    <w:autoRedefine/>
    <w:qFormat/>
    <w:uiPriority w:val="99"/>
    <w:rPr>
      <w:rFonts w:ascii="黑体" w:hAnsi="黑体" w:eastAsia="黑体" w:cs="Times New Roman"/>
      <w:b/>
      <w:sz w:val="32"/>
      <w:szCs w:val="24"/>
      <w:lang w:val="en-US" w:eastAsia="zh-CN" w:bidi="ar-SA"/>
    </w:rPr>
  </w:style>
  <w:style w:type="paragraph" w:customStyle="1" w:styleId="241">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2">
    <w:name w:val="Char Char1 Char"/>
    <w:basedOn w:val="1"/>
    <w:autoRedefine/>
    <w:qFormat/>
    <w:uiPriority w:val="99"/>
    <w:rPr>
      <w:rFonts w:ascii="Calibri" w:hAnsi="Calibri" w:eastAsia="宋体" w:cs="Times New Roman"/>
    </w:rPr>
  </w:style>
  <w:style w:type="paragraph" w:customStyle="1" w:styleId="243">
    <w:name w:val="Normal_4"/>
    <w:autoRedefine/>
    <w:qFormat/>
    <w:uiPriority w:val="99"/>
    <w:rPr>
      <w:rFonts w:ascii="黑体" w:hAnsi="黑体" w:eastAsia="黑体" w:cs="Times New Roman"/>
      <w:b/>
      <w:sz w:val="32"/>
      <w:szCs w:val="24"/>
      <w:lang w:val="en-US" w:eastAsia="zh-CN" w:bidi="ar-SA"/>
    </w:rPr>
  </w:style>
  <w:style w:type="paragraph" w:customStyle="1" w:styleId="244">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5">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6">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47">
    <w:name w:val="Normal_22"/>
    <w:autoRedefine/>
    <w:qFormat/>
    <w:uiPriority w:val="99"/>
    <w:rPr>
      <w:rFonts w:ascii="黑体" w:hAnsi="黑体" w:eastAsia="黑体" w:cs="Times New Roman"/>
      <w:b/>
      <w:sz w:val="32"/>
      <w:szCs w:val="24"/>
      <w:lang w:val="en-US" w:eastAsia="zh-CN" w:bidi="ar-SA"/>
    </w:rPr>
  </w:style>
  <w:style w:type="paragraph" w:customStyle="1" w:styleId="248">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9">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0">
    <w:name w:val="ca-30"/>
    <w:basedOn w:val="1"/>
    <w:autoRedefine/>
    <w:qFormat/>
    <w:uiPriority w:val="99"/>
    <w:pPr>
      <w:widowControl/>
      <w:jc w:val="left"/>
    </w:pPr>
    <w:rPr>
      <w:rFonts w:ascii="??" w:hAnsi="??" w:eastAsia="宋体" w:cs="宋体"/>
      <w:color w:val="002060"/>
      <w:kern w:val="0"/>
      <w:szCs w:val="21"/>
    </w:rPr>
  </w:style>
  <w:style w:type="paragraph" w:customStyle="1" w:styleId="251">
    <w:name w:val="pa-13"/>
    <w:basedOn w:val="1"/>
    <w:autoRedefine/>
    <w:qFormat/>
    <w:uiPriority w:val="99"/>
    <w:pPr>
      <w:widowControl/>
      <w:spacing w:line="360" w:lineRule="atLeast"/>
    </w:pPr>
    <w:rPr>
      <w:rFonts w:ascii="宋体" w:hAnsi="宋体" w:eastAsia="宋体" w:cs="宋体"/>
      <w:kern w:val="0"/>
      <w:sz w:val="24"/>
    </w:rPr>
  </w:style>
  <w:style w:type="paragraph" w:customStyle="1" w:styleId="252">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3">
    <w:name w:val="pa-16"/>
    <w:basedOn w:val="1"/>
    <w:autoRedefine/>
    <w:qFormat/>
    <w:uiPriority w:val="99"/>
    <w:pPr>
      <w:widowControl/>
      <w:spacing w:line="240" w:lineRule="atLeast"/>
    </w:pPr>
    <w:rPr>
      <w:rFonts w:ascii="宋体" w:hAnsi="宋体" w:eastAsia="宋体" w:cs="宋体"/>
      <w:kern w:val="0"/>
      <w:sz w:val="24"/>
    </w:rPr>
  </w:style>
  <w:style w:type="paragraph" w:customStyle="1" w:styleId="254">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5">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6">
    <w:name w:val="ca-29"/>
    <w:basedOn w:val="1"/>
    <w:autoRedefine/>
    <w:qFormat/>
    <w:uiPriority w:val="99"/>
    <w:pPr>
      <w:widowControl/>
      <w:jc w:val="left"/>
    </w:pPr>
    <w:rPr>
      <w:rFonts w:ascii="宋体" w:hAnsi="宋体" w:eastAsia="宋体" w:cs="宋体"/>
      <w:color w:val="7030A0"/>
      <w:kern w:val="0"/>
      <w:szCs w:val="21"/>
    </w:rPr>
  </w:style>
  <w:style w:type="paragraph" w:customStyle="1" w:styleId="257">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58">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59">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0">
    <w:name w:val="样式 正文缩进正文（首行缩进两字）特点ALT+Z表正文正文非缩进四号段1Normal Indent Char2...2"/>
    <w:basedOn w:val="5"/>
    <w:autoRedefine/>
    <w:qFormat/>
    <w:uiPriority w:val="99"/>
    <w:pPr>
      <w:spacing w:before="360" w:after="120" w:line="360" w:lineRule="auto"/>
      <w:jc w:val="center"/>
    </w:pPr>
    <w:rPr>
      <w:rFonts w:ascii="宋体" w:hAnsi="宋体"/>
      <w:bCs w:val="0"/>
      <w:sz w:val="28"/>
      <w:szCs w:val="20"/>
    </w:rPr>
  </w:style>
  <w:style w:type="paragraph" w:customStyle="1" w:styleId="261">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2">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3">
    <w:name w:val="标题A"/>
    <w:basedOn w:val="3"/>
    <w:autoRedefine/>
    <w:qFormat/>
    <w:uiPriority w:val="99"/>
    <w:pPr>
      <w:keepLines/>
      <w:adjustRightInd w:val="0"/>
      <w:spacing w:before="100" w:beforeAutospacing="1" w:after="60"/>
    </w:pPr>
    <w:rPr>
      <w:rFonts w:ascii="Arial" w:hAnsi="Arial"/>
      <w:kern w:val="44"/>
      <w:sz w:val="28"/>
      <w:szCs w:val="44"/>
    </w:rPr>
  </w:style>
  <w:style w:type="paragraph" w:customStyle="1" w:styleId="264">
    <w:name w:val="Normal_19"/>
    <w:autoRedefine/>
    <w:qFormat/>
    <w:uiPriority w:val="99"/>
    <w:rPr>
      <w:rFonts w:ascii="黑体" w:hAnsi="黑体" w:eastAsia="黑体" w:cs="Times New Roman"/>
      <w:b/>
      <w:sz w:val="32"/>
      <w:szCs w:val="24"/>
      <w:lang w:val="en-US" w:eastAsia="zh-CN" w:bidi="ar-SA"/>
    </w:rPr>
  </w:style>
  <w:style w:type="paragraph" w:customStyle="1" w:styleId="265">
    <w:name w:val="纯文本_2"/>
    <w:basedOn w:val="1"/>
    <w:autoRedefine/>
    <w:qFormat/>
    <w:uiPriority w:val="99"/>
    <w:rPr>
      <w:rFonts w:ascii="宋体" w:hAnsi="Courier New" w:eastAsia="宋体" w:cs="Times New Roman"/>
      <w:szCs w:val="21"/>
    </w:rPr>
  </w:style>
  <w:style w:type="paragraph" w:customStyle="1" w:styleId="266">
    <w:name w:val="pa-80"/>
    <w:basedOn w:val="1"/>
    <w:autoRedefine/>
    <w:qFormat/>
    <w:uiPriority w:val="99"/>
    <w:pPr>
      <w:widowControl/>
      <w:spacing w:line="360" w:lineRule="atLeast"/>
    </w:pPr>
    <w:rPr>
      <w:rFonts w:ascii="宋体" w:hAnsi="宋体" w:eastAsia="宋体" w:cs="宋体"/>
      <w:kern w:val="0"/>
      <w:sz w:val="24"/>
    </w:rPr>
  </w:style>
  <w:style w:type="paragraph" w:customStyle="1" w:styleId="267">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8">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9">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0">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2">
    <w:name w:val="Char_0"/>
    <w:basedOn w:val="1"/>
    <w:autoRedefine/>
    <w:qFormat/>
    <w:uiPriority w:val="99"/>
    <w:rPr>
      <w:rFonts w:ascii="Tahoma" w:hAnsi="Tahoma" w:eastAsia="宋体" w:cs="Times New Roman"/>
      <w:sz w:val="24"/>
      <w:szCs w:val="20"/>
    </w:rPr>
  </w:style>
  <w:style w:type="paragraph" w:customStyle="1" w:styleId="273">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4">
    <w:name w:val="pa-100"/>
    <w:basedOn w:val="1"/>
    <w:autoRedefine/>
    <w:qFormat/>
    <w:uiPriority w:val="99"/>
    <w:pPr>
      <w:widowControl/>
      <w:spacing w:line="300" w:lineRule="atLeast"/>
    </w:pPr>
    <w:rPr>
      <w:rFonts w:ascii="宋体" w:hAnsi="宋体" w:eastAsia="宋体" w:cs="宋体"/>
      <w:kern w:val="0"/>
      <w:sz w:val="24"/>
    </w:rPr>
  </w:style>
  <w:style w:type="paragraph" w:customStyle="1" w:styleId="275">
    <w:name w:val="ca-49"/>
    <w:basedOn w:val="1"/>
    <w:autoRedefine/>
    <w:qFormat/>
    <w:uiPriority w:val="99"/>
    <w:pPr>
      <w:widowControl/>
      <w:jc w:val="left"/>
    </w:pPr>
    <w:rPr>
      <w:rFonts w:ascii="宋体" w:hAnsi="宋体" w:eastAsia="宋体" w:cs="宋体"/>
      <w:kern w:val="0"/>
      <w:sz w:val="32"/>
      <w:szCs w:val="32"/>
    </w:rPr>
  </w:style>
  <w:style w:type="character" w:customStyle="1" w:styleId="276">
    <w:name w:val="Blockquote Char"/>
    <w:link w:val="277"/>
    <w:autoRedefine/>
    <w:qFormat/>
    <w:locked/>
    <w:uiPriority w:val="0"/>
    <w:rPr>
      <w:rFonts w:ascii="Calibri" w:hAnsi="Calibri" w:cs="Calibri"/>
      <w:sz w:val="24"/>
    </w:rPr>
  </w:style>
  <w:style w:type="paragraph" w:customStyle="1" w:styleId="277">
    <w:name w:val="Blockquote"/>
    <w:basedOn w:val="1"/>
    <w:link w:val="276"/>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8">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9">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0">
    <w:name w:val="Normal_15"/>
    <w:autoRedefine/>
    <w:qFormat/>
    <w:uiPriority w:val="99"/>
    <w:rPr>
      <w:rFonts w:ascii="黑体" w:hAnsi="黑体" w:eastAsia="黑体" w:cs="Times New Roman"/>
      <w:b/>
      <w:sz w:val="32"/>
      <w:szCs w:val="24"/>
      <w:lang w:val="en-US" w:eastAsia="zh-CN" w:bidi="ar-SA"/>
    </w:rPr>
  </w:style>
  <w:style w:type="paragraph" w:customStyle="1" w:styleId="281">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2">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3">
    <w:name w:val="pa-40"/>
    <w:basedOn w:val="1"/>
    <w:autoRedefine/>
    <w:qFormat/>
    <w:uiPriority w:val="99"/>
    <w:pPr>
      <w:widowControl/>
      <w:spacing w:line="280" w:lineRule="atLeast"/>
    </w:pPr>
    <w:rPr>
      <w:rFonts w:ascii="宋体" w:hAnsi="宋体" w:eastAsia="宋体" w:cs="宋体"/>
      <w:kern w:val="0"/>
      <w:sz w:val="24"/>
    </w:rPr>
  </w:style>
  <w:style w:type="paragraph" w:customStyle="1" w:styleId="284">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5">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6">
    <w:name w:val="pa-109"/>
    <w:basedOn w:val="1"/>
    <w:autoRedefine/>
    <w:qFormat/>
    <w:uiPriority w:val="99"/>
    <w:pPr>
      <w:widowControl/>
      <w:spacing w:line="280" w:lineRule="atLeast"/>
    </w:pPr>
    <w:rPr>
      <w:rFonts w:ascii="宋体" w:hAnsi="宋体" w:eastAsia="宋体" w:cs="宋体"/>
      <w:kern w:val="0"/>
      <w:sz w:val="24"/>
    </w:rPr>
  </w:style>
  <w:style w:type="paragraph" w:customStyle="1" w:styleId="287">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88">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89">
    <w:name w:val="标题 1_0"/>
    <w:next w:val="174"/>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0">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1">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2">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3">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4">
    <w:name w:val="Char Char1 Char_0"/>
    <w:basedOn w:val="1"/>
    <w:autoRedefine/>
    <w:qFormat/>
    <w:uiPriority w:val="99"/>
    <w:rPr>
      <w:rFonts w:ascii="Calibri" w:hAnsi="Calibri" w:eastAsia="宋体" w:cs="Times New Roman"/>
    </w:rPr>
  </w:style>
  <w:style w:type="paragraph" w:customStyle="1" w:styleId="295">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6">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7">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298">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299">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0">
    <w:name w:val="样式 标题 3h33rd level3l3CTLevel 3 Topic Headingsect1.2.3Hea..."/>
    <w:basedOn w:val="5"/>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1">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2">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3">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4">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07">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8">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09">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0">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1">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2">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3">
    <w:name w:val="样式 标题 1 + 宋体 居中 段前: 48 磅 段后: 12 磅 行距: 1.5 倍行距"/>
    <w:basedOn w:val="3"/>
    <w:autoRedefine/>
    <w:qFormat/>
    <w:uiPriority w:val="99"/>
    <w:pPr>
      <w:keepLines/>
      <w:spacing w:before="1560" w:after="240" w:line="360" w:lineRule="auto"/>
    </w:pPr>
    <w:rPr>
      <w:rFonts w:ascii="宋体" w:hAnsi="宋体"/>
      <w:b w:val="0"/>
      <w:bCs w:val="0"/>
      <w:sz w:val="36"/>
      <w:szCs w:val="20"/>
    </w:rPr>
  </w:style>
  <w:style w:type="paragraph" w:customStyle="1" w:styleId="314">
    <w:name w:val="ca-24"/>
    <w:basedOn w:val="1"/>
    <w:autoRedefine/>
    <w:qFormat/>
    <w:uiPriority w:val="99"/>
    <w:pPr>
      <w:widowControl/>
      <w:jc w:val="left"/>
    </w:pPr>
    <w:rPr>
      <w:rFonts w:ascii="宋体" w:hAnsi="宋体" w:eastAsia="宋体" w:cs="宋体"/>
      <w:kern w:val="0"/>
      <w:sz w:val="24"/>
    </w:rPr>
  </w:style>
  <w:style w:type="paragraph" w:customStyle="1" w:styleId="315">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6">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7">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18">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19">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0">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1">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2">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3">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4">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5">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6">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7">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8">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29">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0">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1">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2">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3">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4">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5">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6">
    <w:name w:val="ca-15"/>
    <w:basedOn w:val="1"/>
    <w:autoRedefine/>
    <w:qFormat/>
    <w:uiPriority w:val="99"/>
    <w:pPr>
      <w:widowControl/>
      <w:jc w:val="left"/>
    </w:pPr>
    <w:rPr>
      <w:rFonts w:ascii="宋体" w:hAnsi="宋体" w:eastAsia="宋体" w:cs="宋体"/>
      <w:caps/>
      <w:color w:val="000000"/>
      <w:kern w:val="0"/>
      <w:sz w:val="24"/>
    </w:rPr>
  </w:style>
  <w:style w:type="paragraph" w:customStyle="1" w:styleId="337">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38">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39">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0">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1">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2">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3">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4">
    <w:name w:val="ca-20"/>
    <w:basedOn w:val="1"/>
    <w:autoRedefine/>
    <w:qFormat/>
    <w:uiPriority w:val="99"/>
    <w:pPr>
      <w:widowControl/>
      <w:jc w:val="left"/>
    </w:pPr>
    <w:rPr>
      <w:rFonts w:ascii="??" w:hAnsi="??" w:eastAsia="宋体" w:cs="宋体"/>
      <w:color w:val="000000"/>
      <w:kern w:val="0"/>
      <w:sz w:val="18"/>
      <w:szCs w:val="18"/>
    </w:rPr>
  </w:style>
  <w:style w:type="paragraph" w:customStyle="1" w:styleId="345">
    <w:name w:val="Normal_10"/>
    <w:autoRedefine/>
    <w:qFormat/>
    <w:uiPriority w:val="99"/>
    <w:rPr>
      <w:rFonts w:ascii="黑体" w:hAnsi="黑体" w:eastAsia="黑体" w:cs="Times New Roman"/>
      <w:b/>
      <w:sz w:val="32"/>
      <w:szCs w:val="24"/>
      <w:lang w:val="en-US" w:eastAsia="zh-CN" w:bidi="ar-SA"/>
    </w:rPr>
  </w:style>
  <w:style w:type="paragraph" w:customStyle="1" w:styleId="346">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47">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48">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49">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0">
    <w:name w:val="ca-16"/>
    <w:basedOn w:val="1"/>
    <w:autoRedefine/>
    <w:qFormat/>
    <w:uiPriority w:val="99"/>
    <w:pPr>
      <w:widowControl/>
      <w:jc w:val="left"/>
    </w:pPr>
    <w:rPr>
      <w:rFonts w:ascii="宋体" w:hAnsi="宋体" w:eastAsia="宋体" w:cs="宋体"/>
      <w:kern w:val="0"/>
      <w:sz w:val="24"/>
    </w:rPr>
  </w:style>
  <w:style w:type="character" w:customStyle="1" w:styleId="351">
    <w:name w:val="正文2 Char Char"/>
    <w:link w:val="352"/>
    <w:autoRedefine/>
    <w:qFormat/>
    <w:locked/>
    <w:uiPriority w:val="0"/>
    <w:rPr>
      <w:rFonts w:ascii="Arial" w:hAnsi="Arial" w:cs="宋体"/>
      <w:sz w:val="24"/>
    </w:rPr>
  </w:style>
  <w:style w:type="paragraph" w:customStyle="1" w:styleId="352">
    <w:name w:val="正文2"/>
    <w:basedOn w:val="1"/>
    <w:link w:val="351"/>
    <w:autoRedefine/>
    <w:qFormat/>
    <w:uiPriority w:val="0"/>
    <w:pPr>
      <w:spacing w:before="156" w:line="360" w:lineRule="auto"/>
      <w:ind w:firstLine="510" w:firstLineChars="200"/>
    </w:pPr>
    <w:rPr>
      <w:rFonts w:ascii="Arial" w:hAnsi="Arial" w:cs="宋体"/>
      <w:sz w:val="24"/>
    </w:rPr>
  </w:style>
  <w:style w:type="paragraph" w:customStyle="1" w:styleId="353">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4">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5">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6">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7">
    <w:name w:val="Normal_11"/>
    <w:autoRedefine/>
    <w:qFormat/>
    <w:uiPriority w:val="99"/>
    <w:rPr>
      <w:rFonts w:ascii="黑体" w:hAnsi="黑体" w:eastAsia="黑体" w:cs="Times New Roman"/>
      <w:b/>
      <w:sz w:val="32"/>
      <w:szCs w:val="24"/>
      <w:lang w:val="en-US" w:eastAsia="zh-CN" w:bidi="ar-SA"/>
    </w:rPr>
  </w:style>
  <w:style w:type="paragraph" w:customStyle="1" w:styleId="358">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9">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0">
    <w:name w:val="Normal_2"/>
    <w:autoRedefine/>
    <w:qFormat/>
    <w:uiPriority w:val="99"/>
    <w:rPr>
      <w:rFonts w:ascii="黑体" w:hAnsi="黑体" w:eastAsia="黑体" w:cs="Times New Roman"/>
      <w:b/>
      <w:sz w:val="32"/>
      <w:szCs w:val="24"/>
      <w:lang w:val="en-US" w:eastAsia="zh-CN" w:bidi="ar-SA"/>
    </w:rPr>
  </w:style>
  <w:style w:type="paragraph" w:customStyle="1" w:styleId="361">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1"/>
    <w:basedOn w:val="1"/>
    <w:autoRedefine/>
    <w:qFormat/>
    <w:uiPriority w:val="99"/>
    <w:rPr>
      <w:rFonts w:ascii="仿宋_GB2312" w:hAnsi="Times New Roman" w:eastAsia="仿宋_GB2312" w:cs="Times New Roman"/>
      <w:b/>
      <w:sz w:val="32"/>
      <w:szCs w:val="32"/>
    </w:rPr>
  </w:style>
  <w:style w:type="paragraph" w:customStyle="1" w:styleId="363">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4">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5">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6">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7">
    <w:name w:val="Normal_6"/>
    <w:autoRedefine/>
    <w:qFormat/>
    <w:uiPriority w:val="99"/>
    <w:rPr>
      <w:rFonts w:ascii="黑体" w:hAnsi="黑体" w:eastAsia="黑体" w:cs="Times New Roman"/>
      <w:b/>
      <w:sz w:val="32"/>
      <w:szCs w:val="24"/>
      <w:lang w:val="en-US" w:eastAsia="zh-CN" w:bidi="ar-SA"/>
    </w:rPr>
  </w:style>
  <w:style w:type="paragraph" w:customStyle="1" w:styleId="368">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69">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0">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1">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2">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3">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4">
    <w:name w:val="Normal_7"/>
    <w:autoRedefine/>
    <w:qFormat/>
    <w:uiPriority w:val="99"/>
    <w:rPr>
      <w:rFonts w:ascii="黑体" w:hAnsi="黑体" w:eastAsia="黑体" w:cs="Times New Roman"/>
      <w:b/>
      <w:sz w:val="32"/>
      <w:szCs w:val="24"/>
      <w:lang w:val="en-US" w:eastAsia="zh-CN" w:bidi="ar-SA"/>
    </w:rPr>
  </w:style>
  <w:style w:type="paragraph" w:customStyle="1" w:styleId="375">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6">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77">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78">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79">
    <w:name w:val="Normal_24"/>
    <w:autoRedefine/>
    <w:qFormat/>
    <w:uiPriority w:val="99"/>
    <w:rPr>
      <w:rFonts w:ascii="黑体" w:hAnsi="黑体" w:eastAsia="黑体" w:cs="Times New Roman"/>
      <w:b/>
      <w:sz w:val="32"/>
      <w:szCs w:val="24"/>
      <w:lang w:val="en-US" w:eastAsia="zh-CN" w:bidi="ar-SA"/>
    </w:rPr>
  </w:style>
  <w:style w:type="paragraph" w:customStyle="1" w:styleId="380">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1">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2">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3">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4">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5">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6">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87">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88">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89">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0">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1">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2">
    <w:name w:val="Normal_12"/>
    <w:autoRedefine/>
    <w:qFormat/>
    <w:uiPriority w:val="99"/>
    <w:rPr>
      <w:rFonts w:ascii="黑体" w:hAnsi="黑体" w:eastAsia="黑体" w:cs="Times New Roman"/>
      <w:b/>
      <w:sz w:val="32"/>
      <w:szCs w:val="24"/>
      <w:lang w:val="en-US" w:eastAsia="zh-CN" w:bidi="ar-SA"/>
    </w:rPr>
  </w:style>
  <w:style w:type="paragraph" w:customStyle="1" w:styleId="393">
    <w:name w:val="Normal_5"/>
    <w:autoRedefine/>
    <w:qFormat/>
    <w:uiPriority w:val="99"/>
    <w:rPr>
      <w:rFonts w:ascii="黑体" w:hAnsi="黑体" w:eastAsia="黑体" w:cs="Times New Roman"/>
      <w:b/>
      <w:sz w:val="32"/>
      <w:szCs w:val="24"/>
      <w:lang w:val="en-US" w:eastAsia="zh-CN" w:bidi="ar-SA"/>
    </w:rPr>
  </w:style>
  <w:style w:type="paragraph" w:customStyle="1" w:styleId="394">
    <w:name w:val="pa-115"/>
    <w:basedOn w:val="1"/>
    <w:autoRedefine/>
    <w:qFormat/>
    <w:uiPriority w:val="99"/>
    <w:pPr>
      <w:widowControl/>
      <w:spacing w:line="480" w:lineRule="atLeast"/>
    </w:pPr>
    <w:rPr>
      <w:rFonts w:ascii="宋体" w:hAnsi="宋体" w:eastAsia="宋体" w:cs="宋体"/>
      <w:kern w:val="0"/>
      <w:sz w:val="24"/>
    </w:rPr>
  </w:style>
  <w:style w:type="paragraph" w:customStyle="1" w:styleId="395">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6">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7">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8">
    <w:name w:val="pa-77"/>
    <w:basedOn w:val="1"/>
    <w:autoRedefine/>
    <w:qFormat/>
    <w:uiPriority w:val="99"/>
    <w:pPr>
      <w:widowControl/>
      <w:spacing w:line="360" w:lineRule="atLeast"/>
    </w:pPr>
    <w:rPr>
      <w:rFonts w:ascii="宋体" w:hAnsi="宋体" w:eastAsia="宋体" w:cs="宋体"/>
      <w:kern w:val="0"/>
      <w:sz w:val="24"/>
    </w:rPr>
  </w:style>
  <w:style w:type="paragraph" w:customStyle="1" w:styleId="399">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0">
    <w:name w:val="表格"/>
    <w:basedOn w:val="1"/>
    <w:autoRedefine/>
    <w:qFormat/>
    <w:uiPriority w:val="99"/>
    <w:pPr>
      <w:jc w:val="center"/>
    </w:pPr>
    <w:rPr>
      <w:rFonts w:ascii="华文细黑" w:hAnsi="华文细黑" w:eastAsia="宋体" w:cs="Times New Roman"/>
      <w:kern w:val="0"/>
      <w:szCs w:val="20"/>
    </w:rPr>
  </w:style>
  <w:style w:type="paragraph" w:customStyle="1" w:styleId="401">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2">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3">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4">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5">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6">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07">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8">
    <w:name w:val="表格文字"/>
    <w:basedOn w:val="1"/>
    <w:next w:val="2"/>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09">
    <w:name w:val="ca-37"/>
    <w:basedOn w:val="1"/>
    <w:autoRedefine/>
    <w:qFormat/>
    <w:uiPriority w:val="99"/>
    <w:pPr>
      <w:widowControl/>
      <w:jc w:val="left"/>
    </w:pPr>
    <w:rPr>
      <w:rFonts w:ascii="宋体" w:hAnsi="宋体" w:eastAsia="宋体" w:cs="宋体"/>
      <w:color w:val="000000"/>
      <w:kern w:val="0"/>
      <w:szCs w:val="21"/>
    </w:rPr>
  </w:style>
  <w:style w:type="paragraph" w:customStyle="1" w:styleId="410">
    <w:name w:val="ca-26"/>
    <w:basedOn w:val="1"/>
    <w:autoRedefine/>
    <w:qFormat/>
    <w:uiPriority w:val="99"/>
    <w:pPr>
      <w:widowControl/>
      <w:jc w:val="left"/>
    </w:pPr>
    <w:rPr>
      <w:rFonts w:ascii="宋体" w:hAnsi="宋体" w:eastAsia="宋体" w:cs="宋体"/>
      <w:color w:val="002060"/>
      <w:kern w:val="0"/>
      <w:szCs w:val="21"/>
    </w:rPr>
  </w:style>
  <w:style w:type="paragraph" w:customStyle="1" w:styleId="411">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2">
    <w:name w:val="样式 正文缩进正文（首行缩进两字）特点ALT+Z表正文正文非缩进四号段1Normal Indent Char2...4"/>
    <w:basedOn w:val="22"/>
    <w:autoRedefine/>
    <w:qFormat/>
    <w:uiPriority w:val="99"/>
    <w:pPr>
      <w:spacing w:line="240" w:lineRule="auto"/>
      <w:ind w:firstLine="570"/>
    </w:pPr>
    <w:rPr>
      <w:rFonts w:ascii="Times New Roman" w:hAnsi="Times New Roman"/>
      <w:spacing w:val="0"/>
      <w:sz w:val="28"/>
    </w:rPr>
  </w:style>
  <w:style w:type="paragraph" w:customStyle="1" w:styleId="413">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4">
    <w:name w:val="pa-7"/>
    <w:basedOn w:val="1"/>
    <w:autoRedefine/>
    <w:qFormat/>
    <w:uiPriority w:val="99"/>
    <w:pPr>
      <w:widowControl/>
      <w:spacing w:line="400" w:lineRule="atLeast"/>
    </w:pPr>
    <w:rPr>
      <w:rFonts w:ascii="宋体" w:hAnsi="宋体" w:eastAsia="宋体" w:cs="宋体"/>
      <w:kern w:val="0"/>
      <w:sz w:val="24"/>
    </w:rPr>
  </w:style>
  <w:style w:type="paragraph" w:customStyle="1" w:styleId="415">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6">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17">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18">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19">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0">
    <w:name w:val="标题C"/>
    <w:basedOn w:val="5"/>
    <w:autoRedefine/>
    <w:qFormat/>
    <w:uiPriority w:val="99"/>
    <w:pPr>
      <w:adjustRightInd w:val="0"/>
      <w:spacing w:before="100" w:beforeAutospacing="1" w:after="100" w:afterAutospacing="1" w:line="240" w:lineRule="auto"/>
      <w:jc w:val="center"/>
    </w:pPr>
    <w:rPr>
      <w:sz w:val="24"/>
      <w:szCs w:val="24"/>
    </w:rPr>
  </w:style>
  <w:style w:type="paragraph" w:customStyle="1" w:styleId="421">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2">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3">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4">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5">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6">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27">
    <w:name w:val="Normal_20"/>
    <w:autoRedefine/>
    <w:qFormat/>
    <w:uiPriority w:val="99"/>
    <w:rPr>
      <w:rFonts w:ascii="黑体" w:hAnsi="黑体" w:eastAsia="黑体" w:cs="Times New Roman"/>
      <w:b/>
      <w:sz w:val="32"/>
      <w:szCs w:val="24"/>
      <w:lang w:val="en-US" w:eastAsia="zh-CN" w:bidi="ar-SA"/>
    </w:rPr>
  </w:style>
  <w:style w:type="paragraph" w:customStyle="1" w:styleId="428">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29">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0">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1">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2">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3">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4">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5">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6">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7">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8">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39">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0">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1">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Char Char Char"/>
    <w:basedOn w:val="1"/>
    <w:autoRedefine/>
    <w:qFormat/>
    <w:uiPriority w:val="99"/>
    <w:rPr>
      <w:rFonts w:ascii="Calibri" w:hAnsi="Calibri" w:eastAsia="宋体" w:cs="Times New Roman"/>
    </w:rPr>
  </w:style>
  <w:style w:type="paragraph" w:customStyle="1" w:styleId="443">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4">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5">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6">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47">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48">
    <w:name w:val="纯文本1"/>
    <w:basedOn w:val="212"/>
    <w:autoRedefine/>
    <w:qFormat/>
    <w:uiPriority w:val="99"/>
    <w:pPr>
      <w:widowControl/>
      <w:jc w:val="left"/>
    </w:pPr>
    <w:rPr>
      <w:rFonts w:ascii="宋体" w:hAnsi="Courier New"/>
    </w:rPr>
  </w:style>
  <w:style w:type="paragraph" w:customStyle="1" w:styleId="449">
    <w:name w:val="pa-6"/>
    <w:basedOn w:val="1"/>
    <w:autoRedefine/>
    <w:qFormat/>
    <w:uiPriority w:val="99"/>
    <w:pPr>
      <w:widowControl/>
      <w:spacing w:line="560" w:lineRule="atLeast"/>
    </w:pPr>
    <w:rPr>
      <w:rFonts w:ascii="宋体" w:hAnsi="宋体" w:eastAsia="宋体" w:cs="宋体"/>
      <w:kern w:val="0"/>
      <w:sz w:val="24"/>
    </w:rPr>
  </w:style>
  <w:style w:type="paragraph" w:customStyle="1" w:styleId="450">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1">
    <w:name w:val="样式 正文（首行缩进两字） + 首行缩进:  2 字符"/>
    <w:basedOn w:val="15"/>
    <w:autoRedefine/>
    <w:qFormat/>
    <w:uiPriority w:val="99"/>
    <w:pPr>
      <w:spacing w:line="460" w:lineRule="exact"/>
      <w:ind w:firstLine="536" w:firstLineChars="200"/>
    </w:pPr>
    <w:rPr>
      <w:rFonts w:ascii="Calibri" w:hAnsi="Calibri"/>
      <w:spacing w:val="6"/>
      <w:kern w:val="24"/>
      <w:sz w:val="24"/>
    </w:rPr>
  </w:style>
  <w:style w:type="paragraph" w:customStyle="1" w:styleId="452">
    <w:name w:val="pa-134"/>
    <w:basedOn w:val="1"/>
    <w:autoRedefine/>
    <w:qFormat/>
    <w:uiPriority w:val="99"/>
    <w:pPr>
      <w:widowControl/>
      <w:spacing w:line="360" w:lineRule="atLeast"/>
    </w:pPr>
    <w:rPr>
      <w:rFonts w:ascii="宋体" w:hAnsi="宋体" w:eastAsia="宋体" w:cs="宋体"/>
      <w:kern w:val="0"/>
      <w:sz w:val="24"/>
    </w:rPr>
  </w:style>
  <w:style w:type="paragraph" w:customStyle="1" w:styleId="453">
    <w:name w:val="ca-22"/>
    <w:basedOn w:val="1"/>
    <w:autoRedefine/>
    <w:qFormat/>
    <w:uiPriority w:val="99"/>
    <w:pPr>
      <w:widowControl/>
      <w:jc w:val="left"/>
    </w:pPr>
    <w:rPr>
      <w:rFonts w:ascii="宋体" w:hAnsi="宋体" w:eastAsia="宋体" w:cs="宋体"/>
      <w:kern w:val="0"/>
      <w:szCs w:val="21"/>
    </w:rPr>
  </w:style>
  <w:style w:type="paragraph" w:customStyle="1" w:styleId="454">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5">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6">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7">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58">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ca-25"/>
    <w:basedOn w:val="1"/>
    <w:autoRedefine/>
    <w:qFormat/>
    <w:uiPriority w:val="99"/>
    <w:pPr>
      <w:widowControl/>
      <w:jc w:val="left"/>
    </w:pPr>
    <w:rPr>
      <w:rFonts w:ascii="Calibri" w:hAnsi="Calibri" w:eastAsia="宋体" w:cs="Times New Roman"/>
      <w:kern w:val="0"/>
      <w:szCs w:val="21"/>
    </w:rPr>
  </w:style>
  <w:style w:type="paragraph" w:customStyle="1" w:styleId="460">
    <w:name w:val="标题B"/>
    <w:basedOn w:val="4"/>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1">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4">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5">
    <w:name w:val="pa-106"/>
    <w:basedOn w:val="1"/>
    <w:autoRedefine/>
    <w:qFormat/>
    <w:uiPriority w:val="99"/>
    <w:pPr>
      <w:widowControl/>
      <w:spacing w:line="720" w:lineRule="atLeast"/>
    </w:pPr>
    <w:rPr>
      <w:rFonts w:ascii="宋体" w:hAnsi="宋体" w:eastAsia="宋体" w:cs="宋体"/>
      <w:kern w:val="0"/>
      <w:sz w:val="24"/>
    </w:rPr>
  </w:style>
  <w:style w:type="paragraph" w:customStyle="1" w:styleId="466">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7">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68">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69">
    <w:name w:val="Char1_0"/>
    <w:basedOn w:val="1"/>
    <w:autoRedefine/>
    <w:qFormat/>
    <w:uiPriority w:val="99"/>
    <w:rPr>
      <w:rFonts w:ascii="Calibri" w:hAnsi="Calibri" w:eastAsia="宋体" w:cs="Times New Roman"/>
      <w:szCs w:val="20"/>
    </w:rPr>
  </w:style>
  <w:style w:type="paragraph" w:customStyle="1" w:styleId="470">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1">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2">
    <w:name w:val="列出段落 字符"/>
    <w:link w:val="473"/>
    <w:autoRedefine/>
    <w:qFormat/>
    <w:locked/>
    <w:uiPriority w:val="0"/>
    <w:rPr>
      <w:rFonts w:ascii="Calibri" w:hAnsi="Calibri" w:cs="Calibri"/>
    </w:rPr>
  </w:style>
  <w:style w:type="paragraph" w:customStyle="1" w:styleId="473">
    <w:name w:val="列出段落1"/>
    <w:basedOn w:val="1"/>
    <w:link w:val="472"/>
    <w:autoRedefine/>
    <w:qFormat/>
    <w:uiPriority w:val="0"/>
    <w:pPr>
      <w:ind w:firstLine="420" w:firstLineChars="200"/>
    </w:pPr>
    <w:rPr>
      <w:rFonts w:ascii="Calibri" w:hAnsi="Calibri" w:cs="Calibri"/>
    </w:rPr>
  </w:style>
  <w:style w:type="paragraph" w:customStyle="1" w:styleId="474">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5">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6">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77">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78">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9">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0">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1">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2">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3">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4">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5">
    <w:name w:val="pa-89"/>
    <w:basedOn w:val="1"/>
    <w:autoRedefine/>
    <w:qFormat/>
    <w:uiPriority w:val="99"/>
    <w:pPr>
      <w:widowControl/>
      <w:spacing w:line="320" w:lineRule="atLeast"/>
    </w:pPr>
    <w:rPr>
      <w:rFonts w:ascii="宋体" w:hAnsi="宋体" w:eastAsia="宋体" w:cs="宋体"/>
      <w:kern w:val="0"/>
      <w:sz w:val="24"/>
    </w:rPr>
  </w:style>
  <w:style w:type="paragraph" w:customStyle="1" w:styleId="486">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7">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8">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8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1">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2">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3">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4">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5">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6">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497">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8">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499">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0">
    <w:name w:val="ca-50"/>
    <w:basedOn w:val="1"/>
    <w:autoRedefine/>
    <w:qFormat/>
    <w:uiPriority w:val="99"/>
    <w:pPr>
      <w:widowControl/>
      <w:jc w:val="left"/>
    </w:pPr>
    <w:rPr>
      <w:rFonts w:ascii="宋体" w:hAnsi="宋体" w:eastAsia="宋体" w:cs="宋体"/>
      <w:kern w:val="0"/>
      <w:sz w:val="24"/>
    </w:rPr>
  </w:style>
  <w:style w:type="paragraph" w:customStyle="1" w:styleId="501">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2">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3">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4">
    <w:name w:val="1"/>
    <w:basedOn w:val="1"/>
    <w:next w:val="1"/>
    <w:autoRedefine/>
    <w:qFormat/>
    <w:uiPriority w:val="99"/>
    <w:rPr>
      <w:rFonts w:ascii="Calibri" w:hAnsi="Calibri" w:eastAsia="宋体" w:cs="Times New Roman"/>
    </w:rPr>
  </w:style>
  <w:style w:type="paragraph" w:customStyle="1" w:styleId="505">
    <w:name w:val="TOC 标题111"/>
    <w:next w:val="1"/>
    <w:autoRedefine/>
    <w:qFormat/>
    <w:uiPriority w:val="99"/>
    <w:pPr>
      <w:wordWrap w:val="0"/>
    </w:pPr>
    <w:rPr>
      <w:rFonts w:ascii="宋体" w:hAnsi="宋体" w:eastAsia="宋体" w:cs="宋体"/>
      <w:sz w:val="32"/>
      <w:lang w:val="en-US" w:eastAsia="zh-CN" w:bidi="ar-SA"/>
    </w:rPr>
  </w:style>
  <w:style w:type="paragraph" w:customStyle="1" w:styleId="506">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7">
    <w:name w:val="pa-105"/>
    <w:basedOn w:val="1"/>
    <w:autoRedefine/>
    <w:qFormat/>
    <w:uiPriority w:val="99"/>
    <w:pPr>
      <w:widowControl/>
      <w:spacing w:line="960" w:lineRule="atLeast"/>
    </w:pPr>
    <w:rPr>
      <w:rFonts w:ascii="宋体" w:hAnsi="宋体" w:eastAsia="宋体" w:cs="宋体"/>
      <w:kern w:val="0"/>
      <w:sz w:val="24"/>
    </w:rPr>
  </w:style>
  <w:style w:type="paragraph" w:customStyle="1" w:styleId="508">
    <w:name w:val="ca-23"/>
    <w:basedOn w:val="1"/>
    <w:autoRedefine/>
    <w:qFormat/>
    <w:uiPriority w:val="99"/>
    <w:pPr>
      <w:widowControl/>
      <w:jc w:val="left"/>
    </w:pPr>
    <w:rPr>
      <w:rFonts w:ascii="Calibri" w:hAnsi="Calibri" w:eastAsia="宋体" w:cs="Times New Roman"/>
      <w:kern w:val="0"/>
      <w:szCs w:val="21"/>
    </w:rPr>
  </w:style>
  <w:style w:type="paragraph" w:customStyle="1" w:styleId="509">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0">
    <w:name w:val="Normal_9"/>
    <w:autoRedefine/>
    <w:qFormat/>
    <w:uiPriority w:val="99"/>
    <w:rPr>
      <w:rFonts w:ascii="黑体" w:hAnsi="黑体" w:eastAsia="黑体" w:cs="Times New Roman"/>
      <w:b/>
      <w:sz w:val="32"/>
      <w:szCs w:val="24"/>
      <w:lang w:val="en-US" w:eastAsia="zh-CN" w:bidi="ar-SA"/>
    </w:rPr>
  </w:style>
  <w:style w:type="paragraph" w:customStyle="1" w:styleId="511">
    <w:name w:val="Normal_16"/>
    <w:autoRedefine/>
    <w:qFormat/>
    <w:uiPriority w:val="99"/>
    <w:rPr>
      <w:rFonts w:ascii="黑体" w:hAnsi="黑体" w:eastAsia="黑体" w:cs="Times New Roman"/>
      <w:b/>
      <w:sz w:val="32"/>
      <w:szCs w:val="24"/>
      <w:lang w:val="en-US" w:eastAsia="zh-CN" w:bidi="ar-SA"/>
    </w:rPr>
  </w:style>
  <w:style w:type="paragraph" w:customStyle="1" w:styleId="512">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3">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4">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5">
    <w:name w:val="pa-112"/>
    <w:basedOn w:val="1"/>
    <w:autoRedefine/>
    <w:qFormat/>
    <w:uiPriority w:val="99"/>
    <w:pPr>
      <w:widowControl/>
      <w:spacing w:line="280" w:lineRule="atLeast"/>
    </w:pPr>
    <w:rPr>
      <w:rFonts w:ascii="宋体" w:hAnsi="宋体" w:eastAsia="宋体" w:cs="宋体"/>
      <w:kern w:val="0"/>
      <w:sz w:val="24"/>
    </w:rPr>
  </w:style>
  <w:style w:type="paragraph" w:customStyle="1" w:styleId="516">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17">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18">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519">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0">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1">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2">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3">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4">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5">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6">
    <w:name w:val="TOC Heading1"/>
    <w:basedOn w:val="3"/>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7">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28">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29">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0">
    <w:name w:val="Normal_1"/>
    <w:autoRedefine/>
    <w:qFormat/>
    <w:uiPriority w:val="99"/>
    <w:rPr>
      <w:rFonts w:ascii="黑体" w:hAnsi="黑体" w:eastAsia="黑体" w:cs="Times New Roman"/>
      <w:b/>
      <w:sz w:val="32"/>
      <w:szCs w:val="24"/>
      <w:lang w:val="en-US" w:eastAsia="zh-CN" w:bidi="ar-SA"/>
    </w:rPr>
  </w:style>
  <w:style w:type="paragraph" w:customStyle="1" w:styleId="531">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2">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3">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4">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5">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6">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7">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38">
    <w:name w:val="Normal_3"/>
    <w:autoRedefine/>
    <w:qFormat/>
    <w:uiPriority w:val="99"/>
    <w:rPr>
      <w:rFonts w:ascii="黑体" w:hAnsi="黑体" w:eastAsia="黑体" w:cs="Times New Roman"/>
      <w:b/>
      <w:sz w:val="32"/>
      <w:szCs w:val="24"/>
      <w:lang w:val="en-US" w:eastAsia="zh-CN" w:bidi="ar-SA"/>
    </w:rPr>
  </w:style>
  <w:style w:type="paragraph" w:customStyle="1" w:styleId="539">
    <w:name w:val="Char Char Char_0"/>
    <w:basedOn w:val="1"/>
    <w:autoRedefine/>
    <w:qFormat/>
    <w:uiPriority w:val="99"/>
    <w:rPr>
      <w:rFonts w:ascii="Tahoma" w:hAnsi="Tahoma" w:eastAsia="宋体" w:cs="Times New Roman"/>
      <w:sz w:val="24"/>
      <w:szCs w:val="20"/>
    </w:rPr>
  </w:style>
  <w:style w:type="paragraph" w:customStyle="1" w:styleId="540">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1">
    <w:name w:val="Char Char Char Char Char Char_0"/>
    <w:basedOn w:val="1"/>
    <w:autoRedefine/>
    <w:qFormat/>
    <w:uiPriority w:val="99"/>
    <w:rPr>
      <w:rFonts w:ascii="Calibri" w:hAnsi="Calibri" w:eastAsia="宋体" w:cs="Times New Roman"/>
    </w:rPr>
  </w:style>
  <w:style w:type="paragraph" w:customStyle="1" w:styleId="542">
    <w:name w:val="pa-65"/>
    <w:basedOn w:val="1"/>
    <w:autoRedefine/>
    <w:qFormat/>
    <w:uiPriority w:val="99"/>
    <w:pPr>
      <w:widowControl/>
      <w:spacing w:line="360" w:lineRule="atLeast"/>
    </w:pPr>
    <w:rPr>
      <w:rFonts w:ascii="宋体" w:hAnsi="宋体" w:eastAsia="宋体" w:cs="宋体"/>
      <w:kern w:val="0"/>
      <w:sz w:val="24"/>
    </w:rPr>
  </w:style>
  <w:style w:type="paragraph" w:customStyle="1" w:styleId="543">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4">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5">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6">
    <w:name w:val="pa-132"/>
    <w:basedOn w:val="1"/>
    <w:autoRedefine/>
    <w:qFormat/>
    <w:uiPriority w:val="99"/>
    <w:pPr>
      <w:widowControl/>
      <w:spacing w:line="360" w:lineRule="atLeast"/>
    </w:pPr>
    <w:rPr>
      <w:rFonts w:ascii="宋体" w:hAnsi="宋体" w:eastAsia="宋体" w:cs="宋体"/>
      <w:kern w:val="0"/>
      <w:sz w:val="24"/>
    </w:rPr>
  </w:style>
  <w:style w:type="paragraph" w:customStyle="1" w:styleId="54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8">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49">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0">
    <w:name w:val="Normal_17"/>
    <w:autoRedefine/>
    <w:qFormat/>
    <w:uiPriority w:val="99"/>
    <w:rPr>
      <w:rFonts w:ascii="黑体" w:hAnsi="黑体" w:eastAsia="黑体" w:cs="Times New Roman"/>
      <w:b/>
      <w:sz w:val="32"/>
      <w:szCs w:val="24"/>
      <w:lang w:val="en-US" w:eastAsia="zh-CN" w:bidi="ar-SA"/>
    </w:rPr>
  </w:style>
  <w:style w:type="paragraph" w:customStyle="1" w:styleId="551">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2">
    <w:name w:val="标题 4_0"/>
    <w:basedOn w:val="131"/>
    <w:next w:val="131"/>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3">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4">
    <w:name w:val="pa-123"/>
    <w:basedOn w:val="1"/>
    <w:autoRedefine/>
    <w:qFormat/>
    <w:uiPriority w:val="99"/>
    <w:pPr>
      <w:widowControl/>
      <w:spacing w:line="360" w:lineRule="atLeast"/>
    </w:pPr>
    <w:rPr>
      <w:rFonts w:ascii="宋体" w:hAnsi="宋体" w:eastAsia="宋体" w:cs="宋体"/>
      <w:kern w:val="0"/>
      <w:sz w:val="24"/>
    </w:rPr>
  </w:style>
  <w:style w:type="paragraph" w:customStyle="1" w:styleId="555">
    <w:name w:val="ca-31"/>
    <w:basedOn w:val="1"/>
    <w:autoRedefine/>
    <w:qFormat/>
    <w:uiPriority w:val="99"/>
    <w:pPr>
      <w:widowControl/>
      <w:jc w:val="left"/>
    </w:pPr>
    <w:rPr>
      <w:rFonts w:ascii="??" w:hAnsi="??" w:eastAsia="宋体" w:cs="宋体"/>
      <w:color w:val="000000"/>
      <w:kern w:val="0"/>
      <w:szCs w:val="21"/>
    </w:rPr>
  </w:style>
  <w:style w:type="paragraph" w:customStyle="1" w:styleId="556">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7">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58">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59">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1">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2">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3">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5">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7">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8">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0">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1">
    <w:name w:val="CM19"/>
    <w:basedOn w:val="160"/>
    <w:next w:val="160"/>
    <w:autoRedefine/>
    <w:qFormat/>
    <w:uiPriority w:val="99"/>
    <w:rPr>
      <w:rFonts w:ascii="仿宋" w:eastAsia="仿宋" w:cs="Times New Roman"/>
      <w:color w:val="auto"/>
    </w:rPr>
  </w:style>
  <w:style w:type="paragraph" w:customStyle="1" w:styleId="572">
    <w:name w:val="CM11"/>
    <w:basedOn w:val="160"/>
    <w:next w:val="160"/>
    <w:autoRedefine/>
    <w:qFormat/>
    <w:uiPriority w:val="99"/>
    <w:pPr>
      <w:spacing w:line="520" w:lineRule="atLeast"/>
    </w:pPr>
    <w:rPr>
      <w:rFonts w:ascii="仿宋" w:eastAsia="仿宋" w:cs="Times New Roman"/>
      <w:color w:val="auto"/>
    </w:rPr>
  </w:style>
  <w:style w:type="paragraph" w:customStyle="1" w:styleId="573">
    <w:name w:val="CM13"/>
    <w:basedOn w:val="160"/>
    <w:next w:val="160"/>
    <w:autoRedefine/>
    <w:qFormat/>
    <w:uiPriority w:val="99"/>
    <w:pPr>
      <w:spacing w:line="520" w:lineRule="atLeast"/>
    </w:pPr>
    <w:rPr>
      <w:rFonts w:ascii="仿宋" w:eastAsia="仿宋" w:cs="Times New Roman"/>
      <w:color w:val="auto"/>
    </w:rPr>
  </w:style>
  <w:style w:type="paragraph" w:customStyle="1" w:styleId="574">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5">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6">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7">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8">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9">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0">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1">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2">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3">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4">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5">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6">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7">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8">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9">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0">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1">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2">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4">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5">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6">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7">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8">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0">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1">
    <w:name w:val="样式3 Char"/>
    <w:link w:val="602"/>
    <w:autoRedefine/>
    <w:qFormat/>
    <w:locked/>
    <w:uiPriority w:val="0"/>
    <w:rPr>
      <w:rFonts w:ascii="宋体" w:hAnsi="宋体" w:eastAsia="宋体"/>
      <w:sz w:val="24"/>
      <w:szCs w:val="24"/>
    </w:rPr>
  </w:style>
  <w:style w:type="paragraph" w:customStyle="1" w:styleId="602">
    <w:name w:val="样式3"/>
    <w:basedOn w:val="1"/>
    <w:link w:val="601"/>
    <w:autoRedefine/>
    <w:qFormat/>
    <w:uiPriority w:val="0"/>
    <w:pPr>
      <w:spacing w:line="360" w:lineRule="auto"/>
      <w:ind w:left="454" w:hanging="227"/>
    </w:pPr>
    <w:rPr>
      <w:rFonts w:ascii="宋体" w:hAnsi="宋体" w:eastAsia="宋体"/>
      <w:sz w:val="24"/>
      <w:szCs w:val="24"/>
    </w:rPr>
  </w:style>
  <w:style w:type="character" w:customStyle="1" w:styleId="603">
    <w:name w:val="样式 样式 首行缩进:  2.25 字符 + 首行缩进:  2.25 字符 Char"/>
    <w:link w:val="604"/>
    <w:autoRedefine/>
    <w:qFormat/>
    <w:locked/>
    <w:uiPriority w:val="0"/>
    <w:rPr>
      <w:rFonts w:ascii="宋体" w:hAnsi="宋体" w:eastAsia="宋体"/>
      <w:szCs w:val="21"/>
    </w:rPr>
  </w:style>
  <w:style w:type="paragraph" w:customStyle="1" w:styleId="604">
    <w:name w:val="样式 样式 首行缩进:  2.25 字符 + 首行缩进:  2.25 字符"/>
    <w:basedOn w:val="1"/>
    <w:link w:val="603"/>
    <w:autoRedefine/>
    <w:qFormat/>
    <w:uiPriority w:val="0"/>
    <w:pPr>
      <w:spacing w:line="360" w:lineRule="auto"/>
      <w:ind w:firstLine="420" w:firstLineChars="200"/>
    </w:pPr>
    <w:rPr>
      <w:rFonts w:ascii="宋体" w:hAnsi="宋体" w:eastAsia="宋体"/>
      <w:szCs w:val="21"/>
    </w:rPr>
  </w:style>
  <w:style w:type="character" w:customStyle="1" w:styleId="605">
    <w:name w:val="Char Char25"/>
    <w:link w:val="606"/>
    <w:autoRedefine/>
    <w:qFormat/>
    <w:locked/>
    <w:uiPriority w:val="0"/>
    <w:rPr>
      <w:rFonts w:ascii="Tahoma" w:hAnsi="Tahoma" w:cs="Tahoma"/>
      <w:sz w:val="24"/>
    </w:rPr>
  </w:style>
  <w:style w:type="paragraph" w:customStyle="1" w:styleId="606">
    <w:name w:val="Char3"/>
    <w:basedOn w:val="1"/>
    <w:link w:val="605"/>
    <w:autoRedefine/>
    <w:qFormat/>
    <w:uiPriority w:val="0"/>
    <w:rPr>
      <w:rFonts w:ascii="Tahoma" w:hAnsi="Tahoma" w:cs="Tahoma"/>
      <w:sz w:val="24"/>
    </w:rPr>
  </w:style>
  <w:style w:type="paragraph" w:customStyle="1" w:styleId="607">
    <w:name w:val="CM14"/>
    <w:basedOn w:val="160"/>
    <w:next w:val="160"/>
    <w:autoRedefine/>
    <w:qFormat/>
    <w:uiPriority w:val="99"/>
    <w:pPr>
      <w:spacing w:line="546" w:lineRule="atLeast"/>
    </w:pPr>
    <w:rPr>
      <w:rFonts w:ascii="仿宋" w:eastAsia="仿宋" w:cs="Times New Roman"/>
      <w:color w:val="auto"/>
    </w:rPr>
  </w:style>
  <w:style w:type="paragraph" w:customStyle="1" w:styleId="608">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9">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0">
    <w:name w:val="标题6"/>
    <w:basedOn w:val="1"/>
    <w:next w:val="3"/>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1">
    <w:name w:val="Char Char Char Char Char Char Char1"/>
    <w:basedOn w:val="1"/>
    <w:autoRedefine/>
    <w:qFormat/>
    <w:uiPriority w:val="99"/>
    <w:rPr>
      <w:rFonts w:ascii="Times New Roman" w:hAnsi="Times New Roman" w:eastAsia="宋体" w:cs="Times New Roman"/>
      <w:szCs w:val="24"/>
    </w:rPr>
  </w:style>
  <w:style w:type="paragraph" w:customStyle="1" w:styleId="612">
    <w:name w:val="Char11"/>
    <w:basedOn w:val="1"/>
    <w:autoRedefine/>
    <w:qFormat/>
    <w:uiPriority w:val="99"/>
    <w:rPr>
      <w:rFonts w:ascii="Times New Roman" w:hAnsi="Times New Roman" w:eastAsia="宋体" w:cs="Times New Roman"/>
      <w:szCs w:val="20"/>
    </w:rPr>
  </w:style>
  <w:style w:type="paragraph" w:customStyle="1" w:styleId="613">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4">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5">
    <w:name w:val="菲页2"/>
    <w:basedOn w:val="5"/>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6">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7">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8">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9">
    <w:name w:val="样式4"/>
    <w:basedOn w:val="5"/>
    <w:autoRedefine/>
    <w:qFormat/>
    <w:uiPriority w:val="99"/>
    <w:pPr>
      <w:spacing w:line="412" w:lineRule="auto"/>
      <w:ind w:left="720" w:hanging="720"/>
    </w:pPr>
    <w:rPr>
      <w:rFonts w:eastAsia="Arial"/>
      <w:kern w:val="2"/>
    </w:rPr>
  </w:style>
  <w:style w:type="paragraph" w:customStyle="1" w:styleId="620">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1">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2">
    <w:name w:val="Char Char1 Char1"/>
    <w:basedOn w:val="1"/>
    <w:autoRedefine/>
    <w:qFormat/>
    <w:uiPriority w:val="99"/>
    <w:rPr>
      <w:rFonts w:ascii="Times New Roman" w:hAnsi="Times New Roman" w:eastAsia="宋体" w:cs="Times New Roman"/>
      <w:szCs w:val="24"/>
    </w:rPr>
  </w:style>
  <w:style w:type="paragraph" w:customStyle="1" w:styleId="623">
    <w:name w:val="菲页(卷)"/>
    <w:basedOn w:val="3"/>
    <w:next w:val="524"/>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4">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5">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Char Char Char Char1"/>
    <w:basedOn w:val="1"/>
    <w:autoRedefine/>
    <w:qFormat/>
    <w:uiPriority w:val="99"/>
    <w:rPr>
      <w:rFonts w:ascii="Times New Roman" w:hAnsi="Times New Roman" w:eastAsia="宋体" w:cs="Times New Roman"/>
      <w:szCs w:val="24"/>
    </w:rPr>
  </w:style>
  <w:style w:type="paragraph" w:customStyle="1" w:styleId="628">
    <w:name w:val="菲页1"/>
    <w:basedOn w:val="4"/>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29">
    <w:name w:val="样式 标题 2 + (中文) 黑体 四号 黑色"/>
    <w:basedOn w:val="4"/>
    <w:autoRedefine/>
    <w:qFormat/>
    <w:uiPriority w:val="99"/>
    <w:pPr>
      <w:spacing w:line="520" w:lineRule="exact"/>
      <w:jc w:val="left"/>
    </w:pPr>
    <w:rPr>
      <w:rFonts w:ascii="Arial" w:hAnsi="Arial" w:eastAsia="黑体"/>
      <w:color w:val="000000"/>
      <w:kern w:val="24"/>
      <w:sz w:val="28"/>
      <w:szCs w:val="20"/>
    </w:rPr>
  </w:style>
  <w:style w:type="paragraph" w:customStyle="1" w:styleId="630">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1">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2">
    <w:name w:val="样式 标题 3 + 段前: 7.8 磅"/>
    <w:basedOn w:val="5"/>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3">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4">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5">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6">
    <w:name w:val="样式 标题 3h3标题 3(节)H3l3CTsect1.2.3Heading 3 - old一level_3..."/>
    <w:basedOn w:val="5"/>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7">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8">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9">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0">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1">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2">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3">
    <w:name w:val="Char Char Char Char Char Char Char"/>
    <w:basedOn w:val="1"/>
    <w:autoRedefine/>
    <w:qFormat/>
    <w:uiPriority w:val="99"/>
    <w:rPr>
      <w:rFonts w:ascii="Times New Roman" w:hAnsi="Times New Roman" w:eastAsia="宋体" w:cs="Times New Roman"/>
      <w:szCs w:val="24"/>
    </w:rPr>
  </w:style>
  <w:style w:type="paragraph" w:customStyle="1" w:styleId="644">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5">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6">
    <w:name w:val="Char4"/>
    <w:basedOn w:val="15"/>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7">
    <w:name w:val="Char1 Char Char Char"/>
    <w:basedOn w:val="1"/>
    <w:autoRedefine/>
    <w:qFormat/>
    <w:uiPriority w:val="99"/>
    <w:rPr>
      <w:rFonts w:ascii="Times New Roman" w:hAnsi="Times New Roman" w:eastAsia="宋体" w:cs="Times New Roman"/>
      <w:szCs w:val="20"/>
    </w:rPr>
  </w:style>
  <w:style w:type="paragraph" w:customStyle="1" w:styleId="648">
    <w:name w:val="样式 标题 3 + Calibri 加粗 左侧:  0 厘米"/>
    <w:basedOn w:val="5"/>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9">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0">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1">
    <w:name w:val="样式 纯文本普通文字 Char纯文本 Char Char普通文字纯文本 Char Char Char Char Char..."/>
    <w:basedOn w:val="3"/>
    <w:next w:val="3"/>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2">
    <w:name w:val="正文宋体"/>
    <w:basedOn w:val="1"/>
    <w:autoRedefine/>
    <w:qFormat/>
    <w:uiPriority w:val="99"/>
    <w:pPr>
      <w:spacing w:line="360" w:lineRule="auto"/>
    </w:pPr>
    <w:rPr>
      <w:rFonts w:ascii="宋体" w:hAnsi="宋体" w:eastAsia="宋体" w:cs="Times New Roman"/>
      <w:sz w:val="24"/>
      <w:szCs w:val="24"/>
    </w:rPr>
  </w:style>
  <w:style w:type="paragraph" w:customStyle="1" w:styleId="653">
    <w:name w:val="样式 标题 3 + 小三"/>
    <w:basedOn w:val="5"/>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4">
    <w:name w:val="Char1 Char Char Char1"/>
    <w:basedOn w:val="1"/>
    <w:autoRedefine/>
    <w:qFormat/>
    <w:uiPriority w:val="99"/>
    <w:rPr>
      <w:rFonts w:ascii="Times New Roman" w:hAnsi="Times New Roman" w:eastAsia="宋体" w:cs="Times New Roman"/>
      <w:szCs w:val="20"/>
    </w:rPr>
  </w:style>
  <w:style w:type="paragraph" w:customStyle="1" w:styleId="655">
    <w:name w:val="Char41"/>
    <w:basedOn w:val="15"/>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6">
    <w:name w:val="样式 标题 2 + 小四 Char Char"/>
    <w:link w:val="657"/>
    <w:autoRedefine/>
    <w:qFormat/>
    <w:locked/>
    <w:uiPriority w:val="0"/>
    <w:rPr>
      <w:rFonts w:ascii="宋体" w:hAnsi="宋体" w:eastAsia="微软雅黑"/>
      <w:b/>
      <w:sz w:val="36"/>
    </w:rPr>
  </w:style>
  <w:style w:type="paragraph" w:customStyle="1" w:styleId="657">
    <w:name w:val="样式 标题 2 + 小四"/>
    <w:basedOn w:val="4"/>
    <w:link w:val="656"/>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8">
    <w:name w:val="样式 纯文本普通文字 Char纯文本 Char Char普通文字纯文本 Char Char Char Char Char...2"/>
    <w:basedOn w:val="5"/>
    <w:next w:val="5"/>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9">
    <w:name w:val="No Spacing1"/>
    <w:autoRedefine/>
    <w:qFormat/>
    <w:uiPriority w:val="99"/>
    <w:rPr>
      <w:rFonts w:ascii="Calibri" w:hAnsi="Calibri" w:eastAsia="宋体" w:cs="Times New Roman"/>
      <w:sz w:val="22"/>
      <w:szCs w:val="22"/>
      <w:lang w:val="en-US" w:eastAsia="en-US" w:bidi="ar-SA"/>
    </w:rPr>
  </w:style>
  <w:style w:type="paragraph" w:customStyle="1" w:styleId="660">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1">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2">
    <w:name w:val="无间隔 字符"/>
    <w:link w:val="663"/>
    <w:autoRedefine/>
    <w:qFormat/>
    <w:locked/>
    <w:uiPriority w:val="0"/>
    <w:rPr>
      <w:rFonts w:ascii="Calibri" w:hAnsi="Calibri" w:eastAsia="微软雅黑" w:cs="Calibri"/>
    </w:rPr>
  </w:style>
  <w:style w:type="paragraph" w:customStyle="1" w:styleId="663">
    <w:name w:val="无间隔11"/>
    <w:link w:val="662"/>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4">
    <w:name w:val="Char2"/>
    <w:basedOn w:val="1"/>
    <w:autoRedefine/>
    <w:qFormat/>
    <w:uiPriority w:val="99"/>
    <w:rPr>
      <w:rFonts w:ascii="仿宋_GB2312" w:hAnsi="Times New Roman" w:eastAsia="仿宋_GB2312" w:cs="Times New Roman"/>
      <w:b/>
      <w:sz w:val="32"/>
      <w:szCs w:val="32"/>
    </w:rPr>
  </w:style>
  <w:style w:type="paragraph" w:customStyle="1" w:styleId="665">
    <w:name w:val="Char Char Char Char Char Char Char Char Char Char Char"/>
    <w:basedOn w:val="1"/>
    <w:autoRedefine/>
    <w:qFormat/>
    <w:uiPriority w:val="99"/>
    <w:rPr>
      <w:rFonts w:ascii="Tahoma" w:hAnsi="Tahoma" w:eastAsia="宋体" w:cs="Times New Roman"/>
      <w:sz w:val="24"/>
      <w:szCs w:val="20"/>
    </w:rPr>
  </w:style>
  <w:style w:type="paragraph" w:customStyle="1" w:styleId="666">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7">
    <w:name w:val="Char31"/>
    <w:basedOn w:val="1"/>
    <w:autoRedefine/>
    <w:qFormat/>
    <w:uiPriority w:val="99"/>
    <w:rPr>
      <w:rFonts w:ascii="Times New Roman" w:hAnsi="Times New Roman" w:eastAsia="宋体" w:cs="Times New Roman"/>
      <w:szCs w:val="20"/>
    </w:rPr>
  </w:style>
  <w:style w:type="paragraph" w:customStyle="1" w:styleId="668">
    <w:name w:val="样式 纯文本普通文字 Char纯文本 Char Char普通文字纯文本 Char Char Char Char Char...1"/>
    <w:basedOn w:val="4"/>
    <w:next w:val="4"/>
    <w:autoRedefine/>
    <w:qFormat/>
    <w:uiPriority w:val="99"/>
    <w:pPr>
      <w:spacing w:before="0" w:after="0" w:line="360" w:lineRule="auto"/>
    </w:pPr>
    <w:rPr>
      <w:rFonts w:ascii="Arial" w:hAnsi="Arial" w:eastAsia="黑体"/>
      <w:color w:val="000000"/>
      <w:sz w:val="30"/>
    </w:rPr>
  </w:style>
  <w:style w:type="character" w:customStyle="1" w:styleId="669">
    <w:name w:val="彩色列表 - 强调文字颜色 1 Char"/>
    <w:link w:val="670"/>
    <w:autoRedefine/>
    <w:qFormat/>
    <w:locked/>
    <w:uiPriority w:val="0"/>
    <w:rPr>
      <w:rFonts w:ascii="Calibri" w:hAnsi="Calibri" w:eastAsia="微软雅黑" w:cs="Calibri"/>
      <w:szCs w:val="24"/>
    </w:rPr>
  </w:style>
  <w:style w:type="paragraph" w:customStyle="1" w:styleId="670">
    <w:name w:val="彩色列表 - 强调文字颜色 11"/>
    <w:basedOn w:val="1"/>
    <w:link w:val="669"/>
    <w:autoRedefine/>
    <w:qFormat/>
    <w:uiPriority w:val="0"/>
    <w:pPr>
      <w:ind w:firstLine="420" w:firstLineChars="200"/>
    </w:pPr>
    <w:rPr>
      <w:rFonts w:ascii="Calibri" w:hAnsi="Calibri" w:eastAsia="微软雅黑" w:cs="Calibri"/>
      <w:szCs w:val="24"/>
    </w:rPr>
  </w:style>
  <w:style w:type="paragraph" w:customStyle="1" w:styleId="671">
    <w:name w:val="样式 正文文本 + 首行缩进:  2 字符1"/>
    <w:basedOn w:val="2"/>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2">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3">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4">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5">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6">
    <w:name w:val="样式 纯文本普通文字 Char纯文本 Char Char普通文字纯文本 Char Char Char Char Char...5"/>
    <w:basedOn w:val="5"/>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7">
    <w:name w:val="样式 纯文本普通文字 Char纯文本 Char Char普通文字纯文本 Char Char Char Char Char...4"/>
    <w:basedOn w:val="5"/>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8">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9">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0">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1">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2">
    <w:name w:val="_Style 137"/>
    <w:basedOn w:val="3"/>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3">
    <w:name w:val="Char Char3 Char"/>
    <w:basedOn w:val="1"/>
    <w:autoRedefine/>
    <w:qFormat/>
    <w:uiPriority w:val="99"/>
    <w:rPr>
      <w:rFonts w:ascii="仿宋_GB2312" w:hAnsi="Times New Roman" w:eastAsia="仿宋_GB2312" w:cs="Times New Roman"/>
      <w:b/>
      <w:sz w:val="32"/>
      <w:szCs w:val="32"/>
    </w:rPr>
  </w:style>
  <w:style w:type="paragraph" w:customStyle="1" w:styleId="684">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5">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6">
    <w:name w:val="样式 样式 纯文本普通文字 Char纯文本 Char Char普通文字纯文本 Char Char Char Char Char...."/>
    <w:basedOn w:val="668"/>
    <w:autoRedefine/>
    <w:qFormat/>
    <w:uiPriority w:val="99"/>
    <w:pPr>
      <w:jc w:val="center"/>
    </w:pPr>
    <w:rPr>
      <w:rFonts w:ascii="宋体" w:hAnsi="宋体" w:eastAsia="宋体" w:cs="宋体"/>
      <w:bCs w:val="0"/>
      <w:szCs w:val="20"/>
    </w:rPr>
  </w:style>
  <w:style w:type="paragraph" w:customStyle="1" w:styleId="687">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8">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89">
    <w:name w:val="正文－恩普"/>
    <w:basedOn w:val="15"/>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0">
    <w:name w:val="_Style 63"/>
    <w:basedOn w:val="1"/>
    <w:autoRedefine/>
    <w:qFormat/>
    <w:uiPriority w:val="99"/>
    <w:rPr>
      <w:rFonts w:ascii="Tahoma" w:hAnsi="Tahoma" w:eastAsia="宋体" w:cs="Times New Roman"/>
      <w:sz w:val="24"/>
      <w:szCs w:val="20"/>
    </w:rPr>
  </w:style>
  <w:style w:type="paragraph" w:customStyle="1" w:styleId="691">
    <w:name w:val="样式 纯文本普通文字 Char纯文本 Char Char普通文字纯文本 Char Char Char Char Char...3"/>
    <w:basedOn w:val="5"/>
    <w:next w:val="5"/>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2">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3">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4">
    <w:name w:val="样式 标题 3 + Arial"/>
    <w:basedOn w:val="5"/>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5">
    <w:name w:val="纯文本11"/>
    <w:basedOn w:val="1"/>
    <w:autoRedefine/>
    <w:qFormat/>
    <w:uiPriority w:val="99"/>
    <w:pPr>
      <w:adjustRightInd w:val="0"/>
    </w:pPr>
    <w:rPr>
      <w:rFonts w:ascii="宋体" w:hAnsi="Courier New" w:eastAsia="宋体" w:cs="Times New Roman"/>
      <w:szCs w:val="20"/>
    </w:rPr>
  </w:style>
  <w:style w:type="paragraph" w:customStyle="1" w:styleId="696">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7">
    <w:name w:val="样式 纯文本普通文字 Char纯文本 Char Char普通文字纯文本 Char Char Char Char Char...7"/>
    <w:basedOn w:val="5"/>
    <w:next w:val="5"/>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8">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9">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0">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1">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2">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3">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TOC 标题11"/>
    <w:basedOn w:val="3"/>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5">
    <w:name w:val="不明显强调1"/>
    <w:autoRedefine/>
    <w:qFormat/>
    <w:uiPriority w:val="0"/>
    <w:rPr>
      <w:i/>
      <w:color w:val="auto"/>
      <w:sz w:val="21"/>
    </w:rPr>
  </w:style>
  <w:style w:type="character" w:customStyle="1" w:styleId="706">
    <w:name w:val="明显强调1"/>
    <w:autoRedefine/>
    <w:qFormat/>
    <w:uiPriority w:val="0"/>
    <w:rPr>
      <w:i/>
      <w:color w:val="auto"/>
      <w:sz w:val="21"/>
    </w:rPr>
  </w:style>
  <w:style w:type="character" w:customStyle="1" w:styleId="707">
    <w:name w:val="不明显参考1"/>
    <w:autoRedefine/>
    <w:qFormat/>
    <w:uiPriority w:val="0"/>
    <w:rPr>
      <w:color w:val="auto"/>
      <w:sz w:val="21"/>
    </w:rPr>
  </w:style>
  <w:style w:type="character" w:customStyle="1" w:styleId="708">
    <w:name w:val="明显参考1"/>
    <w:autoRedefine/>
    <w:qFormat/>
    <w:uiPriority w:val="0"/>
    <w:rPr>
      <w:b/>
      <w:color w:val="auto"/>
      <w:sz w:val="21"/>
    </w:rPr>
  </w:style>
  <w:style w:type="character" w:customStyle="1" w:styleId="709">
    <w:name w:val="书籍标题1"/>
    <w:autoRedefine/>
    <w:qFormat/>
    <w:uiPriority w:val="0"/>
    <w:rPr>
      <w:b/>
      <w:i/>
      <w:sz w:val="21"/>
    </w:rPr>
  </w:style>
  <w:style w:type="character" w:customStyle="1" w:styleId="710">
    <w:name w:val="批注文字 字符2"/>
    <w:link w:val="20"/>
    <w:autoRedefine/>
    <w:semiHidden/>
    <w:qFormat/>
    <w:locked/>
    <w:uiPriority w:val="99"/>
    <w:rPr>
      <w:rFonts w:ascii="Times New Roman" w:hAnsi="Times New Roman" w:eastAsia="宋体" w:cs="Times New Roman"/>
      <w:kern w:val="0"/>
      <w:sz w:val="20"/>
      <w:szCs w:val="24"/>
    </w:rPr>
  </w:style>
  <w:style w:type="character" w:customStyle="1" w:styleId="711">
    <w:name w:val="标题 Char1"/>
    <w:autoRedefine/>
    <w:qFormat/>
    <w:uiPriority w:val="0"/>
    <w:rPr>
      <w:rFonts w:hint="default" w:ascii="Cambria" w:hAnsi="Cambria" w:cs="Times New Roman"/>
      <w:b/>
      <w:bCs/>
      <w:sz w:val="32"/>
      <w:szCs w:val="32"/>
    </w:rPr>
  </w:style>
  <w:style w:type="character" w:customStyle="1" w:styleId="712">
    <w:name w:val="hui121"/>
    <w:autoRedefine/>
    <w:qFormat/>
    <w:uiPriority w:val="0"/>
    <w:rPr>
      <w:rFonts w:hint="eastAsia" w:ascii="宋体" w:hAnsi="宋体" w:eastAsia="宋体"/>
      <w:color w:val="333333"/>
      <w:kern w:val="2"/>
      <w:sz w:val="18"/>
      <w:szCs w:val="18"/>
      <w:lang w:val="en-US" w:eastAsia="zh-CN" w:bidi="ar-SA"/>
    </w:rPr>
  </w:style>
  <w:style w:type="character" w:customStyle="1" w:styleId="713">
    <w:name w:val="纯文本 Char"/>
    <w:autoRedefine/>
    <w:qFormat/>
    <w:uiPriority w:val="0"/>
    <w:rPr>
      <w:rFonts w:hint="eastAsia" w:ascii="宋体" w:hAnsi="Courier New" w:eastAsia="宋体" w:cs="Courier New"/>
      <w:szCs w:val="21"/>
    </w:rPr>
  </w:style>
  <w:style w:type="character" w:customStyle="1" w:styleId="714">
    <w:name w:val="class4"/>
    <w:autoRedefine/>
    <w:qFormat/>
    <w:uiPriority w:val="0"/>
  </w:style>
  <w:style w:type="character" w:customStyle="1" w:styleId="715">
    <w:name w:val="标准文本 Char"/>
    <w:autoRedefine/>
    <w:qFormat/>
    <w:uiPriority w:val="0"/>
    <w:rPr>
      <w:sz w:val="20"/>
    </w:rPr>
  </w:style>
  <w:style w:type="character" w:customStyle="1" w:styleId="716">
    <w:name w:val="列出段落 Char"/>
    <w:autoRedefine/>
    <w:qFormat/>
    <w:uiPriority w:val="0"/>
    <w:rPr>
      <w:sz w:val="20"/>
    </w:rPr>
  </w:style>
  <w:style w:type="character" w:customStyle="1" w:styleId="717">
    <w:name w:val="纯文本 Char1"/>
    <w:autoRedefine/>
    <w:qFormat/>
    <w:uiPriority w:val="0"/>
    <w:rPr>
      <w:sz w:val="20"/>
    </w:rPr>
  </w:style>
  <w:style w:type="character" w:customStyle="1" w:styleId="718">
    <w:name w:val="封面日期 Char Char"/>
    <w:autoRedefine/>
    <w:qFormat/>
    <w:uiPriority w:val="0"/>
    <w:rPr>
      <w:sz w:val="20"/>
    </w:rPr>
  </w:style>
  <w:style w:type="character" w:customStyle="1" w:styleId="719">
    <w:name w:val="ca-3"/>
    <w:autoRedefine/>
    <w:qFormat/>
    <w:uiPriority w:val="0"/>
    <w:rPr>
      <w:rFonts w:hint="eastAsia" w:ascii="宋体" w:hAnsi="宋体" w:eastAsia="宋体"/>
      <w:kern w:val="2"/>
      <w:sz w:val="24"/>
      <w:szCs w:val="24"/>
      <w:lang w:val="en-US" w:eastAsia="zh-CN" w:bidi="ar-SA"/>
    </w:rPr>
  </w:style>
  <w:style w:type="character" w:customStyle="1" w:styleId="720">
    <w:name w:val="class3"/>
    <w:autoRedefine/>
    <w:qFormat/>
    <w:uiPriority w:val="0"/>
  </w:style>
  <w:style w:type="character" w:customStyle="1" w:styleId="721">
    <w:name w:val="style41"/>
    <w:autoRedefine/>
    <w:qFormat/>
    <w:uiPriority w:val="0"/>
    <w:rPr>
      <w:sz w:val="18"/>
      <w:szCs w:val="18"/>
    </w:rPr>
  </w:style>
  <w:style w:type="character" w:customStyle="1" w:styleId="722">
    <w:name w:val="label_list1"/>
    <w:autoRedefine/>
    <w:qFormat/>
    <w:uiPriority w:val="0"/>
  </w:style>
  <w:style w:type="character" w:customStyle="1" w:styleId="723">
    <w:name w:val="普通文字 Char Char1"/>
    <w:autoRedefine/>
    <w:qFormat/>
    <w:uiPriority w:val="0"/>
    <w:rPr>
      <w:rFonts w:hint="eastAsia" w:ascii="宋体" w:hAnsi="Courier New" w:eastAsia="宋体"/>
      <w:kern w:val="2"/>
      <w:sz w:val="24"/>
      <w:szCs w:val="24"/>
    </w:rPr>
  </w:style>
  <w:style w:type="character" w:customStyle="1" w:styleId="724">
    <w:name w:val="zbggmain style9"/>
    <w:autoRedefine/>
    <w:qFormat/>
    <w:uiPriority w:val="0"/>
    <w:rPr>
      <w:sz w:val="20"/>
    </w:rPr>
  </w:style>
  <w:style w:type="character" w:customStyle="1" w:styleId="725">
    <w:name w:val="Body Text(ch) Char Char"/>
    <w:autoRedefine/>
    <w:qFormat/>
    <w:uiPriority w:val="0"/>
    <w:rPr>
      <w:sz w:val="20"/>
    </w:rPr>
  </w:style>
  <w:style w:type="character" w:customStyle="1" w:styleId="726">
    <w:name w:val="op-map-singlepoint-info-right1"/>
    <w:autoRedefine/>
    <w:qFormat/>
    <w:uiPriority w:val="0"/>
    <w:rPr>
      <w:sz w:val="20"/>
    </w:rPr>
  </w:style>
  <w:style w:type="character" w:customStyle="1" w:styleId="727">
    <w:name w:val="ca-451"/>
    <w:autoRedefine/>
    <w:qFormat/>
    <w:uiPriority w:val="0"/>
    <w:rPr>
      <w:rFonts w:hint="eastAsia" w:ascii="宋体" w:hAnsi="宋体" w:eastAsia="宋体"/>
      <w:color w:val="000000"/>
      <w:sz w:val="72"/>
      <w:szCs w:val="72"/>
    </w:rPr>
  </w:style>
  <w:style w:type="character" w:customStyle="1" w:styleId="728">
    <w:name w:val="Char Char39"/>
    <w:autoRedefine/>
    <w:qFormat/>
    <w:uiPriority w:val="0"/>
    <w:rPr>
      <w:rFonts w:hint="default" w:ascii="Times New Roman" w:hAnsi="Times New Roman" w:eastAsia="宋体" w:cs="Times New Roman"/>
      <w:b/>
      <w:bCs/>
      <w:sz w:val="28"/>
      <w:szCs w:val="28"/>
    </w:rPr>
  </w:style>
  <w:style w:type="character" w:customStyle="1" w:styleId="729">
    <w:name w:val="Char Char40"/>
    <w:autoRedefine/>
    <w:qFormat/>
    <w:uiPriority w:val="0"/>
    <w:rPr>
      <w:rFonts w:hint="default" w:ascii="Arial" w:hAnsi="Arial" w:eastAsia="黑体" w:cs="Times New Roman"/>
      <w:b/>
      <w:bCs/>
      <w:sz w:val="28"/>
      <w:szCs w:val="28"/>
    </w:rPr>
  </w:style>
  <w:style w:type="character" w:customStyle="1" w:styleId="730">
    <w:name w:val="Char Char42"/>
    <w:autoRedefine/>
    <w:qFormat/>
    <w:uiPriority w:val="0"/>
    <w:rPr>
      <w:rFonts w:hint="default" w:ascii="Arial" w:hAnsi="Arial" w:eastAsia="黑体" w:cs="Times New Roman"/>
      <w:b/>
      <w:bCs/>
      <w:sz w:val="32"/>
      <w:szCs w:val="32"/>
    </w:rPr>
  </w:style>
  <w:style w:type="character" w:customStyle="1" w:styleId="731">
    <w:name w:val="Char Char43"/>
    <w:autoRedefine/>
    <w:qFormat/>
    <w:uiPriority w:val="0"/>
    <w:rPr>
      <w:rFonts w:hint="default" w:ascii="Times New Roman" w:hAnsi="Times New Roman" w:eastAsia="宋体" w:cs="Times New Roman"/>
      <w:b/>
      <w:bCs/>
      <w:sz w:val="24"/>
      <w:szCs w:val="24"/>
    </w:rPr>
  </w:style>
  <w:style w:type="character" w:customStyle="1" w:styleId="732">
    <w:name w:val="Char Char41"/>
    <w:autoRedefine/>
    <w:qFormat/>
    <w:uiPriority w:val="0"/>
    <w:rPr>
      <w:rFonts w:hint="default" w:ascii="Times New Roman" w:hAnsi="Times New Roman" w:eastAsia="宋体" w:cs="Times New Roman"/>
      <w:b/>
      <w:bCs/>
      <w:sz w:val="32"/>
      <w:szCs w:val="32"/>
    </w:rPr>
  </w:style>
  <w:style w:type="character" w:customStyle="1" w:styleId="733">
    <w:name w:val="Char Char38"/>
    <w:autoRedefine/>
    <w:qFormat/>
    <w:uiPriority w:val="0"/>
    <w:rPr>
      <w:rFonts w:hint="default" w:ascii="Arial" w:hAnsi="Arial" w:eastAsia="黑体" w:cs="Arial"/>
      <w:b/>
      <w:bCs/>
      <w:sz w:val="24"/>
      <w:szCs w:val="24"/>
    </w:rPr>
  </w:style>
  <w:style w:type="character" w:customStyle="1" w:styleId="734">
    <w:name w:val="Char Char35"/>
    <w:autoRedefine/>
    <w:qFormat/>
    <w:uiPriority w:val="0"/>
    <w:rPr>
      <w:rFonts w:hint="default" w:ascii="Arial" w:hAnsi="Arial" w:eastAsia="黑体" w:cs="Times New Roman"/>
    </w:rPr>
  </w:style>
  <w:style w:type="character" w:customStyle="1" w:styleId="735">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6">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7">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8">
    <w:name w:val="ca-61"/>
    <w:autoRedefine/>
    <w:qFormat/>
    <w:uiPriority w:val="0"/>
    <w:rPr>
      <w:rFonts w:hint="eastAsia" w:ascii="宋体" w:hAnsi="宋体" w:eastAsia="宋体"/>
      <w:color w:val="000000"/>
      <w:sz w:val="30"/>
      <w:szCs w:val="30"/>
    </w:rPr>
  </w:style>
  <w:style w:type="character" w:customStyle="1" w:styleId="739">
    <w:name w:val="ca-161"/>
    <w:autoRedefine/>
    <w:qFormat/>
    <w:uiPriority w:val="0"/>
    <w:rPr>
      <w:rFonts w:hint="eastAsia" w:ascii="宋体" w:hAnsi="宋体" w:eastAsia="宋体"/>
      <w:sz w:val="24"/>
      <w:szCs w:val="24"/>
    </w:rPr>
  </w:style>
  <w:style w:type="character" w:customStyle="1" w:styleId="740">
    <w:name w:val="textcontents"/>
    <w:autoRedefine/>
    <w:qFormat/>
    <w:uiPriority w:val="0"/>
    <w:rPr>
      <w:rFonts w:hint="default" w:ascii="Times New Roman" w:hAnsi="Times New Roman" w:cs="Times New Roman"/>
    </w:rPr>
  </w:style>
  <w:style w:type="character" w:customStyle="1" w:styleId="741">
    <w:name w:val="ca-401"/>
    <w:autoRedefine/>
    <w:qFormat/>
    <w:uiPriority w:val="0"/>
    <w:rPr>
      <w:rFonts w:hint="default" w:ascii="Times New Roman" w:hAnsi="Times New Roman" w:cs="Times New Roman"/>
      <w:sz w:val="20"/>
      <w:szCs w:val="20"/>
    </w:rPr>
  </w:style>
  <w:style w:type="character" w:customStyle="1" w:styleId="742">
    <w:name w:val="ca-231"/>
    <w:autoRedefine/>
    <w:qFormat/>
    <w:uiPriority w:val="0"/>
    <w:rPr>
      <w:rFonts w:hint="default" w:ascii="Times New Roman" w:hAnsi="Times New Roman" w:cs="Times New Roman"/>
      <w:sz w:val="21"/>
      <w:szCs w:val="21"/>
    </w:rPr>
  </w:style>
  <w:style w:type="character" w:customStyle="1" w:styleId="743">
    <w:name w:val="ca-331"/>
    <w:autoRedefine/>
    <w:qFormat/>
    <w:uiPriority w:val="0"/>
    <w:rPr>
      <w:rFonts w:hint="eastAsia" w:ascii="宋体" w:hAnsi="宋体" w:eastAsia="宋体"/>
      <w:b/>
      <w:bCs/>
      <w:color w:val="002060"/>
      <w:spacing w:val="-20"/>
      <w:sz w:val="20"/>
      <w:szCs w:val="20"/>
    </w:rPr>
  </w:style>
  <w:style w:type="character" w:customStyle="1" w:styleId="744">
    <w:name w:val="ca-201"/>
    <w:autoRedefine/>
    <w:qFormat/>
    <w:uiPriority w:val="0"/>
    <w:rPr>
      <w:rFonts w:hint="default" w:ascii="??" w:hAnsi="??"/>
      <w:color w:val="000000"/>
      <w:sz w:val="18"/>
      <w:szCs w:val="18"/>
    </w:rPr>
  </w:style>
  <w:style w:type="character" w:customStyle="1" w:styleId="745">
    <w:name w:val="ca-191"/>
    <w:autoRedefine/>
    <w:qFormat/>
    <w:uiPriority w:val="0"/>
    <w:rPr>
      <w:rFonts w:hint="default" w:ascii="Times New Roman" w:hAnsi="Times New Roman" w:cs="Times New Roman"/>
      <w:sz w:val="18"/>
      <w:szCs w:val="18"/>
    </w:rPr>
  </w:style>
  <w:style w:type="character" w:customStyle="1" w:styleId="746">
    <w:name w:val="CPara--- Char Char"/>
    <w:autoRedefine/>
    <w:qFormat/>
    <w:uiPriority w:val="0"/>
    <w:rPr>
      <w:rFonts w:hint="default" w:ascii="Arial" w:hAnsi="Arial" w:eastAsia="宋体" w:cs="Arial"/>
      <w:lang w:val="en-US" w:eastAsia="en-US" w:bidi="ar-SA"/>
    </w:rPr>
  </w:style>
  <w:style w:type="character" w:customStyle="1" w:styleId="747">
    <w:name w:val="标题 5 Char1"/>
    <w:autoRedefine/>
    <w:qFormat/>
    <w:uiPriority w:val="0"/>
    <w:rPr>
      <w:rFonts w:hint="eastAsia" w:ascii="宋体" w:hAnsi="宋体" w:eastAsia="宋体"/>
      <w:b/>
      <w:bCs/>
      <w:kern w:val="2"/>
      <w:sz w:val="28"/>
      <w:szCs w:val="28"/>
      <w:lang w:val="en-US" w:eastAsia="zh-CN" w:bidi="ar-SA"/>
    </w:rPr>
  </w:style>
  <w:style w:type="character" w:customStyle="1" w:styleId="748">
    <w:name w:val="ca-81"/>
    <w:autoRedefine/>
    <w:qFormat/>
    <w:uiPriority w:val="0"/>
    <w:rPr>
      <w:rFonts w:hint="eastAsia" w:ascii="宋体" w:hAnsi="宋体" w:eastAsia="宋体"/>
      <w:color w:val="000000"/>
      <w:sz w:val="28"/>
      <w:szCs w:val="28"/>
    </w:rPr>
  </w:style>
  <w:style w:type="character" w:customStyle="1" w:styleId="749">
    <w:name w:val="ca-461"/>
    <w:autoRedefine/>
    <w:qFormat/>
    <w:uiPriority w:val="0"/>
    <w:rPr>
      <w:rFonts w:hint="eastAsia" w:ascii="宋体" w:hAnsi="宋体" w:eastAsia="宋体"/>
      <w:color w:val="000000"/>
      <w:spacing w:val="-20"/>
      <w:sz w:val="28"/>
      <w:szCs w:val="28"/>
    </w:rPr>
  </w:style>
  <w:style w:type="character" w:customStyle="1" w:styleId="750">
    <w:name w:val="ca-501"/>
    <w:autoRedefine/>
    <w:qFormat/>
    <w:uiPriority w:val="0"/>
    <w:rPr>
      <w:rFonts w:hint="eastAsia" w:ascii="宋体" w:hAnsi="宋体" w:eastAsia="宋体"/>
      <w:spacing w:val="0"/>
      <w:sz w:val="24"/>
      <w:szCs w:val="24"/>
    </w:rPr>
  </w:style>
  <w:style w:type="character" w:customStyle="1" w:styleId="751">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2">
    <w:name w:val="日期 Char1"/>
    <w:autoRedefine/>
    <w:qFormat/>
    <w:uiPriority w:val="0"/>
    <w:rPr>
      <w:kern w:val="2"/>
      <w:sz w:val="21"/>
      <w:szCs w:val="22"/>
    </w:rPr>
  </w:style>
  <w:style w:type="character" w:customStyle="1" w:styleId="753">
    <w:name w:val="ca-210"/>
    <w:autoRedefine/>
    <w:qFormat/>
    <w:uiPriority w:val="0"/>
    <w:rPr>
      <w:rFonts w:hint="default" w:ascii="Times New Roman" w:hAnsi="Times New Roman" w:cs="Times New Roman"/>
      <w:color w:val="000000"/>
      <w:sz w:val="36"/>
      <w:szCs w:val="36"/>
    </w:rPr>
  </w:style>
  <w:style w:type="character" w:customStyle="1" w:styleId="754">
    <w:name w:val="页眉 Char Char"/>
    <w:autoRedefine/>
    <w:qFormat/>
    <w:uiPriority w:val="0"/>
    <w:rPr>
      <w:rFonts w:hint="default" w:ascii="Times New Roman" w:hAnsi="Times New Roman" w:eastAsia="宋体" w:cs="Times New Roman"/>
      <w:sz w:val="18"/>
      <w:szCs w:val="18"/>
    </w:rPr>
  </w:style>
  <w:style w:type="character" w:customStyle="1" w:styleId="755">
    <w:name w:val="页脚 Char1"/>
    <w:autoRedefine/>
    <w:qFormat/>
    <w:uiPriority w:val="0"/>
    <w:rPr>
      <w:rFonts w:hint="eastAsia" w:ascii="黑体" w:hAnsi="黑体" w:eastAsia="黑体"/>
      <w:snapToGrid w:val="0"/>
      <w:sz w:val="18"/>
      <w:szCs w:val="18"/>
      <w:lang w:val="en-US" w:eastAsia="zh-CN" w:bidi="ar-SA"/>
    </w:rPr>
  </w:style>
  <w:style w:type="character" w:customStyle="1" w:styleId="756">
    <w:name w:val="日期 Char2"/>
    <w:autoRedefine/>
    <w:qFormat/>
    <w:uiPriority w:val="0"/>
    <w:rPr>
      <w:rFonts w:hint="eastAsia" w:ascii="楷体_GB2312" w:eastAsia="楷体_GB2312"/>
      <w:kern w:val="2"/>
      <w:sz w:val="32"/>
      <w:lang w:val="en-US" w:eastAsia="zh-CN" w:bidi="ar-SA"/>
    </w:rPr>
  </w:style>
  <w:style w:type="character" w:customStyle="1" w:styleId="757">
    <w:name w:val="style11"/>
    <w:autoRedefine/>
    <w:qFormat/>
    <w:uiPriority w:val="0"/>
    <w:rPr>
      <w:sz w:val="27"/>
      <w:szCs w:val="27"/>
    </w:rPr>
  </w:style>
  <w:style w:type="character" w:customStyle="1" w:styleId="758">
    <w:name w:val="文档结构图 Char1"/>
    <w:autoRedefine/>
    <w:qFormat/>
    <w:uiPriority w:val="0"/>
    <w:rPr>
      <w:rFonts w:hint="eastAsia" w:ascii="宋体" w:hAnsi="宋体" w:eastAsia="宋体"/>
      <w:kern w:val="2"/>
      <w:sz w:val="18"/>
      <w:szCs w:val="18"/>
    </w:rPr>
  </w:style>
  <w:style w:type="character" w:customStyle="1" w:styleId="759">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0">
    <w:name w:val="Char Char22"/>
    <w:autoRedefine/>
    <w:qFormat/>
    <w:uiPriority w:val="0"/>
    <w:rPr>
      <w:rFonts w:hint="eastAsia" w:ascii="宋体" w:hAnsi="宋体" w:eastAsia="宋体"/>
      <w:b/>
      <w:bCs/>
      <w:kern w:val="44"/>
      <w:sz w:val="44"/>
      <w:szCs w:val="44"/>
    </w:rPr>
  </w:style>
  <w:style w:type="character" w:customStyle="1" w:styleId="761">
    <w:name w:val="正文文字4 Char"/>
    <w:autoRedefine/>
    <w:qFormat/>
    <w:uiPriority w:val="0"/>
    <w:rPr>
      <w:rFonts w:hint="eastAsia" w:ascii="宋体" w:hAnsi="宋体" w:eastAsia="宋体"/>
      <w:kern w:val="2"/>
      <w:sz w:val="21"/>
      <w:szCs w:val="24"/>
      <w:lang w:val="en-US" w:eastAsia="zh-CN" w:bidi="ar-SA"/>
    </w:rPr>
  </w:style>
  <w:style w:type="character" w:customStyle="1" w:styleId="762">
    <w:name w:val="ca-410"/>
    <w:autoRedefine/>
    <w:qFormat/>
    <w:uiPriority w:val="0"/>
    <w:rPr>
      <w:rFonts w:hint="eastAsia" w:ascii="宋体" w:hAnsi="宋体" w:eastAsia="宋体"/>
      <w:b/>
      <w:bCs/>
      <w:color w:val="000000"/>
      <w:spacing w:val="-20"/>
      <w:sz w:val="48"/>
      <w:szCs w:val="48"/>
    </w:rPr>
  </w:style>
  <w:style w:type="character" w:customStyle="1" w:styleId="763">
    <w:name w:val="ca-101"/>
    <w:autoRedefine/>
    <w:qFormat/>
    <w:uiPriority w:val="0"/>
    <w:rPr>
      <w:rFonts w:hint="default" w:ascii="Times New Roman" w:hAnsi="Times New Roman" w:cs="Times New Roman"/>
      <w:color w:val="000000"/>
      <w:sz w:val="52"/>
      <w:szCs w:val="52"/>
    </w:rPr>
  </w:style>
  <w:style w:type="paragraph" w:customStyle="1" w:styleId="764">
    <w:name w:val="标题 3_1"/>
    <w:basedOn w:val="120"/>
    <w:next w:val="120"/>
    <w:link w:val="76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5">
    <w:name w:val="标题 3 Char_0"/>
    <w:link w:val="764"/>
    <w:autoRedefine/>
    <w:qFormat/>
    <w:locked/>
    <w:uiPriority w:val="0"/>
    <w:rPr>
      <w:rFonts w:ascii="Times New Roman" w:hAnsi="Times New Roman" w:eastAsia="宋体" w:cs="Times New Roman"/>
      <w:b/>
      <w:bCs/>
      <w:sz w:val="32"/>
      <w:szCs w:val="32"/>
    </w:rPr>
  </w:style>
  <w:style w:type="character" w:customStyle="1" w:styleId="766">
    <w:name w:val="ca-361"/>
    <w:autoRedefine/>
    <w:qFormat/>
    <w:uiPriority w:val="0"/>
    <w:rPr>
      <w:rFonts w:hint="eastAsia" w:ascii="宋体" w:hAnsi="宋体" w:eastAsia="宋体"/>
      <w:b/>
      <w:bCs/>
      <w:spacing w:val="-20"/>
      <w:sz w:val="21"/>
      <w:szCs w:val="21"/>
    </w:rPr>
  </w:style>
  <w:style w:type="character" w:customStyle="1" w:styleId="767">
    <w:name w:val="标题 3 Char1"/>
    <w:autoRedefine/>
    <w:qFormat/>
    <w:uiPriority w:val="0"/>
    <w:rPr>
      <w:rFonts w:hint="eastAsia" w:ascii="宋体" w:hAnsi="宋体" w:eastAsia="宋体"/>
      <w:b/>
      <w:bCs/>
      <w:kern w:val="2"/>
      <w:sz w:val="32"/>
      <w:szCs w:val="32"/>
      <w:lang w:val="en-US" w:eastAsia="zh-CN" w:bidi="ar-SA"/>
    </w:rPr>
  </w:style>
  <w:style w:type="character" w:customStyle="1" w:styleId="768">
    <w:name w:val="ca-301"/>
    <w:autoRedefine/>
    <w:qFormat/>
    <w:uiPriority w:val="0"/>
    <w:rPr>
      <w:rFonts w:hint="default" w:ascii="??" w:hAnsi="??"/>
      <w:color w:val="002060"/>
      <w:sz w:val="21"/>
      <w:szCs w:val="21"/>
    </w:rPr>
  </w:style>
  <w:style w:type="character" w:customStyle="1" w:styleId="769">
    <w:name w:val="标题 Char Char"/>
    <w:autoRedefine/>
    <w:qFormat/>
    <w:uiPriority w:val="0"/>
    <w:rPr>
      <w:rFonts w:hint="default" w:ascii="Arial" w:hAnsi="Arial" w:eastAsia="宋体" w:cs="Arial"/>
      <w:b/>
      <w:kern w:val="2"/>
      <w:sz w:val="44"/>
      <w:lang w:val="en-US" w:eastAsia="zh-CN"/>
    </w:rPr>
  </w:style>
  <w:style w:type="character" w:customStyle="1" w:styleId="770">
    <w:name w:val="ca-381"/>
    <w:autoRedefine/>
    <w:qFormat/>
    <w:uiPriority w:val="0"/>
    <w:rPr>
      <w:rFonts w:hint="default" w:ascii="Times New Roman" w:hAnsi="Times New Roman" w:cs="Times New Roman"/>
      <w:b/>
      <w:bCs/>
      <w:spacing w:val="-20"/>
      <w:sz w:val="21"/>
      <w:szCs w:val="21"/>
    </w:rPr>
  </w:style>
  <w:style w:type="character" w:customStyle="1" w:styleId="771">
    <w:name w:val="文档结构图 Char2"/>
    <w:autoRedefine/>
    <w:qFormat/>
    <w:uiPriority w:val="0"/>
    <w:rPr>
      <w:kern w:val="2"/>
      <w:sz w:val="21"/>
      <w:szCs w:val="24"/>
      <w:shd w:val="clear" w:color="auto" w:fill="000080"/>
    </w:rPr>
  </w:style>
  <w:style w:type="character" w:customStyle="1" w:styleId="772">
    <w:name w:val="ca-241"/>
    <w:autoRedefine/>
    <w:qFormat/>
    <w:uiPriority w:val="0"/>
    <w:rPr>
      <w:rFonts w:hint="eastAsia" w:ascii="宋体" w:hAnsi="宋体" w:eastAsia="宋体"/>
      <w:sz w:val="24"/>
      <w:szCs w:val="24"/>
    </w:rPr>
  </w:style>
  <w:style w:type="character" w:customStyle="1" w:styleId="773">
    <w:name w:val="Char Char30"/>
    <w:autoRedefine/>
    <w:qFormat/>
    <w:uiPriority w:val="0"/>
    <w:rPr>
      <w:rFonts w:hint="default" w:ascii="Arial" w:hAnsi="Arial" w:eastAsia="黑体" w:cs="Times New Roman"/>
      <w:b/>
      <w:bCs/>
      <w:sz w:val="32"/>
      <w:szCs w:val="32"/>
    </w:rPr>
  </w:style>
  <w:style w:type="character" w:customStyle="1" w:styleId="774">
    <w:name w:val="表正文 Char1"/>
    <w:autoRedefine/>
    <w:qFormat/>
    <w:uiPriority w:val="0"/>
    <w:rPr>
      <w:rFonts w:hint="eastAsia" w:ascii="宋体" w:hAnsi="宋体" w:eastAsia="宋体"/>
      <w:kern w:val="2"/>
      <w:sz w:val="21"/>
      <w:szCs w:val="24"/>
      <w:lang w:val="en-US" w:eastAsia="zh-CN" w:bidi="ar-SA"/>
    </w:rPr>
  </w:style>
  <w:style w:type="character" w:customStyle="1" w:styleId="775">
    <w:name w:val="ca-171"/>
    <w:autoRedefine/>
    <w:qFormat/>
    <w:uiPriority w:val="0"/>
    <w:rPr>
      <w:rFonts w:hint="default" w:ascii="Times New Roman" w:hAnsi="Times New Roman" w:cs="Times New Roman"/>
      <w:b/>
      <w:bCs/>
      <w:spacing w:val="-20"/>
      <w:sz w:val="24"/>
      <w:szCs w:val="24"/>
    </w:rPr>
  </w:style>
  <w:style w:type="character" w:customStyle="1" w:styleId="776">
    <w:name w:val="Char Char23"/>
    <w:autoRedefine/>
    <w:qFormat/>
    <w:uiPriority w:val="0"/>
    <w:rPr>
      <w:rFonts w:hint="default" w:ascii="Times New Roman" w:hAnsi="Times New Roman" w:eastAsia="宋体" w:cs="Times New Roman"/>
      <w:b/>
      <w:bCs/>
      <w:sz w:val="32"/>
      <w:szCs w:val="32"/>
    </w:rPr>
  </w:style>
  <w:style w:type="character" w:customStyle="1" w:styleId="777">
    <w:name w:val="ca-511"/>
    <w:autoRedefine/>
    <w:qFormat/>
    <w:uiPriority w:val="0"/>
    <w:rPr>
      <w:rFonts w:hint="default" w:ascii="Times New Roman" w:hAnsi="Times New Roman" w:cs="Times New Roman"/>
      <w:b/>
      <w:bCs/>
      <w:color w:val="000000"/>
      <w:spacing w:val="-20"/>
      <w:sz w:val="32"/>
      <w:szCs w:val="32"/>
    </w:rPr>
  </w:style>
  <w:style w:type="character" w:customStyle="1" w:styleId="778">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79">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0">
    <w:name w:val="ca-471"/>
    <w:autoRedefine/>
    <w:qFormat/>
    <w:uiPriority w:val="0"/>
    <w:rPr>
      <w:rFonts w:hint="eastAsia" w:ascii="宋体" w:hAnsi="宋体" w:eastAsia="宋体"/>
      <w:b/>
      <w:bCs/>
      <w:color w:val="000000"/>
      <w:spacing w:val="-20"/>
      <w:sz w:val="24"/>
      <w:szCs w:val="24"/>
    </w:rPr>
  </w:style>
  <w:style w:type="character" w:customStyle="1" w:styleId="781">
    <w:name w:val="zbggtop11 style5"/>
    <w:autoRedefine/>
    <w:qFormat/>
    <w:uiPriority w:val="0"/>
  </w:style>
  <w:style w:type="paragraph" w:customStyle="1" w:styleId="782">
    <w:name w:val="标题 3_0_0"/>
    <w:basedOn w:val="121"/>
    <w:next w:val="121"/>
    <w:link w:val="783"/>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3">
    <w:name w:val="Char Char2_0"/>
    <w:link w:val="782"/>
    <w:autoRedefine/>
    <w:qFormat/>
    <w:locked/>
    <w:uiPriority w:val="0"/>
    <w:rPr>
      <w:rFonts w:ascii="Times New Roman" w:hAnsi="Times New Roman" w:eastAsia="宋体" w:cs="Times New Roman"/>
      <w:b/>
      <w:bCs/>
      <w:sz w:val="32"/>
      <w:szCs w:val="32"/>
    </w:rPr>
  </w:style>
  <w:style w:type="character" w:customStyle="1" w:styleId="784">
    <w:name w:val="Char Char32"/>
    <w:autoRedefine/>
    <w:qFormat/>
    <w:uiPriority w:val="0"/>
    <w:rPr>
      <w:rFonts w:hint="eastAsia" w:ascii="仿宋_GB2312" w:hAnsi="宋体" w:eastAsia="宋体" w:cs="Arial"/>
      <w:b/>
      <w:bCs/>
      <w:color w:val="000000"/>
      <w:sz w:val="24"/>
      <w:szCs w:val="24"/>
    </w:rPr>
  </w:style>
  <w:style w:type="character" w:customStyle="1" w:styleId="785">
    <w:name w:val="Para- Char Char"/>
    <w:autoRedefine/>
    <w:qFormat/>
    <w:uiPriority w:val="0"/>
    <w:rPr>
      <w:rFonts w:hint="default" w:ascii="Arial" w:hAnsi="Arial" w:eastAsia="宋体" w:cs="Arial"/>
      <w:lang w:val="en-US" w:eastAsia="en-US" w:bidi="ar-SA"/>
    </w:rPr>
  </w:style>
  <w:style w:type="character" w:customStyle="1" w:styleId="786">
    <w:name w:val="不明显强调111"/>
    <w:autoRedefine/>
    <w:qFormat/>
    <w:uiPriority w:val="0"/>
    <w:rPr>
      <w:i/>
      <w:iCs/>
      <w:color w:val="808080"/>
    </w:rPr>
  </w:style>
  <w:style w:type="character" w:customStyle="1" w:styleId="787">
    <w:name w:val="页脚 Char Char"/>
    <w:autoRedefine/>
    <w:qFormat/>
    <w:uiPriority w:val="0"/>
    <w:rPr>
      <w:kern w:val="2"/>
      <w:sz w:val="18"/>
      <w:szCs w:val="18"/>
    </w:rPr>
  </w:style>
  <w:style w:type="character" w:customStyle="1" w:styleId="788">
    <w:name w:val="Char Char33"/>
    <w:autoRedefine/>
    <w:qFormat/>
    <w:uiPriority w:val="0"/>
    <w:rPr>
      <w:rFonts w:hint="default" w:ascii="Times New Roman" w:hAnsi="Times New Roman" w:eastAsia="宋体" w:cs="Times New Roman"/>
      <w:sz w:val="18"/>
      <w:szCs w:val="18"/>
    </w:rPr>
  </w:style>
  <w:style w:type="paragraph" w:customStyle="1" w:styleId="789">
    <w:name w:val="批注文字_0"/>
    <w:basedOn w:val="128"/>
    <w:link w:val="790"/>
    <w:autoRedefine/>
    <w:qFormat/>
    <w:uiPriority w:val="0"/>
    <w:pPr>
      <w:jc w:val="left"/>
    </w:pPr>
    <w:rPr>
      <w:szCs w:val="22"/>
    </w:rPr>
  </w:style>
  <w:style w:type="character" w:customStyle="1" w:styleId="790">
    <w:name w:val="批注文字 Char_0"/>
    <w:link w:val="789"/>
    <w:autoRedefine/>
    <w:qFormat/>
    <w:locked/>
    <w:uiPriority w:val="0"/>
    <w:rPr>
      <w:rFonts w:ascii="Times New Roman" w:hAnsi="Times New Roman" w:eastAsia="宋体" w:cs="Times New Roman"/>
    </w:rPr>
  </w:style>
  <w:style w:type="character" w:customStyle="1" w:styleId="791">
    <w:name w:val="正文文本缩进 2 Char Char"/>
    <w:autoRedefine/>
    <w:qFormat/>
    <w:uiPriority w:val="0"/>
    <w:rPr>
      <w:rFonts w:hint="default" w:ascii="Times New Roman" w:hAnsi="Times New Roman" w:eastAsia="宋体" w:cs="Times New Roman"/>
      <w:szCs w:val="24"/>
    </w:rPr>
  </w:style>
  <w:style w:type="character" w:customStyle="1" w:styleId="792">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3">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4">
    <w:name w:val="ca-321"/>
    <w:autoRedefine/>
    <w:qFormat/>
    <w:uiPriority w:val="0"/>
    <w:rPr>
      <w:rFonts w:hint="eastAsia" w:ascii="宋体" w:hAnsi="宋体" w:eastAsia="宋体"/>
      <w:b/>
      <w:bCs/>
      <w:color w:val="C00000"/>
      <w:spacing w:val="-20"/>
      <w:sz w:val="21"/>
      <w:szCs w:val="21"/>
    </w:rPr>
  </w:style>
  <w:style w:type="character" w:customStyle="1" w:styleId="795">
    <w:name w:val="ca-310"/>
    <w:autoRedefine/>
    <w:qFormat/>
    <w:uiPriority w:val="0"/>
    <w:rPr>
      <w:rFonts w:hint="default" w:ascii="Times New Roman" w:hAnsi="Times New Roman" w:cs="Times New Roman"/>
      <w:b/>
      <w:bCs/>
      <w:color w:val="000000"/>
      <w:spacing w:val="-20"/>
      <w:sz w:val="48"/>
      <w:szCs w:val="48"/>
    </w:rPr>
  </w:style>
  <w:style w:type="paragraph" w:customStyle="1" w:styleId="796">
    <w:name w:val="正文缩进_0"/>
    <w:basedOn w:val="131"/>
    <w:link w:val="797"/>
    <w:autoRedefine/>
    <w:qFormat/>
    <w:uiPriority w:val="0"/>
    <w:pPr>
      <w:ind w:firstLine="420" w:firstLineChars="200"/>
    </w:pPr>
    <w:rPr>
      <w:rFonts w:ascii="Times New Roman" w:hAnsi="Times New Roman"/>
    </w:rPr>
  </w:style>
  <w:style w:type="character" w:customStyle="1" w:styleId="797">
    <w:name w:val="署名 Char1"/>
    <w:link w:val="796"/>
    <w:autoRedefine/>
    <w:qFormat/>
    <w:locked/>
    <w:uiPriority w:val="0"/>
    <w:rPr>
      <w:rFonts w:ascii="Times New Roman" w:hAnsi="Times New Roman" w:eastAsia="宋体" w:cs="Times New Roman"/>
    </w:rPr>
  </w:style>
  <w:style w:type="character" w:customStyle="1" w:styleId="798">
    <w:name w:val="ca-411"/>
    <w:autoRedefine/>
    <w:qFormat/>
    <w:uiPriority w:val="0"/>
    <w:rPr>
      <w:rFonts w:hint="eastAsia" w:ascii="宋体" w:hAnsi="宋体" w:eastAsia="宋体"/>
      <w:b/>
      <w:bCs/>
      <w:color w:val="000000"/>
      <w:spacing w:val="-20"/>
      <w:sz w:val="32"/>
      <w:szCs w:val="32"/>
    </w:rPr>
  </w:style>
  <w:style w:type="character" w:customStyle="1" w:styleId="799">
    <w:name w:val="ca-71"/>
    <w:autoRedefine/>
    <w:qFormat/>
    <w:uiPriority w:val="0"/>
    <w:rPr>
      <w:rFonts w:hint="default" w:ascii="Times New Roman" w:hAnsi="Times New Roman" w:cs="Times New Roman"/>
      <w:color w:val="000000"/>
      <w:sz w:val="28"/>
      <w:szCs w:val="28"/>
    </w:rPr>
  </w:style>
  <w:style w:type="character" w:customStyle="1" w:styleId="800">
    <w:name w:val="ca-531"/>
    <w:autoRedefine/>
    <w:qFormat/>
    <w:uiPriority w:val="0"/>
    <w:rPr>
      <w:rFonts w:hint="default" w:ascii="Times New Roman" w:hAnsi="Times New Roman" w:cs="Times New Roman"/>
      <w:b/>
      <w:bCs/>
      <w:spacing w:val="-20"/>
      <w:sz w:val="36"/>
      <w:szCs w:val="36"/>
    </w:rPr>
  </w:style>
  <w:style w:type="character" w:customStyle="1" w:styleId="801">
    <w:name w:val="ca-311"/>
    <w:autoRedefine/>
    <w:qFormat/>
    <w:uiPriority w:val="0"/>
    <w:rPr>
      <w:rFonts w:hint="default" w:ascii="??" w:hAnsi="??"/>
      <w:color w:val="000000"/>
      <w:sz w:val="21"/>
      <w:szCs w:val="21"/>
    </w:rPr>
  </w:style>
  <w:style w:type="character" w:customStyle="1" w:styleId="802">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3">
    <w:name w:val="Footer-Even Char"/>
    <w:autoRedefine/>
    <w:qFormat/>
    <w:uiPriority w:val="0"/>
    <w:rPr>
      <w:rFonts w:hint="eastAsia" w:ascii="宋体" w:hAnsi="宋体" w:eastAsia="宋体"/>
      <w:kern w:val="2"/>
      <w:sz w:val="18"/>
      <w:szCs w:val="18"/>
      <w:lang w:val="en-US" w:eastAsia="zh-CN" w:bidi="ar-SA"/>
    </w:rPr>
  </w:style>
  <w:style w:type="character" w:customStyle="1" w:styleId="804">
    <w:name w:val="日期 Char Char"/>
    <w:autoRedefine/>
    <w:qFormat/>
    <w:uiPriority w:val="0"/>
    <w:rPr>
      <w:rFonts w:hint="default" w:ascii="Times New Roman" w:hAnsi="Times New Roman" w:cs="Times New Roman"/>
      <w:kern w:val="2"/>
      <w:sz w:val="21"/>
      <w:szCs w:val="24"/>
    </w:rPr>
  </w:style>
  <w:style w:type="character" w:customStyle="1" w:styleId="805">
    <w:name w:val="批注文字 Char Char"/>
    <w:autoRedefine/>
    <w:qFormat/>
    <w:uiPriority w:val="0"/>
    <w:rPr>
      <w:rFonts w:hint="default" w:ascii="Times New Roman" w:hAnsi="Times New Roman" w:eastAsia="宋体" w:cs="Times New Roman"/>
      <w:szCs w:val="24"/>
    </w:rPr>
  </w:style>
  <w:style w:type="character" w:customStyle="1" w:styleId="806">
    <w:name w:val="apple-style-span"/>
    <w:autoRedefine/>
    <w:qFormat/>
    <w:uiPriority w:val="0"/>
  </w:style>
  <w:style w:type="character" w:customStyle="1" w:styleId="807">
    <w:name w:val="书籍标题111"/>
    <w:autoRedefine/>
    <w:qFormat/>
    <w:uiPriority w:val="0"/>
    <w:rPr>
      <w:b/>
      <w:bCs/>
      <w:smallCaps/>
      <w:spacing w:val="5"/>
    </w:rPr>
  </w:style>
  <w:style w:type="character" w:customStyle="1" w:styleId="808">
    <w:name w:val="ca-221"/>
    <w:autoRedefine/>
    <w:qFormat/>
    <w:uiPriority w:val="0"/>
    <w:rPr>
      <w:rFonts w:hint="eastAsia" w:ascii="宋体" w:hAnsi="宋体" w:eastAsia="宋体"/>
      <w:sz w:val="21"/>
      <w:szCs w:val="21"/>
    </w:rPr>
  </w:style>
  <w:style w:type="character" w:customStyle="1" w:styleId="809">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0">
    <w:name w:val="标题 1 Char Char"/>
    <w:autoRedefine/>
    <w:qFormat/>
    <w:uiPriority w:val="0"/>
    <w:rPr>
      <w:rFonts w:hint="default" w:ascii="Times New Roman" w:hAnsi="Times New Roman" w:cs="Times New Roman"/>
      <w:b/>
      <w:bCs/>
      <w:kern w:val="44"/>
      <w:sz w:val="44"/>
      <w:szCs w:val="44"/>
    </w:rPr>
  </w:style>
  <w:style w:type="character" w:customStyle="1" w:styleId="811">
    <w:name w:val="ca-261"/>
    <w:autoRedefine/>
    <w:qFormat/>
    <w:uiPriority w:val="0"/>
    <w:rPr>
      <w:rFonts w:hint="eastAsia" w:ascii="宋体" w:hAnsi="宋体" w:eastAsia="宋体"/>
      <w:color w:val="002060"/>
      <w:sz w:val="21"/>
      <w:szCs w:val="21"/>
    </w:rPr>
  </w:style>
  <w:style w:type="character" w:customStyle="1" w:styleId="812">
    <w:name w:val="批注主题 Char1"/>
    <w:autoRedefine/>
    <w:qFormat/>
    <w:uiPriority w:val="0"/>
    <w:rPr>
      <w:b/>
      <w:bCs/>
      <w:kern w:val="2"/>
      <w:sz w:val="21"/>
      <w:szCs w:val="22"/>
    </w:rPr>
  </w:style>
  <w:style w:type="character" w:customStyle="1" w:styleId="813">
    <w:name w:val="ca-341"/>
    <w:autoRedefine/>
    <w:qFormat/>
    <w:uiPriority w:val="0"/>
    <w:rPr>
      <w:rFonts w:hint="eastAsia" w:ascii="宋体" w:hAnsi="宋体" w:eastAsia="宋体"/>
      <w:color w:val="000000"/>
      <w:sz w:val="20"/>
      <w:szCs w:val="20"/>
    </w:rPr>
  </w:style>
  <w:style w:type="character" w:customStyle="1" w:styleId="814">
    <w:name w:val="font161"/>
    <w:autoRedefine/>
    <w:qFormat/>
    <w:uiPriority w:val="0"/>
    <w:rPr>
      <w:b/>
      <w:bCs/>
      <w:sz w:val="32"/>
      <w:szCs w:val="32"/>
    </w:rPr>
  </w:style>
  <w:style w:type="character" w:customStyle="1" w:styleId="815">
    <w:name w:val="ca-421"/>
    <w:autoRedefine/>
    <w:qFormat/>
    <w:uiPriority w:val="0"/>
    <w:rPr>
      <w:rFonts w:hint="eastAsia" w:ascii="宋体" w:hAnsi="宋体" w:eastAsia="宋体"/>
      <w:color w:val="000000"/>
      <w:sz w:val="36"/>
      <w:szCs w:val="36"/>
    </w:rPr>
  </w:style>
  <w:style w:type="character" w:customStyle="1" w:styleId="816">
    <w:name w:val="Footer-Even Char2"/>
    <w:autoRedefine/>
    <w:qFormat/>
    <w:uiPriority w:val="0"/>
    <w:rPr>
      <w:rFonts w:hint="eastAsia" w:ascii="宋体" w:hAnsi="宋体" w:eastAsia="宋体"/>
      <w:kern w:val="2"/>
      <w:sz w:val="18"/>
      <w:szCs w:val="18"/>
      <w:lang w:val="en-US" w:eastAsia="zh-CN" w:bidi="ar-SA"/>
    </w:rPr>
  </w:style>
  <w:style w:type="character" w:customStyle="1" w:styleId="817">
    <w:name w:val="ca-211"/>
    <w:autoRedefine/>
    <w:qFormat/>
    <w:uiPriority w:val="0"/>
    <w:rPr>
      <w:rFonts w:hint="eastAsia" w:ascii="宋体" w:hAnsi="宋体" w:eastAsia="宋体"/>
      <w:color w:val="000000"/>
      <w:sz w:val="21"/>
      <w:szCs w:val="21"/>
    </w:rPr>
  </w:style>
  <w:style w:type="character" w:customStyle="1" w:styleId="818">
    <w:name w:val="ca-181"/>
    <w:autoRedefine/>
    <w:qFormat/>
    <w:uiPriority w:val="0"/>
    <w:rPr>
      <w:rFonts w:hint="eastAsia" w:ascii="宋体" w:hAnsi="宋体" w:eastAsia="宋体"/>
      <w:color w:val="000000"/>
      <w:sz w:val="18"/>
      <w:szCs w:val="18"/>
    </w:rPr>
  </w:style>
  <w:style w:type="character" w:customStyle="1" w:styleId="819">
    <w:name w:val="ca-54"/>
    <w:autoRedefine/>
    <w:qFormat/>
    <w:uiPriority w:val="0"/>
    <w:rPr>
      <w:rFonts w:hint="eastAsia" w:ascii="宋体" w:hAnsi="宋体" w:eastAsia="宋体"/>
      <w:b/>
      <w:bCs/>
      <w:color w:val="000000"/>
      <w:spacing w:val="40"/>
      <w:sz w:val="48"/>
      <w:szCs w:val="48"/>
    </w:rPr>
  </w:style>
  <w:style w:type="character" w:customStyle="1" w:styleId="820">
    <w:name w:val="ca-271"/>
    <w:autoRedefine/>
    <w:qFormat/>
    <w:uiPriority w:val="0"/>
    <w:rPr>
      <w:rFonts w:hint="eastAsia" w:ascii="宋体" w:hAnsi="宋体" w:eastAsia="宋体"/>
      <w:b/>
      <w:bCs/>
      <w:color w:val="002060"/>
      <w:spacing w:val="-20"/>
      <w:sz w:val="21"/>
      <w:szCs w:val="21"/>
    </w:rPr>
  </w:style>
  <w:style w:type="character" w:customStyle="1" w:styleId="821">
    <w:name w:val="ca-441"/>
    <w:autoRedefine/>
    <w:qFormat/>
    <w:uiPriority w:val="0"/>
    <w:rPr>
      <w:rFonts w:hint="eastAsia" w:ascii="宋体" w:hAnsi="宋体" w:eastAsia="宋体"/>
      <w:color w:val="000000"/>
      <w:sz w:val="52"/>
      <w:szCs w:val="52"/>
    </w:rPr>
  </w:style>
  <w:style w:type="character" w:customStyle="1" w:styleId="822">
    <w:name w:val="文档结构图 Char"/>
    <w:autoRedefine/>
    <w:qFormat/>
    <w:uiPriority w:val="0"/>
    <w:rPr>
      <w:szCs w:val="24"/>
      <w:shd w:val="clear" w:color="auto" w:fill="000080"/>
      <w:lang w:bidi="ar-SA"/>
    </w:rPr>
  </w:style>
  <w:style w:type="character" w:customStyle="1" w:styleId="823">
    <w:name w:val="ca-121"/>
    <w:autoRedefine/>
    <w:qFormat/>
    <w:uiPriority w:val="0"/>
    <w:rPr>
      <w:rFonts w:hint="default" w:ascii="Times New Roman" w:hAnsi="Times New Roman" w:cs="Times New Roman"/>
      <w:color w:val="000000"/>
      <w:sz w:val="32"/>
      <w:szCs w:val="32"/>
    </w:rPr>
  </w:style>
  <w:style w:type="character" w:customStyle="1" w:styleId="824">
    <w:name w:val="ca-251"/>
    <w:autoRedefine/>
    <w:qFormat/>
    <w:uiPriority w:val="0"/>
    <w:rPr>
      <w:rFonts w:hint="default" w:ascii="Times New Roman" w:hAnsi="Times New Roman" w:cs="Times New Roman"/>
      <w:sz w:val="21"/>
      <w:szCs w:val="21"/>
    </w:rPr>
  </w:style>
  <w:style w:type="character" w:customStyle="1" w:styleId="825">
    <w:name w:val="正文文本 Char1"/>
    <w:autoRedefine/>
    <w:qFormat/>
    <w:uiPriority w:val="0"/>
    <w:rPr>
      <w:kern w:val="2"/>
      <w:sz w:val="21"/>
      <w:szCs w:val="22"/>
    </w:rPr>
  </w:style>
  <w:style w:type="character" w:customStyle="1" w:styleId="826">
    <w:name w:val="明显参考111"/>
    <w:autoRedefine/>
    <w:qFormat/>
    <w:uiPriority w:val="0"/>
    <w:rPr>
      <w:b/>
      <w:bCs/>
      <w:smallCaps/>
      <w:color w:val="C0504D"/>
      <w:spacing w:val="5"/>
      <w:u w:val="single"/>
    </w:rPr>
  </w:style>
  <w:style w:type="character" w:customStyle="1" w:styleId="827">
    <w:name w:val="明显强调111"/>
    <w:autoRedefine/>
    <w:qFormat/>
    <w:uiPriority w:val="0"/>
    <w:rPr>
      <w:b/>
      <w:bCs/>
      <w:i/>
      <w:iCs/>
      <w:color w:val="4F81BD"/>
    </w:rPr>
  </w:style>
  <w:style w:type="character" w:customStyle="1" w:styleId="828">
    <w:name w:val="Footer-Even Char1"/>
    <w:autoRedefine/>
    <w:qFormat/>
    <w:uiPriority w:val="0"/>
    <w:rPr>
      <w:rFonts w:hint="eastAsia" w:ascii="宋体" w:hAnsi="宋体" w:eastAsia="宋体"/>
      <w:kern w:val="2"/>
      <w:sz w:val="18"/>
      <w:szCs w:val="18"/>
      <w:lang w:val="en-US" w:eastAsia="zh-CN" w:bidi="ar-SA"/>
    </w:rPr>
  </w:style>
  <w:style w:type="character" w:customStyle="1" w:styleId="829">
    <w:name w:val="Char Char28"/>
    <w:autoRedefine/>
    <w:qFormat/>
    <w:uiPriority w:val="0"/>
    <w:rPr>
      <w:rFonts w:hint="eastAsia" w:ascii="宋体" w:hAnsi="宋体" w:eastAsia="宋体"/>
      <w:kern w:val="2"/>
      <w:sz w:val="18"/>
      <w:lang w:val="en-US" w:eastAsia="zh-CN" w:bidi="ar-SA"/>
    </w:rPr>
  </w:style>
  <w:style w:type="character" w:customStyle="1" w:styleId="830">
    <w:name w:val="Char Char34"/>
    <w:autoRedefine/>
    <w:qFormat/>
    <w:uiPriority w:val="0"/>
    <w:rPr>
      <w:rFonts w:hint="default" w:ascii="Cambria" w:hAnsi="Cambria" w:eastAsia="宋体" w:cs="Times New Roman"/>
      <w:b/>
      <w:bCs/>
      <w:sz w:val="28"/>
      <w:szCs w:val="32"/>
    </w:rPr>
  </w:style>
  <w:style w:type="character" w:customStyle="1" w:styleId="831">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2">
    <w:name w:val="by jerry Char1"/>
    <w:autoRedefine/>
    <w:qFormat/>
    <w:uiPriority w:val="0"/>
    <w:rPr>
      <w:rFonts w:hint="eastAsia" w:ascii="宋体" w:hAnsi="宋体" w:eastAsia="宋体"/>
      <w:b/>
      <w:bCs/>
      <w:kern w:val="44"/>
      <w:sz w:val="32"/>
      <w:szCs w:val="44"/>
      <w:lang w:val="en-US" w:eastAsia="zh-CN" w:bidi="ar-SA"/>
    </w:rPr>
  </w:style>
  <w:style w:type="character" w:customStyle="1" w:styleId="833">
    <w:name w:val="标题 1 Char1"/>
    <w:autoRedefine/>
    <w:qFormat/>
    <w:uiPriority w:val="0"/>
    <w:rPr>
      <w:rFonts w:hint="eastAsia" w:ascii="宋体" w:hAnsi="宋体" w:eastAsia="宋体"/>
      <w:b/>
      <w:bCs/>
      <w:kern w:val="2"/>
      <w:sz w:val="24"/>
      <w:szCs w:val="24"/>
      <w:lang w:val="en-US" w:eastAsia="zh-CN" w:bidi="ar-SA"/>
    </w:rPr>
  </w:style>
  <w:style w:type="character" w:customStyle="1" w:styleId="834">
    <w:name w:val="Char Char19"/>
    <w:autoRedefine/>
    <w:qFormat/>
    <w:uiPriority w:val="0"/>
    <w:rPr>
      <w:rFonts w:hint="default" w:ascii="Cambria" w:hAnsi="Cambria"/>
      <w:b/>
      <w:bCs/>
      <w:kern w:val="2"/>
      <w:sz w:val="28"/>
      <w:szCs w:val="28"/>
    </w:rPr>
  </w:style>
  <w:style w:type="character" w:customStyle="1" w:styleId="835">
    <w:name w:val="ca-481"/>
    <w:autoRedefine/>
    <w:qFormat/>
    <w:uiPriority w:val="0"/>
    <w:rPr>
      <w:rFonts w:hint="eastAsia" w:ascii="宋体" w:hAnsi="宋体" w:eastAsia="宋体"/>
      <w:color w:val="000000"/>
      <w:sz w:val="26"/>
      <w:szCs w:val="26"/>
    </w:rPr>
  </w:style>
  <w:style w:type="paragraph" w:customStyle="1" w:styleId="836">
    <w:name w:val="正文文本缩进_1"/>
    <w:basedOn w:val="142"/>
    <w:link w:val="837"/>
    <w:autoRedefine/>
    <w:qFormat/>
    <w:uiPriority w:val="0"/>
    <w:pPr>
      <w:spacing w:after="120"/>
      <w:ind w:left="420" w:leftChars="200"/>
    </w:pPr>
    <w:rPr>
      <w:rFonts w:ascii="Times New Roman" w:hAnsi="Times New Roman"/>
    </w:rPr>
  </w:style>
  <w:style w:type="character" w:customStyle="1" w:styleId="837">
    <w:name w:val="正文文字4 Char1_1"/>
    <w:link w:val="836"/>
    <w:autoRedefine/>
    <w:qFormat/>
    <w:locked/>
    <w:uiPriority w:val="0"/>
    <w:rPr>
      <w:rFonts w:ascii="Times New Roman" w:hAnsi="Times New Roman" w:eastAsia="宋体" w:cs="Times New Roman"/>
    </w:rPr>
  </w:style>
  <w:style w:type="character" w:customStyle="1" w:styleId="838">
    <w:name w:val="ca-91"/>
    <w:autoRedefine/>
    <w:qFormat/>
    <w:uiPriority w:val="0"/>
    <w:rPr>
      <w:rFonts w:hint="eastAsia" w:ascii="楷体_GB2312" w:eastAsia="楷体_GB2312"/>
      <w:color w:val="000000"/>
      <w:spacing w:val="20"/>
      <w:sz w:val="96"/>
      <w:szCs w:val="96"/>
    </w:rPr>
  </w:style>
  <w:style w:type="character" w:customStyle="1" w:styleId="839">
    <w:name w:val="Char Char26"/>
    <w:autoRedefine/>
    <w:qFormat/>
    <w:uiPriority w:val="0"/>
    <w:rPr>
      <w:rFonts w:hint="default" w:ascii="Arial" w:hAnsi="Arial" w:eastAsia="宋体" w:cs="Times New Roman"/>
      <w:bCs/>
      <w:kern w:val="2"/>
      <w:sz w:val="24"/>
      <w:szCs w:val="28"/>
    </w:rPr>
  </w:style>
  <w:style w:type="character" w:customStyle="1" w:styleId="840">
    <w:name w:val="标题 7 Char"/>
    <w:autoRedefine/>
    <w:qFormat/>
    <w:uiPriority w:val="0"/>
    <w:rPr>
      <w:rFonts w:hint="default" w:ascii="Times New Roman" w:hAnsi="Times New Roman" w:cs="Times New Roman"/>
      <w:b/>
      <w:bCs/>
      <w:kern w:val="2"/>
      <w:sz w:val="24"/>
      <w:szCs w:val="24"/>
    </w:rPr>
  </w:style>
  <w:style w:type="character" w:customStyle="1" w:styleId="841">
    <w:name w:val="正文文字4 Char1"/>
    <w:autoRedefine/>
    <w:qFormat/>
    <w:uiPriority w:val="0"/>
    <w:rPr>
      <w:rFonts w:hint="eastAsia" w:ascii="宋体" w:hAnsi="宋体" w:eastAsia="宋体"/>
      <w:kern w:val="2"/>
      <w:sz w:val="21"/>
      <w:szCs w:val="24"/>
      <w:lang w:val="en-US" w:eastAsia="zh-CN" w:bidi="ar-SA"/>
    </w:rPr>
  </w:style>
  <w:style w:type="character" w:customStyle="1" w:styleId="842">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3">
    <w:name w:val="引用 字符2"/>
    <w:autoRedefine/>
    <w:qFormat/>
    <w:locked/>
    <w:uiPriority w:val="0"/>
    <w:rPr>
      <w:i/>
      <w:sz w:val="21"/>
    </w:rPr>
  </w:style>
  <w:style w:type="character" w:customStyle="1" w:styleId="844">
    <w:name w:val="Char Char27"/>
    <w:autoRedefine/>
    <w:qFormat/>
    <w:uiPriority w:val="0"/>
    <w:rPr>
      <w:rFonts w:hint="default" w:ascii="Calibri" w:hAnsi="Calibri" w:eastAsia="宋体" w:cs="Times New Roman"/>
      <w:b/>
      <w:bCs/>
      <w:kern w:val="2"/>
      <w:sz w:val="24"/>
      <w:szCs w:val="32"/>
    </w:rPr>
  </w:style>
  <w:style w:type="character" w:customStyle="1" w:styleId="845">
    <w:name w:val="ca-351"/>
    <w:autoRedefine/>
    <w:qFormat/>
    <w:uiPriority w:val="0"/>
    <w:rPr>
      <w:rFonts w:hint="default" w:ascii="Times New Roman" w:hAnsi="Times New Roman" w:cs="Times New Roman"/>
      <w:sz w:val="10"/>
      <w:szCs w:val="10"/>
    </w:rPr>
  </w:style>
  <w:style w:type="character" w:customStyle="1" w:styleId="846">
    <w:name w:val="ca-131"/>
    <w:autoRedefine/>
    <w:qFormat/>
    <w:uiPriority w:val="0"/>
    <w:rPr>
      <w:rFonts w:hint="eastAsia" w:ascii="宋体" w:hAnsi="宋体" w:eastAsia="宋体"/>
      <w:color w:val="000000"/>
      <w:sz w:val="32"/>
      <w:szCs w:val="32"/>
    </w:rPr>
  </w:style>
  <w:style w:type="character" w:customStyle="1" w:styleId="847">
    <w:name w:val="页眉 Char1"/>
    <w:autoRedefine/>
    <w:qFormat/>
    <w:uiPriority w:val="0"/>
    <w:rPr>
      <w:rFonts w:hint="eastAsia" w:ascii="仿宋_GB2312" w:eastAsia="仿宋_GB2312"/>
      <w:kern w:val="2"/>
      <w:sz w:val="18"/>
      <w:lang w:val="en-US" w:eastAsia="zh-CN" w:bidi="ar-SA"/>
    </w:rPr>
  </w:style>
  <w:style w:type="paragraph" w:customStyle="1" w:styleId="848">
    <w:name w:val="标题 2_0"/>
    <w:basedOn w:val="149"/>
    <w:next w:val="149"/>
    <w:link w:val="849"/>
    <w:autoRedefine/>
    <w:qFormat/>
    <w:uiPriority w:val="0"/>
    <w:pPr>
      <w:keepNext/>
      <w:keepLines/>
      <w:spacing w:before="260" w:after="260" w:line="412" w:lineRule="auto"/>
      <w:outlineLvl w:val="1"/>
    </w:pPr>
    <w:rPr>
      <w:rFonts w:ascii="Cambria" w:hAnsi="Cambria"/>
      <w:b/>
      <w:bCs/>
      <w:sz w:val="32"/>
      <w:szCs w:val="32"/>
    </w:rPr>
  </w:style>
  <w:style w:type="character" w:customStyle="1" w:styleId="849">
    <w:name w:val="标题 2 Char_0"/>
    <w:link w:val="848"/>
    <w:autoRedefine/>
    <w:qFormat/>
    <w:locked/>
    <w:uiPriority w:val="0"/>
    <w:rPr>
      <w:rFonts w:ascii="Cambria" w:hAnsi="Cambria" w:eastAsia="宋体" w:cs="Times New Roman"/>
      <w:b/>
      <w:bCs/>
      <w:sz w:val="32"/>
      <w:szCs w:val="32"/>
    </w:rPr>
  </w:style>
  <w:style w:type="character" w:customStyle="1" w:styleId="850">
    <w:name w:val="手改 Char Char2"/>
    <w:autoRedefine/>
    <w:qFormat/>
    <w:uiPriority w:val="0"/>
    <w:rPr>
      <w:rFonts w:hint="eastAsia" w:ascii="宋体" w:hAnsi="宋体" w:eastAsia="宋体"/>
      <w:kern w:val="2"/>
      <w:sz w:val="21"/>
      <w:szCs w:val="24"/>
      <w:lang w:val="en-US" w:eastAsia="zh-CN" w:bidi="ar-SA"/>
    </w:rPr>
  </w:style>
  <w:style w:type="character" w:customStyle="1" w:styleId="851">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2">
    <w:name w:val="样式1 Char"/>
    <w:autoRedefine/>
    <w:qFormat/>
    <w:uiPriority w:val="0"/>
    <w:rPr>
      <w:rFonts w:hint="eastAsia" w:ascii="宋体" w:hAnsi="宋体" w:eastAsia="宋体"/>
      <w:kern w:val="2"/>
      <w:sz w:val="24"/>
      <w:szCs w:val="24"/>
      <w:lang w:val="en-US" w:eastAsia="zh-CN" w:bidi="ar-SA"/>
    </w:rPr>
  </w:style>
  <w:style w:type="character" w:customStyle="1" w:styleId="853">
    <w:name w:val="ca-281"/>
    <w:autoRedefine/>
    <w:qFormat/>
    <w:uiPriority w:val="0"/>
    <w:rPr>
      <w:rFonts w:hint="eastAsia" w:ascii="宋体" w:hAnsi="宋体" w:eastAsia="宋体"/>
      <w:color w:val="FF0000"/>
      <w:sz w:val="21"/>
      <w:szCs w:val="21"/>
    </w:rPr>
  </w:style>
  <w:style w:type="character" w:customStyle="1" w:styleId="854">
    <w:name w:val="ca-521"/>
    <w:autoRedefine/>
    <w:qFormat/>
    <w:uiPriority w:val="0"/>
    <w:rPr>
      <w:rFonts w:hint="eastAsia" w:ascii="宋体" w:hAnsi="宋体" w:eastAsia="宋体"/>
      <w:b/>
      <w:bCs/>
      <w:spacing w:val="-20"/>
      <w:sz w:val="36"/>
      <w:szCs w:val="36"/>
    </w:rPr>
  </w:style>
  <w:style w:type="character" w:customStyle="1" w:styleId="855">
    <w:name w:val="CPara- Char Char"/>
    <w:autoRedefine/>
    <w:qFormat/>
    <w:uiPriority w:val="0"/>
    <w:rPr>
      <w:rFonts w:hint="eastAsia" w:ascii="宋体" w:hAnsi="宋体" w:eastAsia="宋体"/>
      <w:lang w:val="en-US" w:eastAsia="en-US" w:bidi="ar-SA"/>
    </w:rPr>
  </w:style>
  <w:style w:type="character" w:customStyle="1" w:styleId="856">
    <w:name w:val="ca-491"/>
    <w:autoRedefine/>
    <w:qFormat/>
    <w:uiPriority w:val="0"/>
    <w:rPr>
      <w:rFonts w:hint="eastAsia" w:ascii="宋体" w:hAnsi="宋体" w:eastAsia="宋体"/>
      <w:spacing w:val="0"/>
      <w:sz w:val="32"/>
      <w:szCs w:val="32"/>
    </w:rPr>
  </w:style>
  <w:style w:type="character" w:customStyle="1" w:styleId="857">
    <w:name w:val="ca-431"/>
    <w:autoRedefine/>
    <w:qFormat/>
    <w:uiPriority w:val="0"/>
    <w:rPr>
      <w:rFonts w:hint="eastAsia" w:ascii="宋体" w:hAnsi="宋体" w:eastAsia="宋体"/>
      <w:color w:val="000000"/>
      <w:sz w:val="44"/>
      <w:szCs w:val="44"/>
    </w:rPr>
  </w:style>
  <w:style w:type="character" w:customStyle="1" w:styleId="858">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59">
    <w:name w:val="Char Char29"/>
    <w:autoRedefine/>
    <w:qFormat/>
    <w:uiPriority w:val="0"/>
    <w:rPr>
      <w:rFonts w:hint="eastAsia" w:ascii="宋体" w:hAnsi="宋体" w:eastAsia="宋体"/>
      <w:b/>
      <w:bCs/>
      <w:kern w:val="44"/>
      <w:sz w:val="44"/>
      <w:szCs w:val="44"/>
      <w:lang w:val="en-US" w:eastAsia="zh-CN" w:bidi="ar-SA"/>
    </w:rPr>
  </w:style>
  <w:style w:type="character" w:customStyle="1" w:styleId="860">
    <w:name w:val="批注框文本 Char1"/>
    <w:autoRedefine/>
    <w:qFormat/>
    <w:uiPriority w:val="0"/>
    <w:rPr>
      <w:kern w:val="2"/>
      <w:sz w:val="18"/>
      <w:szCs w:val="18"/>
    </w:rPr>
  </w:style>
  <w:style w:type="character" w:customStyle="1" w:styleId="861">
    <w:name w:val="ca-111"/>
    <w:autoRedefine/>
    <w:qFormat/>
    <w:uiPriority w:val="0"/>
    <w:rPr>
      <w:rFonts w:hint="default" w:ascii="Times New Roman" w:hAnsi="Times New Roman" w:cs="Times New Roman"/>
      <w:color w:val="000000"/>
      <w:sz w:val="30"/>
      <w:szCs w:val="30"/>
    </w:rPr>
  </w:style>
  <w:style w:type="paragraph" w:customStyle="1" w:styleId="862">
    <w:name w:val="标题 1_1"/>
    <w:basedOn w:val="152"/>
    <w:next w:val="152"/>
    <w:link w:val="863"/>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3">
    <w:name w:val="Char Char24"/>
    <w:link w:val="862"/>
    <w:autoRedefine/>
    <w:qFormat/>
    <w:locked/>
    <w:uiPriority w:val="0"/>
    <w:rPr>
      <w:rFonts w:ascii="Times New Roman" w:hAnsi="Times New Roman" w:eastAsia="宋体" w:cs="Times New Roman"/>
      <w:b/>
      <w:bCs/>
      <w:kern w:val="44"/>
      <w:sz w:val="32"/>
      <w:szCs w:val="44"/>
    </w:rPr>
  </w:style>
  <w:style w:type="character" w:customStyle="1" w:styleId="864">
    <w:name w:val="手改 Char Char1"/>
    <w:autoRedefine/>
    <w:qFormat/>
    <w:uiPriority w:val="0"/>
    <w:rPr>
      <w:rFonts w:hint="eastAsia" w:ascii="宋体" w:hAnsi="宋体" w:eastAsia="宋体"/>
      <w:kern w:val="2"/>
      <w:sz w:val="21"/>
      <w:szCs w:val="24"/>
      <w:lang w:val="en-US" w:eastAsia="zh-CN" w:bidi="ar-SA"/>
    </w:rPr>
  </w:style>
  <w:style w:type="character" w:customStyle="1" w:styleId="865">
    <w:name w:val="标题 8 Char"/>
    <w:autoRedefine/>
    <w:qFormat/>
    <w:uiPriority w:val="0"/>
    <w:rPr>
      <w:rFonts w:hint="default" w:ascii="Cambria" w:hAnsi="Cambria" w:eastAsia="宋体" w:cs="Times New Roman"/>
      <w:kern w:val="2"/>
      <w:sz w:val="24"/>
      <w:szCs w:val="24"/>
    </w:rPr>
  </w:style>
  <w:style w:type="character" w:customStyle="1" w:styleId="866">
    <w:name w:val="ca-151"/>
    <w:autoRedefine/>
    <w:qFormat/>
    <w:uiPriority w:val="0"/>
    <w:rPr>
      <w:rFonts w:hint="eastAsia" w:ascii="宋体" w:hAnsi="宋体" w:eastAsia="宋体"/>
      <w:caps/>
      <w:color w:val="000000"/>
      <w:sz w:val="24"/>
      <w:szCs w:val="24"/>
    </w:rPr>
  </w:style>
  <w:style w:type="character" w:customStyle="1" w:styleId="867">
    <w:name w:val="ca-291"/>
    <w:autoRedefine/>
    <w:qFormat/>
    <w:uiPriority w:val="0"/>
    <w:rPr>
      <w:rFonts w:hint="eastAsia" w:ascii="宋体" w:hAnsi="宋体" w:eastAsia="宋体"/>
      <w:color w:val="7030A0"/>
      <w:sz w:val="21"/>
      <w:szCs w:val="21"/>
    </w:rPr>
  </w:style>
  <w:style w:type="character" w:customStyle="1" w:styleId="868">
    <w:name w:val="ca-371"/>
    <w:autoRedefine/>
    <w:qFormat/>
    <w:uiPriority w:val="0"/>
    <w:rPr>
      <w:rFonts w:hint="eastAsia" w:ascii="宋体" w:hAnsi="宋体" w:eastAsia="宋体"/>
      <w:color w:val="000000"/>
      <w:spacing w:val="0"/>
      <w:sz w:val="21"/>
      <w:szCs w:val="21"/>
    </w:rPr>
  </w:style>
  <w:style w:type="character" w:customStyle="1" w:styleId="869">
    <w:name w:val="标题 9 Char1"/>
    <w:autoRedefine/>
    <w:qFormat/>
    <w:uiPriority w:val="0"/>
    <w:rPr>
      <w:rFonts w:hint="default" w:ascii="Arial" w:hAnsi="Arial" w:eastAsia="黑体" w:cs="Arial"/>
      <w:kern w:val="2"/>
      <w:sz w:val="21"/>
      <w:szCs w:val="22"/>
      <w:lang w:val="en-US" w:eastAsia="zh-CN" w:bidi="ar-SA"/>
    </w:rPr>
  </w:style>
  <w:style w:type="character" w:customStyle="1" w:styleId="870">
    <w:name w:val="正文首行缩进 Char"/>
    <w:autoRedefine/>
    <w:qFormat/>
    <w:uiPriority w:val="0"/>
    <w:rPr>
      <w:kern w:val="2"/>
      <w:sz w:val="21"/>
      <w:szCs w:val="24"/>
    </w:rPr>
  </w:style>
  <w:style w:type="character" w:customStyle="1" w:styleId="871">
    <w:name w:val="ca-141"/>
    <w:autoRedefine/>
    <w:qFormat/>
    <w:uiPriority w:val="0"/>
    <w:rPr>
      <w:rFonts w:hint="default" w:ascii="Times New Roman" w:hAnsi="Times New Roman" w:cs="Times New Roman"/>
      <w:color w:val="000000"/>
      <w:sz w:val="24"/>
      <w:szCs w:val="24"/>
    </w:rPr>
  </w:style>
  <w:style w:type="character" w:customStyle="1" w:styleId="872">
    <w:name w:val="批注主题 Char2"/>
    <w:autoRedefine/>
    <w:qFormat/>
    <w:uiPriority w:val="0"/>
    <w:rPr>
      <w:rFonts w:hint="eastAsia" w:ascii="宋体" w:hAnsi="宋体" w:eastAsia="宋体"/>
      <w:b/>
      <w:bCs/>
      <w:kern w:val="2"/>
      <w:sz w:val="21"/>
      <w:lang w:val="en-US" w:eastAsia="zh-CN" w:bidi="ar-SA"/>
    </w:rPr>
  </w:style>
  <w:style w:type="character" w:customStyle="1" w:styleId="873">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4">
    <w:name w:val="ca-391"/>
    <w:autoRedefine/>
    <w:qFormat/>
    <w:uiPriority w:val="0"/>
    <w:rPr>
      <w:rFonts w:hint="eastAsia" w:ascii="宋体" w:hAnsi="宋体" w:eastAsia="宋体"/>
      <w:b/>
      <w:bCs/>
      <w:color w:val="000000"/>
      <w:spacing w:val="-20"/>
      <w:sz w:val="28"/>
      <w:szCs w:val="28"/>
    </w:rPr>
  </w:style>
  <w:style w:type="character" w:customStyle="1" w:styleId="875">
    <w:name w:val="不明显参考111"/>
    <w:autoRedefine/>
    <w:qFormat/>
    <w:uiPriority w:val="0"/>
    <w:rPr>
      <w:smallCaps/>
      <w:color w:val="C0504D"/>
      <w:u w:val="single"/>
    </w:rPr>
  </w:style>
  <w:style w:type="character" w:customStyle="1" w:styleId="876">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7">
    <w:name w:val="by jerry Char"/>
    <w:autoRedefine/>
    <w:qFormat/>
    <w:uiPriority w:val="0"/>
    <w:rPr>
      <w:rFonts w:hint="eastAsia" w:ascii="宋体" w:hAnsi="宋体" w:eastAsia="宋体"/>
      <w:b/>
      <w:bCs/>
      <w:kern w:val="44"/>
      <w:sz w:val="32"/>
      <w:szCs w:val="44"/>
      <w:lang w:val="en-US" w:eastAsia="zh-CN" w:bidi="ar-SA"/>
    </w:rPr>
  </w:style>
  <w:style w:type="character" w:customStyle="1" w:styleId="878">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79">
    <w:name w:val="样式 正文文本 Char"/>
    <w:autoRedefine/>
    <w:qFormat/>
    <w:locked/>
    <w:uiPriority w:val="0"/>
    <w:rPr>
      <w:rFonts w:hint="default" w:ascii="Arial" w:hAnsi="Arial" w:eastAsia="宋体" w:cs="宋体"/>
      <w:color w:val="000000"/>
    </w:rPr>
  </w:style>
  <w:style w:type="character" w:customStyle="1" w:styleId="880">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1">
    <w:name w:val="明显引用 字符2"/>
    <w:autoRedefine/>
    <w:qFormat/>
    <w:locked/>
    <w:uiPriority w:val="0"/>
    <w:rPr>
      <w:i/>
      <w:sz w:val="21"/>
    </w:rPr>
  </w:style>
  <w:style w:type="character" w:customStyle="1" w:styleId="882">
    <w:name w:val="引用 Char2"/>
    <w:autoRedefine/>
    <w:qFormat/>
    <w:uiPriority w:val="0"/>
    <w:rPr>
      <w:rFonts w:hint="default" w:ascii="Times New Roman" w:hAnsi="Times New Roman" w:cs="Times New Roman"/>
      <w:i/>
      <w:iCs/>
      <w:color w:val="000000"/>
      <w:kern w:val="2"/>
      <w:sz w:val="21"/>
      <w:szCs w:val="24"/>
    </w:rPr>
  </w:style>
  <w:style w:type="character" w:customStyle="1" w:styleId="883">
    <w:name w:val="font91"/>
    <w:autoRedefine/>
    <w:qFormat/>
    <w:uiPriority w:val="0"/>
    <w:rPr>
      <w:rFonts w:hint="eastAsia" w:ascii="宋体" w:hAnsi="宋体" w:eastAsia="宋体"/>
      <w:color w:val="000000"/>
      <w:sz w:val="18"/>
      <w:szCs w:val="18"/>
      <w:u w:val="none"/>
    </w:rPr>
  </w:style>
  <w:style w:type="character" w:customStyle="1" w:styleId="884">
    <w:name w:val="font81"/>
    <w:autoRedefine/>
    <w:qFormat/>
    <w:uiPriority w:val="0"/>
    <w:rPr>
      <w:rFonts w:hint="default" w:ascii="Arial" w:hAnsi="Arial" w:cs="Arial"/>
      <w:color w:val="000000"/>
      <w:sz w:val="18"/>
      <w:szCs w:val="18"/>
      <w:u w:val="none"/>
    </w:rPr>
  </w:style>
  <w:style w:type="character" w:customStyle="1" w:styleId="885">
    <w:name w:val="font101"/>
    <w:autoRedefine/>
    <w:qFormat/>
    <w:uiPriority w:val="0"/>
    <w:rPr>
      <w:rFonts w:hint="default" w:ascii="Arial" w:hAnsi="Arial" w:cs="Arial"/>
      <w:color w:val="000000"/>
      <w:sz w:val="20"/>
      <w:szCs w:val="20"/>
      <w:u w:val="none"/>
    </w:rPr>
  </w:style>
  <w:style w:type="character" w:customStyle="1" w:styleId="886">
    <w:name w:val="font31"/>
    <w:autoRedefine/>
    <w:qFormat/>
    <w:uiPriority w:val="0"/>
    <w:rPr>
      <w:rFonts w:hint="eastAsia" w:ascii="宋体" w:hAnsi="宋体" w:eastAsia="宋体"/>
      <w:color w:val="000000"/>
      <w:sz w:val="20"/>
      <w:szCs w:val="20"/>
      <w:u w:val="none"/>
    </w:rPr>
  </w:style>
  <w:style w:type="character" w:customStyle="1" w:styleId="887">
    <w:name w:val="Heading 6 Char"/>
    <w:autoRedefine/>
    <w:qFormat/>
    <w:locked/>
    <w:uiPriority w:val="0"/>
    <w:rPr>
      <w:rFonts w:hint="default" w:ascii="Arial" w:hAnsi="Arial" w:eastAsia="黑体" w:cs="Arial"/>
      <w:b/>
      <w:bCs/>
      <w:sz w:val="24"/>
      <w:szCs w:val="24"/>
      <w:lang w:val="en-US" w:eastAsia="zh-CN" w:bidi="ar-SA"/>
    </w:rPr>
  </w:style>
  <w:style w:type="character" w:customStyle="1" w:styleId="888">
    <w:name w:val="正文2 Char"/>
    <w:autoRedefine/>
    <w:qFormat/>
    <w:uiPriority w:val="0"/>
    <w:rPr>
      <w:rFonts w:hint="eastAsia" w:ascii="宋体" w:hAnsi="宋体" w:eastAsia="宋体"/>
      <w:kern w:val="2"/>
      <w:sz w:val="24"/>
      <w:lang w:val="en-US" w:eastAsia="zh-CN" w:bidi="ar-SA"/>
    </w:rPr>
  </w:style>
  <w:style w:type="character" w:customStyle="1" w:styleId="889">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0">
    <w:name w:val="副标题 Char1"/>
    <w:autoRedefine/>
    <w:qFormat/>
    <w:uiPriority w:val="0"/>
    <w:rPr>
      <w:rFonts w:hint="default" w:ascii="Cambria" w:hAnsi="Cambria" w:cs="Times New Roman"/>
      <w:b/>
      <w:bCs/>
      <w:kern w:val="28"/>
      <w:sz w:val="32"/>
      <w:szCs w:val="32"/>
    </w:rPr>
  </w:style>
  <w:style w:type="character" w:customStyle="1" w:styleId="891">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2">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3">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4">
    <w:name w:val="Char Char"/>
    <w:autoRedefine/>
    <w:qFormat/>
    <w:uiPriority w:val="0"/>
    <w:rPr>
      <w:rFonts w:hint="default" w:ascii="Arial" w:hAnsi="Arial" w:eastAsia="黑体" w:cs="Arial"/>
      <w:b/>
      <w:bCs/>
      <w:kern w:val="2"/>
      <w:sz w:val="32"/>
      <w:szCs w:val="32"/>
      <w:lang w:val="en-US" w:eastAsia="zh-CN" w:bidi="ar-SA"/>
    </w:rPr>
  </w:style>
  <w:style w:type="character" w:customStyle="1" w:styleId="895">
    <w:name w:val="Body Text Char"/>
    <w:autoRedefine/>
    <w:qFormat/>
    <w:locked/>
    <w:uiPriority w:val="0"/>
    <w:rPr>
      <w:rFonts w:hint="eastAsia" w:ascii="宋体" w:hAnsi="宋体" w:eastAsia="宋体"/>
      <w:kern w:val="2"/>
      <w:sz w:val="21"/>
      <w:szCs w:val="24"/>
      <w:lang w:val="en-US" w:eastAsia="zh-CN" w:bidi="ar-SA"/>
    </w:rPr>
  </w:style>
  <w:style w:type="character" w:customStyle="1" w:styleId="896">
    <w:name w:val="正文文字4 Char Char1"/>
    <w:autoRedefine/>
    <w:qFormat/>
    <w:uiPriority w:val="0"/>
    <w:rPr>
      <w:rFonts w:hint="eastAsia" w:ascii="宋体" w:hAnsi="宋体" w:eastAsia="宋体"/>
      <w:kern w:val="2"/>
      <w:sz w:val="24"/>
      <w:szCs w:val="24"/>
      <w:lang w:val="en-US" w:eastAsia="zh-CN" w:bidi="ar-SA"/>
    </w:rPr>
  </w:style>
  <w:style w:type="character" w:customStyle="1" w:styleId="897">
    <w:name w:val="country-name"/>
    <w:autoRedefine/>
    <w:qFormat/>
    <w:uiPriority w:val="0"/>
  </w:style>
  <w:style w:type="character" w:customStyle="1" w:styleId="898">
    <w:name w:val="Title Char"/>
    <w:autoRedefine/>
    <w:qFormat/>
    <w:locked/>
    <w:uiPriority w:val="0"/>
    <w:rPr>
      <w:rFonts w:hint="default" w:ascii="Arial" w:hAnsi="Arial" w:eastAsia="宋体" w:cs="Arial"/>
      <w:b/>
      <w:sz w:val="32"/>
      <w:lang w:val="en-US" w:eastAsia="zh-CN" w:bidi="ar-SA"/>
    </w:rPr>
  </w:style>
  <w:style w:type="character" w:customStyle="1" w:styleId="899">
    <w:name w:val="Heading 8 Char"/>
    <w:autoRedefine/>
    <w:qFormat/>
    <w:locked/>
    <w:uiPriority w:val="0"/>
    <w:rPr>
      <w:rFonts w:hint="default" w:ascii="Arial" w:hAnsi="Arial" w:eastAsia="黑体" w:cs="Arial"/>
      <w:sz w:val="24"/>
      <w:szCs w:val="24"/>
      <w:lang w:val="en-US" w:eastAsia="zh-CN" w:bidi="ar-SA"/>
    </w:rPr>
  </w:style>
  <w:style w:type="character" w:customStyle="1" w:styleId="900">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1">
    <w:name w:val="手改 Char Char"/>
    <w:autoRedefine/>
    <w:qFormat/>
    <w:uiPriority w:val="0"/>
    <w:rPr>
      <w:rFonts w:hint="eastAsia" w:ascii="宋体" w:hAnsi="宋体" w:eastAsia="宋体"/>
      <w:kern w:val="2"/>
      <w:sz w:val="21"/>
      <w:szCs w:val="24"/>
      <w:lang w:val="en-US" w:eastAsia="zh-CN" w:bidi="ar-SA"/>
    </w:rPr>
  </w:style>
  <w:style w:type="character" w:customStyle="1" w:styleId="902">
    <w:name w:val="Para head"/>
    <w:autoRedefine/>
    <w:qFormat/>
    <w:uiPriority w:val="0"/>
    <w:rPr>
      <w:rFonts w:hint="default" w:ascii="Arial" w:hAnsi="Arial" w:eastAsia="Times New Roman" w:cs="Arial"/>
      <w:sz w:val="20"/>
    </w:rPr>
  </w:style>
  <w:style w:type="character" w:customStyle="1" w:styleId="903">
    <w:name w:val="正文文字4 Char Char2"/>
    <w:autoRedefine/>
    <w:qFormat/>
    <w:uiPriority w:val="0"/>
    <w:rPr>
      <w:rFonts w:hint="eastAsia" w:ascii="宋体" w:hAnsi="宋体" w:eastAsia="宋体"/>
      <w:kern w:val="2"/>
      <w:sz w:val="24"/>
      <w:szCs w:val="24"/>
      <w:lang w:val="en-US" w:eastAsia="zh-CN" w:bidi="ar-SA"/>
    </w:rPr>
  </w:style>
  <w:style w:type="character" w:customStyle="1" w:styleId="904">
    <w:name w:val="Char Char7"/>
    <w:autoRedefine/>
    <w:qFormat/>
    <w:uiPriority w:val="0"/>
    <w:rPr>
      <w:rFonts w:hint="default" w:ascii="Arial" w:hAnsi="Arial" w:eastAsia="黑体" w:cs="Arial"/>
      <w:b/>
      <w:bCs/>
      <w:kern w:val="2"/>
      <w:sz w:val="32"/>
      <w:szCs w:val="32"/>
      <w:lang w:val="en-US" w:eastAsia="zh-CN" w:bidi="ar-SA"/>
    </w:rPr>
  </w:style>
  <w:style w:type="character" w:customStyle="1" w:styleId="905">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6">
    <w:name w:val="Char Char2"/>
    <w:autoRedefine/>
    <w:qFormat/>
    <w:uiPriority w:val="0"/>
    <w:rPr>
      <w:rFonts w:hint="eastAsia" w:ascii="宋体" w:hAnsi="宋体" w:eastAsia="宋体"/>
      <w:kern w:val="2"/>
      <w:sz w:val="21"/>
      <w:szCs w:val="24"/>
      <w:lang w:val="en-US" w:eastAsia="zh-CN" w:bidi="ar-SA"/>
    </w:rPr>
  </w:style>
  <w:style w:type="character" w:customStyle="1" w:styleId="907">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8">
    <w:name w:val="正文文字4 Char Char"/>
    <w:autoRedefine/>
    <w:qFormat/>
    <w:uiPriority w:val="0"/>
    <w:rPr>
      <w:rFonts w:hint="eastAsia" w:ascii="宋体" w:hAnsi="宋体" w:eastAsia="宋体"/>
      <w:kern w:val="2"/>
      <w:sz w:val="21"/>
      <w:szCs w:val="24"/>
      <w:lang w:val="en-US" w:eastAsia="zh-CN" w:bidi="ar-SA"/>
    </w:rPr>
  </w:style>
  <w:style w:type="character" w:customStyle="1" w:styleId="909">
    <w:name w:val="个人撰写风格"/>
    <w:autoRedefine/>
    <w:qFormat/>
    <w:uiPriority w:val="0"/>
    <w:rPr>
      <w:rFonts w:hint="default" w:ascii="Arial" w:hAnsi="Arial" w:eastAsia="宋体" w:cs="Arial"/>
      <w:color w:val="auto"/>
      <w:sz w:val="20"/>
    </w:rPr>
  </w:style>
  <w:style w:type="character" w:customStyle="1" w:styleId="910">
    <w:name w:val="Header Char"/>
    <w:autoRedefine/>
    <w:qFormat/>
    <w:locked/>
    <w:uiPriority w:val="0"/>
    <w:rPr>
      <w:rFonts w:hint="eastAsia" w:ascii="宋体" w:hAnsi="宋体" w:eastAsia="宋体"/>
      <w:kern w:val="2"/>
      <w:sz w:val="18"/>
      <w:szCs w:val="18"/>
      <w:lang w:val="en-US" w:eastAsia="zh-CN" w:bidi="ar-SA"/>
    </w:rPr>
  </w:style>
  <w:style w:type="character" w:customStyle="1" w:styleId="911">
    <w:name w:val="locality"/>
    <w:autoRedefine/>
    <w:qFormat/>
    <w:uiPriority w:val="0"/>
  </w:style>
  <w:style w:type="character" w:customStyle="1" w:styleId="912">
    <w:name w:val="text"/>
    <w:autoRedefine/>
    <w:qFormat/>
    <w:uiPriority w:val="0"/>
  </w:style>
  <w:style w:type="character" w:customStyle="1" w:styleId="913">
    <w:name w:val="Char Char9"/>
    <w:autoRedefine/>
    <w:qFormat/>
    <w:uiPriority w:val="0"/>
    <w:rPr>
      <w:rFonts w:hint="eastAsia" w:ascii="宋体" w:hAnsi="宋体" w:eastAsia="宋体"/>
      <w:color w:val="000000"/>
      <w:kern w:val="2"/>
      <w:sz w:val="24"/>
      <w:lang w:val="en-US" w:eastAsia="zh-CN" w:bidi="ar-SA"/>
    </w:rPr>
  </w:style>
  <w:style w:type="character" w:customStyle="1" w:styleId="914">
    <w:name w:val="正文文本缩进 2 Char1"/>
    <w:autoRedefine/>
    <w:qFormat/>
    <w:uiPriority w:val="0"/>
    <w:rPr>
      <w:rFonts w:hint="eastAsia" w:ascii="宋体" w:hAnsi="宋体" w:eastAsia="宋体"/>
      <w:szCs w:val="24"/>
    </w:rPr>
  </w:style>
  <w:style w:type="character" w:customStyle="1" w:styleId="915">
    <w:name w:val="标题 Char3"/>
    <w:autoRedefine/>
    <w:qFormat/>
    <w:uiPriority w:val="0"/>
    <w:rPr>
      <w:rFonts w:hint="default" w:ascii="Cambria" w:hAnsi="Cambria" w:eastAsia="宋体" w:cs="Times New Roman"/>
      <w:b/>
      <w:bCs/>
      <w:sz w:val="32"/>
      <w:szCs w:val="32"/>
    </w:rPr>
  </w:style>
  <w:style w:type="character" w:customStyle="1" w:styleId="916">
    <w:name w:val="bookmark-item"/>
    <w:autoRedefine/>
    <w:qFormat/>
    <w:uiPriority w:val="0"/>
  </w:style>
  <w:style w:type="character" w:customStyle="1" w:styleId="917">
    <w:name w:val="正文首行缩进 Char1"/>
    <w:autoRedefine/>
    <w:qFormat/>
    <w:uiPriority w:val="0"/>
    <w:rPr>
      <w:rFonts w:hint="eastAsia" w:ascii="宋体" w:hAnsi="宋体" w:eastAsia="宋体"/>
      <w:szCs w:val="24"/>
    </w:rPr>
  </w:style>
  <w:style w:type="character" w:customStyle="1" w:styleId="918">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19">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0">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1">
    <w:name w:val="页眉 Char2"/>
    <w:autoRedefine/>
    <w:qFormat/>
    <w:uiPriority w:val="0"/>
    <w:rPr>
      <w:rFonts w:hint="eastAsia" w:ascii="宋体" w:hAnsi="宋体" w:eastAsia="宋体"/>
      <w:kern w:val="2"/>
      <w:sz w:val="18"/>
      <w:szCs w:val="18"/>
      <w:lang w:val="en-US" w:eastAsia="zh-CN" w:bidi="ar-SA"/>
    </w:rPr>
  </w:style>
  <w:style w:type="character" w:customStyle="1" w:styleId="922">
    <w:name w:val="Date Char"/>
    <w:autoRedefine/>
    <w:qFormat/>
    <w:locked/>
    <w:uiPriority w:val="0"/>
    <w:rPr>
      <w:rFonts w:hint="eastAsia" w:ascii="宋体" w:hAnsi="宋体" w:eastAsia="宋体"/>
      <w:kern w:val="2"/>
      <w:sz w:val="24"/>
      <w:lang w:val="en-US" w:eastAsia="zh-CN" w:bidi="ar-SA"/>
    </w:rPr>
  </w:style>
  <w:style w:type="character" w:customStyle="1" w:styleId="923">
    <w:name w:val="Char Char121"/>
    <w:autoRedefine/>
    <w:qFormat/>
    <w:uiPriority w:val="0"/>
    <w:rPr>
      <w:rFonts w:hint="default" w:ascii="Arial" w:hAnsi="Arial" w:eastAsia="宋体" w:cs="Arial"/>
      <w:b/>
      <w:sz w:val="32"/>
      <w:lang w:val="en-US" w:eastAsia="zh-CN" w:bidi="ar-SA"/>
    </w:rPr>
  </w:style>
  <w:style w:type="character" w:customStyle="1" w:styleId="924">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5">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6">
    <w:name w:val="日期 Char"/>
    <w:autoRedefine/>
    <w:qFormat/>
    <w:uiPriority w:val="0"/>
    <w:rPr>
      <w:rFonts w:hint="eastAsia" w:ascii="宋体" w:hAnsi="宋体" w:eastAsia="宋体"/>
      <w:sz w:val="28"/>
      <w:lang w:bidi="ar-SA"/>
    </w:rPr>
  </w:style>
  <w:style w:type="character" w:customStyle="1" w:styleId="927">
    <w:name w:val="正文文本 Char"/>
    <w:autoRedefine/>
    <w:qFormat/>
    <w:uiPriority w:val="0"/>
    <w:rPr>
      <w:lang w:bidi="ar-SA"/>
    </w:rPr>
  </w:style>
  <w:style w:type="character" w:customStyle="1" w:styleId="928">
    <w:name w:val="标题 6 Char"/>
    <w:autoRedefine/>
    <w:qFormat/>
    <w:uiPriority w:val="0"/>
    <w:rPr>
      <w:rFonts w:hint="default" w:ascii="Cambria" w:hAnsi="Cambria" w:eastAsia="宋体"/>
      <w:b/>
      <w:bCs/>
      <w:kern w:val="2"/>
      <w:sz w:val="24"/>
      <w:szCs w:val="24"/>
      <w:lang w:val="en-US" w:eastAsia="zh-CN" w:bidi="ar-SA"/>
    </w:rPr>
  </w:style>
  <w:style w:type="character" w:customStyle="1" w:styleId="929">
    <w:name w:val="页脚 Char"/>
    <w:autoRedefine/>
    <w:qFormat/>
    <w:uiPriority w:val="99"/>
    <w:rPr>
      <w:kern w:val="2"/>
      <w:sz w:val="18"/>
      <w:szCs w:val="18"/>
      <w:lang w:bidi="ar-SA"/>
    </w:rPr>
  </w:style>
  <w:style w:type="character" w:customStyle="1" w:styleId="930">
    <w:name w:val="批注框文本 Char"/>
    <w:autoRedefine/>
    <w:qFormat/>
    <w:uiPriority w:val="0"/>
    <w:rPr>
      <w:rFonts w:hint="eastAsia" w:ascii="宋体" w:hAnsi="宋体" w:eastAsia="宋体"/>
      <w:sz w:val="18"/>
      <w:szCs w:val="18"/>
      <w:lang w:bidi="ar-SA"/>
    </w:rPr>
  </w:style>
  <w:style w:type="character" w:customStyle="1" w:styleId="931">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2">
    <w:name w:val="日期 Char3"/>
    <w:autoRedefine/>
    <w:qFormat/>
    <w:uiPriority w:val="0"/>
    <w:rPr>
      <w:rFonts w:hint="eastAsia" w:ascii="仿宋_GB2312" w:eastAsia="仿宋_GB2312"/>
      <w:kern w:val="2"/>
      <w:sz w:val="28"/>
      <w:lang w:val="en-US" w:eastAsia="zh-CN" w:bidi="ar-SA"/>
    </w:rPr>
  </w:style>
  <w:style w:type="character" w:customStyle="1" w:styleId="933">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4">
    <w:name w:val="chs1"/>
    <w:autoRedefine/>
    <w:qFormat/>
    <w:uiPriority w:val="0"/>
    <w:rPr>
      <w:rFonts w:hint="default"/>
      <w:sz w:val="18"/>
      <w:szCs w:val="18"/>
    </w:rPr>
  </w:style>
  <w:style w:type="character" w:customStyle="1" w:styleId="935">
    <w:name w:val="个人答复风格"/>
    <w:autoRedefine/>
    <w:qFormat/>
    <w:uiPriority w:val="0"/>
    <w:rPr>
      <w:rFonts w:hint="default" w:ascii="Arial" w:hAnsi="Arial" w:eastAsia="宋体" w:cs="Arial"/>
      <w:color w:val="auto"/>
      <w:sz w:val="20"/>
    </w:rPr>
  </w:style>
  <w:style w:type="character" w:customStyle="1" w:styleId="936">
    <w:name w:val="htd01"/>
    <w:autoRedefine/>
    <w:qFormat/>
    <w:uiPriority w:val="0"/>
  </w:style>
  <w:style w:type="character" w:customStyle="1" w:styleId="937">
    <w:name w:val="标题 Char"/>
    <w:autoRedefine/>
    <w:qFormat/>
    <w:uiPriority w:val="0"/>
    <w:rPr>
      <w:rFonts w:hint="default" w:ascii="Cambria" w:hAnsi="Cambria"/>
      <w:b/>
      <w:bCs/>
      <w:kern w:val="2"/>
      <w:sz w:val="32"/>
      <w:szCs w:val="32"/>
      <w:lang w:bidi="ar-SA"/>
    </w:rPr>
  </w:style>
  <w:style w:type="character" w:customStyle="1" w:styleId="938">
    <w:name w:val="标题 2 Char"/>
    <w:autoRedefine/>
    <w:qFormat/>
    <w:uiPriority w:val="0"/>
    <w:rPr>
      <w:rFonts w:hint="default" w:ascii="Cambria" w:hAnsi="Cambria" w:eastAsia="宋体"/>
      <w:b/>
      <w:bCs/>
      <w:kern w:val="2"/>
      <w:sz w:val="32"/>
      <w:szCs w:val="32"/>
      <w:lang w:val="en-US" w:eastAsia="zh-CN"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199"/>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4"/>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2"/>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8"/>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8"/>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299"/>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C81D9-3968-41CF-8E2C-1846BF41DAC8}">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77612</Words>
  <Characters>85265</Characters>
  <Lines>711</Lines>
  <Paragraphs>200</Paragraphs>
  <TotalTime>1</TotalTime>
  <ScaleCrop>false</ScaleCrop>
  <LinksUpToDate>false</LinksUpToDate>
  <CharactersWithSpaces>91513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2024-06-07T08:03:31Z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B0C0F017A3E2460794E07A61283A93A8_13</vt:lpwstr>
  </property>
</Properties>
</file>