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AB053">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14:paraId="2F5B39FE">
      <w:pPr>
        <w:autoSpaceDN w:val="0"/>
        <w:snapToGrid w:val="0"/>
        <w:spacing w:line="360" w:lineRule="auto"/>
        <w:jc w:val="center"/>
        <w:rPr>
          <w:rFonts w:ascii="仿宋" w:hAnsi="仿宋" w:eastAsia="仿宋" w:cs="宋体"/>
          <w:b/>
          <w:color w:val="auto"/>
          <w:sz w:val="32"/>
          <w:szCs w:val="32"/>
          <w:highlight w:val="none"/>
        </w:rPr>
      </w:pPr>
    </w:p>
    <w:p w14:paraId="59CC96F2">
      <w:pPr>
        <w:autoSpaceDN w:val="0"/>
        <w:spacing w:line="200" w:lineRule="exact"/>
        <w:ind w:firstLine="301"/>
        <w:rPr>
          <w:rFonts w:ascii="宋体" w:hAnsi="Courier New" w:eastAsia="宋体" w:cs="Times New Roman"/>
          <w:color w:val="auto"/>
          <w:spacing w:val="-4"/>
          <w:kern w:val="0"/>
          <w:sz w:val="18"/>
          <w:szCs w:val="20"/>
          <w:highlight w:val="none"/>
        </w:rPr>
      </w:pPr>
    </w:p>
    <w:p w14:paraId="18C79B4E">
      <w:pPr>
        <w:autoSpaceDN w:val="0"/>
        <w:spacing w:line="200" w:lineRule="exact"/>
        <w:rPr>
          <w:rFonts w:ascii="宋体" w:hAnsi="Courier New" w:eastAsia="宋体" w:cs="Times New Roman"/>
          <w:color w:val="auto"/>
          <w:spacing w:val="-4"/>
          <w:kern w:val="0"/>
          <w:sz w:val="18"/>
          <w:szCs w:val="20"/>
          <w:highlight w:val="none"/>
        </w:rPr>
      </w:pPr>
    </w:p>
    <w:p w14:paraId="0CE3D912">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浙江工业大学屏峰校区室外运动场改造工程</w:t>
      </w:r>
    </w:p>
    <w:bookmarkEnd w:id="1"/>
    <w:p w14:paraId="1C0B2D28">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14:paraId="73D0120C">
      <w:pPr>
        <w:autoSpaceDN w:val="0"/>
        <w:snapToGrid w:val="0"/>
        <w:spacing w:line="360" w:lineRule="auto"/>
        <w:jc w:val="left"/>
        <w:rPr>
          <w:rFonts w:ascii="仿宋" w:hAnsi="仿宋" w:eastAsia="仿宋" w:cs="宋体"/>
          <w:color w:val="auto"/>
          <w:sz w:val="32"/>
          <w:szCs w:val="32"/>
          <w:highlight w:val="none"/>
        </w:rPr>
      </w:pPr>
    </w:p>
    <w:p w14:paraId="1051513F">
      <w:pPr>
        <w:autoSpaceDN w:val="0"/>
        <w:spacing w:line="200" w:lineRule="exact"/>
        <w:ind w:firstLine="301"/>
        <w:rPr>
          <w:rFonts w:ascii="宋体" w:hAnsi="Courier New" w:eastAsia="宋体" w:cs="Times New Roman"/>
          <w:color w:val="auto"/>
          <w:spacing w:val="-4"/>
          <w:kern w:val="0"/>
          <w:sz w:val="18"/>
          <w:szCs w:val="20"/>
          <w:highlight w:val="none"/>
        </w:rPr>
      </w:pPr>
    </w:p>
    <w:p w14:paraId="1AA68D2B">
      <w:pPr>
        <w:autoSpaceDN w:val="0"/>
        <w:spacing w:line="200" w:lineRule="exact"/>
        <w:ind w:firstLine="301"/>
        <w:rPr>
          <w:rFonts w:ascii="宋体" w:hAnsi="Courier New" w:eastAsia="宋体" w:cs="Times New Roman"/>
          <w:color w:val="auto"/>
          <w:spacing w:val="-4"/>
          <w:kern w:val="0"/>
          <w:sz w:val="18"/>
          <w:szCs w:val="20"/>
          <w:highlight w:val="none"/>
        </w:rPr>
      </w:pPr>
    </w:p>
    <w:p w14:paraId="028275B4">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14:paraId="61EA2E04">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14:paraId="6FF42F10">
      <w:pPr>
        <w:pStyle w:val="75"/>
        <w:rPr>
          <w:rFonts w:ascii="仿宋" w:hAnsi="仿宋" w:eastAsia="仿宋" w:cs="宋体"/>
          <w:b/>
          <w:bCs/>
          <w:color w:val="auto"/>
          <w:sz w:val="28"/>
          <w:szCs w:val="28"/>
          <w:highlight w:val="none"/>
        </w:rPr>
      </w:pPr>
    </w:p>
    <w:p w14:paraId="05BE60F7">
      <w:pPr>
        <w:pStyle w:val="75"/>
        <w:rPr>
          <w:rFonts w:ascii="仿宋" w:hAnsi="仿宋" w:eastAsia="仿宋" w:cs="宋体"/>
          <w:b/>
          <w:bCs/>
          <w:color w:val="auto"/>
          <w:sz w:val="28"/>
          <w:szCs w:val="28"/>
          <w:highlight w:val="none"/>
        </w:rPr>
      </w:pPr>
    </w:p>
    <w:p w14:paraId="739AA9C9">
      <w:pPr>
        <w:pStyle w:val="75"/>
        <w:rPr>
          <w:rFonts w:ascii="仿宋" w:hAnsi="仿宋" w:eastAsia="仿宋" w:cs="宋体"/>
          <w:b/>
          <w:bCs/>
          <w:color w:val="auto"/>
          <w:sz w:val="28"/>
          <w:szCs w:val="28"/>
          <w:highlight w:val="none"/>
        </w:rPr>
      </w:pPr>
    </w:p>
    <w:p w14:paraId="0F707DDB">
      <w:pPr>
        <w:pStyle w:val="75"/>
        <w:rPr>
          <w:rFonts w:ascii="仿宋" w:hAnsi="仿宋" w:eastAsia="仿宋" w:cs="宋体"/>
          <w:b/>
          <w:bCs/>
          <w:color w:val="auto"/>
          <w:sz w:val="28"/>
          <w:szCs w:val="28"/>
          <w:highlight w:val="none"/>
        </w:rPr>
      </w:pPr>
    </w:p>
    <w:p w14:paraId="6998FB85">
      <w:pPr>
        <w:pStyle w:val="75"/>
        <w:rPr>
          <w:rFonts w:ascii="仿宋" w:hAnsi="仿宋" w:eastAsia="仿宋" w:cs="宋体"/>
          <w:b/>
          <w:bCs/>
          <w:color w:val="auto"/>
          <w:sz w:val="28"/>
          <w:szCs w:val="28"/>
          <w:highlight w:val="none"/>
        </w:rPr>
      </w:pPr>
    </w:p>
    <w:tbl>
      <w:tblPr>
        <w:tblStyle w:val="62"/>
        <w:tblW w:w="8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6190"/>
      </w:tblGrid>
      <w:tr w14:paraId="4F34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60" w:type="dxa"/>
            <w:vAlign w:val="center"/>
          </w:tcPr>
          <w:p w14:paraId="2CF609AA">
            <w:pPr>
              <w:widowControl/>
              <w:autoSpaceDN w:val="0"/>
              <w:adjustRightInd w:val="0"/>
              <w:snapToGrid w:val="0"/>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6190" w:type="dxa"/>
            <w:vAlign w:val="center"/>
          </w:tcPr>
          <w:p w14:paraId="75DD8B42">
            <w:pPr>
              <w:widowControl/>
              <w:autoSpaceDN w:val="0"/>
              <w:adjustRightInd w:val="0"/>
              <w:snapToGrid w:val="0"/>
              <w:rPr>
                <w:rFonts w:hint="eastAsia" w:ascii="仿宋" w:hAnsi="仿宋" w:eastAsia="仿宋" w:cs="宋体"/>
                <w:b/>
                <w:bCs/>
                <w:color w:val="auto"/>
                <w:sz w:val="28"/>
                <w:szCs w:val="28"/>
                <w:highlight w:val="none"/>
                <w:lang w:eastAsia="zh-CN"/>
              </w:rPr>
            </w:pPr>
            <w:r>
              <w:rPr>
                <w:rFonts w:hint="eastAsia" w:ascii="仿宋" w:hAnsi="仿宋" w:eastAsia="仿宋" w:cs="宋体"/>
                <w:b/>
                <w:bCs/>
                <w:color w:val="auto"/>
                <w:kern w:val="0"/>
                <w:sz w:val="28"/>
                <w:szCs w:val="28"/>
                <w:highlight w:val="none"/>
                <w:lang w:eastAsia="zh-CN"/>
              </w:rPr>
              <w:t>HSZB-2024-1155</w:t>
            </w:r>
          </w:p>
        </w:tc>
      </w:tr>
      <w:tr w14:paraId="1E6D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60" w:type="dxa"/>
            <w:vAlign w:val="center"/>
          </w:tcPr>
          <w:p w14:paraId="24ABB177">
            <w:pPr>
              <w:widowControl/>
              <w:autoSpaceDN w:val="0"/>
              <w:adjustRightInd w:val="0"/>
              <w:snapToGrid w:val="0"/>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6190" w:type="dxa"/>
            <w:vAlign w:val="center"/>
          </w:tcPr>
          <w:p w14:paraId="69C3FA7E">
            <w:pPr>
              <w:widowControl/>
              <w:autoSpaceDN w:val="0"/>
              <w:adjustRightInd w:val="0"/>
              <w:snapToGrid w:val="0"/>
              <w:rPr>
                <w:rFonts w:hint="eastAsia" w:ascii="仿宋" w:hAnsi="仿宋" w:eastAsia="仿宋" w:cs="宋体"/>
                <w:b/>
                <w:bCs/>
                <w:color w:val="auto"/>
                <w:sz w:val="28"/>
                <w:szCs w:val="28"/>
                <w:highlight w:val="none"/>
                <w:lang w:eastAsia="zh-CN"/>
              </w:rPr>
            </w:pPr>
            <w:r>
              <w:rPr>
                <w:rFonts w:hint="eastAsia" w:ascii="仿宋" w:hAnsi="仿宋" w:eastAsia="仿宋" w:cs="宋体"/>
                <w:b/>
                <w:bCs/>
                <w:color w:val="auto"/>
                <w:kern w:val="0"/>
                <w:sz w:val="28"/>
                <w:szCs w:val="28"/>
                <w:highlight w:val="none"/>
                <w:lang w:eastAsia="zh-CN"/>
              </w:rPr>
              <w:t>浙江工业大学屏峰校区室外运动场改造工程</w:t>
            </w:r>
          </w:p>
        </w:tc>
      </w:tr>
      <w:tr w14:paraId="03CE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60" w:type="dxa"/>
            <w:vAlign w:val="center"/>
          </w:tcPr>
          <w:p w14:paraId="7176114D">
            <w:pPr>
              <w:widowControl/>
              <w:autoSpaceDN w:val="0"/>
              <w:adjustRightInd w:val="0"/>
              <w:snapToGrid w:val="0"/>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6190" w:type="dxa"/>
            <w:vAlign w:val="center"/>
          </w:tcPr>
          <w:p w14:paraId="5982A3B1">
            <w:pPr>
              <w:widowControl/>
              <w:autoSpaceDN w:val="0"/>
              <w:adjustRightInd w:val="0"/>
              <w:snapToGrid w:val="0"/>
              <w:rPr>
                <w:rFonts w:ascii="仿宋" w:hAnsi="仿宋" w:eastAsia="仿宋" w:cs="宋体"/>
                <w:b/>
                <w:bCs/>
                <w:color w:val="auto"/>
                <w:sz w:val="28"/>
                <w:szCs w:val="28"/>
                <w:highlight w:val="none"/>
              </w:rPr>
            </w:pPr>
            <w:r>
              <w:rPr>
                <w:rFonts w:hint="eastAsia" w:ascii="仿宋" w:hAnsi="仿宋" w:eastAsia="仿宋" w:cs="宋体"/>
                <w:b/>
                <w:bCs/>
                <w:color w:val="auto"/>
                <w:kern w:val="0"/>
                <w:sz w:val="28"/>
                <w:szCs w:val="28"/>
                <w:highlight w:val="none"/>
              </w:rPr>
              <w:t>浙江工业大学</w:t>
            </w:r>
          </w:p>
        </w:tc>
      </w:tr>
      <w:tr w14:paraId="47D0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60" w:type="dxa"/>
            <w:vAlign w:val="center"/>
          </w:tcPr>
          <w:p w14:paraId="2AC4EC81">
            <w:pPr>
              <w:widowControl/>
              <w:autoSpaceDN w:val="0"/>
              <w:adjustRightInd w:val="0"/>
              <w:snapToGrid w:val="0"/>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6190" w:type="dxa"/>
            <w:vAlign w:val="center"/>
          </w:tcPr>
          <w:p w14:paraId="5FB1ECA6">
            <w:pPr>
              <w:widowControl/>
              <w:autoSpaceDN w:val="0"/>
              <w:adjustRightInd w:val="0"/>
              <w:snapToGrid w:val="0"/>
              <w:rPr>
                <w:rFonts w:ascii="仿宋" w:hAnsi="仿宋" w:eastAsia="仿宋" w:cs="宋体"/>
                <w:b/>
                <w:bCs/>
                <w:color w:val="auto"/>
                <w:sz w:val="28"/>
                <w:szCs w:val="28"/>
                <w:highlight w:val="none"/>
              </w:rPr>
            </w:pPr>
            <w:r>
              <w:rPr>
                <w:rFonts w:hint="eastAsia" w:ascii="仿宋" w:hAnsi="仿宋" w:eastAsia="仿宋" w:cs="宋体"/>
                <w:b/>
                <w:bCs/>
                <w:color w:val="auto"/>
                <w:kern w:val="0"/>
                <w:sz w:val="28"/>
                <w:szCs w:val="28"/>
                <w:highlight w:val="none"/>
              </w:rPr>
              <w:t>浙江豪圣建设项目管理有限公司</w:t>
            </w:r>
          </w:p>
        </w:tc>
      </w:tr>
      <w:tr w14:paraId="6C1F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350" w:type="dxa"/>
            <w:gridSpan w:val="2"/>
            <w:vAlign w:val="center"/>
          </w:tcPr>
          <w:p w14:paraId="263F795C">
            <w:pPr>
              <w:widowControl/>
              <w:autoSpaceDN w:val="0"/>
              <w:adjustRightInd w:val="0"/>
              <w:snapToGrid w:val="0"/>
              <w:spacing w:line="480" w:lineRule="auto"/>
              <w:jc w:val="center"/>
              <w:rPr>
                <w:rFonts w:ascii="仿宋" w:hAnsi="仿宋" w:eastAsia="仿宋" w:cs="宋体"/>
                <w:b/>
                <w:bCs/>
                <w:color w:val="auto"/>
                <w:sz w:val="28"/>
                <w:szCs w:val="28"/>
                <w:highlight w:val="none"/>
              </w:rPr>
            </w:pPr>
            <w:r>
              <w:rPr>
                <w:rFonts w:hint="eastAsia" w:ascii="仿宋" w:hAnsi="仿宋" w:eastAsia="仿宋" w:cs="宋体"/>
                <w:b/>
                <w:color w:val="auto"/>
                <w:sz w:val="28"/>
                <w:szCs w:val="28"/>
                <w:highlight w:val="none"/>
              </w:rPr>
              <w:t>2024年11月</w:t>
            </w:r>
            <w:r>
              <w:rPr>
                <w:rFonts w:hint="eastAsia" w:ascii="仿宋" w:hAnsi="仿宋" w:eastAsia="仿宋" w:cs="宋体"/>
                <w:b/>
                <w:color w:val="auto"/>
                <w:sz w:val="28"/>
                <w:szCs w:val="28"/>
                <w:highlight w:val="none"/>
                <w:lang w:val="en-US" w:eastAsia="zh-CN"/>
              </w:rPr>
              <w:t>25</w:t>
            </w:r>
            <w:r>
              <w:rPr>
                <w:rFonts w:hint="eastAsia" w:ascii="仿宋" w:hAnsi="仿宋" w:eastAsia="仿宋" w:cs="宋体"/>
                <w:b/>
                <w:color w:val="auto"/>
                <w:sz w:val="28"/>
                <w:szCs w:val="28"/>
                <w:highlight w:val="none"/>
              </w:rPr>
              <w:t>日</w:t>
            </w:r>
          </w:p>
        </w:tc>
      </w:tr>
    </w:tbl>
    <w:p w14:paraId="12D9373F">
      <w:pPr>
        <w:autoSpaceDN w:val="0"/>
        <w:snapToGrid w:val="0"/>
        <w:spacing w:line="360" w:lineRule="auto"/>
        <w:rPr>
          <w:rFonts w:ascii="仿宋" w:hAnsi="仿宋" w:eastAsia="仿宋" w:cs="宋体"/>
          <w:b/>
          <w:color w:val="auto"/>
          <w:sz w:val="28"/>
          <w:szCs w:val="28"/>
          <w:highlight w:val="none"/>
        </w:rPr>
      </w:pPr>
    </w:p>
    <w:p w14:paraId="341C15B6">
      <w:pPr>
        <w:widowControl/>
        <w:spacing w:line="360" w:lineRule="auto"/>
        <w:jc w:val="left"/>
        <w:rPr>
          <w:rFonts w:ascii="仿宋" w:hAnsi="仿宋" w:eastAsia="仿宋" w:cs="宋体"/>
          <w:b/>
          <w:bCs/>
          <w:color w:val="auto"/>
          <w:w w:val="95"/>
          <w:sz w:val="28"/>
          <w:szCs w:val="28"/>
          <w:highlight w:val="none"/>
        </w:rPr>
        <w:sectPr>
          <w:footerReference r:id="rId4" w:type="first"/>
          <w:headerReference r:id="rId3" w:type="default"/>
          <w:pgSz w:w="11906" w:h="16838"/>
          <w:pgMar w:top="1418" w:right="1418" w:bottom="1418" w:left="1418" w:header="851" w:footer="851" w:gutter="0"/>
          <w:cols w:space="720" w:num="1"/>
        </w:sectPr>
      </w:pPr>
    </w:p>
    <w:p w14:paraId="728797B5">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14:paraId="56D3F410">
      <w:pPr>
        <w:pStyle w:val="40"/>
        <w:tabs>
          <w:tab w:val="right" w:leader="dot" w:pos="9070"/>
        </w:tabs>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TOC \o "1-2" \h \z \u </w:instrText>
      </w:r>
      <w:r>
        <w:rPr>
          <w:rFonts w:hint="eastAsia" w:ascii="仿宋" w:hAnsi="仿宋" w:eastAsia="仿宋" w:cs="仿宋"/>
          <w:b/>
          <w:bCs/>
          <w:color w:val="auto"/>
          <w:szCs w:val="21"/>
          <w:highlight w:val="none"/>
        </w:rPr>
        <w:fldChar w:fldCharType="separate"/>
      </w: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仿宋" w:hAnsi="仿宋" w:eastAsia="仿宋" w:cs="仿宋"/>
          <w:b/>
          <w:bCs/>
          <w:color w:val="auto"/>
          <w:kern w:val="0"/>
          <w:szCs w:val="21"/>
          <w:highlight w:val="none"/>
        </w:rPr>
        <w:t>第一章 竞争性磋商公告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_Toc4241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C46E6A7">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"_Toc32606" </w:instrText>
      </w:r>
      <w:r>
        <w:rPr>
          <w:color w:val="auto"/>
          <w:highlight w:val="none"/>
        </w:rPr>
        <w:fldChar w:fldCharType="separate"/>
      </w:r>
      <w:r>
        <w:rPr>
          <w:rFonts w:hint="eastAsia" w:ascii="仿宋" w:hAnsi="仿宋" w:eastAsia="仿宋" w:cs="仿宋"/>
          <w:b/>
          <w:bCs/>
          <w:color w:val="auto"/>
          <w:spacing w:val="-4"/>
          <w:kern w:val="0"/>
          <w:szCs w:val="21"/>
          <w:highlight w:val="none"/>
        </w:rPr>
        <w:t>第二章 磋商须知</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_Toc32606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70B4A2A">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"_Toc3099" </w:instrText>
      </w:r>
      <w:r>
        <w:rPr>
          <w:color w:val="auto"/>
          <w:highlight w:val="none"/>
        </w:rPr>
        <w:fldChar w:fldCharType="separate"/>
      </w:r>
      <w:r>
        <w:rPr>
          <w:rFonts w:hint="eastAsia" w:ascii="仿宋" w:hAnsi="仿宋" w:eastAsia="仿宋" w:cs="仿宋"/>
          <w:b/>
          <w:bCs/>
          <w:color w:val="auto"/>
          <w:szCs w:val="21"/>
          <w:highlight w:val="none"/>
        </w:rPr>
        <w:t>前附表</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_Toc3099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729219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"_Toc19240"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_Toc19240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FFBADF9">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"_Toc19497" </w:instrText>
      </w:r>
      <w:r>
        <w:rPr>
          <w:color w:val="auto"/>
          <w:highlight w:val="none"/>
        </w:rPr>
        <w:fldChar w:fldCharType="separate"/>
      </w:r>
      <w:r>
        <w:rPr>
          <w:rFonts w:hint="eastAsia" w:ascii="仿宋" w:hAnsi="仿宋" w:eastAsia="仿宋" w:cs="仿宋"/>
          <w:b/>
          <w:bCs/>
          <w:color w:val="auto"/>
          <w:szCs w:val="21"/>
          <w:highlight w:val="none"/>
        </w:rPr>
        <w:t>二、落实的政府采购政策</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_Toc19497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54E01C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"_Toc1246" </w:instrText>
      </w:r>
      <w:r>
        <w:rPr>
          <w:color w:val="auto"/>
          <w:highlight w:val="none"/>
        </w:rPr>
        <w:fldChar w:fldCharType="separate"/>
      </w:r>
      <w:r>
        <w:rPr>
          <w:rFonts w:hint="eastAsia" w:ascii="仿宋" w:hAnsi="仿宋" w:eastAsia="仿宋" w:cs="仿宋"/>
          <w:b/>
          <w:bCs/>
          <w:color w:val="auto"/>
          <w:szCs w:val="21"/>
          <w:highlight w:val="none"/>
        </w:rPr>
        <w:t>三、竞争性磋商文件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_Toc1246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CA7CED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ascii="仿宋" w:hAnsi="仿宋" w:eastAsia="仿宋" w:cs="仿宋"/>
          <w:b/>
          <w:bCs/>
          <w:color w:val="auto"/>
          <w:szCs w:val="21"/>
          <w:highlight w:val="none"/>
        </w:rPr>
        <w:t>四、磋商响应文件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_Toc1284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CB7F9B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"_Toc11633" </w:instrText>
      </w:r>
      <w:r>
        <w:rPr>
          <w:color w:val="auto"/>
          <w:highlight w:val="none"/>
        </w:rPr>
        <w:fldChar w:fldCharType="separate"/>
      </w:r>
      <w:r>
        <w:rPr>
          <w:rFonts w:hint="eastAsia" w:ascii="仿宋" w:hAnsi="仿宋" w:eastAsia="仿宋" w:cs="仿宋"/>
          <w:b/>
          <w:bCs/>
          <w:color w:val="auto"/>
          <w:szCs w:val="21"/>
          <w:highlight w:val="none"/>
        </w:rPr>
        <w:t>五、磋商响应</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_Toc11633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8F46807">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"_Toc640" </w:instrText>
      </w:r>
      <w:r>
        <w:rPr>
          <w:color w:val="auto"/>
          <w:highlight w:val="none"/>
        </w:rPr>
        <w:fldChar w:fldCharType="separate"/>
      </w:r>
      <w:r>
        <w:rPr>
          <w:rFonts w:hint="eastAsia" w:ascii="仿宋" w:hAnsi="仿宋" w:eastAsia="仿宋" w:cs="仿宋"/>
          <w:b/>
          <w:bCs/>
          <w:color w:val="auto"/>
          <w:szCs w:val="21"/>
          <w:highlight w:val="none"/>
        </w:rPr>
        <w:t>六、开标</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_Toc640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347C05E">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"_Toc32126" </w:instrText>
      </w:r>
      <w:r>
        <w:rPr>
          <w:color w:val="auto"/>
          <w:highlight w:val="none"/>
        </w:rPr>
        <w:fldChar w:fldCharType="separate"/>
      </w:r>
      <w:r>
        <w:rPr>
          <w:rFonts w:hint="eastAsia" w:ascii="仿宋" w:hAnsi="仿宋" w:eastAsia="仿宋" w:cs="仿宋"/>
          <w:b/>
          <w:bCs/>
          <w:color w:val="auto"/>
          <w:szCs w:val="21"/>
          <w:highlight w:val="none"/>
        </w:rPr>
        <w:t>七、评审</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_Toc32126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2AB98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"_Toc11895" </w:instrText>
      </w:r>
      <w:r>
        <w:rPr>
          <w:color w:val="auto"/>
          <w:highlight w:val="none"/>
        </w:rPr>
        <w:fldChar w:fldCharType="separate"/>
      </w:r>
      <w:r>
        <w:rPr>
          <w:rFonts w:hint="eastAsia" w:ascii="仿宋" w:hAnsi="仿宋" w:eastAsia="仿宋" w:cs="仿宋"/>
          <w:b/>
          <w:bCs/>
          <w:color w:val="auto"/>
          <w:szCs w:val="21"/>
          <w:highlight w:val="none"/>
        </w:rPr>
        <w:t>八、采购结果确认与公告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_Toc11895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BFC1793">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"_Toc17503" </w:instrText>
      </w:r>
      <w:r>
        <w:rPr>
          <w:color w:val="auto"/>
          <w:highlight w:val="none"/>
        </w:rPr>
        <w:fldChar w:fldCharType="separate"/>
      </w:r>
      <w:r>
        <w:rPr>
          <w:rFonts w:hint="eastAsia" w:ascii="仿宋" w:hAnsi="仿宋" w:eastAsia="仿宋" w:cs="仿宋"/>
          <w:b/>
          <w:bCs/>
          <w:color w:val="auto"/>
          <w:szCs w:val="21"/>
          <w:highlight w:val="none"/>
        </w:rPr>
        <w:t>九、采购代理服务费</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_Toc17503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121642E">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"_Toc7194" </w:instrText>
      </w:r>
      <w:r>
        <w:rPr>
          <w:color w:val="auto"/>
          <w:highlight w:val="none"/>
        </w:rPr>
        <w:fldChar w:fldCharType="separate"/>
      </w:r>
      <w:r>
        <w:rPr>
          <w:rFonts w:hint="eastAsia" w:ascii="仿宋" w:hAnsi="仿宋" w:eastAsia="仿宋" w:cs="仿宋"/>
          <w:b/>
          <w:bCs/>
          <w:color w:val="auto"/>
          <w:szCs w:val="21"/>
          <w:highlight w:val="none"/>
        </w:rPr>
        <w:t>十、合同签订和履约担保</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_Toc7194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0D034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"_Toc19649" </w:instrText>
      </w:r>
      <w:r>
        <w:rPr>
          <w:color w:val="auto"/>
          <w:highlight w:val="none"/>
        </w:rPr>
        <w:fldChar w:fldCharType="separate"/>
      </w:r>
      <w:r>
        <w:rPr>
          <w:rFonts w:hint="eastAsia" w:ascii="仿宋" w:hAnsi="仿宋" w:eastAsia="仿宋" w:cs="仿宋"/>
          <w:b/>
          <w:bCs/>
          <w:color w:val="auto"/>
          <w:szCs w:val="21"/>
          <w:highlight w:val="none"/>
        </w:rPr>
        <w:t>十一、其他事项说明</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_Toc19649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3431747">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"_Toc18106" </w:instrText>
      </w:r>
      <w:r>
        <w:rPr>
          <w:color w:val="auto"/>
          <w:highlight w:val="none"/>
        </w:rPr>
        <w:fldChar w:fldCharType="separate"/>
      </w:r>
      <w:r>
        <w:rPr>
          <w:rFonts w:hint="eastAsia" w:ascii="仿宋" w:hAnsi="仿宋" w:eastAsia="仿宋" w:cs="仿宋"/>
          <w:b/>
          <w:bCs/>
          <w:color w:val="auto"/>
          <w:kern w:val="0"/>
          <w:szCs w:val="21"/>
          <w:highlight w:val="none"/>
        </w:rPr>
        <w:t>第三章 评审办法</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_Toc18106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FE0D4E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_Toc23222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F53D6F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"_Toc26621" </w:instrText>
      </w:r>
      <w:r>
        <w:rPr>
          <w:color w:val="auto"/>
          <w:highlight w:val="none"/>
        </w:rPr>
        <w:fldChar w:fldCharType="separate"/>
      </w:r>
      <w:r>
        <w:rPr>
          <w:rFonts w:hint="eastAsia" w:ascii="仿宋" w:hAnsi="仿宋" w:eastAsia="仿宋" w:cs="仿宋"/>
          <w:b/>
          <w:bCs/>
          <w:color w:val="auto"/>
          <w:szCs w:val="21"/>
          <w:highlight w:val="none"/>
        </w:rPr>
        <w:t>二、评审程序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_Toc26621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E6B8F88">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"_Toc14247" </w:instrText>
      </w:r>
      <w:r>
        <w:rPr>
          <w:color w:val="auto"/>
          <w:highlight w:val="none"/>
        </w:rPr>
        <w:fldChar w:fldCharType="separate"/>
      </w:r>
      <w:r>
        <w:rPr>
          <w:rFonts w:hint="eastAsia" w:ascii="仿宋" w:hAnsi="仿宋" w:eastAsia="仿宋" w:cs="仿宋"/>
          <w:b/>
          <w:bCs/>
          <w:color w:val="auto"/>
          <w:szCs w:val="21"/>
          <w:highlight w:val="none"/>
        </w:rPr>
        <w:t>三、评审内容及标准</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_Toc14247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F6E5CB3">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"_Toc10395" </w:instrText>
      </w:r>
      <w:r>
        <w:rPr>
          <w:color w:val="auto"/>
          <w:highlight w:val="none"/>
        </w:rPr>
        <w:fldChar w:fldCharType="separate"/>
      </w:r>
      <w:r>
        <w:rPr>
          <w:rFonts w:hint="eastAsia" w:ascii="仿宋" w:hAnsi="仿宋" w:eastAsia="仿宋" w:cs="仿宋"/>
          <w:b/>
          <w:bCs/>
          <w:color w:val="auto"/>
          <w:szCs w:val="21"/>
          <w:highlight w:val="none"/>
        </w:rPr>
        <w:t>四、其他评审事项规定</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_Toc10395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7E72874">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hint="eastAsia" w:ascii="仿宋" w:hAnsi="仿宋" w:eastAsia="仿宋" w:cs="仿宋"/>
          <w:b/>
          <w:bCs/>
          <w:color w:val="auto"/>
          <w:szCs w:val="21"/>
          <w:highlight w:val="none"/>
        </w:rPr>
        <w:t>第四章 采购内容及需求</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_Toc8854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A07B380">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"_Toc18450" </w:instrText>
      </w:r>
      <w:r>
        <w:rPr>
          <w:color w:val="auto"/>
          <w:highlight w:val="none"/>
        </w:rPr>
        <w:fldChar w:fldCharType="separate"/>
      </w:r>
      <w:r>
        <w:rPr>
          <w:rFonts w:hint="eastAsia" w:ascii="仿宋" w:hAnsi="仿宋" w:eastAsia="仿宋" w:cs="仿宋"/>
          <w:b/>
          <w:bCs/>
          <w:color w:val="auto"/>
          <w:szCs w:val="21"/>
          <w:highlight w:val="none"/>
        </w:rPr>
        <w:t>第五章 合同</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_Toc18450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47DE24E">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"_Toc15050" </w:instrText>
      </w:r>
      <w:r>
        <w:rPr>
          <w:color w:val="auto"/>
          <w:highlight w:val="none"/>
        </w:rPr>
        <w:fldChar w:fldCharType="separate"/>
      </w:r>
      <w:r>
        <w:rPr>
          <w:rFonts w:hint="eastAsia" w:ascii="仿宋" w:hAnsi="仿宋" w:eastAsia="仿宋" w:cs="仿宋"/>
          <w:b/>
          <w:bCs/>
          <w:color w:val="auto"/>
          <w:szCs w:val="21"/>
          <w:highlight w:val="none"/>
        </w:rPr>
        <w:t>第六章 响应文件格式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t>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9</w:t>
      </w:r>
    </w:p>
    <w:p w14:paraId="4C5FBC00">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"_Toc1935" </w:instrText>
      </w:r>
      <w:r>
        <w:rPr>
          <w:color w:val="auto"/>
          <w:highlight w:val="none"/>
        </w:rPr>
        <w:fldChar w:fldCharType="separate"/>
      </w:r>
      <w:r>
        <w:rPr>
          <w:rFonts w:hint="eastAsia" w:ascii="仿宋" w:hAnsi="仿宋" w:eastAsia="仿宋" w:cs="仿宋"/>
          <w:b/>
          <w:bCs/>
          <w:color w:val="auto"/>
          <w:szCs w:val="21"/>
          <w:highlight w:val="none"/>
        </w:rPr>
        <w:t>一、资格文件部分格式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_Toc1935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128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FBC3AE6">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"_Toc16209" </w:instrText>
      </w:r>
      <w:r>
        <w:rPr>
          <w:color w:val="auto"/>
          <w:highlight w:val="none"/>
        </w:rPr>
        <w:fldChar w:fldCharType="separate"/>
      </w:r>
      <w:r>
        <w:rPr>
          <w:rFonts w:hint="eastAsia" w:ascii="仿宋" w:hAnsi="仿宋" w:eastAsia="仿宋" w:cs="仿宋"/>
          <w:b/>
          <w:bCs/>
          <w:color w:val="auto"/>
          <w:szCs w:val="21"/>
          <w:highlight w:val="none"/>
        </w:rPr>
        <w:t>二、商务技术文件部分格式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_Toc16209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32C3670">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"_Toc11526" </w:instrText>
      </w:r>
      <w:r>
        <w:rPr>
          <w:color w:val="auto"/>
          <w:highlight w:val="none"/>
        </w:rPr>
        <w:fldChar w:fldCharType="separate"/>
      </w:r>
      <w:r>
        <w:rPr>
          <w:rFonts w:hint="eastAsia" w:ascii="仿宋" w:hAnsi="仿宋" w:eastAsia="仿宋" w:cs="仿宋"/>
          <w:b/>
          <w:bCs/>
          <w:color w:val="auto"/>
          <w:szCs w:val="21"/>
          <w:highlight w:val="none"/>
        </w:rPr>
        <w:t>三、报价文件部分格式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_Toc11526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151</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23138F6">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"_Toc5995" </w:instrText>
      </w:r>
      <w:r>
        <w:rPr>
          <w:color w:val="auto"/>
          <w:highlight w:val="none"/>
        </w:rPr>
        <w:fldChar w:fldCharType="separate"/>
      </w:r>
      <w:r>
        <w:rPr>
          <w:rFonts w:hint="eastAsia" w:ascii="仿宋" w:hAnsi="仿宋" w:eastAsia="仿宋" w:cs="仿宋"/>
          <w:b/>
          <w:bCs/>
          <w:color w:val="auto"/>
          <w:szCs w:val="21"/>
          <w:highlight w:val="none"/>
        </w:rPr>
        <w:t>第七章 附件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_Toc5995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181</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562F9C8">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14:paraId="41151AEA">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61B651C1">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2A6B55A5">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14:paraId="72C1706F">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020335D5">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5034E83F">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6、供应商在参加电子交易过程中,可登录电子交易平台“帮助文档”版面获取《电子交易管理操作指南》，或致电平台400-881-7190获取相关服务支持。</w:t>
      </w:r>
    </w:p>
    <w:p w14:paraId="16BAD550">
      <w:pPr>
        <w:widowControl/>
        <w:spacing w:line="360" w:lineRule="auto"/>
        <w:jc w:val="left"/>
        <w:rPr>
          <w:rFonts w:ascii="仿宋" w:hAnsi="仿宋" w:eastAsia="仿宋" w:cs="宋体"/>
          <w:b/>
          <w:color w:val="auto"/>
          <w:kern w:val="0"/>
          <w:sz w:val="24"/>
          <w:szCs w:val="24"/>
          <w:highlight w:val="none"/>
        </w:rPr>
        <w:sectPr>
          <w:footerReference r:id="rId6" w:type="first"/>
          <w:footerReference r:id="rId5" w:type="default"/>
          <w:pgSz w:w="11906" w:h="16838"/>
          <w:pgMar w:top="1418" w:right="1418" w:bottom="1418" w:left="1418" w:header="851" w:footer="1077" w:gutter="0"/>
          <w:pgNumType w:start="1"/>
          <w:cols w:space="720" w:num="1"/>
          <w:titlePg/>
          <w:docGrid w:linePitch="286" w:charSpace="0"/>
        </w:sectPr>
      </w:pPr>
    </w:p>
    <w:p w14:paraId="62D06994">
      <w:pPr>
        <w:autoSpaceDN w:val="0"/>
        <w:adjustRightInd w:val="0"/>
        <w:snapToGrid w:val="0"/>
        <w:spacing w:before="162" w:beforeLines="50" w:after="162"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14:paraId="706F41E2">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14:paraId="773F6340">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浙江工业大学屏峰校区室外运动场改造工程</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12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10</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14:paraId="55CF7AAC">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3" w:name="_Toc35393621"/>
      <w:bookmarkStart w:id="4" w:name="_Toc35393790"/>
      <w:bookmarkStart w:id="5" w:name="_Toc28359079"/>
      <w:bookmarkStart w:id="6" w:name="_Toc28359002"/>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14:paraId="13A1EC08">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HSZB-2024-1155</w:t>
      </w:r>
    </w:p>
    <w:p w14:paraId="45E8B6B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浙江工业大学屏峰校区室外运动场改造工程</w:t>
      </w:r>
    </w:p>
    <w:p w14:paraId="0BB5583B">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14:paraId="47067E3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eastAsia="zh-CN"/>
        </w:rPr>
        <w:t>19500</w:t>
      </w:r>
      <w:r>
        <w:rPr>
          <w:rFonts w:hint="eastAsia" w:ascii="仿宋" w:hAnsi="仿宋" w:eastAsia="仿宋" w:cs="宋体"/>
          <w:color w:val="auto"/>
          <w:spacing w:val="-4"/>
          <w:kern w:val="0"/>
          <w:sz w:val="24"/>
          <w:szCs w:val="24"/>
          <w:highlight w:val="none"/>
          <w:lang w:val="en-US" w:eastAsia="zh-CN"/>
        </w:rPr>
        <w:t>0</w:t>
      </w:r>
      <w:r>
        <w:rPr>
          <w:rFonts w:hint="eastAsia" w:ascii="仿宋" w:hAnsi="仿宋" w:eastAsia="仿宋" w:cs="宋体"/>
          <w:color w:val="auto"/>
          <w:spacing w:val="-4"/>
          <w:kern w:val="0"/>
          <w:sz w:val="24"/>
          <w:szCs w:val="24"/>
          <w:highlight w:val="none"/>
          <w:lang w:eastAsia="zh-CN"/>
        </w:rPr>
        <w:t>0</w:t>
      </w:r>
      <w:r>
        <w:rPr>
          <w:rFonts w:hint="eastAsia" w:ascii="仿宋" w:hAnsi="仿宋" w:eastAsia="仿宋" w:cs="宋体"/>
          <w:color w:val="auto"/>
          <w:spacing w:val="-4"/>
          <w:kern w:val="0"/>
          <w:sz w:val="24"/>
          <w:szCs w:val="24"/>
          <w:highlight w:val="none"/>
        </w:rPr>
        <w:t>.00</w:t>
      </w:r>
    </w:p>
    <w:p w14:paraId="5F23DE76">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eastAsia="zh-CN"/>
        </w:rPr>
        <w:t>19500</w:t>
      </w:r>
      <w:r>
        <w:rPr>
          <w:rFonts w:hint="eastAsia" w:ascii="仿宋" w:hAnsi="仿宋" w:eastAsia="仿宋" w:cs="宋体"/>
          <w:color w:val="auto"/>
          <w:spacing w:val="-4"/>
          <w:kern w:val="0"/>
          <w:sz w:val="24"/>
          <w:szCs w:val="24"/>
          <w:highlight w:val="none"/>
          <w:lang w:val="en-US" w:eastAsia="zh-CN"/>
        </w:rPr>
        <w:t>0</w:t>
      </w:r>
      <w:r>
        <w:rPr>
          <w:rFonts w:hint="eastAsia" w:ascii="仿宋" w:hAnsi="仿宋" w:eastAsia="仿宋" w:cs="宋体"/>
          <w:color w:val="auto"/>
          <w:spacing w:val="-4"/>
          <w:kern w:val="0"/>
          <w:sz w:val="24"/>
          <w:szCs w:val="24"/>
          <w:highlight w:val="none"/>
          <w:lang w:eastAsia="zh-CN"/>
        </w:rPr>
        <w:t>0</w:t>
      </w:r>
      <w:r>
        <w:rPr>
          <w:rFonts w:hint="eastAsia" w:ascii="仿宋" w:hAnsi="仿宋" w:eastAsia="仿宋" w:cs="宋体"/>
          <w:color w:val="auto"/>
          <w:spacing w:val="-4"/>
          <w:kern w:val="0"/>
          <w:sz w:val="24"/>
          <w:szCs w:val="24"/>
          <w:highlight w:val="none"/>
        </w:rPr>
        <w:t>.00（其中设计费最高限价</w:t>
      </w:r>
      <w:r>
        <w:rPr>
          <w:rFonts w:hint="eastAsia" w:ascii="仿宋" w:hAnsi="仿宋" w:eastAsia="仿宋" w:cs="宋体"/>
          <w:color w:val="auto"/>
          <w:spacing w:val="-4"/>
          <w:kern w:val="0"/>
          <w:sz w:val="24"/>
          <w:szCs w:val="24"/>
          <w:highlight w:val="none"/>
          <w:lang w:eastAsia="zh-CN"/>
        </w:rPr>
        <w:t>70000</w:t>
      </w:r>
      <w:r>
        <w:rPr>
          <w:rFonts w:hint="eastAsia" w:ascii="仿宋" w:hAnsi="仿宋" w:eastAsia="仿宋" w:cs="宋体"/>
          <w:color w:val="auto"/>
          <w:spacing w:val="-4"/>
          <w:kern w:val="0"/>
          <w:sz w:val="24"/>
          <w:szCs w:val="24"/>
          <w:highlight w:val="none"/>
        </w:rPr>
        <w:t>元）</w:t>
      </w:r>
    </w:p>
    <w:p w14:paraId="7E1A4BB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采购需求：</w:t>
      </w:r>
    </w:p>
    <w:p w14:paraId="51D7156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标项一：</w:t>
      </w:r>
    </w:p>
    <w:p w14:paraId="435BEDC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标项名称：</w:t>
      </w:r>
      <w:r>
        <w:rPr>
          <w:rFonts w:hint="eastAsia" w:ascii="仿宋" w:hAnsi="仿宋" w:eastAsia="仿宋" w:cs="宋体"/>
          <w:color w:val="auto"/>
          <w:spacing w:val="-4"/>
          <w:kern w:val="0"/>
          <w:sz w:val="24"/>
          <w:szCs w:val="24"/>
          <w:highlight w:val="none"/>
          <w:lang w:eastAsia="zh-CN"/>
        </w:rPr>
        <w:t>浙江工业大学屏峰校区室外运动场改造工程</w:t>
      </w:r>
    </w:p>
    <w:p w14:paraId="38BCAB7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14:paraId="390B412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14:paraId="7FCF939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eastAsia="zh-CN"/>
        </w:rPr>
        <w:t>1950</w:t>
      </w:r>
      <w:r>
        <w:rPr>
          <w:rFonts w:hint="eastAsia" w:ascii="仿宋" w:hAnsi="仿宋" w:eastAsia="仿宋" w:cs="宋体"/>
          <w:color w:val="auto"/>
          <w:spacing w:val="-4"/>
          <w:kern w:val="0"/>
          <w:sz w:val="24"/>
          <w:szCs w:val="24"/>
          <w:highlight w:val="none"/>
          <w:lang w:val="en-US" w:eastAsia="zh-CN"/>
        </w:rPr>
        <w:t>0</w:t>
      </w:r>
      <w:r>
        <w:rPr>
          <w:rFonts w:hint="eastAsia" w:ascii="仿宋" w:hAnsi="仿宋" w:eastAsia="仿宋" w:cs="宋体"/>
          <w:color w:val="auto"/>
          <w:spacing w:val="-4"/>
          <w:kern w:val="0"/>
          <w:sz w:val="24"/>
          <w:szCs w:val="24"/>
          <w:highlight w:val="none"/>
          <w:lang w:eastAsia="zh-CN"/>
        </w:rPr>
        <w:t>00</w:t>
      </w:r>
      <w:r>
        <w:rPr>
          <w:rFonts w:hint="eastAsia" w:ascii="仿宋" w:hAnsi="仿宋" w:eastAsia="仿宋" w:cs="宋体"/>
          <w:color w:val="auto"/>
          <w:spacing w:val="-4"/>
          <w:kern w:val="0"/>
          <w:sz w:val="24"/>
          <w:szCs w:val="24"/>
          <w:highlight w:val="none"/>
        </w:rPr>
        <w:t>.00</w:t>
      </w:r>
    </w:p>
    <w:p w14:paraId="595CFB1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eastAsia="zh-CN"/>
        </w:rPr>
        <w:t>19500</w:t>
      </w:r>
      <w:r>
        <w:rPr>
          <w:rFonts w:hint="eastAsia" w:ascii="仿宋" w:hAnsi="仿宋" w:eastAsia="仿宋" w:cs="宋体"/>
          <w:color w:val="auto"/>
          <w:spacing w:val="-4"/>
          <w:kern w:val="0"/>
          <w:sz w:val="24"/>
          <w:szCs w:val="24"/>
          <w:highlight w:val="none"/>
          <w:lang w:val="en-US" w:eastAsia="zh-CN"/>
        </w:rPr>
        <w:t>0</w:t>
      </w:r>
      <w:r>
        <w:rPr>
          <w:rFonts w:hint="eastAsia" w:ascii="仿宋" w:hAnsi="仿宋" w:eastAsia="仿宋" w:cs="宋体"/>
          <w:color w:val="auto"/>
          <w:spacing w:val="-4"/>
          <w:kern w:val="0"/>
          <w:sz w:val="24"/>
          <w:szCs w:val="24"/>
          <w:highlight w:val="none"/>
          <w:lang w:eastAsia="zh-CN"/>
        </w:rPr>
        <w:t>0</w:t>
      </w:r>
      <w:r>
        <w:rPr>
          <w:rFonts w:hint="eastAsia" w:ascii="仿宋" w:hAnsi="仿宋" w:eastAsia="仿宋" w:cs="宋体"/>
          <w:color w:val="auto"/>
          <w:spacing w:val="-4"/>
          <w:kern w:val="0"/>
          <w:sz w:val="24"/>
          <w:szCs w:val="24"/>
          <w:highlight w:val="none"/>
        </w:rPr>
        <w:t>.00（其中设计费最高限价</w:t>
      </w:r>
      <w:r>
        <w:rPr>
          <w:rFonts w:hint="eastAsia" w:ascii="仿宋" w:hAnsi="仿宋" w:eastAsia="仿宋" w:cs="宋体"/>
          <w:color w:val="auto"/>
          <w:spacing w:val="-4"/>
          <w:kern w:val="0"/>
          <w:sz w:val="24"/>
          <w:szCs w:val="24"/>
          <w:highlight w:val="none"/>
          <w:lang w:eastAsia="zh-CN"/>
        </w:rPr>
        <w:t>70000</w:t>
      </w:r>
      <w:r>
        <w:rPr>
          <w:rFonts w:hint="eastAsia" w:ascii="仿宋" w:hAnsi="仿宋" w:eastAsia="仿宋" w:cs="宋体"/>
          <w:color w:val="auto"/>
          <w:spacing w:val="-4"/>
          <w:kern w:val="0"/>
          <w:sz w:val="24"/>
          <w:szCs w:val="24"/>
          <w:highlight w:val="none"/>
        </w:rPr>
        <w:t>元）</w:t>
      </w:r>
    </w:p>
    <w:p w14:paraId="5F18897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浙江工业大学屏峰校区室外运动场改造工程</w:t>
      </w:r>
      <w:r>
        <w:rPr>
          <w:rFonts w:hint="eastAsia" w:ascii="仿宋" w:hAnsi="仿宋" w:eastAsia="仿宋" w:cs="宋体"/>
          <w:color w:val="auto"/>
          <w:spacing w:val="-4"/>
          <w:kern w:val="0"/>
          <w:sz w:val="24"/>
          <w:szCs w:val="24"/>
          <w:highlight w:val="none"/>
        </w:rPr>
        <w:t>，本项目为EPC施工总承包，详见采购文件第四章采购内容及需求。</w:t>
      </w:r>
    </w:p>
    <w:p w14:paraId="4B5EE00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备注：/</w:t>
      </w:r>
    </w:p>
    <w:p w14:paraId="11C5CDDB">
      <w:pPr>
        <w:autoSpaceDN w:val="0"/>
        <w:adjustRightInd w:val="0"/>
        <w:snapToGrid w:val="0"/>
        <w:spacing w:line="360" w:lineRule="auto"/>
        <w:ind w:firstLine="464" w:firstLineChars="200"/>
        <w:rPr>
          <w:rFonts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w:t>
      </w:r>
      <w:r>
        <w:rPr>
          <w:rFonts w:hint="eastAsia" w:ascii="仿宋" w:hAnsi="仿宋" w:eastAsia="仿宋" w:cs="仿宋"/>
          <w:color w:val="auto"/>
          <w:spacing w:val="-4"/>
          <w:kern w:val="0"/>
          <w:sz w:val="24"/>
          <w:szCs w:val="24"/>
          <w:highlight w:val="none"/>
          <w:lang w:val="en-US" w:eastAsia="zh-CN"/>
        </w:rPr>
        <w:t>110</w:t>
      </w:r>
      <w:r>
        <w:rPr>
          <w:rFonts w:hint="eastAsia" w:ascii="仿宋" w:hAnsi="仿宋" w:eastAsia="仿宋" w:cs="仿宋"/>
          <w:color w:val="auto"/>
          <w:spacing w:val="-4"/>
          <w:kern w:val="0"/>
          <w:sz w:val="24"/>
          <w:szCs w:val="24"/>
          <w:highlight w:val="none"/>
        </w:rPr>
        <w:t>天（其中设计工期</w:t>
      </w:r>
      <w:r>
        <w:rPr>
          <w:rFonts w:hint="eastAsia" w:ascii="仿宋" w:hAnsi="仿宋" w:eastAsia="仿宋" w:cs="仿宋"/>
          <w:color w:val="auto"/>
          <w:spacing w:val="-4"/>
          <w:kern w:val="0"/>
          <w:sz w:val="24"/>
          <w:szCs w:val="24"/>
          <w:highlight w:val="none"/>
          <w:lang w:val="en-US" w:eastAsia="zh-CN"/>
        </w:rPr>
        <w:t>7</w:t>
      </w:r>
      <w:r>
        <w:rPr>
          <w:rFonts w:hint="eastAsia" w:ascii="仿宋" w:hAnsi="仿宋" w:eastAsia="仿宋" w:cs="仿宋"/>
          <w:color w:val="auto"/>
          <w:spacing w:val="-4"/>
          <w:kern w:val="0"/>
          <w:sz w:val="24"/>
          <w:szCs w:val="24"/>
          <w:highlight w:val="none"/>
        </w:rPr>
        <w:t>天，施工工期</w:t>
      </w:r>
      <w:r>
        <w:rPr>
          <w:rFonts w:hint="eastAsia" w:ascii="仿宋" w:hAnsi="仿宋" w:eastAsia="仿宋" w:cs="仿宋"/>
          <w:color w:val="auto"/>
          <w:spacing w:val="-4"/>
          <w:kern w:val="0"/>
          <w:sz w:val="24"/>
          <w:szCs w:val="24"/>
          <w:highlight w:val="none"/>
          <w:lang w:val="en-US" w:eastAsia="zh-CN"/>
        </w:rPr>
        <w:t>103</w:t>
      </w:r>
      <w:r>
        <w:rPr>
          <w:rFonts w:hint="eastAsia" w:ascii="仿宋" w:hAnsi="仿宋" w:eastAsia="仿宋" w:cs="仿宋"/>
          <w:color w:val="auto"/>
          <w:spacing w:val="-4"/>
          <w:kern w:val="0"/>
          <w:sz w:val="24"/>
          <w:szCs w:val="24"/>
          <w:highlight w:val="none"/>
        </w:rPr>
        <w:t>天）</w:t>
      </w:r>
    </w:p>
    <w:p w14:paraId="6C77057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14:paraId="2D190424">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8" w:name="_Toc28359080"/>
      <w:bookmarkStart w:id="9" w:name="_Toc35393791"/>
      <w:bookmarkStart w:id="10" w:name="_Toc35393622"/>
      <w:bookmarkStart w:id="11" w:name="_Toc28359003"/>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14:paraId="33C09A3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EE81DB8">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04"/>
      <w:bookmarkStart w:id="13"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本项目非专门面向中小企业采购的项目。</w:t>
      </w:r>
    </w:p>
    <w:p w14:paraId="29C9067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14:paraId="2009EF5B">
      <w:pPr>
        <w:widowControl/>
        <w:autoSpaceDN w:val="0"/>
        <w:adjustRightInd w:val="0"/>
        <w:snapToGrid w:val="0"/>
        <w:spacing w:line="360" w:lineRule="auto"/>
        <w:ind w:firstLine="699" w:firstLineChars="300"/>
        <w:jc w:val="left"/>
        <w:rPr>
          <w:rFonts w:ascii="仿宋" w:hAnsi="仿宋" w:eastAsia="仿宋" w:cs="宋体"/>
          <w:b/>
          <w:color w:val="auto"/>
          <w:spacing w:val="-4"/>
          <w:kern w:val="0"/>
          <w:sz w:val="24"/>
          <w:szCs w:val="24"/>
          <w:highlight w:val="none"/>
        </w:rPr>
      </w:pPr>
      <w:bookmarkStart w:id="14" w:name="_Hlk130373903"/>
      <w:bookmarkStart w:id="15" w:name="_Toc35393792"/>
      <w:bookmarkStart w:id="16" w:name="_Toc35393623"/>
      <w:r>
        <w:rPr>
          <w:rFonts w:hint="eastAsia" w:ascii="仿宋" w:hAnsi="仿宋" w:eastAsia="仿宋" w:cs="宋体"/>
          <w:b/>
          <w:color w:val="auto"/>
          <w:spacing w:val="-4"/>
          <w:kern w:val="0"/>
          <w:sz w:val="24"/>
          <w:szCs w:val="24"/>
          <w:highlight w:val="none"/>
        </w:rPr>
        <w:t>同时具有设计和施工资质</w:t>
      </w:r>
    </w:p>
    <w:p w14:paraId="38302DA8">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（1）设计：具有有效的工程设计综合甲级资质或建筑行业（建筑工程）乙级及以上资质。</w:t>
      </w:r>
    </w:p>
    <w:p w14:paraId="2B545754">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2）施工：具有有效的建筑工程总承包叁级及以上资质或钢结构工程专业承包二级及以上资质，具有有效的安全生产许可证；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有效B类证书；拟派现场安全生产专职管理人员具有“三类人员”有效C类证书。</w:t>
      </w:r>
    </w:p>
    <w:p w14:paraId="5DA70E6D">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4"/>
      <w:r>
        <w:rPr>
          <w:rFonts w:hint="eastAsia" w:ascii="仿宋" w:hAnsi="仿宋" w:eastAsia="仿宋" w:cs="宋体"/>
          <w:b/>
          <w:color w:val="auto"/>
          <w:spacing w:val="-4"/>
          <w:kern w:val="0"/>
          <w:sz w:val="24"/>
          <w:szCs w:val="24"/>
          <w:highlight w:val="none"/>
        </w:rPr>
        <w:t>本项目允许符合以下规定的联合体参加投标：</w:t>
      </w:r>
    </w:p>
    <w:p w14:paraId="6CE14E6D">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①联合体各方均须为符合本项目“申请人的资格要求”第1条规定；</w:t>
      </w:r>
    </w:p>
    <w:p w14:paraId="1A8A9BD8">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14:paraId="528964D7">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14:paraId="7BEE6ED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①分包承担主体均须符合本项目“申请人的资格要求”第1条规定；</w:t>
      </w:r>
    </w:p>
    <w:p w14:paraId="051FD733">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14:paraId="318F7AF2">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三、获取采购文件</w:t>
      </w:r>
      <w:bookmarkEnd w:id="12"/>
      <w:bookmarkEnd w:id="13"/>
      <w:bookmarkEnd w:id="15"/>
      <w:bookmarkEnd w:id="16"/>
    </w:p>
    <w:p w14:paraId="686C715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至2024年</w:t>
      </w:r>
      <w:r>
        <w:rPr>
          <w:rFonts w:hint="eastAsia" w:ascii="仿宋" w:hAnsi="仿宋" w:eastAsia="仿宋" w:cs="宋体"/>
          <w:color w:val="auto"/>
          <w:spacing w:val="-4"/>
          <w:kern w:val="0"/>
          <w:sz w:val="24"/>
          <w:szCs w:val="24"/>
          <w:highlight w:val="none"/>
          <w:lang w:val="en-US" w:eastAsia="zh-CN"/>
        </w:rPr>
        <w:t>12</w:t>
      </w:r>
      <w:r>
        <w:rPr>
          <w:rFonts w:hint="eastAsia" w:ascii="仿宋" w:hAnsi="仿宋" w:eastAsia="仿宋" w:cs="宋体"/>
          <w:color w:val="auto"/>
          <w:spacing w:val="-4"/>
          <w:kern w:val="0"/>
          <w:sz w:val="24"/>
          <w:szCs w:val="24"/>
          <w:highlight w:val="none"/>
        </w:rPr>
        <w:t>月</w:t>
      </w:r>
      <w:r>
        <w:rPr>
          <w:rFonts w:hint="eastAsia" w:ascii="仿宋" w:hAnsi="仿宋" w:eastAsia="仿宋" w:cs="宋体"/>
          <w:color w:val="auto"/>
          <w:spacing w:val="-4"/>
          <w:kern w:val="0"/>
          <w:sz w:val="24"/>
          <w:szCs w:val="24"/>
          <w:highlight w:val="none"/>
          <w:lang w:val="en-US" w:eastAsia="zh-CN"/>
        </w:rPr>
        <w:t>10</w:t>
      </w:r>
      <w:r>
        <w:rPr>
          <w:rFonts w:hint="eastAsia" w:ascii="仿宋" w:hAnsi="仿宋" w:eastAsia="仿宋" w:cs="宋体"/>
          <w:color w:val="auto"/>
          <w:spacing w:val="-4"/>
          <w:kern w:val="0"/>
          <w:sz w:val="24"/>
          <w:szCs w:val="24"/>
          <w:highlight w:val="none"/>
        </w:rPr>
        <w:t>日，每天上午00:00至12:00，下午12:00至23:59（北京时间，线上获取法定节假日均可，线下获取文件法定节假日除外）。</w:t>
      </w:r>
    </w:p>
    <w:p w14:paraId="23446E1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133F781E">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04EFC6A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14:paraId="7DA3DD0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1262A3B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7" w:name="_Toc35393624"/>
      <w:bookmarkStart w:id="18" w:name="_Toc28359005"/>
      <w:bookmarkStart w:id="19" w:name="_Toc28359082"/>
      <w:bookmarkStart w:id="20" w:name="_Toc35393793"/>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响应文件递交（上传）</w:t>
      </w:r>
    </w:p>
    <w:p w14:paraId="6D2F856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12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10</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531DF67E">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2.递交地点（网址）：（1）“电子加密响应文件”：https://www.zcygov.cn在线递交；（2）“电子备份响应文件”：杭州市拱墅区大关路179号远洋国际中心A座17楼1706室。</w:t>
      </w:r>
    </w:p>
    <w:p w14:paraId="3F862899">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14:paraId="18D053D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12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10</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0B2D4C4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63D40C3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1" w:name="_Toc35393794"/>
      <w:bookmarkStart w:id="22" w:name="_Toc35393625"/>
      <w:bookmarkStart w:id="23" w:name="_Toc28359007"/>
      <w:bookmarkStart w:id="24" w:name="_Toc28359084"/>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14:paraId="58E5A4A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14:paraId="7CEB3CA3">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5" w:name="_Toc35393795"/>
      <w:bookmarkStart w:id="26" w:name="_Toc35393626"/>
      <w:r>
        <w:rPr>
          <w:rFonts w:hint="eastAsia" w:ascii="仿宋" w:hAnsi="仿宋" w:eastAsia="仿宋" w:cs="宋体"/>
          <w:b/>
          <w:color w:val="auto"/>
          <w:spacing w:val="-4"/>
          <w:kern w:val="0"/>
          <w:sz w:val="24"/>
          <w:szCs w:val="24"/>
          <w:highlight w:val="none"/>
        </w:rPr>
        <w:t>七、其他补充事宜</w:t>
      </w:r>
      <w:bookmarkEnd w:id="25"/>
      <w:bookmarkEnd w:id="26"/>
    </w:p>
    <w:p w14:paraId="67823778">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996D2FC">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8BF9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4B375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4895ACBD">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7" w:name="_Toc28359008"/>
      <w:bookmarkStart w:id="28" w:name="_Toc35393627"/>
      <w:bookmarkStart w:id="29" w:name="_Toc35393796"/>
      <w:bookmarkStart w:id="30" w:name="_Toc28359085"/>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14:paraId="31109CBD">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14:paraId="6559BC7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14:paraId="3EA0688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14:paraId="2AD75644">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项目联系人（询问）：孙老师、余老师</w:t>
      </w:r>
    </w:p>
    <w:p w14:paraId="22154A45">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项目联系方式（询问）：0571-88320055</w:t>
      </w:r>
    </w:p>
    <w:p w14:paraId="25CEEB3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14:paraId="0E21A48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w:t>
      </w:r>
    </w:p>
    <w:p w14:paraId="3BB072FB">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86"/>
      <w:bookmarkStart w:id="32" w:name="_Toc28359009"/>
      <w:r>
        <w:rPr>
          <w:rFonts w:hint="eastAsia" w:ascii="仿宋" w:hAnsi="仿宋" w:eastAsia="仿宋" w:cs="宋体"/>
          <w:color w:val="auto"/>
          <w:spacing w:val="-4"/>
          <w:kern w:val="0"/>
          <w:sz w:val="24"/>
          <w:szCs w:val="24"/>
          <w:highlight w:val="none"/>
        </w:rPr>
        <w:t>2.采购代理机构信息</w:t>
      </w:r>
      <w:bookmarkEnd w:id="31"/>
      <w:bookmarkEnd w:id="32"/>
    </w:p>
    <w:p w14:paraId="7B37CEA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称：浙江豪圣建设项目管理有限公司</w:t>
      </w:r>
    </w:p>
    <w:p w14:paraId="2700348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址：杭州市拱墅区大关路179号远洋国际中心A座17楼1706室</w:t>
      </w:r>
    </w:p>
    <w:p w14:paraId="4DEC517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3" w:name="_Toc28359010"/>
      <w:bookmarkStart w:id="34" w:name="_Toc28359087"/>
      <w:r>
        <w:rPr>
          <w:rFonts w:hint="eastAsia" w:ascii="仿宋" w:hAnsi="仿宋" w:eastAsia="仿宋" w:cs="宋体"/>
          <w:color w:val="auto"/>
          <w:spacing w:val="-4"/>
          <w:kern w:val="0"/>
          <w:sz w:val="24"/>
          <w:szCs w:val="24"/>
          <w:highlight w:val="none"/>
        </w:rPr>
        <w:t>项目联系人（询问）：陈梦菲、曹剑斌、陈敏娇</w:t>
      </w:r>
    </w:p>
    <w:p w14:paraId="7DFD6EE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项目联系方式（询问）：0571-87981527</w:t>
      </w:r>
    </w:p>
    <w:p w14:paraId="7E94BB14">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质疑联系人：桑国坚</w:t>
      </w:r>
    </w:p>
    <w:p w14:paraId="2AD9F7C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rPr>
        <w:t>0571-56386096</w:t>
      </w:r>
    </w:p>
    <w:p w14:paraId="0242FCF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14:paraId="7618DF6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称：浙江省政府采购行政裁决服务中心（杭州市上城区清泰街549号城建综合大楼11楼）</w:t>
      </w:r>
    </w:p>
    <w:p w14:paraId="6B0C61BC">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eastAsia="zh-CN"/>
        </w:rPr>
        <w:t>杭州市上城区清泰街549号城建综合大楼11楼</w:t>
      </w:r>
    </w:p>
    <w:p w14:paraId="6A3A25B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传  真：/</w:t>
      </w:r>
    </w:p>
    <w:p w14:paraId="3353D63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联系人：朱老师、王老师、匡老师</w:t>
      </w:r>
    </w:p>
    <w:p w14:paraId="56DC17A5">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w:t>
      </w:r>
      <w:r>
        <w:rPr>
          <w:rFonts w:hint="eastAsia" w:ascii="仿宋" w:hAnsi="仿宋" w:eastAsia="仿宋" w:cs="宋体"/>
          <w:color w:val="auto"/>
          <w:spacing w:val="-4"/>
          <w:kern w:val="0"/>
          <w:sz w:val="24"/>
          <w:szCs w:val="24"/>
          <w:highlight w:val="none"/>
          <w:lang w:val="en-US" w:eastAsia="zh-CN"/>
        </w:rPr>
        <w:t>-</w:t>
      </w:r>
      <w:r>
        <w:rPr>
          <w:rFonts w:hint="eastAsia" w:ascii="仿宋" w:hAnsi="仿宋" w:eastAsia="仿宋" w:cs="宋体"/>
          <w:color w:val="auto"/>
          <w:spacing w:val="-4"/>
          <w:kern w:val="0"/>
          <w:sz w:val="24"/>
          <w:szCs w:val="24"/>
          <w:highlight w:val="none"/>
        </w:rPr>
        <w:t>87800218、87227671</w:t>
      </w:r>
      <w:bookmarkStart w:id="628" w:name="_GoBack"/>
      <w:bookmarkEnd w:id="628"/>
    </w:p>
    <w:p w14:paraId="25FD0D9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政策咨询：何一平、冯华，0571-87058424、87055741</w:t>
      </w:r>
    </w:p>
    <w:p w14:paraId="00BBF46E">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14:paraId="0DA58B6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p>
    <w:p w14:paraId="22E1E6FB">
      <w:pPr>
        <w:pStyle w:val="55"/>
        <w:ind w:firstLine="48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14:paraId="4F66E8A0">
      <w:pPr>
        <w:pStyle w:val="55"/>
        <w:ind w:firstLine="480" w:firstLineChars="200"/>
        <w:rPr>
          <w:color w:val="auto"/>
          <w:highlight w:val="none"/>
        </w:rPr>
      </w:pPr>
      <w:r>
        <w:rPr>
          <w:rFonts w:hint="eastAsia" w:ascii="仿宋" w:hAnsi="仿宋" w:eastAsia="仿宋" w:cs="仿宋"/>
          <w:color w:val="auto"/>
          <w:highlight w:val="none"/>
        </w:rPr>
        <w:t>CA问题联系电话（人工）：汇信CA 400-888-4636；天谷CA 400-087-8198。</w:t>
      </w:r>
    </w:p>
    <w:p w14:paraId="39F719DE">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 xml:space="preserve">第二章 </w:t>
      </w:r>
      <w:bookmarkEnd w:id="35"/>
      <w:r>
        <w:rPr>
          <w:rFonts w:hint="eastAsia" w:ascii="仿宋" w:hAnsi="仿宋" w:eastAsia="仿宋" w:cs="宋体"/>
          <w:b/>
          <w:color w:val="auto"/>
          <w:spacing w:val="-4"/>
          <w:kern w:val="0"/>
          <w:sz w:val="32"/>
          <w:szCs w:val="32"/>
          <w:highlight w:val="none"/>
        </w:rPr>
        <w:t>磋商须知</w:t>
      </w:r>
    </w:p>
    <w:p w14:paraId="57A82806">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1"/>
        <w:gridCol w:w="6060"/>
      </w:tblGrid>
      <w:tr w14:paraId="4D5CE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91447D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8" w:type="pct"/>
            <w:tcBorders>
              <w:top w:val="single" w:color="auto" w:sz="4" w:space="0"/>
              <w:left w:val="single" w:color="auto" w:sz="4" w:space="0"/>
              <w:bottom w:val="single" w:color="auto" w:sz="4" w:space="0"/>
              <w:right w:val="single" w:color="auto" w:sz="4" w:space="0"/>
            </w:tcBorders>
            <w:vAlign w:val="center"/>
          </w:tcPr>
          <w:p w14:paraId="4A15F9B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2" w:type="pct"/>
            <w:tcBorders>
              <w:top w:val="single" w:color="auto" w:sz="4" w:space="0"/>
              <w:left w:val="single" w:color="auto" w:sz="4" w:space="0"/>
              <w:bottom w:val="single" w:color="auto" w:sz="4" w:space="0"/>
              <w:right w:val="single" w:color="auto" w:sz="4" w:space="0"/>
            </w:tcBorders>
            <w:vAlign w:val="center"/>
          </w:tcPr>
          <w:p w14:paraId="481AF60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14:paraId="74345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0BB6F0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98" w:type="pct"/>
            <w:tcBorders>
              <w:top w:val="single" w:color="auto" w:sz="4" w:space="0"/>
              <w:left w:val="single" w:color="auto" w:sz="4" w:space="0"/>
              <w:bottom w:val="single" w:color="auto" w:sz="4" w:space="0"/>
              <w:right w:val="single" w:color="auto" w:sz="4" w:space="0"/>
            </w:tcBorders>
            <w:vAlign w:val="center"/>
          </w:tcPr>
          <w:p w14:paraId="319FC7D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14:paraId="59C1A06D">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浙江工业大学屏峰校区室外运动场改造工程</w:t>
            </w:r>
          </w:p>
        </w:tc>
      </w:tr>
      <w:tr w14:paraId="7BCB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64CB81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98" w:type="pct"/>
            <w:tcBorders>
              <w:top w:val="single" w:color="auto" w:sz="4" w:space="0"/>
              <w:left w:val="single" w:color="auto" w:sz="4" w:space="0"/>
              <w:bottom w:val="single" w:color="auto" w:sz="4" w:space="0"/>
              <w:right w:val="single" w:color="auto" w:sz="4" w:space="0"/>
            </w:tcBorders>
            <w:vAlign w:val="center"/>
          </w:tcPr>
          <w:p w14:paraId="183EEC7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14:paraId="4101C40E">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HSZB-2024-1155</w:t>
            </w:r>
          </w:p>
        </w:tc>
      </w:tr>
      <w:tr w14:paraId="49B0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B1CE9B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98" w:type="pct"/>
            <w:tcBorders>
              <w:top w:val="single" w:color="auto" w:sz="4" w:space="0"/>
              <w:left w:val="single" w:color="auto" w:sz="4" w:space="0"/>
              <w:bottom w:val="single" w:color="auto" w:sz="4" w:space="0"/>
              <w:right w:val="single" w:color="auto" w:sz="4" w:space="0"/>
            </w:tcBorders>
            <w:vAlign w:val="center"/>
          </w:tcPr>
          <w:p w14:paraId="5F3F0EF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14:paraId="112EBCE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浙江工业大学屏峰校区室外运动场改造工程</w:t>
            </w:r>
            <w:r>
              <w:rPr>
                <w:rFonts w:hint="eastAsia" w:ascii="仿宋" w:hAnsi="仿宋" w:eastAsia="仿宋" w:cs="宋体"/>
                <w:color w:val="auto"/>
                <w:sz w:val="24"/>
                <w:szCs w:val="24"/>
                <w:highlight w:val="none"/>
              </w:rPr>
              <w:t>，工程内容详见第四章采购内容及需求。</w:t>
            </w:r>
          </w:p>
          <w:p w14:paraId="4911BE3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lang w:val="en-US" w:eastAsia="zh-CN"/>
              </w:rPr>
              <w:t>110</w:t>
            </w:r>
            <w:r>
              <w:rPr>
                <w:rFonts w:hint="eastAsia" w:ascii="仿宋" w:hAnsi="仿宋" w:eastAsia="仿宋" w:cs="宋体"/>
                <w:color w:val="auto"/>
                <w:sz w:val="24"/>
                <w:szCs w:val="24"/>
                <w:highlight w:val="none"/>
              </w:rPr>
              <w:t>天（其中设计工期</w:t>
            </w: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天，施工工期</w:t>
            </w:r>
            <w:r>
              <w:rPr>
                <w:rFonts w:hint="eastAsia" w:ascii="仿宋" w:hAnsi="仿宋" w:eastAsia="仿宋" w:cs="宋体"/>
                <w:color w:val="auto"/>
                <w:sz w:val="24"/>
                <w:szCs w:val="24"/>
                <w:highlight w:val="none"/>
                <w:lang w:val="en-US" w:eastAsia="zh-CN"/>
              </w:rPr>
              <w:t>103</w:t>
            </w:r>
            <w:r>
              <w:rPr>
                <w:rFonts w:hint="eastAsia" w:ascii="仿宋" w:hAnsi="仿宋" w:eastAsia="仿宋" w:cs="宋体"/>
                <w:color w:val="auto"/>
                <w:sz w:val="24"/>
                <w:szCs w:val="24"/>
                <w:highlight w:val="none"/>
              </w:rPr>
              <w:t>天）；</w:t>
            </w:r>
          </w:p>
          <w:p w14:paraId="48BB04B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w:t>
            </w:r>
            <w:r>
              <w:rPr>
                <w:rFonts w:hint="eastAsia" w:ascii="仿宋" w:hAnsi="仿宋" w:eastAsia="仿宋" w:cs="宋体"/>
                <w:color w:val="auto"/>
                <w:sz w:val="24"/>
                <w:szCs w:val="24"/>
                <w:highlight w:val="none"/>
                <w:u w:val="single"/>
              </w:rPr>
              <w:t>不大于</w:t>
            </w:r>
            <w:r>
              <w:rPr>
                <w:rFonts w:hint="eastAsia" w:ascii="仿宋" w:hAnsi="仿宋" w:eastAsia="仿宋" w:cs="宋体"/>
                <w:color w:val="auto"/>
                <w:sz w:val="24"/>
                <w:szCs w:val="24"/>
                <w:highlight w:val="none"/>
                <w:u w:val="single"/>
                <w:lang w:val="en-US" w:eastAsia="zh-CN"/>
              </w:rPr>
              <w:t>110</w:t>
            </w:r>
            <w:r>
              <w:rPr>
                <w:rFonts w:hint="eastAsia" w:ascii="仿宋" w:hAnsi="仿宋" w:eastAsia="仿宋" w:cs="宋体"/>
                <w:color w:val="auto"/>
                <w:sz w:val="24"/>
                <w:szCs w:val="24"/>
                <w:highlight w:val="none"/>
                <w:u w:val="single"/>
              </w:rPr>
              <w:t>天（其中设计工期</w:t>
            </w:r>
            <w:r>
              <w:rPr>
                <w:rFonts w:hint="eastAsia" w:ascii="仿宋" w:hAnsi="仿宋" w:eastAsia="仿宋" w:cs="宋体"/>
                <w:color w:val="auto"/>
                <w:sz w:val="24"/>
                <w:szCs w:val="24"/>
                <w:highlight w:val="none"/>
                <w:u w:val="single"/>
                <w:lang w:val="en-US" w:eastAsia="zh-CN"/>
              </w:rPr>
              <w:t>7</w:t>
            </w:r>
            <w:r>
              <w:rPr>
                <w:rFonts w:hint="eastAsia" w:ascii="仿宋" w:hAnsi="仿宋" w:eastAsia="仿宋" w:cs="宋体"/>
                <w:color w:val="auto"/>
                <w:sz w:val="24"/>
                <w:szCs w:val="24"/>
                <w:highlight w:val="none"/>
                <w:u w:val="single"/>
              </w:rPr>
              <w:t>天，施工工期</w:t>
            </w:r>
            <w:r>
              <w:rPr>
                <w:rFonts w:hint="eastAsia" w:ascii="仿宋" w:hAnsi="仿宋" w:eastAsia="仿宋" w:cs="宋体"/>
                <w:color w:val="auto"/>
                <w:sz w:val="24"/>
                <w:szCs w:val="24"/>
                <w:highlight w:val="none"/>
                <w:u w:val="single"/>
                <w:lang w:val="en-US" w:eastAsia="zh-CN"/>
              </w:rPr>
              <w:t>103</w:t>
            </w:r>
            <w:r>
              <w:rPr>
                <w:rFonts w:hint="eastAsia" w:ascii="仿宋" w:hAnsi="仿宋" w:eastAsia="仿宋" w:cs="宋体"/>
                <w:color w:val="auto"/>
                <w:sz w:val="24"/>
                <w:szCs w:val="24"/>
                <w:highlight w:val="none"/>
                <w:u w:val="single"/>
              </w:rPr>
              <w:t>天）</w:t>
            </w:r>
            <w:r>
              <w:rPr>
                <w:rFonts w:hint="eastAsia" w:ascii="仿宋" w:hAnsi="仿宋" w:eastAsia="仿宋" w:cs="宋体"/>
                <w:color w:val="auto"/>
                <w:sz w:val="24"/>
                <w:szCs w:val="24"/>
                <w:highlight w:val="none"/>
              </w:rPr>
              <w:t>的最短合理工期，成交后，该磋商工期将作为合同工期。</w:t>
            </w:r>
          </w:p>
        </w:tc>
      </w:tr>
      <w:tr w14:paraId="75673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14C6F6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98" w:type="pct"/>
            <w:tcBorders>
              <w:top w:val="single" w:color="auto" w:sz="4" w:space="0"/>
              <w:left w:val="single" w:color="auto" w:sz="4" w:space="0"/>
              <w:bottom w:val="single" w:color="auto" w:sz="4" w:space="0"/>
              <w:right w:val="single" w:color="auto" w:sz="4" w:space="0"/>
            </w:tcBorders>
            <w:vAlign w:val="center"/>
          </w:tcPr>
          <w:p w14:paraId="0C59ECC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14:paraId="70DD508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w:t>
            </w:r>
            <w:r>
              <w:rPr>
                <w:rFonts w:hint="eastAsia" w:ascii="仿宋" w:hAnsi="仿宋" w:eastAsia="仿宋" w:cs="宋体"/>
                <w:b/>
                <w:color w:val="auto"/>
                <w:sz w:val="24"/>
                <w:szCs w:val="24"/>
                <w:highlight w:val="none"/>
                <w:u w:val="single"/>
                <w:lang w:eastAsia="zh-CN"/>
              </w:rPr>
              <w:t>1950</w:t>
            </w:r>
            <w:r>
              <w:rPr>
                <w:rFonts w:hint="eastAsia" w:ascii="仿宋" w:hAnsi="仿宋" w:eastAsia="仿宋" w:cs="宋体"/>
                <w:b/>
                <w:color w:val="auto"/>
                <w:sz w:val="24"/>
                <w:szCs w:val="24"/>
                <w:highlight w:val="none"/>
                <w:u w:val="single"/>
                <w:lang w:val="en-US" w:eastAsia="zh-CN"/>
              </w:rPr>
              <w:t>0</w:t>
            </w:r>
            <w:r>
              <w:rPr>
                <w:rFonts w:hint="eastAsia" w:ascii="仿宋" w:hAnsi="仿宋" w:eastAsia="仿宋" w:cs="宋体"/>
                <w:b/>
                <w:color w:val="auto"/>
                <w:sz w:val="24"/>
                <w:szCs w:val="24"/>
                <w:highlight w:val="none"/>
                <w:u w:val="single"/>
                <w:lang w:eastAsia="zh-CN"/>
              </w:rPr>
              <w:t>00</w:t>
            </w:r>
            <w:r>
              <w:rPr>
                <w:rFonts w:hint="eastAsia" w:ascii="仿宋" w:hAnsi="仿宋" w:eastAsia="仿宋" w:cs="宋体"/>
                <w:b/>
                <w:color w:val="auto"/>
                <w:sz w:val="24"/>
                <w:szCs w:val="24"/>
                <w:highlight w:val="none"/>
                <w:u w:val="single"/>
              </w:rPr>
              <w:t>元，其中设计费最高限价为人民币</w:t>
            </w:r>
            <w:r>
              <w:rPr>
                <w:rFonts w:hint="eastAsia" w:ascii="仿宋" w:hAnsi="仿宋" w:eastAsia="仿宋" w:cs="宋体"/>
                <w:b/>
                <w:color w:val="auto"/>
                <w:sz w:val="24"/>
                <w:szCs w:val="24"/>
                <w:highlight w:val="none"/>
                <w:u w:val="single"/>
                <w:lang w:eastAsia="zh-CN"/>
              </w:rPr>
              <w:t>70000</w:t>
            </w:r>
            <w:r>
              <w:rPr>
                <w:rFonts w:hint="eastAsia" w:ascii="仿宋" w:hAnsi="仿宋" w:eastAsia="仿宋" w:cs="宋体"/>
                <w:b/>
                <w:color w:val="auto"/>
                <w:sz w:val="24"/>
                <w:szCs w:val="24"/>
                <w:highlight w:val="none"/>
                <w:u w:val="single"/>
              </w:rPr>
              <w:t>元，报价如超过最高限价的，其响应文件无效</w:t>
            </w:r>
            <w:r>
              <w:rPr>
                <w:rFonts w:hint="eastAsia" w:ascii="仿宋" w:hAnsi="仿宋" w:eastAsia="仿宋" w:cs="宋体"/>
                <w:color w:val="auto"/>
                <w:sz w:val="24"/>
                <w:szCs w:val="24"/>
                <w:highlight w:val="none"/>
              </w:rPr>
              <w:t>。</w:t>
            </w:r>
          </w:p>
        </w:tc>
      </w:tr>
      <w:tr w14:paraId="37A8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4461E17">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98" w:type="pct"/>
            <w:tcBorders>
              <w:top w:val="single" w:color="auto" w:sz="4" w:space="0"/>
              <w:left w:val="single" w:color="auto" w:sz="4" w:space="0"/>
              <w:bottom w:val="single" w:color="auto" w:sz="4" w:space="0"/>
              <w:right w:val="single" w:color="auto" w:sz="4" w:space="0"/>
            </w:tcBorders>
            <w:vAlign w:val="center"/>
          </w:tcPr>
          <w:p w14:paraId="60FD0456">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14:paraId="659C48FB">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w:t>
            </w:r>
            <w:r>
              <w:rPr>
                <w:rFonts w:hint="eastAsia" w:ascii="仿宋" w:hAnsi="仿宋" w:eastAsia="仿宋" w:cs="Arial"/>
                <w:color w:val="auto"/>
                <w:sz w:val="24"/>
                <w:szCs w:val="24"/>
                <w:highlight w:val="none"/>
                <w:lang w:eastAsia="zh-CN"/>
              </w:rPr>
              <w:t>[2024]79912</w:t>
            </w:r>
            <w:r>
              <w:rPr>
                <w:rFonts w:hint="eastAsia" w:ascii="宋体" w:hAnsi="宋体" w:eastAsia="宋体" w:cs="宋体"/>
                <w:color w:val="auto"/>
                <w:sz w:val="24"/>
                <w:szCs w:val="24"/>
                <w:highlight w:val="none"/>
              </w:rPr>
              <w:t>）</w:t>
            </w:r>
          </w:p>
        </w:tc>
      </w:tr>
      <w:tr w14:paraId="52EE2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F1C8A7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98" w:type="pct"/>
            <w:tcBorders>
              <w:top w:val="single" w:color="auto" w:sz="4" w:space="0"/>
              <w:left w:val="single" w:color="auto" w:sz="4" w:space="0"/>
              <w:bottom w:val="single" w:color="auto" w:sz="4" w:space="0"/>
              <w:right w:val="single" w:color="auto" w:sz="4" w:space="0"/>
            </w:tcBorders>
            <w:vAlign w:val="center"/>
          </w:tcPr>
          <w:p w14:paraId="64F989B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2" w:type="pct"/>
            <w:tcBorders>
              <w:top w:val="single" w:color="auto" w:sz="4" w:space="0"/>
              <w:left w:val="single" w:color="auto" w:sz="4" w:space="0"/>
              <w:bottom w:val="single" w:color="auto" w:sz="4" w:space="0"/>
              <w:right w:val="single" w:color="auto" w:sz="4" w:space="0"/>
            </w:tcBorders>
            <w:vAlign w:val="center"/>
          </w:tcPr>
          <w:p w14:paraId="5424328D">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14:paraId="0BB4309B">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14:paraId="1AB95492">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Arial"/>
                <w:color w:val="auto"/>
                <w:sz w:val="24"/>
                <w:szCs w:val="24"/>
                <w:highlight w:val="none"/>
              </w:rPr>
              <w:t>联系人：</w:t>
            </w:r>
            <w:r>
              <w:rPr>
                <w:rFonts w:hint="eastAsia" w:ascii="仿宋" w:hAnsi="仿宋" w:eastAsia="仿宋" w:cs="宋体"/>
                <w:color w:val="auto"/>
                <w:spacing w:val="-4"/>
                <w:kern w:val="0"/>
                <w:sz w:val="24"/>
                <w:szCs w:val="24"/>
                <w:highlight w:val="none"/>
              </w:rPr>
              <w:t>孙老师、余老师</w:t>
            </w:r>
            <w:r>
              <w:rPr>
                <w:rFonts w:hint="eastAsia" w:ascii="仿宋" w:hAnsi="仿宋" w:eastAsia="仿宋" w:cs="Arial"/>
                <w:color w:val="auto"/>
                <w:sz w:val="24"/>
                <w:szCs w:val="24"/>
                <w:highlight w:val="none"/>
              </w:rPr>
              <w:t xml:space="preserve">   联系电话：</w:t>
            </w:r>
            <w:r>
              <w:rPr>
                <w:rFonts w:hint="eastAsia" w:ascii="仿宋" w:hAnsi="仿宋" w:eastAsia="仿宋" w:cs="仿宋"/>
                <w:color w:val="auto"/>
                <w:sz w:val="24"/>
                <w:szCs w:val="24"/>
                <w:highlight w:val="none"/>
              </w:rPr>
              <w:t>0571-88320055</w:t>
            </w:r>
          </w:p>
        </w:tc>
      </w:tr>
      <w:tr w14:paraId="2F183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5BEB42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98" w:type="pct"/>
            <w:tcBorders>
              <w:top w:val="single" w:color="auto" w:sz="4" w:space="0"/>
              <w:left w:val="single" w:color="auto" w:sz="4" w:space="0"/>
              <w:bottom w:val="single" w:color="auto" w:sz="4" w:space="0"/>
              <w:right w:val="single" w:color="auto" w:sz="4" w:space="0"/>
            </w:tcBorders>
            <w:vAlign w:val="center"/>
          </w:tcPr>
          <w:p w14:paraId="50118F96">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14:paraId="4CBE446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浙江豪圣建设项目管理有限公司</w:t>
            </w:r>
          </w:p>
          <w:p w14:paraId="3A533E98">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联系人：陈梦菲、曹剑斌、陈敏娇</w:t>
            </w:r>
          </w:p>
          <w:p w14:paraId="26952DE1">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14:paraId="440DD05A">
            <w:pPr>
              <w:autoSpaceDE w:val="0"/>
              <w:autoSpaceDN w:val="0"/>
              <w:snapToGrid w:val="0"/>
              <w:spacing w:line="276" w:lineRule="auto"/>
              <w:jc w:val="left"/>
              <w:rPr>
                <w:rFonts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电子邮箱：787629918@qq.com</w:t>
            </w:r>
          </w:p>
          <w:p w14:paraId="60FEEEB3">
            <w:pPr>
              <w:autoSpaceDE w:val="0"/>
              <w:autoSpaceDN w:val="0"/>
              <w:snapToGrid w:val="0"/>
              <w:spacing w:line="276" w:lineRule="auto"/>
              <w:jc w:val="left"/>
              <w:rPr>
                <w:rFonts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杭州市拱墅区大关路179号远洋国际中心A座17楼1706室</w:t>
            </w:r>
          </w:p>
        </w:tc>
      </w:tr>
      <w:tr w14:paraId="284C7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F5CC98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98" w:type="pct"/>
            <w:tcBorders>
              <w:top w:val="single" w:color="auto" w:sz="4" w:space="0"/>
              <w:left w:val="single" w:color="auto" w:sz="4" w:space="0"/>
              <w:bottom w:val="single" w:color="auto" w:sz="4" w:space="0"/>
              <w:right w:val="single" w:color="auto" w:sz="4" w:space="0"/>
            </w:tcBorders>
            <w:vAlign w:val="center"/>
          </w:tcPr>
          <w:p w14:paraId="35ABEA6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14:paraId="1F4B56C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宋体"/>
                <w:color w:val="auto"/>
                <w:sz w:val="24"/>
                <w:szCs w:val="24"/>
                <w:highlight w:val="none"/>
                <w:u w:val="single"/>
              </w:rPr>
              <w:t>http://zfcg.czt.zj.gov.cn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14:paraId="77AF4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909AC7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98" w:type="pct"/>
            <w:tcBorders>
              <w:top w:val="single" w:color="auto" w:sz="4" w:space="0"/>
              <w:left w:val="single" w:color="auto" w:sz="4" w:space="0"/>
              <w:bottom w:val="single" w:color="auto" w:sz="4" w:space="0"/>
              <w:right w:val="single" w:color="auto" w:sz="4" w:space="0"/>
            </w:tcBorders>
            <w:vAlign w:val="center"/>
          </w:tcPr>
          <w:p w14:paraId="2329FE4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14:paraId="1D0C308D">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14:paraId="705D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B38C9B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98" w:type="pct"/>
            <w:tcBorders>
              <w:top w:val="single" w:color="auto" w:sz="4" w:space="0"/>
              <w:left w:val="single" w:color="auto" w:sz="4" w:space="0"/>
              <w:bottom w:val="single" w:color="auto" w:sz="4" w:space="0"/>
              <w:right w:val="single" w:color="auto" w:sz="4" w:space="0"/>
            </w:tcBorders>
            <w:vAlign w:val="center"/>
          </w:tcPr>
          <w:p w14:paraId="6C9E9FE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14:paraId="1C68825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宋体"/>
                <w:color w:val="auto"/>
                <w:sz w:val="24"/>
                <w:szCs w:val="24"/>
                <w:highlight w:val="none"/>
                <w:u w:val="single"/>
              </w:rPr>
              <w:t>www.zcygov.cn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14:paraId="31602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AB0B40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98" w:type="pct"/>
            <w:tcBorders>
              <w:top w:val="single" w:color="auto" w:sz="4" w:space="0"/>
              <w:left w:val="single" w:color="auto" w:sz="4" w:space="0"/>
              <w:bottom w:val="single" w:color="auto" w:sz="4" w:space="0"/>
              <w:right w:val="single" w:color="auto" w:sz="4" w:space="0"/>
            </w:tcBorders>
            <w:vAlign w:val="center"/>
          </w:tcPr>
          <w:p w14:paraId="47F6C250">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14:paraId="60894E21">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14:paraId="0E872461">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（1）本次采购为非专门面向中小企业的采购项目；</w:t>
            </w:r>
          </w:p>
          <w:p w14:paraId="718B4F4A">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86DB09D">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eastAsia="zh-CN" w:bidi="ar"/>
              </w:rPr>
              <w:t>浙江工业大学屏峰校区室外运动场改造工程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14:paraId="731D2BB5">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14:paraId="4122B331">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14:paraId="6B414321">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14:paraId="41B92B25">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（6）承接的工程由中小企业承建（包括联合体内的中小企业和接受分包的中小企业）的，供应商应当出具《中小企业声明函》；</w:t>
            </w:r>
          </w:p>
          <w:p w14:paraId="77B9027B">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（7）残疾人福利性单位视同小微企业。残疾人福利性单位参加政府采购活动时，应当提供《残疾人福利性单位声明函》；</w:t>
            </w:r>
          </w:p>
          <w:p w14:paraId="0FA112EF">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（8）监狱企业视同小微企业。监狱企业参加政府采购活动时，应当出具省级以上监狱管理局、戒毒管理局（含新疆生产建设兵团）提供的属于监狱企业的证明文件。</w:t>
            </w:r>
          </w:p>
        </w:tc>
      </w:tr>
      <w:tr w14:paraId="4D16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058CBE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98" w:type="pct"/>
            <w:tcBorders>
              <w:top w:val="single" w:color="auto" w:sz="4" w:space="0"/>
              <w:left w:val="single" w:color="auto" w:sz="4" w:space="0"/>
              <w:bottom w:val="single" w:color="auto" w:sz="4" w:space="0"/>
              <w:right w:val="single" w:color="auto" w:sz="4" w:space="0"/>
            </w:tcBorders>
            <w:vAlign w:val="center"/>
          </w:tcPr>
          <w:p w14:paraId="79926867">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14:paraId="00BC2651">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14:paraId="055AE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7C40EF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98" w:type="pct"/>
            <w:tcBorders>
              <w:top w:val="single" w:color="auto" w:sz="4" w:space="0"/>
              <w:left w:val="single" w:color="auto" w:sz="4" w:space="0"/>
              <w:bottom w:val="single" w:color="auto" w:sz="4" w:space="0"/>
              <w:right w:val="single" w:color="auto" w:sz="4" w:space="0"/>
            </w:tcBorders>
            <w:vAlign w:val="center"/>
          </w:tcPr>
          <w:p w14:paraId="377F365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2" w:type="pct"/>
            <w:tcBorders>
              <w:top w:val="single" w:color="auto" w:sz="4" w:space="0"/>
              <w:left w:val="single" w:color="auto" w:sz="4" w:space="0"/>
              <w:bottom w:val="single" w:color="auto" w:sz="4" w:space="0"/>
              <w:right w:val="single" w:color="auto" w:sz="4" w:space="0"/>
            </w:tcBorders>
            <w:vAlign w:val="center"/>
          </w:tcPr>
          <w:p w14:paraId="265426A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14:paraId="11FEC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A7005E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98" w:type="pct"/>
            <w:tcBorders>
              <w:top w:val="single" w:color="auto" w:sz="4" w:space="0"/>
              <w:left w:val="single" w:color="auto" w:sz="4" w:space="0"/>
              <w:bottom w:val="single" w:color="auto" w:sz="4" w:space="0"/>
              <w:right w:val="single" w:color="auto" w:sz="4" w:space="0"/>
            </w:tcBorders>
            <w:vAlign w:val="center"/>
          </w:tcPr>
          <w:p w14:paraId="069F1D14">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2" w:type="pct"/>
            <w:tcBorders>
              <w:top w:val="single" w:color="auto" w:sz="4" w:space="0"/>
              <w:left w:val="single" w:color="auto" w:sz="4" w:space="0"/>
              <w:bottom w:val="single" w:color="auto" w:sz="4" w:space="0"/>
              <w:right w:val="single" w:color="auto" w:sz="4" w:space="0"/>
            </w:tcBorders>
            <w:vAlign w:val="center"/>
          </w:tcPr>
          <w:p w14:paraId="212B378C">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rPr>
              <w:t>垃圾清运</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5507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53C912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98" w:type="pct"/>
            <w:tcBorders>
              <w:top w:val="single" w:color="auto" w:sz="4" w:space="0"/>
              <w:left w:val="single" w:color="auto" w:sz="4" w:space="0"/>
              <w:bottom w:val="single" w:color="auto" w:sz="4" w:space="0"/>
              <w:right w:val="single" w:color="auto" w:sz="4" w:space="0"/>
            </w:tcBorders>
            <w:vAlign w:val="center"/>
          </w:tcPr>
          <w:p w14:paraId="2F9A4AF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2" w:type="pct"/>
            <w:tcBorders>
              <w:top w:val="single" w:color="auto" w:sz="4" w:space="0"/>
              <w:left w:val="single" w:color="auto" w:sz="4" w:space="0"/>
              <w:bottom w:val="single" w:color="auto" w:sz="4" w:space="0"/>
              <w:right w:val="single" w:color="auto" w:sz="4" w:space="0"/>
            </w:tcBorders>
            <w:vAlign w:val="center"/>
          </w:tcPr>
          <w:p w14:paraId="4D3A6A27">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14:paraId="6148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14:paraId="0EC2352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98" w:type="pct"/>
            <w:tcBorders>
              <w:top w:val="single" w:color="auto" w:sz="4" w:space="0"/>
              <w:left w:val="single" w:color="auto" w:sz="4" w:space="0"/>
              <w:bottom w:val="single" w:color="auto" w:sz="4" w:space="0"/>
              <w:right w:val="single" w:color="auto" w:sz="4" w:space="0"/>
            </w:tcBorders>
            <w:vAlign w:val="center"/>
          </w:tcPr>
          <w:p w14:paraId="4B7DE24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2" w:type="pct"/>
            <w:tcBorders>
              <w:top w:val="single" w:color="auto" w:sz="4" w:space="0"/>
              <w:left w:val="single" w:color="auto" w:sz="4" w:space="0"/>
              <w:bottom w:val="single" w:color="auto" w:sz="4" w:space="0"/>
              <w:right w:val="single" w:color="auto" w:sz="4" w:space="0"/>
            </w:tcBorders>
            <w:vAlign w:val="center"/>
          </w:tcPr>
          <w:p w14:paraId="375F623D">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14:paraId="3B061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8A8AD6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98" w:type="pct"/>
            <w:tcBorders>
              <w:top w:val="single" w:color="auto" w:sz="4" w:space="0"/>
              <w:left w:val="single" w:color="auto" w:sz="4" w:space="0"/>
              <w:bottom w:val="single" w:color="auto" w:sz="4" w:space="0"/>
              <w:right w:val="single" w:color="auto" w:sz="4" w:space="0"/>
            </w:tcBorders>
            <w:vAlign w:val="center"/>
          </w:tcPr>
          <w:p w14:paraId="3A11E60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14:paraId="5BB31DB8">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14:paraId="01880100">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14:paraId="599B18B7">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14:paraId="2E101BC5">
            <w:pPr>
              <w:autoSpaceDN w:val="0"/>
              <w:adjustRightInd w:val="0"/>
              <w:snapToGrid w:val="0"/>
              <w:spacing w:line="360" w:lineRule="auto"/>
              <w:rPr>
                <w:rFonts w:ascii="仿宋" w:hAnsi="仿宋" w:eastAsia="仿宋" w:cs="宋体"/>
                <w:color w:val="auto"/>
                <w:sz w:val="24"/>
                <w:szCs w:val="24"/>
                <w:highlight w:val="none"/>
              </w:rPr>
            </w:pPr>
            <w:r>
              <w:rPr>
                <w:rFonts w:ascii="仿宋" w:hAnsi="仿宋" w:eastAsia="仿宋" w:cs="Arial"/>
                <w:b/>
                <w:color w:val="auto"/>
                <w:sz w:val="24"/>
                <w:szCs w:val="24"/>
                <w:highlight w:val="none"/>
              </w:rPr>
              <w:t>踏勘联系人：</w:t>
            </w:r>
            <w:r>
              <w:rPr>
                <w:rFonts w:hint="eastAsia" w:ascii="仿宋" w:hAnsi="仿宋" w:eastAsia="仿宋" w:cs="Arial"/>
                <w:color w:val="auto"/>
                <w:sz w:val="24"/>
                <w:szCs w:val="24"/>
                <w:highlight w:val="none"/>
              </w:rPr>
              <w:t xml:space="preserve">金老师 </w:t>
            </w:r>
            <w:r>
              <w:rPr>
                <w:rFonts w:ascii="仿宋" w:hAnsi="仿宋" w:eastAsia="仿宋" w:cs="Arial"/>
                <w:b/>
                <w:color w:val="auto"/>
                <w:sz w:val="24"/>
                <w:szCs w:val="24"/>
                <w:highlight w:val="none"/>
              </w:rPr>
              <w:t xml:space="preserve"> 联系电话：</w:t>
            </w:r>
            <w:r>
              <w:rPr>
                <w:rFonts w:hint="eastAsia" w:ascii="仿宋" w:hAnsi="仿宋" w:eastAsia="仿宋" w:cs="Arial"/>
                <w:color w:val="auto"/>
                <w:sz w:val="24"/>
                <w:szCs w:val="24"/>
                <w:highlight w:val="none"/>
              </w:rPr>
              <w:t>0571-85290268</w:t>
            </w:r>
          </w:p>
        </w:tc>
      </w:tr>
      <w:tr w14:paraId="09CDC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424207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98" w:type="pct"/>
            <w:tcBorders>
              <w:top w:val="single" w:color="auto" w:sz="4" w:space="0"/>
              <w:left w:val="single" w:color="auto" w:sz="4" w:space="0"/>
              <w:bottom w:val="single" w:color="auto" w:sz="4" w:space="0"/>
              <w:right w:val="single" w:color="auto" w:sz="4" w:space="0"/>
            </w:tcBorders>
            <w:vAlign w:val="center"/>
          </w:tcPr>
          <w:p w14:paraId="28FFAC2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14:paraId="737C7CD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14:paraId="4B4B9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7254B9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98" w:type="pct"/>
            <w:tcBorders>
              <w:top w:val="single" w:color="auto" w:sz="4" w:space="0"/>
              <w:left w:val="single" w:color="auto" w:sz="4" w:space="0"/>
              <w:bottom w:val="single" w:color="auto" w:sz="4" w:space="0"/>
              <w:right w:val="single" w:color="auto" w:sz="4" w:space="0"/>
            </w:tcBorders>
            <w:vAlign w:val="center"/>
          </w:tcPr>
          <w:p w14:paraId="2CD106B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2" w:type="pct"/>
            <w:tcBorders>
              <w:top w:val="single" w:color="auto" w:sz="4" w:space="0"/>
              <w:left w:val="single" w:color="auto" w:sz="4" w:space="0"/>
              <w:bottom w:val="single" w:color="auto" w:sz="4" w:space="0"/>
              <w:right w:val="single" w:color="auto" w:sz="4" w:space="0"/>
            </w:tcBorders>
          </w:tcPr>
          <w:p w14:paraId="69FA884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14:paraId="2C039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DE677A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98" w:type="pct"/>
            <w:tcBorders>
              <w:top w:val="single" w:color="auto" w:sz="4" w:space="0"/>
              <w:left w:val="single" w:color="auto" w:sz="4" w:space="0"/>
              <w:bottom w:val="single" w:color="auto" w:sz="4" w:space="0"/>
              <w:right w:val="single" w:color="auto" w:sz="4" w:space="0"/>
            </w:tcBorders>
            <w:vAlign w:val="center"/>
          </w:tcPr>
          <w:p w14:paraId="7D89B27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14:paraId="2691374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14:paraId="2E9A1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12C7D9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98" w:type="pct"/>
            <w:tcBorders>
              <w:top w:val="single" w:color="auto" w:sz="4" w:space="0"/>
              <w:left w:val="single" w:color="auto" w:sz="4" w:space="0"/>
              <w:bottom w:val="single" w:color="auto" w:sz="4" w:space="0"/>
              <w:right w:val="single" w:color="auto" w:sz="4" w:space="0"/>
            </w:tcBorders>
            <w:vAlign w:val="center"/>
          </w:tcPr>
          <w:p w14:paraId="42DAAC3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14:paraId="5A0ED50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14:paraId="060FA68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14:paraId="2174E80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3.本工程采用固定总价包干方式承包。除根据合同约定的在工程实施过程中需进行增减的款项外，合同价格不作调整。最终竣工结算价（合同总价）以审计审定的竣工结算价为准。</w:t>
            </w:r>
          </w:p>
          <w:p w14:paraId="1CF643F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14:paraId="67CEA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7B2725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14:paraId="43D8EDE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14:paraId="742BE4F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14:paraId="52FC22C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14:paraId="2DCF5C7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14:paraId="071A830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14:paraId="1F21F99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14:paraId="7571D3D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14:paraId="2AD9278A">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14:paraId="4A8A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F13D35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14:paraId="36A0BD8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14:paraId="4F92B72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14:paraId="6EA9B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94C48A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98" w:type="pct"/>
            <w:tcBorders>
              <w:top w:val="single" w:color="auto" w:sz="4" w:space="0"/>
              <w:left w:val="single" w:color="auto" w:sz="4" w:space="0"/>
              <w:bottom w:val="single" w:color="auto" w:sz="4" w:space="0"/>
              <w:right w:val="single" w:color="auto" w:sz="4" w:space="0"/>
            </w:tcBorders>
            <w:vAlign w:val="center"/>
          </w:tcPr>
          <w:p w14:paraId="3E8C1A1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14:paraId="1FD2B68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14:paraId="71B0693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14:paraId="17C295C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14:paraId="1EF9429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14:paraId="5B7D983D">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14:paraId="7C464B20">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14:paraId="2FBD0B3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14:paraId="0263980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14:paraId="41CCA2C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14:paraId="628DA2C1">
            <w:pPr>
              <w:autoSpaceDN w:val="0"/>
              <w:snapToGrid w:val="0"/>
              <w:spacing w:line="276"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（5）收件人：陈梦菲  电话：</w:t>
            </w:r>
            <w:r>
              <w:rPr>
                <w:rFonts w:hint="eastAsia" w:ascii="仿宋" w:hAnsi="仿宋" w:eastAsia="仿宋" w:cs="Arial"/>
                <w:color w:val="auto"/>
                <w:sz w:val="24"/>
                <w:szCs w:val="24"/>
                <w:highlight w:val="none"/>
              </w:rPr>
              <w:t>0571-87981527</w:t>
            </w:r>
            <w:r>
              <w:rPr>
                <w:rFonts w:hint="eastAsia" w:ascii="仿宋" w:hAnsi="仿宋" w:eastAsia="仿宋" w:cs="宋体"/>
                <w:color w:val="auto"/>
                <w:kern w:val="0"/>
                <w:sz w:val="24"/>
                <w:szCs w:val="24"/>
                <w:highlight w:val="none"/>
              </w:rPr>
              <w:t>，收件地址：杭州市拱墅区大关路179号远洋国际中心A座17楼1706室</w:t>
            </w:r>
          </w:p>
        </w:tc>
      </w:tr>
      <w:tr w14:paraId="72A7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0DC721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98" w:type="pct"/>
            <w:tcBorders>
              <w:top w:val="single" w:color="auto" w:sz="4" w:space="0"/>
              <w:left w:val="single" w:color="auto" w:sz="4" w:space="0"/>
              <w:bottom w:val="single" w:color="auto" w:sz="4" w:space="0"/>
              <w:right w:val="single" w:color="auto" w:sz="4" w:space="0"/>
            </w:tcBorders>
            <w:vAlign w:val="center"/>
          </w:tcPr>
          <w:p w14:paraId="2412144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14:paraId="64A1CB67">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12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10</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14:paraId="2E05164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14:paraId="1435957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14:paraId="66B2C120">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浙江豪圣建设项目管理有限公司（杭州市拱墅区大关路179号远洋国际中心A座17楼1706室）</w:t>
            </w:r>
          </w:p>
        </w:tc>
      </w:tr>
      <w:tr w14:paraId="781EF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E76805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98" w:type="pct"/>
            <w:tcBorders>
              <w:top w:val="single" w:color="auto" w:sz="4" w:space="0"/>
              <w:left w:val="single" w:color="auto" w:sz="4" w:space="0"/>
              <w:bottom w:val="single" w:color="auto" w:sz="4" w:space="0"/>
              <w:right w:val="single" w:color="auto" w:sz="4" w:space="0"/>
            </w:tcBorders>
            <w:vAlign w:val="center"/>
          </w:tcPr>
          <w:p w14:paraId="13277ED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14:paraId="6D3934F9">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12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10</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14:paraId="46B229DF">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u w:val="single"/>
              </w:rPr>
              <w:fldChar w:fldCharType="end"/>
            </w:r>
          </w:p>
          <w:p w14:paraId="3BFD1BC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14:paraId="291DC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770979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98" w:type="pct"/>
            <w:tcBorders>
              <w:top w:val="single" w:color="auto" w:sz="4" w:space="0"/>
              <w:left w:val="single" w:color="auto" w:sz="4" w:space="0"/>
              <w:bottom w:val="single" w:color="auto" w:sz="4" w:space="0"/>
              <w:right w:val="single" w:color="auto" w:sz="4" w:space="0"/>
            </w:tcBorders>
            <w:vAlign w:val="center"/>
          </w:tcPr>
          <w:p w14:paraId="157476D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14:paraId="2FFEE62D">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14:paraId="60D1134E">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14:paraId="4FDE71B3">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14:paraId="23BCBC1E">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1A89877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14:paraId="650CF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6FDB30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98" w:type="pct"/>
            <w:tcBorders>
              <w:top w:val="single" w:color="auto" w:sz="4" w:space="0"/>
              <w:left w:val="single" w:color="auto" w:sz="4" w:space="0"/>
              <w:bottom w:val="single" w:color="auto" w:sz="4" w:space="0"/>
              <w:right w:val="single" w:color="auto" w:sz="4" w:space="0"/>
            </w:tcBorders>
            <w:vAlign w:val="center"/>
          </w:tcPr>
          <w:p w14:paraId="7DC99C0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14:paraId="3A72E6CC">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14:paraId="1E54C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CE67C1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98" w:type="pct"/>
            <w:tcBorders>
              <w:top w:val="single" w:color="auto" w:sz="4" w:space="0"/>
              <w:left w:val="single" w:color="auto" w:sz="4" w:space="0"/>
              <w:bottom w:val="single" w:color="auto" w:sz="4" w:space="0"/>
              <w:right w:val="single" w:color="auto" w:sz="4" w:space="0"/>
            </w:tcBorders>
            <w:vAlign w:val="center"/>
          </w:tcPr>
          <w:p w14:paraId="7132A11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14:paraId="3E5A03E9">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14:paraId="1EA07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5C314C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98" w:type="pct"/>
            <w:tcBorders>
              <w:top w:val="single" w:color="auto" w:sz="4" w:space="0"/>
              <w:left w:val="single" w:color="auto" w:sz="4" w:space="0"/>
              <w:bottom w:val="single" w:color="auto" w:sz="4" w:space="0"/>
              <w:right w:val="single" w:color="auto" w:sz="4" w:space="0"/>
            </w:tcBorders>
            <w:vAlign w:val="center"/>
          </w:tcPr>
          <w:p w14:paraId="1800277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2" w:type="pct"/>
            <w:tcBorders>
              <w:top w:val="single" w:color="auto" w:sz="4" w:space="0"/>
              <w:left w:val="single" w:color="auto" w:sz="4" w:space="0"/>
              <w:bottom w:val="single" w:color="auto" w:sz="4" w:space="0"/>
              <w:right w:val="single" w:color="auto" w:sz="4" w:space="0"/>
            </w:tcBorders>
            <w:vAlign w:val="center"/>
          </w:tcPr>
          <w:p w14:paraId="58F7345B">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14:paraId="69236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D837D4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98" w:type="pct"/>
            <w:tcBorders>
              <w:top w:val="single" w:color="auto" w:sz="4" w:space="0"/>
              <w:left w:val="single" w:color="auto" w:sz="4" w:space="0"/>
              <w:bottom w:val="single" w:color="auto" w:sz="4" w:space="0"/>
              <w:right w:val="single" w:color="auto" w:sz="4" w:space="0"/>
            </w:tcBorders>
            <w:vAlign w:val="center"/>
          </w:tcPr>
          <w:p w14:paraId="0869124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14:paraId="41EF5508">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14:paraId="159DFDEF">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14:paraId="0843C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F44933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98" w:type="pct"/>
            <w:tcBorders>
              <w:top w:val="single" w:color="auto" w:sz="4" w:space="0"/>
              <w:left w:val="single" w:color="auto" w:sz="4" w:space="0"/>
              <w:bottom w:val="single" w:color="auto" w:sz="4" w:space="0"/>
              <w:right w:val="single" w:color="auto" w:sz="4" w:space="0"/>
            </w:tcBorders>
            <w:vAlign w:val="center"/>
          </w:tcPr>
          <w:p w14:paraId="54D0C42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14:paraId="6800F855">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14:paraId="30AAC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B27914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1298" w:type="pct"/>
            <w:tcBorders>
              <w:top w:val="single" w:color="auto" w:sz="4" w:space="0"/>
              <w:left w:val="single" w:color="auto" w:sz="4" w:space="0"/>
              <w:bottom w:val="single" w:color="auto" w:sz="4" w:space="0"/>
              <w:right w:val="single" w:color="auto" w:sz="4" w:space="0"/>
            </w:tcBorders>
            <w:vAlign w:val="center"/>
          </w:tcPr>
          <w:p w14:paraId="27FC867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14:paraId="1DBF55E1">
            <w:pPr>
              <w:autoSpaceDN w:val="0"/>
              <w:snapToGrid w:val="0"/>
              <w:spacing w:line="276"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投标人在投标总报价中综合考虑。</w:t>
            </w:r>
          </w:p>
          <w:p w14:paraId="504E59A0">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中标供应商应当自</w:t>
            </w:r>
            <w:r>
              <w:rPr>
                <w:rFonts w:hint="eastAsia" w:ascii="仿宋" w:hAnsi="仿宋" w:eastAsia="仿宋" w:cs="Arial"/>
                <w:color w:val="auto"/>
                <w:kern w:val="0"/>
                <w:sz w:val="24"/>
                <w:highlight w:val="none"/>
              </w:rPr>
              <w:t>成交供应商确定后7日内</w:t>
            </w:r>
            <w:r>
              <w:rPr>
                <w:rFonts w:hint="eastAsia" w:ascii="仿宋" w:hAnsi="仿宋" w:eastAsia="仿宋" w:cs="宋体"/>
                <w:color w:val="auto"/>
                <w:sz w:val="24"/>
                <w:szCs w:val="24"/>
                <w:highlight w:val="none"/>
              </w:rPr>
              <w:t>一次性向采购代理机构支付代理服务费，并在响应文件中出具代理服务费支付承诺书（格式见第六章）。</w:t>
            </w:r>
          </w:p>
          <w:p w14:paraId="68D13480">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2、代理服务费支付：</w:t>
            </w:r>
          </w:p>
          <w:p w14:paraId="3CD8097D">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 代理服务费缴纳形式：汇票/支票/电汇/现金</w:t>
            </w:r>
          </w:p>
          <w:p w14:paraId="46F0C4F8">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 代理服务费汇入以下账户 ：</w:t>
            </w:r>
          </w:p>
          <w:p w14:paraId="1DC13FA7">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收款单位（户名）：浙江豪圣建设项目管理有限公司</w:t>
            </w:r>
          </w:p>
          <w:p w14:paraId="19B3B02E">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  户：上海浦东发展银行股份有限公司杭州和睦支行</w:t>
            </w:r>
          </w:p>
          <w:p w14:paraId="1D7A8544">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账  号：95160154800000653</w:t>
            </w:r>
          </w:p>
          <w:p w14:paraId="00575028">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3、增值税发票开票资料：单位名称、税号（统一社会信用代码）、开户行名称、账号、地址及联系电话。</w:t>
            </w:r>
          </w:p>
        </w:tc>
      </w:tr>
      <w:tr w14:paraId="5815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2E72CA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1298" w:type="pct"/>
            <w:tcBorders>
              <w:top w:val="single" w:color="auto" w:sz="4" w:space="0"/>
              <w:left w:val="single" w:color="auto" w:sz="4" w:space="0"/>
              <w:bottom w:val="single" w:color="auto" w:sz="4" w:space="0"/>
              <w:right w:val="single" w:color="auto" w:sz="4" w:space="0"/>
            </w:tcBorders>
            <w:vAlign w:val="center"/>
          </w:tcPr>
          <w:p w14:paraId="19A80CE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14:paraId="5F02FF42">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14:paraId="110779EB">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14:paraId="66DCF845">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1、金额为合同金额的</w:t>
            </w: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w:t>
            </w:r>
          </w:p>
          <w:p w14:paraId="462D6F58">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收到采购人发出的签订合同要约后7天内</w:t>
            </w:r>
            <w:r>
              <w:rPr>
                <w:rFonts w:ascii="仿宋" w:hAnsi="仿宋" w:eastAsia="仿宋" w:cs="宋体"/>
                <w:color w:val="auto"/>
                <w:sz w:val="24"/>
                <w:szCs w:val="24"/>
                <w:highlight w:val="none"/>
              </w:rPr>
              <w:t>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14:paraId="216EE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66844F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1298" w:type="pct"/>
            <w:tcBorders>
              <w:top w:val="single" w:color="auto" w:sz="4" w:space="0"/>
              <w:left w:val="single" w:color="auto" w:sz="4" w:space="0"/>
              <w:bottom w:val="single" w:color="auto" w:sz="4" w:space="0"/>
              <w:right w:val="single" w:color="auto" w:sz="4" w:space="0"/>
            </w:tcBorders>
            <w:vAlign w:val="center"/>
          </w:tcPr>
          <w:p w14:paraId="2929A027">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14:paraId="3CF1C066">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14:paraId="28F16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698B62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1298" w:type="pct"/>
            <w:tcBorders>
              <w:top w:val="single" w:color="auto" w:sz="4" w:space="0"/>
              <w:left w:val="single" w:color="auto" w:sz="4" w:space="0"/>
              <w:bottom w:val="single" w:color="auto" w:sz="4" w:space="0"/>
              <w:right w:val="single" w:color="auto" w:sz="4" w:space="0"/>
            </w:tcBorders>
            <w:vAlign w:val="center"/>
          </w:tcPr>
          <w:p w14:paraId="1B9045F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14:paraId="08D9DC9F">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审定价的1.5%，按《工程质量保修书》的有关规定退还。</w:t>
            </w:r>
          </w:p>
        </w:tc>
      </w:tr>
      <w:tr w14:paraId="13B45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10FC62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36</w:t>
            </w:r>
          </w:p>
        </w:tc>
        <w:tc>
          <w:tcPr>
            <w:tcW w:w="1298" w:type="pct"/>
            <w:tcBorders>
              <w:top w:val="single" w:color="auto" w:sz="4" w:space="0"/>
              <w:left w:val="single" w:color="auto" w:sz="4" w:space="0"/>
              <w:bottom w:val="single" w:color="auto" w:sz="4" w:space="0"/>
              <w:right w:val="single" w:color="auto" w:sz="4" w:space="0"/>
            </w:tcBorders>
            <w:vAlign w:val="center"/>
          </w:tcPr>
          <w:p w14:paraId="653148A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14:paraId="2EBC9532">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施工水电费按工程竣工结算审定价的0.5％计算，在结算审定款中直接扣除。</w:t>
            </w:r>
          </w:p>
        </w:tc>
      </w:tr>
      <w:tr w14:paraId="00341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9379F3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w:t>
            </w:r>
          </w:p>
        </w:tc>
        <w:tc>
          <w:tcPr>
            <w:tcW w:w="1298" w:type="pct"/>
            <w:tcBorders>
              <w:top w:val="single" w:color="auto" w:sz="4" w:space="0"/>
              <w:left w:val="single" w:color="auto" w:sz="4" w:space="0"/>
              <w:bottom w:val="single" w:color="auto" w:sz="4" w:space="0"/>
              <w:right w:val="single" w:color="auto" w:sz="4" w:space="0"/>
            </w:tcBorders>
            <w:vAlign w:val="center"/>
          </w:tcPr>
          <w:p w14:paraId="35E3CE15">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14:paraId="7F65D1F1">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14:paraId="03C86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8FD4F4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38</w:t>
            </w:r>
          </w:p>
        </w:tc>
        <w:tc>
          <w:tcPr>
            <w:tcW w:w="1298" w:type="pct"/>
            <w:tcBorders>
              <w:top w:val="single" w:color="auto" w:sz="4" w:space="0"/>
              <w:left w:val="single" w:color="auto" w:sz="4" w:space="0"/>
              <w:bottom w:val="single" w:color="auto" w:sz="4" w:space="0"/>
              <w:right w:val="single" w:color="auto" w:sz="4" w:space="0"/>
            </w:tcBorders>
            <w:vAlign w:val="center"/>
          </w:tcPr>
          <w:p w14:paraId="58D84D49">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14:paraId="7D19CB99">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14:paraId="61A4A3DE">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042F5C16">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14:paraId="27EC62B4">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32935B66">
            <w:pPr>
              <w:autoSpaceDE w:val="0"/>
              <w:autoSpaceDN w:val="0"/>
              <w:snapToGrid w:val="0"/>
              <w:spacing w:line="276" w:lineRule="auto"/>
              <w:textAlignment w:val="bottom"/>
              <w:rPr>
                <w:rFonts w:ascii="仿宋" w:hAnsi="仿宋" w:eastAsia="仿宋" w:cs="Times New Roman"/>
                <w:b/>
                <w:bCs/>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p w14:paraId="5A2620E2">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Times New Roman"/>
                <w:b/>
                <w:bCs/>
                <w:color w:val="auto"/>
                <w:sz w:val="24"/>
                <w:szCs w:val="24"/>
                <w:highlight w:val="none"/>
              </w:rPr>
              <w:t>▲（6）</w:t>
            </w:r>
            <w:r>
              <w:rPr>
                <w:rFonts w:hint="eastAsia" w:ascii="仿宋" w:hAnsi="仿宋" w:eastAsia="仿宋" w:cs="Times New Roman"/>
                <w:b/>
                <w:bCs/>
                <w:color w:val="auto"/>
                <w:sz w:val="24"/>
                <w:szCs w:val="24"/>
                <w:highlight w:val="none"/>
                <w:lang w:val="en-US" w:eastAsia="zh-CN"/>
              </w:rPr>
              <w:t>参与同一标段(包) 的投标人(供应商) 存在 MAC地址相同、计算机硬盘序列号相同、响应文件细节错误一致且无合理解释、供应商手机号相同等情形的，其响应文件无效。</w:t>
            </w:r>
          </w:p>
        </w:tc>
      </w:tr>
    </w:tbl>
    <w:p w14:paraId="3B12E57F">
      <w:pPr>
        <w:autoSpaceDN w:val="0"/>
        <w:snapToGrid w:val="0"/>
        <w:spacing w:line="360" w:lineRule="auto"/>
        <w:rPr>
          <w:rFonts w:ascii="仿宋" w:hAnsi="仿宋" w:eastAsia="仿宋" w:cs="宋体"/>
          <w:color w:val="auto"/>
          <w:sz w:val="24"/>
          <w:szCs w:val="24"/>
          <w:highlight w:val="none"/>
        </w:rPr>
      </w:pPr>
    </w:p>
    <w:p w14:paraId="5EFAFF0B">
      <w:pPr>
        <w:rPr>
          <w:rFonts w:ascii="Times New Roman" w:hAnsi="仿宋" w:eastAsia="仿宋" w:cs="Times New Roman"/>
          <w:b/>
          <w:bCs/>
          <w:color w:val="auto"/>
          <w:sz w:val="28"/>
          <w:szCs w:val="28"/>
          <w:highlight w:val="none"/>
        </w:rPr>
      </w:pPr>
      <w:bookmarkStart w:id="37" w:name="_Toc82338239"/>
      <w:bookmarkStart w:id="38" w:name="_Toc82873322"/>
      <w:bookmarkStart w:id="39" w:name="_Toc96947060"/>
      <w:r>
        <w:rPr>
          <w:rFonts w:hint="eastAsia" w:ascii="Times New Roman" w:hAnsi="仿宋" w:eastAsia="仿宋" w:cs="Times New Roman"/>
          <w:b/>
          <w:bCs/>
          <w:color w:val="auto"/>
          <w:sz w:val="28"/>
          <w:szCs w:val="28"/>
          <w:highlight w:val="none"/>
        </w:rPr>
        <w:br w:type="page"/>
      </w:r>
    </w:p>
    <w:p w14:paraId="5E1734E4">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14:paraId="3B54FE3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41" w:name="_Toc82338240"/>
      <w:bookmarkStart w:id="42" w:name="_Toc82873323"/>
      <w:r>
        <w:rPr>
          <w:rFonts w:hint="eastAsia" w:ascii="仿宋" w:hAnsi="仿宋" w:eastAsia="仿宋" w:cs="Times New Roman"/>
          <w:b/>
          <w:bCs/>
          <w:color w:val="auto"/>
          <w:sz w:val="24"/>
          <w:szCs w:val="32"/>
          <w:highlight w:val="none"/>
        </w:rPr>
        <w:t>1.1、实施依据及适用范围</w:t>
      </w:r>
    </w:p>
    <w:p w14:paraId="46AA948C">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19119AA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浙江工业大学屏峰校区室外运动场改造工程</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HSZB-2024-1155</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14:paraId="5366995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14:paraId="22155994">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81A345F">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1057DD6F">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15D6924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63B6E5B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A988116">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479D2BB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3A3F083">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34EBF48">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F0D2A5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14:paraId="271EF95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14:paraId="6A506A5A">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14:paraId="2A0CE02E">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14:paraId="4B01044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14:paraId="010CE64B">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6EB72F5">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71A6052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14:paraId="0921BBC3">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14:paraId="6E2CD9AA">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浙江豪圣建设项目管理有限公司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14:paraId="49A746F1">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14:paraId="315972E1">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14:paraId="4F98E7B8">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14:paraId="37FE70B6">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14:paraId="3736BB0D">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14:paraId="49B2BFC2">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14:paraId="69734DBD">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077A4AD1">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14:paraId="7994F0C4">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E57BEC">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14:paraId="3BCFFC27">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14:paraId="350941D4">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14:paraId="3F2F3DCE">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14:paraId="1262CEDF">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14:paraId="73A6FBFA">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14:paraId="681DA426">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14:paraId="542F293C">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14:paraId="304DBE10">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14:paraId="3181286E">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42F8DBC7">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14:paraId="601436A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14:paraId="0280E0C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14:paraId="253C432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13E8271B">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14:paraId="4C30E05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14:paraId="0A1A7565">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14:paraId="341661B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59B02C0F">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56970F3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14:paraId="7C2FB40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14:paraId="4D1A64D5">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14:paraId="089B15A0">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14:paraId="4099513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（9）以联合体形式参加本项目磋商并成交的，合同款项支付给主办人，然后由主办人根据联合体内部的协议和分工，将款项分配给其他成员单位。</w:t>
      </w:r>
    </w:p>
    <w:p w14:paraId="54CDD71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14:paraId="77C16FF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52F10BB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14:paraId="045AE26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14:paraId="2DACD72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14:paraId="5AC7849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14:paraId="33361A8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14:paraId="3DA56592">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14:paraId="0D365D6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14:paraId="79AAA15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14:paraId="21FD88A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166FA7DD">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54878A2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14:paraId="6ECC9F5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14:paraId="3B0A836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14:paraId="1D6017B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14:paraId="0A7A35F3">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D7471CA">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14:paraId="473E02F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14:paraId="31037FA3">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6E4470D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14:paraId="52AB00FD">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14:paraId="0551CBF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14:paraId="2E0BA03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14:paraId="0F0D7E9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14:paraId="13BE84A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14:paraId="0EF3E90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14:paraId="3E3FED7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14:paraId="3585B6FD">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14:paraId="65C9C9B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14:paraId="094B9DF0">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14:paraId="34F6C5B9">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14:paraId="7A0C134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3C4BCF00">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43510EF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14:paraId="17B6E22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5E0EF19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14:paraId="7E583979">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14:paraId="19A1D98F">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1240D80">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14:paraId="0F26DD7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14:paraId="6109E7EE">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14:paraId="541371EC">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09064A1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14:paraId="5156438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14:paraId="7568873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14:paraId="4617997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14:paraId="1267B12B">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14:paraId="2F047BEA">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14:paraId="5A1289D0">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14:paraId="143DC72F">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14:paraId="210F08A7">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14:paraId="58CBB97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14:paraId="1A962EE5">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14:paraId="0E91D0ED">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14:paraId="0B08BD6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14:paraId="695635A9">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14:paraId="2B55852A">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14:paraId="0AE25DE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14:paraId="2938F887">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9A320D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522EE09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14:paraId="6B6B0B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04B53B5F">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14:paraId="37B36EE0">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14:paraId="79B14629">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14:paraId="20DD9B57">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709D299A">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96947061"/>
      <w:bookmarkStart w:id="44" w:name="_Toc19497"/>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14:paraId="5851E058">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bookmarkStart w:id="47" w:name="_Toc82873324"/>
      <w:bookmarkStart w:id="48" w:name="_Toc82338241"/>
      <w:r>
        <w:rPr>
          <w:rFonts w:hint="eastAsia" w:ascii="仿宋" w:hAnsi="仿宋" w:eastAsia="仿宋" w:cs="仿宋"/>
          <w:b/>
          <w:bCs/>
          <w:color w:val="auto"/>
          <w:sz w:val="24"/>
          <w:szCs w:val="32"/>
          <w:highlight w:val="none"/>
        </w:rPr>
        <w:t>2.1 支持中小企业发展</w:t>
      </w:r>
    </w:p>
    <w:p w14:paraId="58188348">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3F714FE7">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7913163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14:paraId="6C488995">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35D30327">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14:paraId="7B2CC9E7">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14:paraId="004AA1DA">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14:paraId="4A2FD048">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2.1.4对于未预留份额专门面向中小企业采购的采购项目，以及预留份额项目中的非预留部分采购包，对小微企业报价给予3%的扣除，用扣除后的价格参加评审。</w:t>
      </w:r>
    </w:p>
    <w:p w14:paraId="27563AD1">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14:paraId="321B31ED">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的供应商应按照磋商响应文件格式要求提供《中小企业声明函》。</w:t>
      </w:r>
    </w:p>
    <w:p w14:paraId="58572E4F">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398650B">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28691065">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61A6AB69">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磋商响应文件格式）；（2）如提供其他残疾人福利性单位制造的货物，还须同时提供该企业的残疾人福利性单位声明函。</w:t>
      </w:r>
    </w:p>
    <w:p w14:paraId="520AC83D">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14:paraId="02B0B7FC">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2.2 节能、环保产品政府采购实施相关规定</w:t>
      </w:r>
    </w:p>
    <w:p w14:paraId="508F00A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191828A3">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071D58F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4EDBC144">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5F92358D">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14:paraId="2814A1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BEB9191">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73C2F3B">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AECD62F">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14:paraId="3AE18431">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14:paraId="789931B3">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14:paraId="145FE3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A81C71D">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FC06852">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36EE1E3">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14:paraId="3FDCA1F9">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14:paraId="0E3EA580">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14:paraId="233C247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DA3162C">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4965B38">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73646E5">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14:paraId="484A609C">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14:paraId="68691AF5">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14:paraId="309145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5509013">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0EB3F96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2972B4DD">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14:paraId="41E5999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02C8FF7">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89BD4B0">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6D3B5B98">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14:paraId="1935D97F">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14:paraId="7F737E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0429931">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5FBA406">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1D04F00">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14:paraId="231CBA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CBB7F21">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008CA4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C444BCD">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14:paraId="63544F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032A2C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19C09B5">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6A2D34ED">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14:paraId="0AFED0C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47D8E53">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FC9CA69">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B670A3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14:paraId="4C28FB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6C9CD129">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571114CB">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4557962C">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14:paraId="5B42CF47">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2D16BD99">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14:paraId="5C745226">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14:paraId="75806527">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59B571D7">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2.2.7国家确定的认证机构以国家市场监管总局发布的参与实施政府采购节能产品、环境标志产品认证机构名录为准，详见第八章附件（如遇调整，请以最新公布的为准）。</w:t>
      </w:r>
      <w:bookmarkEnd w:id="47"/>
      <w:bookmarkEnd w:id="48"/>
    </w:p>
    <w:bookmarkEnd w:id="45"/>
    <w:p w14:paraId="20DD3BDE">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49" w:name="_Toc124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14:paraId="624E89A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14:paraId="7A042CAD">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14:paraId="0D32D499">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14:paraId="7212ACD9">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14:paraId="517DF4AC">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14:paraId="68203D6E">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14:paraId="37E181B9">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磋商响应文件格式</w:t>
      </w:r>
    </w:p>
    <w:p w14:paraId="613A6B19">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14:paraId="192B9692">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14:paraId="383C1583">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14:paraId="74121E7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6271623">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5489405D">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14:paraId="30770F2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14:paraId="628DC73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7420D768">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14:paraId="2AF49ABB">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14:paraId="04E0CBC8">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14:paraId="3EF674F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14:paraId="0FF1581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14:paraId="38CCF43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14:paraId="29C2EDD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62AA8CC">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1" w:name="_Toc96947063"/>
      <w:bookmarkStart w:id="52" w:name="_Toc1284"/>
      <w:r>
        <w:rPr>
          <w:rFonts w:hint="eastAsia" w:ascii="仿宋" w:hAnsi="仿宋" w:eastAsia="仿宋" w:cs="Times New Roman"/>
          <w:b/>
          <w:bCs/>
          <w:color w:val="auto"/>
          <w:sz w:val="28"/>
          <w:szCs w:val="28"/>
          <w:highlight w:val="none"/>
        </w:rPr>
        <w:t>四、磋商响应文件</w:t>
      </w:r>
      <w:bookmarkEnd w:id="51"/>
      <w:bookmarkEnd w:id="52"/>
    </w:p>
    <w:p w14:paraId="1D9A583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14:paraId="453772CD">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14:paraId="7B3BF21E">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14:paraId="45C46C53">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14:paraId="1B7C76B5">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14:paraId="10E2CD5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14:paraId="67EBE59B">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符合“申请人的资格要求”第1条规定的证明文件</w:t>
      </w:r>
      <w:r>
        <w:rPr>
          <w:rFonts w:hint="eastAsia" w:ascii="仿宋" w:hAnsi="仿宋" w:eastAsia="仿宋" w:cs="Arial"/>
          <w:bCs/>
          <w:color w:val="auto"/>
          <w:w w:val="90"/>
          <w:kern w:val="0"/>
          <w:sz w:val="24"/>
          <w:szCs w:val="24"/>
          <w:highlight w:val="none"/>
        </w:rPr>
        <w:t>的证明文件：</w:t>
      </w:r>
    </w:p>
    <w:p w14:paraId="5FD46032">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14:paraId="717B45CA">
      <w:pPr>
        <w:autoSpaceDN w:val="0"/>
        <w:spacing w:line="360" w:lineRule="auto"/>
        <w:ind w:firstLine="651" w:firstLineChars="3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14:paraId="2131383E">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符合“申请人的资格要求”第2条“落实政府采购政策需满足的资格要求”规定的证明文件（如有）</w:t>
      </w:r>
    </w:p>
    <w:p w14:paraId="78475EB0">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color w:val="auto"/>
          <w:w w:val="90"/>
          <w:kern w:val="0"/>
          <w:sz w:val="24"/>
          <w:szCs w:val="24"/>
          <w:highlight w:val="none"/>
        </w:rPr>
        <w:t>的证明材料：</w:t>
      </w:r>
      <w:r>
        <w:rPr>
          <w:rFonts w:hint="eastAsia" w:ascii="仿宋" w:hAnsi="仿宋" w:eastAsia="仿宋" w:cs="Arial"/>
          <w:b/>
          <w:color w:val="auto"/>
          <w:w w:val="90"/>
          <w:kern w:val="0"/>
          <w:sz w:val="24"/>
          <w:szCs w:val="24"/>
          <w:highlight w:val="none"/>
        </w:rPr>
        <w:t>（格式见第六章）</w:t>
      </w:r>
    </w:p>
    <w:bookmarkEnd w:id="54"/>
    <w:p w14:paraId="650880AB">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14:paraId="123D0E58">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14:paraId="4B5C00DD">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14:paraId="2399EF49">
      <w:pPr>
        <w:autoSpaceDN w:val="0"/>
        <w:spacing w:line="360" w:lineRule="auto"/>
        <w:ind w:firstLine="434"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14:paraId="637D848E">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14:paraId="61532EE6">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14:paraId="4F3B1C4C">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14:paraId="29B97B48">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14:paraId="4BBB53AB">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14:paraId="6C85B124">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14:paraId="5FE9B31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14:paraId="2388E48F">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14:paraId="55B4FBF1">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14:paraId="1B323D0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14:paraId="715BB4F1">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14:paraId="6639705E">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14:paraId="4498B8DD">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14:paraId="31F8D3A6">
      <w:pPr>
        <w:widowControl/>
        <w:autoSpaceDE w:val="0"/>
        <w:autoSpaceDN w:val="0"/>
        <w:spacing w:line="360" w:lineRule="auto"/>
        <w:ind w:firstLine="434" w:firstLineChars="200"/>
        <w:outlineLvl w:val="2"/>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 中小企业声明函（格式见第六章）</w:t>
      </w:r>
    </w:p>
    <w:p w14:paraId="31DC4738">
      <w:pPr>
        <w:autoSpaceDN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承接的工程，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承接的工程，还须同时提供该企业为监狱企业的证明文件），视同为小型和微型企业。</w:t>
      </w:r>
    </w:p>
    <w:p w14:paraId="6AA506DC">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14:paraId="580505C1">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14:paraId="53BAA32A">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14:paraId="3A126B3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14:paraId="6FA8A2A1">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rFonts w:hint="eastAsia"/>
          <w:color w:val="auto"/>
          <w:highlight w:val="none"/>
        </w:rPr>
        <w:fldChar w:fldCharType="begin"/>
      </w:r>
      <w:r>
        <w:rPr>
          <w:color w:val="auto"/>
          <w:highlight w:val="none"/>
        </w:rPr>
        <w:instrText xml:space="preserve"> HYPERLINK "http://www.zcygov.cn" </w:instrText>
      </w:r>
      <w:r>
        <w:rPr>
          <w:rFonts w:hint="eastAsia"/>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14:paraId="3373DF6B">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14:paraId="7F4ED91E">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14:paraId="0EEC5E85">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14:paraId="1CF2C94B">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14:paraId="292105D5">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14:paraId="72E99012">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14:paraId="0548FEA0">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5C5CEBC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14:paraId="73CF3A1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6FF37E28">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《第三章 磋商须知》规定和</w:t>
      </w:r>
      <w:r>
        <w:rPr>
          <w:rFonts w:hint="eastAsia" w:ascii="仿宋" w:hAnsi="仿宋" w:eastAsia="仿宋" w:cs="Arial"/>
          <w:b/>
          <w:color w:val="auto"/>
          <w:kern w:val="0"/>
          <w:sz w:val="24"/>
          <w:szCs w:val="24"/>
          <w:highlight w:val="none"/>
        </w:rPr>
        <w:t>《第六章 磋商响应文件格式》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6B3BB89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14:paraId="6D2586F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磋商响应文件格式》中提供的相关报价格式填写；</w:t>
      </w:r>
    </w:p>
    <w:p w14:paraId="53B8AE24">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14:paraId="6EFD7C42">
      <w:pPr>
        <w:autoSpaceDN w:val="0"/>
        <w:spacing w:line="360" w:lineRule="auto"/>
        <w:ind w:firstLine="424"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14:paraId="0D94E05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14:paraId="237061AC">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14:paraId="295FD010">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14:paraId="5BBDC1B7">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14:paraId="19BD6366">
      <w:pPr>
        <w:autoSpaceDN w:val="0"/>
        <w:spacing w:before="162" w:beforeLines="50" w:after="162"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119AF256">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color w:val="auto"/>
          <w:sz w:val="24"/>
          <w:szCs w:val="24"/>
          <w:highlight w:val="none"/>
        </w:rPr>
        <w:t>。</w:t>
      </w:r>
    </w:p>
    <w:p w14:paraId="004F7C27">
      <w:pPr>
        <w:autoSpaceDN w:val="0"/>
        <w:spacing w:before="162" w:beforeLines="50" w:after="162"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14:paraId="045A8C69">
      <w:pPr>
        <w:autoSpaceDN w:val="0"/>
        <w:spacing w:before="162" w:beforeLines="50" w:after="162"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20C93A04">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14:paraId="62C37132">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7EDA7898">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14:paraId="1E515742">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14:paraId="318D322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14:paraId="10C9DE55">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14:paraId="2B632664">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14:paraId="15C4970F">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14:paraId="31E3CDE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14:paraId="0B5FCEC6">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14:paraId="758C34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14:paraId="1ED8693B">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6F49C82F">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7C91A569">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14:paraId="7A83B489">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29B1F4AA">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2B03F234">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14:paraId="516F8391">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14:paraId="3E1720E0">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14:paraId="18550AFE">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14:paraId="11936F0B">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14:paraId="6017B86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7" w:name="_Toc82338242"/>
      <w:bookmarkStart w:id="58" w:name="_Toc82873325"/>
      <w:bookmarkStart w:id="59" w:name="_Toc11633"/>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14:paraId="09097B1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1" w:name="_Toc82338243"/>
      <w:bookmarkStart w:id="62" w:name="_Toc82873326"/>
      <w:r>
        <w:rPr>
          <w:rFonts w:hint="eastAsia" w:ascii="仿宋" w:hAnsi="仿宋" w:eastAsia="仿宋" w:cs="Times New Roman"/>
          <w:b/>
          <w:bCs/>
          <w:color w:val="auto"/>
          <w:sz w:val="24"/>
          <w:szCs w:val="32"/>
          <w:highlight w:val="none"/>
        </w:rPr>
        <w:t>5.1 磋商响应文件提交截止时间</w:t>
      </w:r>
    </w:p>
    <w:p w14:paraId="4BC3117E">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1582F23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14:paraId="5B929027">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20B10B2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14:paraId="4305889F">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465711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14:paraId="15380E61">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228C635A">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14:paraId="7ECC2B7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14:paraId="79AB6D48">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14:paraId="408C5E44">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14:paraId="64091AF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14:paraId="4C5C3B6A">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09602881">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14:paraId="48FE8BEB">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684A92E8">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3" w:name="_Toc640"/>
      <w:bookmarkStart w:id="64" w:name="_Toc9694706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14:paraId="0FF2B4A3">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14:paraId="6D088955">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7B8983F3">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65980E1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14:paraId="156087B5">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14:paraId="3342E2F4">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14:paraId="280966F6">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14:paraId="0BBFA75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14:paraId="5282678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14:paraId="6FCA7A1C">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14:paraId="45BB7CBB">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14:paraId="44ACF5D0">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14:paraId="3A5F0B46">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14:paraId="6B4046AE">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14:paraId="1BE481A4">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14:paraId="284E30F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14:paraId="5AB86883">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14:paraId="6F8E570F">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14:paraId="42AEC2C0">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14:paraId="45721398">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14:paraId="446691E0">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14:paraId="2DF7082E">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14:paraId="7901A353">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4EE3A674">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5" w:name="_Toc96947066"/>
      <w:bookmarkStart w:id="66" w:name="_Toc32126"/>
      <w:r>
        <w:rPr>
          <w:rFonts w:hint="eastAsia" w:ascii="仿宋" w:hAnsi="仿宋" w:eastAsia="仿宋" w:cs="Times New Roman"/>
          <w:b/>
          <w:bCs/>
          <w:color w:val="auto"/>
          <w:sz w:val="28"/>
          <w:szCs w:val="28"/>
          <w:highlight w:val="none"/>
        </w:rPr>
        <w:t>七、评审</w:t>
      </w:r>
      <w:bookmarkEnd w:id="65"/>
      <w:bookmarkEnd w:id="66"/>
    </w:p>
    <w:p w14:paraId="0E75A15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14:paraId="51BC0B81">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14:paraId="36123FD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14:paraId="7527C4C3">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14:paraId="11B46CBF">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14:paraId="51BC914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14:paraId="4A1D81D1">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14:paraId="690A1DE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14:paraId="4429B468">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14:paraId="0EFAC7EF">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14:paraId="45D4E09C">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14:paraId="12B990C6">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14:paraId="73F3B61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14:paraId="679CCEF1">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14:paraId="05BBDDE1">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14:paraId="133BAA8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14:paraId="730AA455">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14:paraId="7A4F4B2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14:paraId="4F034E84">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14:paraId="4CE80A13">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14:paraId="7CD758DC">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6C78E794">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75591C1D">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详细评审方法和标准见本竞争性磋商文件第七章《评审办法》</w:t>
      </w:r>
      <w:r>
        <w:rPr>
          <w:rFonts w:hint="eastAsia" w:ascii="仿宋" w:hAnsi="仿宋" w:eastAsia="仿宋" w:cs="Times New Roman"/>
          <w:color w:val="auto"/>
          <w:kern w:val="0"/>
          <w:szCs w:val="24"/>
          <w:highlight w:val="none"/>
        </w:rPr>
        <w:t>。</w:t>
      </w:r>
    </w:p>
    <w:p w14:paraId="76986E68">
      <w:pPr>
        <w:autoSpaceDN w:val="0"/>
        <w:rPr>
          <w:rFonts w:ascii="仿宋" w:hAnsi="仿宋" w:eastAsia="仿宋" w:cs="Times New Roman"/>
          <w:color w:val="auto"/>
          <w:szCs w:val="24"/>
          <w:highlight w:val="none"/>
        </w:rPr>
      </w:pPr>
    </w:p>
    <w:p w14:paraId="50D07EF2">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67" w:name="_Toc11895"/>
      <w:bookmarkStart w:id="68" w:name="_Toc96947067"/>
      <w:r>
        <w:rPr>
          <w:rFonts w:hint="eastAsia" w:ascii="仿宋" w:hAnsi="仿宋" w:eastAsia="仿宋" w:cs="Times New Roman"/>
          <w:b/>
          <w:bCs/>
          <w:color w:val="auto"/>
          <w:sz w:val="28"/>
          <w:szCs w:val="28"/>
          <w:highlight w:val="none"/>
        </w:rPr>
        <w:t>八、采购结果确认与公告</w:t>
      </w:r>
      <w:bookmarkEnd w:id="67"/>
      <w:bookmarkEnd w:id="68"/>
    </w:p>
    <w:p w14:paraId="69A2EAC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14:paraId="2A1668A1">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14:paraId="38B8BE22">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14:paraId="2262E96F">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14:paraId="47A1FAF3">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14:paraId="2C251BE3">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14:paraId="26ABA49D">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21D6EA03">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14:paraId="4CDC39CC">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9.2.3成交通知书发出后，成交供应商无正当理由不得放弃成交。</w:t>
      </w:r>
    </w:p>
    <w:p w14:paraId="37A2369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14:paraId="65159692">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83E5D1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96947068"/>
      <w:bookmarkStart w:id="71" w:name="_Toc17503"/>
      <w:r>
        <w:rPr>
          <w:rFonts w:hint="eastAsia" w:ascii="仿宋" w:hAnsi="仿宋" w:eastAsia="仿宋" w:cs="Times New Roman"/>
          <w:b/>
          <w:bCs/>
          <w:color w:val="auto"/>
          <w:sz w:val="28"/>
          <w:szCs w:val="28"/>
          <w:highlight w:val="none"/>
        </w:rPr>
        <w:t>九、采购代理服务费</w:t>
      </w:r>
      <w:bookmarkEnd w:id="69"/>
      <w:bookmarkEnd w:id="70"/>
      <w:bookmarkEnd w:id="71"/>
    </w:p>
    <w:p w14:paraId="5B8542F2">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成交供应商</w:t>
      </w:r>
      <w:r>
        <w:rPr>
          <w:rFonts w:hint="eastAsia" w:ascii="仿宋" w:hAnsi="仿宋" w:eastAsia="仿宋" w:cs="Arial"/>
          <w:b/>
          <w:color w:val="auto"/>
          <w:kern w:val="0"/>
          <w:sz w:val="24"/>
          <w:highlight w:val="none"/>
        </w:rPr>
        <w:t>；</w:t>
      </w:r>
    </w:p>
    <w:p w14:paraId="22661BBA">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highlight w:val="none"/>
        </w:rPr>
        <w:t>；</w:t>
      </w:r>
    </w:p>
    <w:p w14:paraId="424271EE">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9.1.3缴纳时间：成交供应商确定后7日内，一次性缴纳；</w:t>
      </w:r>
    </w:p>
    <w:p w14:paraId="0A199C9E">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9.1.4缴纳形式：电汇、转账、支票、汇票（不接受现金），由成交供应商账户转出；</w:t>
      </w:r>
    </w:p>
    <w:p w14:paraId="139A151F">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9.1.5特别说明：</w:t>
      </w:r>
    </w:p>
    <w:p w14:paraId="1928F0D3">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（1）磋商响应供应商在磋商报价时应将采购代理服务费计入磋商总价（单独列项或列入综合单价内，未计入的视为已包含）；</w:t>
      </w:r>
    </w:p>
    <w:p w14:paraId="52AB88B9">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（2）采购代理服务费缴纳凭证将作为采购人合同付款和验收的前提条件，成交供应商未按上述规定和投标承诺缴纳采购代理服务费的，合同款不予支付、合同验收不予通过；</w:t>
      </w:r>
    </w:p>
    <w:p w14:paraId="19A8F248">
      <w:pPr>
        <w:autoSpaceDN w:val="0"/>
        <w:spacing w:line="360" w:lineRule="auto"/>
        <w:ind w:firstLine="426" w:firstLineChars="177"/>
        <w:rPr>
          <w:rFonts w:ascii="仿宋" w:hAnsi="仿宋" w:eastAsia="仿宋" w:cs="Arial"/>
          <w:color w:val="auto"/>
          <w:kern w:val="0"/>
          <w:sz w:val="22"/>
          <w:highlight w:val="none"/>
        </w:rPr>
      </w:pPr>
      <w:r>
        <w:rPr>
          <w:rFonts w:hint="eastAsia" w:ascii="仿宋" w:hAnsi="仿宋" w:eastAsia="仿宋" w:cs="Arial"/>
          <w:b/>
          <w:color w:val="auto"/>
          <w:sz w:val="24"/>
          <w:highlight w:val="none"/>
        </w:rPr>
        <w:t>9.1.6</w:t>
      </w:r>
      <w:r>
        <w:rPr>
          <w:rFonts w:hint="eastAsia" w:ascii="仿宋" w:hAnsi="仿宋" w:eastAsia="仿宋" w:cs="Arial"/>
          <w:b/>
          <w:color w:val="auto"/>
          <w:sz w:val="24"/>
          <w:szCs w:val="24"/>
          <w:highlight w:val="none"/>
        </w:rPr>
        <w:t>成交供应商确定后，成交供应商拒绝签订合同的，或因自身原因被取消成交资格或放弃成交的，已收取的采购代理服务费不予退还，未支付的采购代理服务费由采购人追偿后支付。</w:t>
      </w:r>
    </w:p>
    <w:p w14:paraId="01637C2B">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2" w:name="_Toc424164160"/>
      <w:bookmarkStart w:id="73" w:name="_Toc440162792"/>
      <w:bookmarkStart w:id="74" w:name="_Toc96947069"/>
      <w:bookmarkStart w:id="75" w:name="_Toc7194"/>
      <w:bookmarkStart w:id="76" w:name="_Toc35391901"/>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14:paraId="609F201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14:paraId="539EDB1C">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14:paraId="1048B4CA">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14:paraId="504C6746">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14:paraId="1E22C39F">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14:paraId="36B7606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14:paraId="33FA7815">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14:paraId="2ADD929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114DD0AD">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14:paraId="714B2F32">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14:paraId="6C5E93C3">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14:paraId="035790C3">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14:paraId="51593220">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5E4D2AF">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16737458">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643159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14:paraId="36A0B9A5">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14:paraId="4EFEBCB7">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19649"/>
      <w:bookmarkStart w:id="78" w:name="_Toc35391902"/>
      <w:bookmarkStart w:id="79" w:name="_Toc96947070"/>
      <w:r>
        <w:rPr>
          <w:rFonts w:hint="eastAsia" w:ascii="仿宋" w:hAnsi="仿宋" w:eastAsia="仿宋" w:cs="Times New Roman"/>
          <w:b/>
          <w:bCs/>
          <w:color w:val="auto"/>
          <w:sz w:val="28"/>
          <w:szCs w:val="28"/>
          <w:highlight w:val="none"/>
        </w:rPr>
        <w:t>十一、其他事项说明</w:t>
      </w:r>
      <w:bookmarkEnd w:id="77"/>
      <w:bookmarkEnd w:id="78"/>
      <w:bookmarkEnd w:id="79"/>
    </w:p>
    <w:p w14:paraId="1D9AA72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14:paraId="510B418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37DCF6D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14:paraId="32F73F9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524EA23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14:paraId="2DB24AE9">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2BF09D32">
      <w:pPr>
        <w:autoSpaceDN w:val="0"/>
        <w:rPr>
          <w:rFonts w:ascii="仿宋" w:hAnsi="仿宋" w:eastAsia="仿宋" w:cs="Times New Roman"/>
          <w:color w:val="auto"/>
          <w:szCs w:val="24"/>
          <w:highlight w:val="none"/>
        </w:rPr>
      </w:pPr>
    </w:p>
    <w:p w14:paraId="48CB44C1">
      <w:pPr>
        <w:autoSpaceDN w:val="0"/>
        <w:spacing w:line="200" w:lineRule="exact"/>
        <w:ind w:firstLine="301"/>
        <w:rPr>
          <w:rFonts w:ascii="宋体" w:hAnsi="Courier New" w:eastAsia="宋体" w:cs="Times New Roman"/>
          <w:color w:val="auto"/>
          <w:spacing w:val="-4"/>
          <w:kern w:val="0"/>
          <w:sz w:val="18"/>
          <w:szCs w:val="20"/>
          <w:highlight w:val="none"/>
        </w:rPr>
      </w:pPr>
    </w:p>
    <w:p w14:paraId="391985CB">
      <w:pPr>
        <w:autoSpaceDN w:val="0"/>
        <w:spacing w:line="200" w:lineRule="exact"/>
        <w:ind w:firstLine="301"/>
        <w:rPr>
          <w:rFonts w:ascii="宋体" w:hAnsi="Courier New" w:eastAsia="宋体" w:cs="Times New Roman"/>
          <w:color w:val="auto"/>
          <w:spacing w:val="-4"/>
          <w:kern w:val="0"/>
          <w:sz w:val="18"/>
          <w:szCs w:val="20"/>
          <w:highlight w:val="none"/>
        </w:rPr>
      </w:pPr>
    </w:p>
    <w:p w14:paraId="232E82E2">
      <w:pPr>
        <w:autoSpaceDN w:val="0"/>
        <w:spacing w:line="200" w:lineRule="exact"/>
        <w:ind w:firstLine="301"/>
        <w:rPr>
          <w:rFonts w:ascii="宋体" w:hAnsi="Courier New" w:eastAsia="宋体" w:cs="Times New Roman"/>
          <w:color w:val="auto"/>
          <w:spacing w:val="-4"/>
          <w:kern w:val="0"/>
          <w:sz w:val="18"/>
          <w:szCs w:val="20"/>
          <w:highlight w:val="none"/>
        </w:rPr>
      </w:pPr>
    </w:p>
    <w:p w14:paraId="4A5FCC2D">
      <w:pPr>
        <w:autoSpaceDN w:val="0"/>
        <w:spacing w:line="200" w:lineRule="exact"/>
        <w:ind w:firstLine="301"/>
        <w:rPr>
          <w:rFonts w:ascii="宋体" w:hAnsi="Courier New" w:eastAsia="宋体" w:cs="Times New Roman"/>
          <w:color w:val="auto"/>
          <w:spacing w:val="-4"/>
          <w:kern w:val="0"/>
          <w:sz w:val="18"/>
          <w:szCs w:val="20"/>
          <w:highlight w:val="none"/>
        </w:rPr>
      </w:pPr>
    </w:p>
    <w:p w14:paraId="5828BD67">
      <w:pPr>
        <w:autoSpaceDN w:val="0"/>
        <w:spacing w:line="200" w:lineRule="exact"/>
        <w:ind w:firstLine="301"/>
        <w:rPr>
          <w:rFonts w:ascii="宋体" w:hAnsi="Courier New" w:eastAsia="宋体" w:cs="Times New Roman"/>
          <w:color w:val="auto"/>
          <w:spacing w:val="-4"/>
          <w:kern w:val="0"/>
          <w:sz w:val="18"/>
          <w:szCs w:val="20"/>
          <w:highlight w:val="none"/>
        </w:rPr>
      </w:pPr>
    </w:p>
    <w:p w14:paraId="2DF6F734">
      <w:pPr>
        <w:autoSpaceDN w:val="0"/>
        <w:spacing w:line="200" w:lineRule="exact"/>
        <w:ind w:firstLine="301"/>
        <w:rPr>
          <w:rFonts w:ascii="宋体" w:hAnsi="Courier New" w:eastAsia="宋体" w:cs="Times New Roman"/>
          <w:color w:val="auto"/>
          <w:spacing w:val="-4"/>
          <w:kern w:val="0"/>
          <w:sz w:val="18"/>
          <w:szCs w:val="20"/>
          <w:highlight w:val="none"/>
        </w:rPr>
      </w:pPr>
    </w:p>
    <w:p w14:paraId="7676571C">
      <w:pPr>
        <w:autoSpaceDN w:val="0"/>
        <w:spacing w:line="200" w:lineRule="exact"/>
        <w:ind w:firstLine="301"/>
        <w:rPr>
          <w:rFonts w:ascii="宋体" w:hAnsi="Courier New" w:eastAsia="宋体" w:cs="Times New Roman"/>
          <w:color w:val="auto"/>
          <w:spacing w:val="-4"/>
          <w:kern w:val="0"/>
          <w:sz w:val="18"/>
          <w:szCs w:val="20"/>
          <w:highlight w:val="none"/>
        </w:rPr>
      </w:pPr>
    </w:p>
    <w:p w14:paraId="34F8C97B">
      <w:pPr>
        <w:autoSpaceDN w:val="0"/>
        <w:spacing w:line="200" w:lineRule="exact"/>
        <w:ind w:firstLine="301"/>
        <w:rPr>
          <w:rFonts w:ascii="宋体" w:hAnsi="Courier New" w:eastAsia="宋体" w:cs="Times New Roman"/>
          <w:color w:val="auto"/>
          <w:spacing w:val="-4"/>
          <w:kern w:val="0"/>
          <w:sz w:val="18"/>
          <w:szCs w:val="20"/>
          <w:highlight w:val="none"/>
        </w:rPr>
      </w:pPr>
    </w:p>
    <w:p w14:paraId="47563459">
      <w:pPr>
        <w:autoSpaceDN w:val="0"/>
        <w:spacing w:line="200" w:lineRule="exact"/>
        <w:ind w:firstLine="301"/>
        <w:rPr>
          <w:rFonts w:ascii="宋体" w:hAnsi="Courier New" w:eastAsia="宋体" w:cs="Times New Roman"/>
          <w:color w:val="auto"/>
          <w:spacing w:val="-4"/>
          <w:kern w:val="0"/>
          <w:sz w:val="18"/>
          <w:szCs w:val="20"/>
          <w:highlight w:val="none"/>
        </w:rPr>
      </w:pPr>
    </w:p>
    <w:p w14:paraId="51230ACE">
      <w:pPr>
        <w:autoSpaceDN w:val="0"/>
        <w:spacing w:line="200" w:lineRule="exact"/>
        <w:ind w:firstLine="301"/>
        <w:rPr>
          <w:rFonts w:ascii="宋体" w:hAnsi="Courier New" w:eastAsia="宋体" w:cs="Times New Roman"/>
          <w:color w:val="auto"/>
          <w:spacing w:val="-4"/>
          <w:kern w:val="0"/>
          <w:sz w:val="18"/>
          <w:szCs w:val="20"/>
          <w:highlight w:val="none"/>
        </w:rPr>
      </w:pPr>
    </w:p>
    <w:p w14:paraId="48625DD2">
      <w:pPr>
        <w:autoSpaceDN w:val="0"/>
        <w:spacing w:line="200" w:lineRule="exact"/>
        <w:ind w:firstLine="301"/>
        <w:rPr>
          <w:rFonts w:ascii="宋体" w:hAnsi="Courier New" w:eastAsia="宋体" w:cs="Times New Roman"/>
          <w:color w:val="auto"/>
          <w:spacing w:val="-4"/>
          <w:kern w:val="0"/>
          <w:sz w:val="18"/>
          <w:szCs w:val="20"/>
          <w:highlight w:val="none"/>
        </w:rPr>
      </w:pPr>
    </w:p>
    <w:p w14:paraId="00B62B18">
      <w:pPr>
        <w:autoSpaceDN w:val="0"/>
        <w:spacing w:line="200" w:lineRule="exact"/>
        <w:ind w:firstLine="301"/>
        <w:rPr>
          <w:rFonts w:ascii="宋体" w:hAnsi="Courier New" w:eastAsia="宋体" w:cs="Times New Roman"/>
          <w:color w:val="auto"/>
          <w:spacing w:val="-4"/>
          <w:kern w:val="0"/>
          <w:sz w:val="18"/>
          <w:szCs w:val="20"/>
          <w:highlight w:val="none"/>
        </w:rPr>
      </w:pPr>
    </w:p>
    <w:p w14:paraId="679FD71D">
      <w:pPr>
        <w:autoSpaceDN w:val="0"/>
        <w:spacing w:line="200" w:lineRule="exact"/>
        <w:ind w:firstLine="301"/>
        <w:rPr>
          <w:rFonts w:ascii="宋体" w:hAnsi="Courier New" w:eastAsia="宋体" w:cs="Times New Roman"/>
          <w:color w:val="auto"/>
          <w:spacing w:val="-4"/>
          <w:kern w:val="0"/>
          <w:sz w:val="18"/>
          <w:szCs w:val="20"/>
          <w:highlight w:val="none"/>
        </w:rPr>
      </w:pPr>
    </w:p>
    <w:p w14:paraId="7A0C517E">
      <w:pPr>
        <w:autoSpaceDN w:val="0"/>
        <w:spacing w:line="200" w:lineRule="exact"/>
        <w:ind w:firstLine="301"/>
        <w:rPr>
          <w:rFonts w:ascii="宋体" w:hAnsi="Courier New" w:eastAsia="宋体" w:cs="Times New Roman"/>
          <w:color w:val="auto"/>
          <w:spacing w:val="-4"/>
          <w:kern w:val="0"/>
          <w:sz w:val="18"/>
          <w:szCs w:val="20"/>
          <w:highlight w:val="none"/>
        </w:rPr>
      </w:pPr>
    </w:p>
    <w:p w14:paraId="459F51E6">
      <w:pPr>
        <w:autoSpaceDN w:val="0"/>
        <w:spacing w:line="200" w:lineRule="exact"/>
        <w:ind w:firstLine="301"/>
        <w:rPr>
          <w:rFonts w:ascii="宋体" w:hAnsi="Courier New" w:eastAsia="宋体" w:cs="Times New Roman"/>
          <w:color w:val="auto"/>
          <w:spacing w:val="-4"/>
          <w:kern w:val="0"/>
          <w:sz w:val="18"/>
          <w:szCs w:val="20"/>
          <w:highlight w:val="none"/>
        </w:rPr>
      </w:pPr>
    </w:p>
    <w:p w14:paraId="0C15B99A">
      <w:pPr>
        <w:autoSpaceDN w:val="0"/>
        <w:spacing w:line="200" w:lineRule="exact"/>
        <w:ind w:firstLine="301"/>
        <w:rPr>
          <w:rFonts w:ascii="宋体" w:hAnsi="Courier New" w:eastAsia="宋体" w:cs="Times New Roman"/>
          <w:color w:val="auto"/>
          <w:spacing w:val="-4"/>
          <w:kern w:val="0"/>
          <w:sz w:val="18"/>
          <w:szCs w:val="20"/>
          <w:highlight w:val="none"/>
        </w:rPr>
      </w:pPr>
    </w:p>
    <w:p w14:paraId="387E02A4">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5538222C">
      <w:pPr>
        <w:autoSpaceDN w:val="0"/>
        <w:snapToGrid w:val="0"/>
        <w:spacing w:before="162" w:beforeLines="50" w:after="162"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14:paraId="6583CE98">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14:paraId="0C998A8B">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浙江工业大学屏峰校区室外运动场改造工程</w:t>
      </w:r>
      <w:r>
        <w:rPr>
          <w:rFonts w:hint="eastAsia" w:ascii="仿宋" w:hAnsi="仿宋" w:eastAsia="仿宋" w:cs="宋体"/>
          <w:color w:val="auto"/>
          <w:sz w:val="24"/>
          <w:szCs w:val="24"/>
          <w:highlight w:val="none"/>
        </w:rPr>
        <w:t>的评审。</w:t>
      </w:r>
    </w:p>
    <w:p w14:paraId="7964AA7E">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14:paraId="25EDA63A">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rPr>
        <w:t>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14:paraId="290EBBB0">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14:paraId="354326C1">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资信、商务及技术分=评审小组所有成员评分的算术平均数</w:t>
      </w:r>
    </w:p>
    <w:p w14:paraId="6C328F74">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供应商评审综合得分=价格分+资信、商务及技术分</w:t>
      </w:r>
    </w:p>
    <w:p w14:paraId="6AB6511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520824346"/>
      <w:bookmarkStart w:id="83" w:name="_Toc26621"/>
      <w:bookmarkStart w:id="84" w:name="_Toc482590098"/>
      <w:bookmarkStart w:id="85" w:name="_Toc96947084"/>
      <w:r>
        <w:rPr>
          <w:rFonts w:hint="eastAsia" w:ascii="仿宋" w:hAnsi="仿宋" w:eastAsia="仿宋" w:cs="Times New Roman"/>
          <w:b/>
          <w:bCs/>
          <w:color w:val="auto"/>
          <w:sz w:val="28"/>
          <w:szCs w:val="28"/>
          <w:highlight w:val="none"/>
        </w:rPr>
        <w:t>二、评审程序</w:t>
      </w:r>
      <w:bookmarkEnd w:id="82"/>
      <w:bookmarkEnd w:id="83"/>
      <w:bookmarkEnd w:id="84"/>
      <w:bookmarkEnd w:id="85"/>
    </w:p>
    <w:p w14:paraId="6F510A2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14:paraId="12FFB2F2">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14:paraId="76809EB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14:paraId="3F54CFA8">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33AF347A">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637CFAFE">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14:paraId="4CB5D7D6">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7726065A">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14:paraId="08CEB431">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7CE37B43">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3DFCB3C6">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14:paraId="22898547">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14:paraId="10CAC02D">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14:paraId="4D3B277C">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14:paraId="71668F2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14:paraId="068F5DA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14:paraId="4507D0D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57E2A7E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14:paraId="2D50622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14:paraId="7FD210BC">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38D900B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14:paraId="77FC8500">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14:paraId="2D87572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14:paraId="3C261F7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14:paraId="1D931FC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14:paraId="3038056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14:paraId="70349CB4">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14:paraId="2D6CA67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14:paraId="3C3C086A">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14:paraId="661B9FC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14:paraId="4CCD63E4">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（8</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14:paraId="7E7E106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14:paraId="4548DCF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1751F8ED">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（11）</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供应商报价低于项目标项预算50%的，且未在报价文件中详细阐述不影响产品质量或者诚信履约的具体原因，供应商不能证明其报价合理性的；</w:t>
      </w:r>
    </w:p>
    <w:p w14:paraId="3EC765FA">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02A00569">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14:paraId="4FFC3B9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14:paraId="1A874E1A">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14:paraId="53CC0D0B">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561D316B">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38FDA838">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14:paraId="762B37B8">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14:paraId="730583B4">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14:paraId="359A85F4">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0411BB55">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14:paraId="374C6F9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14:paraId="0A62BBAC">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14:paraId="08C65C9A">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14:paraId="3CDB2C61">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14:paraId="3F425410">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14:paraId="6E9FC6F2">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14:paraId="02A029A7">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14:paraId="556AA955">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14:paraId="77EF0E86">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14:paraId="290D2A0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14:paraId="79135331">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756B8585">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38EE2FE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14:paraId="24B1BDF7">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14:paraId="51D173E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6B58A0E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422200BB">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2D82E9F7">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14:paraId="12566F04">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14:paraId="18EDAE7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14:paraId="714AE60A">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14:paraId="61681387">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14:paraId="70C212A8">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14:paraId="6052B775">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14:paraId="6054EA3B">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14:paraId="34AAB466">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14:paraId="13D7742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14:paraId="4B903132">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14:paraId="75BC1F0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14:paraId="4CFE7361">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14:paraId="589D408E">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23C26C24">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74BB71C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5608AAD2">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14:paraId="258E17BA">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14:paraId="57310174">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（一）商务技术部分（70分）</w:t>
      </w:r>
    </w:p>
    <w:tbl>
      <w:tblPr>
        <w:tblStyle w:val="6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666"/>
        <w:gridCol w:w="7170"/>
      </w:tblGrid>
      <w:tr w14:paraId="1B47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Align w:val="center"/>
          </w:tcPr>
          <w:p w14:paraId="0E11928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66" w:type="dxa"/>
            <w:vAlign w:val="center"/>
          </w:tcPr>
          <w:p w14:paraId="532F71F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170" w:type="dxa"/>
            <w:vAlign w:val="center"/>
          </w:tcPr>
          <w:p w14:paraId="5E34665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评分细则</w:t>
            </w:r>
          </w:p>
        </w:tc>
      </w:tr>
      <w:tr w14:paraId="333E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2" w:type="dxa"/>
            <w:gridSpan w:val="3"/>
            <w:vAlign w:val="center"/>
          </w:tcPr>
          <w:p w14:paraId="1C16D6E2">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25C3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restart"/>
            <w:vAlign w:val="center"/>
          </w:tcPr>
          <w:p w14:paraId="7D455B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66" w:type="dxa"/>
            <w:vAlign w:val="center"/>
          </w:tcPr>
          <w:p w14:paraId="68D3179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170" w:type="dxa"/>
            <w:vAlign w:val="center"/>
          </w:tcPr>
          <w:p w14:paraId="053D8FD2">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供应商自2021年1月1日以来（以合同签订时间为准）</w:t>
            </w:r>
            <w:r>
              <w:rPr>
                <w:rFonts w:hint="eastAsia" w:ascii="仿宋" w:hAnsi="仿宋" w:eastAsia="仿宋" w:cs="仿宋"/>
                <w:color w:val="auto"/>
                <w:kern w:val="0"/>
                <w:szCs w:val="21"/>
                <w:highlight w:val="none"/>
              </w:rPr>
              <w:t>类似合同业绩</w:t>
            </w:r>
            <w:r>
              <w:rPr>
                <w:rFonts w:hint="eastAsia" w:ascii="仿宋" w:hAnsi="仿宋" w:eastAsia="仿宋" w:cs="仿宋"/>
                <w:color w:val="auto"/>
                <w:szCs w:val="21"/>
                <w:highlight w:val="none"/>
              </w:rPr>
              <w:t>（至少包括钢膜结构，提供的合同及对应分部分项竣工验收报告/竣工验收报告扫描件为准），</w:t>
            </w:r>
            <w:r>
              <w:rPr>
                <w:rFonts w:hint="eastAsia" w:ascii="仿宋" w:hAnsi="仿宋" w:eastAsia="仿宋" w:cs="仿宋"/>
                <w:color w:val="auto"/>
                <w:kern w:val="0"/>
                <w:szCs w:val="21"/>
                <w:highlight w:val="none"/>
              </w:rPr>
              <w:t>每提供1份业绩证明得</w:t>
            </w:r>
            <w:r>
              <w:rPr>
                <w:rFonts w:hint="eastAsia" w:ascii="仿宋" w:hAnsi="仿宋" w:eastAsia="仿宋" w:cs="仿宋"/>
                <w:color w:val="auto"/>
                <w:szCs w:val="21"/>
                <w:highlight w:val="none"/>
              </w:rPr>
              <w:t>0.5分（最高得1分）</w:t>
            </w:r>
          </w:p>
        </w:tc>
      </w:tr>
      <w:tr w14:paraId="3F39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4966380A">
            <w:pPr>
              <w:jc w:val="center"/>
              <w:rPr>
                <w:rFonts w:ascii="仿宋" w:hAnsi="仿宋" w:eastAsia="仿宋" w:cs="仿宋"/>
                <w:b/>
                <w:bCs/>
                <w:color w:val="auto"/>
                <w:szCs w:val="21"/>
                <w:highlight w:val="none"/>
              </w:rPr>
            </w:pPr>
          </w:p>
        </w:tc>
        <w:tc>
          <w:tcPr>
            <w:tcW w:w="666" w:type="dxa"/>
            <w:vAlign w:val="center"/>
          </w:tcPr>
          <w:p w14:paraId="7180AFB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0.5</w:t>
            </w:r>
          </w:p>
        </w:tc>
        <w:tc>
          <w:tcPr>
            <w:tcW w:w="7170" w:type="dxa"/>
            <w:vAlign w:val="center"/>
          </w:tcPr>
          <w:p w14:paraId="70E3239A">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拟派项目经理自2021年1月1日以来（以合同签订时间为准）以项目经理身份参与的钢</w:t>
            </w:r>
            <w:r>
              <w:rPr>
                <w:rFonts w:hint="eastAsia" w:ascii="仿宋" w:hAnsi="仿宋" w:eastAsia="仿宋" w:cs="仿宋"/>
                <w:color w:val="auto"/>
                <w:kern w:val="0"/>
                <w:szCs w:val="21"/>
                <w:highlight w:val="none"/>
              </w:rPr>
              <w:t>类似合同业绩</w:t>
            </w:r>
            <w:r>
              <w:rPr>
                <w:rFonts w:hint="eastAsia" w:ascii="仿宋" w:hAnsi="仿宋" w:eastAsia="仿宋" w:cs="仿宋"/>
                <w:color w:val="auto"/>
                <w:szCs w:val="21"/>
                <w:highlight w:val="none"/>
              </w:rPr>
              <w:t>（至少包括钢膜结构，提供的合同及对应分部分项竣工验收报告/竣工验收报告扫描件为准，合同中无法体现项目经理姓名的可提供业主证明材料作为补充）：</w:t>
            </w:r>
            <w:r>
              <w:rPr>
                <w:rFonts w:hint="eastAsia" w:ascii="仿宋" w:hAnsi="仿宋" w:eastAsia="仿宋" w:cs="仿宋"/>
                <w:color w:val="auto"/>
                <w:kern w:val="0"/>
                <w:szCs w:val="21"/>
                <w:highlight w:val="none"/>
              </w:rPr>
              <w:t>每提供1份业绩证明得</w:t>
            </w:r>
            <w:r>
              <w:rPr>
                <w:rFonts w:hint="eastAsia" w:ascii="仿宋" w:hAnsi="仿宋" w:eastAsia="仿宋" w:cs="仿宋"/>
                <w:color w:val="auto"/>
                <w:szCs w:val="21"/>
                <w:highlight w:val="none"/>
              </w:rPr>
              <w:t>0.25分/份（最高得0.5分）</w:t>
            </w:r>
          </w:p>
          <w:p w14:paraId="54D9B677">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说明：拟派项目经理业绩与供应商业绩重复的不计分</w:t>
            </w:r>
          </w:p>
        </w:tc>
      </w:tr>
      <w:tr w14:paraId="0E61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Align w:val="center"/>
          </w:tcPr>
          <w:p w14:paraId="2B42D1C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体系认证</w:t>
            </w:r>
          </w:p>
        </w:tc>
        <w:tc>
          <w:tcPr>
            <w:tcW w:w="666" w:type="dxa"/>
            <w:vAlign w:val="center"/>
          </w:tcPr>
          <w:p w14:paraId="3D75D54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1.5</w:t>
            </w:r>
          </w:p>
        </w:tc>
        <w:tc>
          <w:tcPr>
            <w:tcW w:w="7170" w:type="dxa"/>
            <w:vAlign w:val="center"/>
          </w:tcPr>
          <w:p w14:paraId="6C839114">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供应商有效的质量、环境、职业健康安全管理体系认证：0.5分/项（以提供的证书扫描件及www.cnca.gov.cn“认证结果”查询截图为准）</w:t>
            </w:r>
          </w:p>
        </w:tc>
      </w:tr>
      <w:tr w14:paraId="6CE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shd w:val="clear" w:color="auto" w:fill="auto"/>
            <w:vAlign w:val="center"/>
          </w:tcPr>
          <w:p w14:paraId="52EBD74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节能环保</w:t>
            </w:r>
          </w:p>
        </w:tc>
        <w:tc>
          <w:tcPr>
            <w:tcW w:w="666" w:type="dxa"/>
            <w:shd w:val="clear" w:color="auto" w:fill="auto"/>
            <w:vAlign w:val="center"/>
          </w:tcPr>
          <w:p w14:paraId="3CAFC2C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170" w:type="dxa"/>
            <w:shd w:val="clear" w:color="auto" w:fill="auto"/>
            <w:vAlign w:val="center"/>
          </w:tcPr>
          <w:p w14:paraId="3DCFEDF0">
            <w:pPr>
              <w:rPr>
                <w:rFonts w:ascii="仿宋" w:hAnsi="仿宋" w:eastAsia="仿宋" w:cs="仿宋"/>
                <w:b/>
                <w:bCs/>
                <w:color w:val="auto"/>
                <w:szCs w:val="21"/>
                <w:highlight w:val="none"/>
              </w:rPr>
            </w:pPr>
            <w:r>
              <w:rPr>
                <w:rFonts w:hint="eastAsia" w:ascii="仿宋" w:hAnsi="仿宋" w:eastAsia="仿宋" w:cs="仿宋"/>
                <w:color w:val="auto"/>
                <w:szCs w:val="21"/>
                <w:highlight w:val="none"/>
              </w:rPr>
              <w:t>用于本项目的材料列入政府采购节能产品（已列入强制要求的除外）、环境标志产品品目清单范围的，节能产品0.5分，环境标志产0.5分，本项累计最高得1分。（根据最新政府采购节能产品、环境标志产品品目清单进行评分，供应商应在投标文件中提供相关依据国家确定的认证机构出具的、处于有效期之内的节能产品、环境标志产品认证证书证明材料，否则不得分）。</w:t>
            </w:r>
          </w:p>
        </w:tc>
      </w:tr>
      <w:tr w14:paraId="2474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86" w:type="dxa"/>
            <w:vMerge w:val="restart"/>
            <w:vAlign w:val="center"/>
          </w:tcPr>
          <w:p w14:paraId="157D5D9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66" w:type="dxa"/>
            <w:vAlign w:val="center"/>
          </w:tcPr>
          <w:p w14:paraId="057B924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18</w:t>
            </w:r>
          </w:p>
        </w:tc>
        <w:tc>
          <w:tcPr>
            <w:tcW w:w="7170" w:type="dxa"/>
            <w:vAlign w:val="center"/>
          </w:tcPr>
          <w:p w14:paraId="70A70794">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【主观分】钢膜结构设计（含效果图）专业性、实用性、匹配性。</w:t>
            </w:r>
          </w:p>
          <w:p w14:paraId="52DAA08A">
            <w:pPr>
              <w:rPr>
                <w:rFonts w:ascii="仿宋" w:hAnsi="仿宋" w:eastAsia="仿宋" w:cs="仿宋"/>
                <w:color w:val="auto"/>
                <w:szCs w:val="21"/>
                <w:highlight w:val="none"/>
              </w:rPr>
            </w:pPr>
            <w:r>
              <w:rPr>
                <w:rFonts w:hint="eastAsia" w:ascii="仿宋" w:hAnsi="仿宋" w:eastAsia="仿宋" w:cs="仿宋"/>
                <w:color w:val="auto"/>
                <w:szCs w:val="21"/>
                <w:highlight w:val="none"/>
              </w:rPr>
              <w:t>1.设计方案的深度：最高</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分（评分范围4，3，2，1，0）</w:t>
            </w:r>
          </w:p>
          <w:p w14:paraId="284DBE0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2.重难点分析：最高</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分（评分范围4，3，2，1，0）</w:t>
            </w:r>
          </w:p>
          <w:p w14:paraId="523449E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3.设计优化效果评价：最高</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分（评分范围5，4，3，2，1，0）</w:t>
            </w:r>
          </w:p>
          <w:p w14:paraId="497EE71B">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4.照明设计的合理性：最高5分</w:t>
            </w:r>
            <w:r>
              <w:rPr>
                <w:rFonts w:hint="eastAsia" w:ascii="仿宋" w:hAnsi="仿宋" w:eastAsia="仿宋" w:cs="仿宋"/>
                <w:color w:val="auto"/>
                <w:szCs w:val="21"/>
                <w:highlight w:val="none"/>
              </w:rPr>
              <w:t>（评分范围5，4，3，2，1，0）</w:t>
            </w:r>
          </w:p>
        </w:tc>
      </w:tr>
      <w:tr w14:paraId="53DC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32CB2714">
            <w:pPr>
              <w:jc w:val="center"/>
              <w:rPr>
                <w:rFonts w:ascii="仿宋" w:hAnsi="仿宋" w:eastAsia="仿宋" w:cs="仿宋"/>
                <w:b/>
                <w:bCs/>
                <w:color w:val="auto"/>
                <w:szCs w:val="21"/>
                <w:highlight w:val="none"/>
              </w:rPr>
            </w:pPr>
          </w:p>
        </w:tc>
        <w:tc>
          <w:tcPr>
            <w:tcW w:w="666" w:type="dxa"/>
            <w:vAlign w:val="center"/>
          </w:tcPr>
          <w:p w14:paraId="36A6F6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11</w:t>
            </w:r>
          </w:p>
        </w:tc>
        <w:tc>
          <w:tcPr>
            <w:tcW w:w="7170" w:type="dxa"/>
            <w:vAlign w:val="center"/>
          </w:tcPr>
          <w:p w14:paraId="3E4A2905">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【主观分】费用控制、各类经济技术指标估算专业性、经济性</w:t>
            </w:r>
          </w:p>
          <w:p w14:paraId="3E146CF9">
            <w:pPr>
              <w:rPr>
                <w:rFonts w:ascii="仿宋" w:hAnsi="仿宋" w:eastAsia="仿宋" w:cs="仿宋"/>
                <w:color w:val="auto"/>
                <w:szCs w:val="21"/>
                <w:highlight w:val="none"/>
              </w:rPr>
            </w:pPr>
            <w:r>
              <w:rPr>
                <w:rFonts w:hint="eastAsia" w:ascii="仿宋" w:hAnsi="仿宋" w:eastAsia="仿宋" w:cs="仿宋"/>
                <w:color w:val="auto"/>
                <w:szCs w:val="21"/>
                <w:highlight w:val="none"/>
              </w:rPr>
              <w:t>1.建安工程费用的专业性、合理性（评分范围6，5，4，3，2，1，0）</w:t>
            </w:r>
          </w:p>
          <w:p w14:paraId="30A5633A">
            <w:pPr>
              <w:rPr>
                <w:rFonts w:ascii="仿宋" w:hAnsi="仿宋" w:eastAsia="仿宋" w:cs="仿宋"/>
                <w:b/>
                <w:bCs/>
                <w:color w:val="auto"/>
                <w:szCs w:val="21"/>
                <w:highlight w:val="none"/>
              </w:rPr>
            </w:pPr>
            <w:r>
              <w:rPr>
                <w:rFonts w:hint="eastAsia" w:ascii="仿宋" w:hAnsi="仿宋" w:eastAsia="仿宋" w:cs="仿宋"/>
                <w:color w:val="auto"/>
                <w:szCs w:val="21"/>
                <w:highlight w:val="none"/>
              </w:rPr>
              <w:t>2.建安工程费用的详细程度（评分范围5，4，3，2，1，0）</w:t>
            </w:r>
          </w:p>
        </w:tc>
      </w:tr>
      <w:tr w14:paraId="1A7B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86" w:type="dxa"/>
            <w:vMerge w:val="restart"/>
            <w:vAlign w:val="center"/>
          </w:tcPr>
          <w:p w14:paraId="49A5050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项目实施</w:t>
            </w:r>
          </w:p>
        </w:tc>
        <w:tc>
          <w:tcPr>
            <w:tcW w:w="666" w:type="dxa"/>
            <w:vMerge w:val="restart"/>
            <w:vAlign w:val="center"/>
          </w:tcPr>
          <w:p w14:paraId="5ABEC2C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18</w:t>
            </w:r>
          </w:p>
        </w:tc>
        <w:tc>
          <w:tcPr>
            <w:tcW w:w="7170" w:type="dxa"/>
            <w:vAlign w:val="center"/>
          </w:tcPr>
          <w:p w14:paraId="6FAEA84A">
            <w:pPr>
              <w:bidi w:val="0"/>
              <w:rPr>
                <w:rFonts w:hint="eastAsia" w:ascii="仿宋" w:hAnsi="仿宋" w:eastAsia="仿宋" w:cs="仿宋"/>
                <w:color w:val="auto"/>
                <w:highlight w:val="none"/>
              </w:rPr>
            </w:pPr>
            <w:r>
              <w:rPr>
                <w:rFonts w:hint="eastAsia" w:ascii="仿宋" w:hAnsi="仿宋" w:eastAsia="仿宋" w:cs="仿宋"/>
                <w:b/>
                <w:bCs/>
                <w:color w:val="auto"/>
                <w:highlight w:val="none"/>
              </w:rPr>
              <w:t>【主观分】</w:t>
            </w:r>
            <w:r>
              <w:rPr>
                <w:rFonts w:hint="eastAsia" w:ascii="仿宋" w:hAnsi="仿宋" w:eastAsia="仿宋" w:cs="仿宋"/>
                <w:color w:val="auto"/>
                <w:highlight w:val="none"/>
              </w:rPr>
              <w:t>总体概述（工程概况、施工组织总体设想和实施方案、施工阶段划分）方案专业性、合理性、可行性（评分范围3，2，1，0）</w:t>
            </w:r>
          </w:p>
        </w:tc>
      </w:tr>
      <w:tr w14:paraId="14D0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86" w:type="dxa"/>
            <w:vMerge w:val="continue"/>
            <w:vAlign w:val="center"/>
          </w:tcPr>
          <w:p w14:paraId="00F41A47">
            <w:pPr>
              <w:jc w:val="center"/>
              <w:rPr>
                <w:rFonts w:ascii="仿宋" w:hAnsi="仿宋" w:eastAsia="仿宋" w:cs="仿宋"/>
                <w:b/>
                <w:bCs/>
                <w:color w:val="auto"/>
                <w:szCs w:val="21"/>
                <w:highlight w:val="none"/>
              </w:rPr>
            </w:pPr>
          </w:p>
        </w:tc>
        <w:tc>
          <w:tcPr>
            <w:tcW w:w="666" w:type="dxa"/>
            <w:vMerge w:val="continue"/>
            <w:vAlign w:val="center"/>
          </w:tcPr>
          <w:p w14:paraId="2FA0C18D">
            <w:pPr>
              <w:jc w:val="center"/>
              <w:rPr>
                <w:rFonts w:ascii="仿宋" w:hAnsi="仿宋" w:eastAsia="仿宋" w:cs="仿宋"/>
                <w:b/>
                <w:bCs/>
                <w:color w:val="auto"/>
                <w:szCs w:val="21"/>
                <w:highlight w:val="none"/>
              </w:rPr>
            </w:pPr>
          </w:p>
        </w:tc>
        <w:tc>
          <w:tcPr>
            <w:tcW w:w="7170" w:type="dxa"/>
            <w:vAlign w:val="center"/>
          </w:tcPr>
          <w:p w14:paraId="452E1B0F">
            <w:pPr>
              <w:bidi w:val="0"/>
              <w:rPr>
                <w:rFonts w:hint="eastAsia" w:ascii="仿宋" w:hAnsi="仿宋" w:eastAsia="仿宋" w:cs="仿宋"/>
                <w:color w:val="auto"/>
                <w:highlight w:val="none"/>
              </w:rPr>
            </w:pPr>
            <w:r>
              <w:rPr>
                <w:rFonts w:hint="eastAsia" w:ascii="仿宋" w:hAnsi="仿宋" w:eastAsia="仿宋" w:cs="仿宋"/>
                <w:b/>
                <w:bCs/>
                <w:color w:val="auto"/>
                <w:highlight w:val="none"/>
              </w:rPr>
              <w:t>【主观分】</w:t>
            </w:r>
            <w:r>
              <w:rPr>
                <w:rFonts w:hint="eastAsia" w:ascii="仿宋" w:hAnsi="仿宋" w:eastAsia="仿宋" w:cs="仿宋"/>
                <w:color w:val="auto"/>
                <w:highlight w:val="none"/>
              </w:rPr>
              <w:t>施工方案重难点分析及控制方案专业性、合理性、可行性（评分范围3，2，1，0）</w:t>
            </w:r>
          </w:p>
        </w:tc>
      </w:tr>
      <w:tr w14:paraId="3559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86" w:type="dxa"/>
            <w:vMerge w:val="continue"/>
            <w:vAlign w:val="center"/>
          </w:tcPr>
          <w:p w14:paraId="2F73092D">
            <w:pPr>
              <w:jc w:val="center"/>
              <w:rPr>
                <w:rFonts w:ascii="仿宋" w:hAnsi="仿宋" w:eastAsia="仿宋" w:cs="仿宋"/>
                <w:b/>
                <w:bCs/>
                <w:color w:val="auto"/>
                <w:szCs w:val="21"/>
                <w:highlight w:val="none"/>
              </w:rPr>
            </w:pPr>
          </w:p>
        </w:tc>
        <w:tc>
          <w:tcPr>
            <w:tcW w:w="666" w:type="dxa"/>
            <w:vMerge w:val="continue"/>
            <w:vAlign w:val="center"/>
          </w:tcPr>
          <w:p w14:paraId="6B33CA4D">
            <w:pPr>
              <w:jc w:val="center"/>
              <w:rPr>
                <w:rFonts w:ascii="仿宋" w:hAnsi="仿宋" w:eastAsia="仿宋" w:cs="仿宋"/>
                <w:b/>
                <w:bCs/>
                <w:color w:val="auto"/>
                <w:szCs w:val="21"/>
                <w:highlight w:val="none"/>
              </w:rPr>
            </w:pPr>
          </w:p>
        </w:tc>
        <w:tc>
          <w:tcPr>
            <w:tcW w:w="7170" w:type="dxa"/>
            <w:vAlign w:val="center"/>
          </w:tcPr>
          <w:p w14:paraId="3CE4ECB3">
            <w:pPr>
              <w:bidi w:val="0"/>
              <w:rPr>
                <w:rFonts w:hint="eastAsia" w:ascii="仿宋" w:hAnsi="仿宋" w:eastAsia="仿宋" w:cs="仿宋"/>
                <w:color w:val="auto"/>
                <w:highlight w:val="none"/>
              </w:rPr>
            </w:pPr>
            <w:r>
              <w:rPr>
                <w:rFonts w:hint="eastAsia" w:ascii="仿宋" w:hAnsi="仿宋" w:eastAsia="仿宋" w:cs="仿宋"/>
                <w:b/>
                <w:bCs/>
                <w:color w:val="auto"/>
                <w:highlight w:val="none"/>
              </w:rPr>
              <w:t>【主观分】</w:t>
            </w:r>
            <w:r>
              <w:rPr>
                <w:rFonts w:hint="eastAsia" w:ascii="仿宋" w:hAnsi="仿宋" w:eastAsia="仿宋" w:cs="仿宋"/>
                <w:color w:val="auto"/>
                <w:highlight w:val="none"/>
              </w:rPr>
              <w:t>施工各阶段进度计划、网络图及劳动力、施工机械设备、材料各阶段投入安排方案专业性、合理性、可行性（评分范围3，2，1，0）</w:t>
            </w:r>
          </w:p>
        </w:tc>
      </w:tr>
      <w:tr w14:paraId="565F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4274DA2F">
            <w:pPr>
              <w:jc w:val="center"/>
              <w:rPr>
                <w:rFonts w:ascii="仿宋" w:hAnsi="仿宋" w:eastAsia="仿宋" w:cs="仿宋"/>
                <w:b/>
                <w:bCs/>
                <w:color w:val="auto"/>
                <w:szCs w:val="21"/>
                <w:highlight w:val="none"/>
              </w:rPr>
            </w:pPr>
          </w:p>
        </w:tc>
        <w:tc>
          <w:tcPr>
            <w:tcW w:w="666" w:type="dxa"/>
            <w:vMerge w:val="continue"/>
            <w:vAlign w:val="center"/>
          </w:tcPr>
          <w:p w14:paraId="17E305AF">
            <w:pPr>
              <w:jc w:val="center"/>
              <w:rPr>
                <w:rFonts w:ascii="仿宋" w:hAnsi="仿宋" w:eastAsia="仿宋" w:cs="仿宋"/>
                <w:b/>
                <w:bCs/>
                <w:color w:val="auto"/>
                <w:szCs w:val="21"/>
                <w:highlight w:val="none"/>
              </w:rPr>
            </w:pPr>
          </w:p>
        </w:tc>
        <w:tc>
          <w:tcPr>
            <w:tcW w:w="7170" w:type="dxa"/>
            <w:vAlign w:val="center"/>
          </w:tcPr>
          <w:p w14:paraId="7B5DBE6C">
            <w:pPr>
              <w:bidi w:val="0"/>
              <w:rPr>
                <w:rFonts w:hint="eastAsia" w:ascii="仿宋" w:hAnsi="仿宋" w:eastAsia="仿宋" w:cs="仿宋"/>
                <w:color w:val="auto"/>
                <w:highlight w:val="none"/>
              </w:rPr>
            </w:pPr>
            <w:r>
              <w:rPr>
                <w:rFonts w:hint="eastAsia" w:ascii="仿宋" w:hAnsi="仿宋" w:eastAsia="仿宋" w:cs="仿宋"/>
                <w:b/>
                <w:bCs/>
                <w:color w:val="auto"/>
                <w:highlight w:val="none"/>
              </w:rPr>
              <w:t>【主观分】</w:t>
            </w:r>
            <w:r>
              <w:rPr>
                <w:rFonts w:hint="eastAsia" w:ascii="仿宋" w:hAnsi="仿宋" w:eastAsia="仿宋" w:cs="仿宋"/>
                <w:color w:val="auto"/>
                <w:highlight w:val="none"/>
              </w:rPr>
              <w:t>施工材料设备选型方案专业性、合理性、可行性（评分范围3，2，1，0）</w:t>
            </w:r>
          </w:p>
        </w:tc>
      </w:tr>
      <w:tr w14:paraId="643D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4BD53252">
            <w:pPr>
              <w:jc w:val="center"/>
              <w:rPr>
                <w:rFonts w:ascii="仿宋" w:hAnsi="仿宋" w:eastAsia="仿宋" w:cs="仿宋"/>
                <w:b/>
                <w:bCs/>
                <w:color w:val="auto"/>
                <w:szCs w:val="21"/>
                <w:highlight w:val="none"/>
              </w:rPr>
            </w:pPr>
          </w:p>
        </w:tc>
        <w:tc>
          <w:tcPr>
            <w:tcW w:w="666" w:type="dxa"/>
            <w:vMerge w:val="continue"/>
            <w:vAlign w:val="center"/>
          </w:tcPr>
          <w:p w14:paraId="655BF70A">
            <w:pPr>
              <w:jc w:val="center"/>
              <w:rPr>
                <w:rFonts w:ascii="仿宋" w:hAnsi="仿宋" w:eastAsia="仿宋" w:cs="仿宋"/>
                <w:b/>
                <w:bCs/>
                <w:color w:val="auto"/>
                <w:szCs w:val="21"/>
                <w:highlight w:val="none"/>
              </w:rPr>
            </w:pPr>
          </w:p>
        </w:tc>
        <w:tc>
          <w:tcPr>
            <w:tcW w:w="7170" w:type="dxa"/>
            <w:vAlign w:val="center"/>
          </w:tcPr>
          <w:p w14:paraId="4FF7A41E">
            <w:pPr>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【主观分】</w:t>
            </w:r>
            <w:r>
              <w:rPr>
                <w:rFonts w:hint="eastAsia" w:ascii="仿宋" w:hAnsi="仿宋" w:eastAsia="仿宋" w:cs="仿宋"/>
                <w:color w:val="auto"/>
                <w:highlight w:val="none"/>
              </w:rPr>
              <w:t>突发事件应急措施及处理方案专业性、合理性、可行性（评分范围3，2，1，0）</w:t>
            </w:r>
          </w:p>
        </w:tc>
      </w:tr>
      <w:tr w14:paraId="51D8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7769380D">
            <w:pPr>
              <w:jc w:val="center"/>
              <w:rPr>
                <w:rFonts w:ascii="仿宋" w:hAnsi="仿宋" w:eastAsia="仿宋" w:cs="仿宋"/>
                <w:b/>
                <w:bCs/>
                <w:color w:val="auto"/>
                <w:szCs w:val="21"/>
                <w:highlight w:val="none"/>
              </w:rPr>
            </w:pPr>
          </w:p>
        </w:tc>
        <w:tc>
          <w:tcPr>
            <w:tcW w:w="666" w:type="dxa"/>
            <w:vMerge w:val="continue"/>
            <w:vAlign w:val="center"/>
          </w:tcPr>
          <w:p w14:paraId="4CB38ABD">
            <w:pPr>
              <w:jc w:val="center"/>
              <w:rPr>
                <w:rFonts w:ascii="仿宋" w:hAnsi="仿宋" w:eastAsia="仿宋" w:cs="仿宋"/>
                <w:b/>
                <w:bCs/>
                <w:color w:val="auto"/>
                <w:szCs w:val="21"/>
                <w:highlight w:val="none"/>
              </w:rPr>
            </w:pPr>
          </w:p>
        </w:tc>
        <w:tc>
          <w:tcPr>
            <w:tcW w:w="7170" w:type="dxa"/>
            <w:vAlign w:val="center"/>
          </w:tcPr>
          <w:p w14:paraId="1EDE510D">
            <w:pPr>
              <w:bidi w:val="0"/>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【主观分】</w:t>
            </w:r>
            <w:r>
              <w:rPr>
                <w:rFonts w:hint="eastAsia" w:ascii="仿宋" w:hAnsi="仿宋" w:eastAsia="仿宋" w:cs="仿宋"/>
                <w:b w:val="0"/>
                <w:bCs w:val="0"/>
                <w:color w:val="auto"/>
                <w:highlight w:val="none"/>
                <w:lang w:val="en-US" w:eastAsia="zh-CN"/>
              </w:rPr>
              <w:t>场地保护的方案</w:t>
            </w:r>
            <w:r>
              <w:rPr>
                <w:rFonts w:hint="eastAsia" w:ascii="仿宋" w:hAnsi="仿宋" w:eastAsia="仿宋" w:cs="仿宋"/>
                <w:color w:val="auto"/>
                <w:highlight w:val="none"/>
              </w:rPr>
              <w:t>专业性、合理性、可行性（评分范围3，2，1，0）</w:t>
            </w:r>
          </w:p>
        </w:tc>
      </w:tr>
      <w:tr w14:paraId="2B65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restart"/>
            <w:vAlign w:val="center"/>
          </w:tcPr>
          <w:p w14:paraId="692EBFA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保障措施</w:t>
            </w:r>
          </w:p>
        </w:tc>
        <w:tc>
          <w:tcPr>
            <w:tcW w:w="666" w:type="dxa"/>
            <w:vAlign w:val="center"/>
          </w:tcPr>
          <w:p w14:paraId="417B6AF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170" w:type="dxa"/>
            <w:vAlign w:val="center"/>
          </w:tcPr>
          <w:p w14:paraId="36C47FBF">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施工各阶段进度及施工用材料、半成品、外购件质量保证措施：根据方案的全面性、科学性、合理性及</w:t>
            </w:r>
            <w:r>
              <w:rPr>
                <w:rFonts w:hint="eastAsia" w:ascii="仿宋" w:hAnsi="仿宋" w:eastAsia="仿宋" w:cs="仿宋"/>
                <w:color w:val="auto"/>
                <w:highlight w:val="none"/>
              </w:rPr>
              <w:t>针对性、可操作性进行评审。</w:t>
            </w:r>
            <w:r>
              <w:rPr>
                <w:rFonts w:hint="eastAsia" w:ascii="仿宋" w:hAnsi="仿宋" w:eastAsia="仿宋" w:cs="仿宋"/>
                <w:color w:val="auto"/>
                <w:szCs w:val="21"/>
                <w:highlight w:val="none"/>
              </w:rPr>
              <w:t>（评分范围：3，2，1，0）</w:t>
            </w:r>
          </w:p>
        </w:tc>
      </w:tr>
      <w:tr w14:paraId="41FD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709237FF">
            <w:pPr>
              <w:jc w:val="center"/>
              <w:rPr>
                <w:rFonts w:ascii="仿宋" w:hAnsi="仿宋" w:eastAsia="仿宋" w:cs="仿宋"/>
                <w:b/>
                <w:bCs/>
                <w:color w:val="auto"/>
                <w:szCs w:val="21"/>
                <w:highlight w:val="none"/>
              </w:rPr>
            </w:pPr>
          </w:p>
        </w:tc>
        <w:tc>
          <w:tcPr>
            <w:tcW w:w="666" w:type="dxa"/>
            <w:vAlign w:val="center"/>
          </w:tcPr>
          <w:p w14:paraId="347B154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170" w:type="dxa"/>
            <w:vAlign w:val="center"/>
          </w:tcPr>
          <w:p w14:paraId="70ECA833">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安全文明施工及市政、市容、环保、消防等措施：根据措施的全面性、科学性、合理性及</w:t>
            </w:r>
            <w:r>
              <w:rPr>
                <w:rFonts w:hint="eastAsia" w:ascii="仿宋" w:hAnsi="仿宋" w:eastAsia="仿宋" w:cs="仿宋"/>
                <w:color w:val="auto"/>
                <w:highlight w:val="none"/>
              </w:rPr>
              <w:t>针对性、可操作性进行评审。</w:t>
            </w:r>
            <w:r>
              <w:rPr>
                <w:rFonts w:hint="eastAsia" w:ascii="仿宋" w:hAnsi="仿宋" w:eastAsia="仿宋" w:cs="仿宋"/>
                <w:color w:val="auto"/>
                <w:szCs w:val="21"/>
                <w:highlight w:val="none"/>
              </w:rPr>
              <w:t>（评分范围：2，1，0）</w:t>
            </w:r>
          </w:p>
        </w:tc>
      </w:tr>
      <w:tr w14:paraId="068F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37B3A37A">
            <w:pPr>
              <w:jc w:val="center"/>
              <w:rPr>
                <w:rFonts w:ascii="仿宋" w:hAnsi="仿宋" w:eastAsia="仿宋" w:cs="仿宋"/>
                <w:b/>
                <w:bCs/>
                <w:color w:val="auto"/>
                <w:szCs w:val="21"/>
                <w:highlight w:val="none"/>
              </w:rPr>
            </w:pPr>
          </w:p>
        </w:tc>
        <w:tc>
          <w:tcPr>
            <w:tcW w:w="666" w:type="dxa"/>
            <w:vAlign w:val="center"/>
          </w:tcPr>
          <w:p w14:paraId="019358C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170" w:type="dxa"/>
            <w:vAlign w:val="center"/>
          </w:tcPr>
          <w:p w14:paraId="0CC1EC37">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服从采购人协调和统一管理及配合措施、特殊服务承诺：根据承诺的全面性、科学性、合理性、针对采购需求及实际特点、有利于采购标的实现及合同履约情况进行评审</w:t>
            </w:r>
            <w:r>
              <w:rPr>
                <w:rFonts w:hint="eastAsia" w:ascii="仿宋" w:hAnsi="仿宋" w:eastAsia="仿宋" w:cs="仿宋"/>
                <w:color w:val="auto"/>
                <w:highlight w:val="none"/>
              </w:rPr>
              <w:t>。</w:t>
            </w:r>
            <w:r>
              <w:rPr>
                <w:rFonts w:hint="eastAsia" w:ascii="仿宋" w:hAnsi="仿宋" w:eastAsia="仿宋" w:cs="仿宋"/>
                <w:color w:val="auto"/>
                <w:szCs w:val="21"/>
                <w:highlight w:val="none"/>
              </w:rPr>
              <w:t>（评分范围：2，1，0）</w:t>
            </w:r>
          </w:p>
        </w:tc>
      </w:tr>
      <w:tr w14:paraId="5CCD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restart"/>
            <w:vAlign w:val="center"/>
          </w:tcPr>
          <w:p w14:paraId="54037BE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项目班组</w:t>
            </w:r>
          </w:p>
        </w:tc>
        <w:tc>
          <w:tcPr>
            <w:tcW w:w="666" w:type="dxa"/>
            <w:vAlign w:val="center"/>
          </w:tcPr>
          <w:p w14:paraId="24B49F7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170" w:type="dxa"/>
            <w:vAlign w:val="center"/>
          </w:tcPr>
          <w:p w14:paraId="4056CB9C">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项目经理资质、经验、承诺到位率（评分范围：3，2，1，0）</w:t>
            </w:r>
          </w:p>
        </w:tc>
      </w:tr>
      <w:tr w14:paraId="78BF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6409B259">
            <w:pPr>
              <w:jc w:val="center"/>
              <w:rPr>
                <w:rFonts w:ascii="仿宋" w:hAnsi="仿宋" w:eastAsia="仿宋" w:cs="仿宋"/>
                <w:b/>
                <w:bCs/>
                <w:color w:val="auto"/>
                <w:szCs w:val="21"/>
                <w:highlight w:val="none"/>
              </w:rPr>
            </w:pPr>
          </w:p>
        </w:tc>
        <w:tc>
          <w:tcPr>
            <w:tcW w:w="666" w:type="dxa"/>
            <w:vAlign w:val="center"/>
          </w:tcPr>
          <w:p w14:paraId="630BE84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170" w:type="dxa"/>
            <w:vAlign w:val="center"/>
          </w:tcPr>
          <w:p w14:paraId="5ADA0357">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项目管理班子其他人员配置、资质、经验、承诺到位率（评分范围：2，1，0）</w:t>
            </w:r>
          </w:p>
        </w:tc>
      </w:tr>
      <w:tr w14:paraId="4558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5629C494">
            <w:pPr>
              <w:jc w:val="center"/>
              <w:rPr>
                <w:rFonts w:ascii="仿宋" w:hAnsi="仿宋" w:eastAsia="仿宋" w:cs="仿宋"/>
                <w:b/>
                <w:bCs/>
                <w:color w:val="auto"/>
                <w:szCs w:val="21"/>
                <w:highlight w:val="none"/>
              </w:rPr>
            </w:pPr>
          </w:p>
        </w:tc>
        <w:tc>
          <w:tcPr>
            <w:tcW w:w="666" w:type="dxa"/>
            <w:vAlign w:val="center"/>
          </w:tcPr>
          <w:p w14:paraId="1B6749F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170" w:type="dxa"/>
            <w:vAlign w:val="center"/>
          </w:tcPr>
          <w:p w14:paraId="648E6226">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设计人员资质、经验（评分范围：2，1，0）</w:t>
            </w:r>
          </w:p>
        </w:tc>
      </w:tr>
      <w:tr w14:paraId="046C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63BFA48F">
            <w:pPr>
              <w:jc w:val="center"/>
              <w:rPr>
                <w:rFonts w:ascii="仿宋" w:hAnsi="仿宋" w:eastAsia="仿宋" w:cs="仿宋"/>
                <w:b/>
                <w:bCs/>
                <w:color w:val="auto"/>
                <w:szCs w:val="21"/>
                <w:highlight w:val="none"/>
              </w:rPr>
            </w:pPr>
          </w:p>
        </w:tc>
        <w:tc>
          <w:tcPr>
            <w:tcW w:w="666" w:type="dxa"/>
            <w:vAlign w:val="center"/>
          </w:tcPr>
          <w:p w14:paraId="4A18DC1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170" w:type="dxa"/>
            <w:vAlign w:val="center"/>
          </w:tcPr>
          <w:p w14:paraId="36C0258A">
            <w:p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预算编制人员资质、经验（评分范围：2，1，0）</w:t>
            </w:r>
          </w:p>
        </w:tc>
      </w:tr>
      <w:tr w14:paraId="2F19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6" w:type="dxa"/>
            <w:vAlign w:val="center"/>
          </w:tcPr>
          <w:p w14:paraId="610E975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66" w:type="dxa"/>
            <w:vAlign w:val="center"/>
          </w:tcPr>
          <w:p w14:paraId="07D1621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170" w:type="dxa"/>
            <w:vAlign w:val="center"/>
          </w:tcPr>
          <w:p w14:paraId="06ACD2A4">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售后服务方案全面性、针对性，包括服务内容、服务承诺、响应时间、服务方式、人员配备、应急服务等。（评分范围：3，2，1，0）</w:t>
            </w:r>
          </w:p>
        </w:tc>
      </w:tr>
    </w:tbl>
    <w:p w14:paraId="050C3EAC">
      <w:pPr>
        <w:autoSpaceDN w:val="0"/>
        <w:rPr>
          <w:rFonts w:ascii="Times New Roman" w:hAnsi="Times New Roman" w:eastAsia="仿宋" w:cs="Times New Roman"/>
          <w:b/>
          <w:color w:val="auto"/>
          <w:sz w:val="24"/>
          <w:szCs w:val="24"/>
          <w:highlight w:val="none"/>
        </w:rPr>
      </w:pPr>
    </w:p>
    <w:p w14:paraId="41CD05A8">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14:paraId="715EC835">
      <w:pPr>
        <w:keepNext/>
        <w:keepLines/>
        <w:autoSpaceDN w:val="0"/>
        <w:spacing w:before="97" w:beforeLines="30" w:after="97" w:afterLines="30" w:line="360" w:lineRule="auto"/>
        <w:outlineLvl w:val="2"/>
        <w:rPr>
          <w:rFonts w:ascii="仿宋_GB2312" w:hAnsi="仿宋_GB2312" w:eastAsia="仿宋_GB2312" w:cs="仿宋_GB2312"/>
          <w:b/>
          <w:bCs/>
          <w:color w:val="auto"/>
          <w:sz w:val="24"/>
          <w:szCs w:val="32"/>
          <w:highlight w:val="none"/>
        </w:rPr>
      </w:pP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32"/>
          <w:highlight w:val="none"/>
        </w:rPr>
        <w:t>报价分（30分）</w:t>
      </w:r>
    </w:p>
    <w:p w14:paraId="5C3392B6">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rPr>
        <w:t>30</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rPr>
        <w:t>30</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14:paraId="41903AE4">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rPr>
        <w:t>30</w:t>
      </w:r>
      <w:r>
        <w:rPr>
          <w:rFonts w:ascii="Times New Roman" w:hAnsi="Times New Roman" w:eastAsia="仿宋" w:cs="Times New Roman"/>
          <w:b/>
          <w:color w:val="auto"/>
          <w:kern w:val="0"/>
          <w:sz w:val="24"/>
          <w:szCs w:val="24"/>
          <w:highlight w:val="none"/>
        </w:rPr>
        <w:t>%×100</w:t>
      </w:r>
    </w:p>
    <w:p w14:paraId="55301072">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14:paraId="2FF3DA87">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w:t>
      </w:r>
      <w:r>
        <w:rPr>
          <w:rFonts w:hint="eastAsia" w:ascii="Times New Roman" w:hAnsi="Times New Roman" w:eastAsia="仿宋" w:cs="Times New Roman"/>
          <w:b/>
          <w:color w:val="auto"/>
          <w:sz w:val="24"/>
          <w:szCs w:val="24"/>
          <w:highlight w:val="none"/>
          <w:u w:val="single"/>
          <w:lang w:val="en-US" w:eastAsia="zh-CN"/>
        </w:rPr>
        <w:t>非</w:t>
      </w:r>
      <w:r>
        <w:rPr>
          <w:rFonts w:hint="eastAsia" w:ascii="Times New Roman" w:hAnsi="Times New Roman" w:eastAsia="仿宋" w:cs="Times New Roman"/>
          <w:b/>
          <w:color w:val="auto"/>
          <w:sz w:val="24"/>
          <w:szCs w:val="24"/>
          <w:highlight w:val="none"/>
          <w:u w:val="single"/>
        </w:rPr>
        <w:t>专门面向中小企业采购</w:t>
      </w:r>
      <w:r>
        <w:rPr>
          <w:rFonts w:hint="eastAsia" w:ascii="Times New Roman" w:hAnsi="Times New Roman" w:eastAsia="仿宋" w:cs="Times New Roman"/>
          <w:b/>
          <w:color w:val="auto"/>
          <w:sz w:val="24"/>
          <w:szCs w:val="24"/>
          <w:highlight w:val="none"/>
        </w:rPr>
        <w:t>；</w:t>
      </w:r>
    </w:p>
    <w:p w14:paraId="39134336">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3306441D">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7" w:name="_Toc520824348"/>
      <w:bookmarkStart w:id="88" w:name="_Toc440162797"/>
      <w:bookmarkStart w:id="89" w:name="_Toc474729562"/>
      <w:bookmarkStart w:id="90" w:name="_Toc96947086"/>
      <w:bookmarkStart w:id="91" w:name="_Toc10395"/>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14:paraId="126FC9AE">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14:paraId="6598D414">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14:paraId="330CE220">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14:paraId="104BBDD2">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14:paraId="44BDCCBF">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14:paraId="4064A2B7">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14:paraId="6FC30C76">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14:paraId="28C1FDBC">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352FDA4F">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14:paraId="07D6C75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14:paraId="55AA28C0">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14:paraId="7BEA26E9">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14:paraId="60E3BEB1">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14:paraId="1C17647E">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14:paraId="48770798">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14:paraId="196B398C">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14:paraId="418B75D8">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1E34ABF9">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65B63464">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14:paraId="1A04BE5E">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14:paraId="4307CE0D">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14:paraId="1D78A184">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14:paraId="37D901CC">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14:paraId="1B26B578">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14:paraId="370C8593">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14:paraId="766D2F17">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14:paraId="55B48BA0">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14:paraId="0A5D662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14:paraId="3C247E4C">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14:paraId="5F0DEFD1">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14:paraId="34B6065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14:paraId="461DC9D0">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7FD40FB8">
      <w:pPr>
        <w:autoSpaceDN w:val="0"/>
        <w:spacing w:line="200" w:lineRule="exact"/>
        <w:ind w:firstLine="301"/>
        <w:rPr>
          <w:rFonts w:ascii="宋体" w:hAnsi="Courier New" w:eastAsia="宋体" w:cs="Times New Roman"/>
          <w:color w:val="auto"/>
          <w:spacing w:val="-4"/>
          <w:kern w:val="0"/>
          <w:sz w:val="18"/>
          <w:szCs w:val="20"/>
          <w:highlight w:val="none"/>
        </w:rPr>
      </w:pPr>
    </w:p>
    <w:p w14:paraId="056BF9E9">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8854"/>
      <w:r>
        <w:rPr>
          <w:rFonts w:hint="eastAsia" w:ascii="仿宋" w:hAnsi="仿宋" w:eastAsia="仿宋" w:cs="宋体"/>
          <w:b/>
          <w:color w:val="auto"/>
          <w:sz w:val="32"/>
          <w:szCs w:val="32"/>
          <w:highlight w:val="none"/>
        </w:rPr>
        <w:t>第四章 采购内容及需求</w:t>
      </w:r>
      <w:bookmarkEnd w:id="92"/>
    </w:p>
    <w:p w14:paraId="1A5F210F">
      <w:pPr>
        <w:spacing w:line="360" w:lineRule="auto"/>
        <w:ind w:firstLine="482" w:firstLineChars="200"/>
        <w:jc w:val="left"/>
        <w:rPr>
          <w:rFonts w:ascii="仿宋" w:hAnsi="仿宋" w:eastAsia="仿宋" w:cs="仿宋"/>
          <w:b/>
          <w:bCs/>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rPr>
        <w:t>一、工程概况</w:t>
      </w:r>
    </w:p>
    <w:p w14:paraId="4E8405E1">
      <w:pPr>
        <w:adjustRightInd w:val="0"/>
        <w:snapToGrid w:val="0"/>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1.工程名称：</w:t>
      </w:r>
      <w:r>
        <w:rPr>
          <w:rFonts w:hint="eastAsia" w:ascii="仿宋" w:hAnsi="仿宋" w:eastAsia="仿宋" w:cs="仿宋"/>
          <w:color w:val="auto"/>
          <w:sz w:val="24"/>
          <w:szCs w:val="24"/>
          <w:highlight w:val="none"/>
          <w:lang w:eastAsia="zh-CN"/>
        </w:rPr>
        <w:t>浙江工业大学屏峰校区室外运动场改造工程</w:t>
      </w:r>
      <w:r>
        <w:rPr>
          <w:rFonts w:hint="eastAsia" w:ascii="仿宋" w:hAnsi="仿宋" w:eastAsia="仿宋" w:cs="仿宋"/>
          <w:color w:val="auto"/>
          <w:sz w:val="24"/>
          <w:szCs w:val="24"/>
          <w:highlight w:val="none"/>
        </w:rPr>
        <w:t>。</w:t>
      </w:r>
    </w:p>
    <w:p w14:paraId="39E262E1">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2.基本情况：</w:t>
      </w:r>
    </w:p>
    <w:p w14:paraId="3CF818EC">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屏峰校区室外运动场改造工程采用EPC</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rPr>
        <w:t>总</w:t>
      </w:r>
      <w:r>
        <w:rPr>
          <w:rFonts w:ascii="仿宋" w:hAnsi="仿宋" w:eastAsia="仿宋" w:cs="仿宋"/>
          <w:color w:val="auto"/>
          <w:sz w:val="24"/>
          <w:szCs w:val="24"/>
          <w:highlight w:val="none"/>
        </w:rPr>
        <w:t>承包模式，</w:t>
      </w:r>
      <w:r>
        <w:rPr>
          <w:rFonts w:hint="eastAsia" w:ascii="仿宋" w:hAnsi="仿宋" w:eastAsia="仿宋" w:cs="仿宋"/>
          <w:color w:val="auto"/>
          <w:sz w:val="24"/>
          <w:szCs w:val="24"/>
          <w:highlight w:val="none"/>
        </w:rPr>
        <w:t>该项目是在1-F区块3片室外网球场新建钢膜结构雨棚，场地面积约2100平方米。涉及专业主要为建筑、结构、水、电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绿化</w:t>
      </w:r>
      <w:r>
        <w:rPr>
          <w:rFonts w:hint="eastAsia" w:ascii="仿宋" w:hAnsi="仿宋" w:eastAsia="仿宋" w:cs="仿宋"/>
          <w:color w:val="auto"/>
          <w:sz w:val="24"/>
          <w:szCs w:val="24"/>
          <w:highlight w:val="none"/>
        </w:rPr>
        <w:t>等专业工程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项目预算195万元。</w:t>
      </w:r>
    </w:p>
    <w:p w14:paraId="14E0DEA4">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设计：收集现有资料、现场踏勘、需求沟通；施工图设计（包括建筑、结构、给排水、电气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绿化等</w:t>
      </w:r>
      <w:r>
        <w:rPr>
          <w:rFonts w:hint="eastAsia" w:ascii="仿宋" w:hAnsi="仿宋" w:eastAsia="仿宋" w:cs="仿宋"/>
          <w:color w:val="auto"/>
          <w:sz w:val="24"/>
          <w:szCs w:val="24"/>
          <w:highlight w:val="none"/>
        </w:rPr>
        <w:t>）；编制项目清单预算；所有设计内容须经采购人审核同意后方可实施。</w:t>
      </w:r>
    </w:p>
    <w:p w14:paraId="11CA094E">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2.采购、施工：为本工程范围内所有工程材料、设备的采购、安装调试及全部施工内容，对工程项目进行质量、安全、进度、投资等控制，合同、信息等管理，竣工资料归档，质保期内的保修服务等。</w:t>
      </w:r>
    </w:p>
    <w:p w14:paraId="0ED3B301">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3.现场条件</w:t>
      </w:r>
    </w:p>
    <w:p w14:paraId="6A86F3A5">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（1）已具备施工条件，但施工不能影响学校正常的教学、生活。</w:t>
      </w:r>
    </w:p>
    <w:p w14:paraId="563DE951">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踏勘联系人：金老师  联系电话：0571-85290268</w:t>
      </w:r>
      <w:r>
        <w:rPr>
          <w:rFonts w:hint="eastAsia" w:ascii="仿宋" w:hAnsi="仿宋" w:eastAsia="仿宋" w:cs="仿宋"/>
          <w:color w:val="auto"/>
          <w:sz w:val="24"/>
          <w:szCs w:val="24"/>
          <w:highlight w:val="none"/>
          <w:lang w:eastAsia="zh-CN"/>
        </w:rPr>
        <w:t>。</w:t>
      </w:r>
    </w:p>
    <w:p w14:paraId="202CA33E">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4.工程质量标准</w:t>
      </w:r>
    </w:p>
    <w:p w14:paraId="6B7F3AB1">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14:paraId="0AFB88D9">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5.工期要求</w:t>
      </w:r>
    </w:p>
    <w:p w14:paraId="6EBD99B6">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天（其中设计工期</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天，施工工期</w:t>
      </w:r>
      <w:r>
        <w:rPr>
          <w:rFonts w:hint="eastAsia" w:ascii="仿宋" w:hAnsi="仿宋" w:eastAsia="仿宋" w:cs="仿宋"/>
          <w:color w:val="auto"/>
          <w:sz w:val="24"/>
          <w:szCs w:val="24"/>
          <w:highlight w:val="none"/>
          <w:lang w:val="en-US" w:eastAsia="zh-CN"/>
        </w:rPr>
        <w:t>103</w:t>
      </w:r>
      <w:r>
        <w:rPr>
          <w:rFonts w:hint="eastAsia" w:ascii="仿宋" w:hAnsi="仿宋" w:eastAsia="仿宋" w:cs="仿宋"/>
          <w:color w:val="auto"/>
          <w:sz w:val="24"/>
          <w:szCs w:val="24"/>
          <w:highlight w:val="none"/>
        </w:rPr>
        <w:t>天）。</w:t>
      </w:r>
    </w:p>
    <w:p w14:paraId="7ABED3C0">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供应商须确保按期完工，并在磋商响应文件中列出详细的工期进度计划。供应商可在响应文件中承诺更短的工期。</w:t>
      </w:r>
    </w:p>
    <w:p w14:paraId="05CE57AD">
      <w:pPr>
        <w:pStyle w:val="23"/>
        <w:adjustRightInd w:val="0"/>
        <w:snapToGrid w:val="0"/>
        <w:spacing w:after="0" w:line="360" w:lineRule="auto"/>
        <w:rPr>
          <w:color w:val="auto"/>
          <w:highlight w:val="none"/>
        </w:rPr>
      </w:pPr>
    </w:p>
    <w:p w14:paraId="5806431D">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0349A361">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1.需执行的国家相关标准、行业标准、地方标准或者其他标准、规范：</w:t>
      </w:r>
    </w:p>
    <w:p w14:paraId="3B0D6CAC">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 达到现行中华人民共和国及省、市、行业的一切有关法规、规范的要求，如标准及规范要求有出入则以较严格者为准，有最新标准的按最新标准执行；</w:t>
      </w:r>
    </w:p>
    <w:p w14:paraId="0D0ED151">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2.需实现的功能或者目标：</w:t>
      </w:r>
    </w:p>
    <w:p w14:paraId="0C80B7D7">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2.1 项目目标</w:t>
      </w:r>
    </w:p>
    <w:p w14:paraId="231FB057">
      <w:pPr>
        <w:pStyle w:val="30"/>
        <w:adjustRightInd w:val="0"/>
        <w:snapToGrid w:val="0"/>
        <w:spacing w:beforeLines="0" w:afterLines="0" w:line="360" w:lineRule="auto"/>
        <w:ind w:firstLine="480"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在</w:t>
      </w:r>
      <w:r>
        <w:rPr>
          <w:rFonts w:hint="eastAsia" w:ascii="仿宋" w:hAnsi="仿宋" w:eastAsia="仿宋" w:cs="仿宋"/>
          <w:b w:val="0"/>
          <w:bCs w:val="0"/>
          <w:color w:val="auto"/>
          <w:highlight w:val="none"/>
          <w:lang w:eastAsia="zh-CN"/>
        </w:rPr>
        <w:t>1-F区块3片室外网球场新建钢膜结构雨棚，</w:t>
      </w:r>
      <w:r>
        <w:rPr>
          <w:rFonts w:hint="eastAsia" w:ascii="仿宋" w:hAnsi="仿宋" w:eastAsia="仿宋" w:cs="仿宋"/>
          <w:b w:val="0"/>
          <w:bCs w:val="0"/>
          <w:color w:val="auto"/>
          <w:highlight w:val="none"/>
          <w:lang w:val="en-US" w:eastAsia="zh-CN"/>
        </w:rPr>
        <w:t>钢膜雨棚位于网球场上方，采用曲面形屋面，屋面有组织排水，雪荷载、风荷载</w:t>
      </w:r>
      <w:r>
        <w:rPr>
          <w:rFonts w:hint="default" w:ascii="仿宋" w:hAnsi="仿宋" w:eastAsia="仿宋" w:cs="仿宋"/>
          <w:b w:val="0"/>
          <w:bCs w:val="0"/>
          <w:color w:val="auto"/>
          <w:highlight w:val="none"/>
          <w:lang w:val="en-US" w:eastAsia="zh-CN"/>
        </w:rPr>
        <w:t>设计值不低于</w:t>
      </w:r>
      <w:r>
        <w:rPr>
          <w:rFonts w:hint="eastAsia" w:ascii="仿宋" w:hAnsi="仿宋" w:eastAsia="仿宋" w:cs="仿宋"/>
          <w:b w:val="0"/>
          <w:bCs w:val="0"/>
          <w:color w:val="auto"/>
          <w:highlight w:val="none"/>
          <w:lang w:val="en-US" w:eastAsia="zh-CN"/>
        </w:rPr>
        <w:t>建筑结构荷载规范等相关要求。端线6.40米以外的上空净高应不少于6.40米，室内屋顶在球网上空的净高不少于12.50米。</w:t>
      </w:r>
    </w:p>
    <w:p w14:paraId="4C8854F5">
      <w:pPr>
        <w:pStyle w:val="30"/>
        <w:adjustRightInd w:val="0"/>
        <w:snapToGrid w:val="0"/>
        <w:spacing w:beforeLines="0" w:afterLines="0" w:line="360" w:lineRule="auto"/>
        <w:ind w:firstLine="480"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改造范围：绿化移除（乔木除外）及恢复，基础开挖，土石方及建筑垃圾清理和外运，钢膜结构雨棚的基础浇筑、采购安装，原场地灯具及控制系统的迁移、调整及调试，电缆管线的重新铺设，场外排水及接入现有雨水管网，原场地灯杆移除及地面修补，场地南侧条状由草坪改为矮灌等。</w:t>
      </w:r>
    </w:p>
    <w:p w14:paraId="2B903F18">
      <w:pPr>
        <w:pStyle w:val="30"/>
        <w:adjustRightInd w:val="0"/>
        <w:snapToGrid w:val="0"/>
        <w:spacing w:beforeLines="0" w:afterLines="0" w:line="360" w:lineRule="auto"/>
        <w:ind w:firstLine="482" w:firstLineChars="200"/>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设计方案及后续施工不得损坏、破坏现有网球场丙烯酸地面、围网。</w:t>
      </w:r>
      <w:r>
        <w:rPr>
          <w:rFonts w:hint="eastAsia" w:ascii="仿宋" w:hAnsi="仿宋" w:eastAsia="仿宋" w:cs="仿宋"/>
          <w:b w:val="0"/>
          <w:bCs w:val="0"/>
          <w:color w:val="auto"/>
          <w:highlight w:val="none"/>
          <w:lang w:val="en-US" w:eastAsia="zh-CN"/>
        </w:rPr>
        <w:t>如有损坏须按原场地施工要求恢复，直到符合使用单位要求，相关修复费用在合同中扣除。如恢复不到位的，引起的损失全部由承包方承担。设计方案需和周边环境、交通融合，设计方案的钢结构柱位置与场地南侧围网原入口冲突的，可将入口移到场地东、西两侧围网，具体位置现场确定。</w:t>
      </w:r>
    </w:p>
    <w:p w14:paraId="11E4B03C">
      <w:pPr>
        <w:pStyle w:val="30"/>
        <w:adjustRightInd w:val="0"/>
        <w:snapToGrid w:val="0"/>
        <w:spacing w:beforeLines="0" w:afterLines="0"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投标时提供初步方案（含效果图）及对应的设计概算。中标后完成施工图设计，并经招标方认可后定稿，提供施工图预算，作为后期竣工结算的参考。</w:t>
      </w:r>
    </w:p>
    <w:p w14:paraId="633CDEB5">
      <w:pPr>
        <w:pStyle w:val="30"/>
        <w:adjustRightInd w:val="0"/>
        <w:snapToGrid w:val="0"/>
        <w:spacing w:beforeLines="0" w:afterLines="0" w:line="360" w:lineRule="auto"/>
        <w:ind w:firstLine="480" w:firstLineChars="200"/>
        <w:rPr>
          <w:rFonts w:ascii="仿宋" w:hAnsi="仿宋" w:eastAsia="仿宋" w:cs="仿宋"/>
          <w:b w:val="0"/>
          <w:bCs w:val="0"/>
          <w:color w:val="auto"/>
          <w:highlight w:val="none"/>
        </w:rPr>
      </w:pPr>
    </w:p>
    <w:p w14:paraId="4620E1EC">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2.2 项目现状。</w:t>
      </w:r>
    </w:p>
    <w:p w14:paraId="768800EF">
      <w:pPr>
        <w:pStyle w:val="30"/>
        <w:adjustRightInd w:val="0"/>
        <w:snapToGrid w:val="0"/>
        <w:spacing w:beforeLines="0" w:afterLines="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网球场及雨棚位置如图1所示，原场地为丙烯酸地面网球场地。钢膜结构效果图参照如图2所示，可根据实际情况微调。</w:t>
      </w:r>
    </w:p>
    <w:p w14:paraId="2A3D2426">
      <w:pPr>
        <w:rPr>
          <w:color w:val="auto"/>
          <w:highlight w:val="none"/>
        </w:rPr>
      </w:pPr>
      <w:r>
        <w:rPr>
          <w:color w:val="auto"/>
          <w:highlight w:val="none"/>
        </w:rPr>
        <w:br w:type="page"/>
      </w:r>
    </w:p>
    <w:p w14:paraId="58ECA90F">
      <w:pPr>
        <w:pStyle w:val="17"/>
        <w:adjustRightInd w:val="0"/>
        <w:snapToGrid w:val="0"/>
        <w:spacing w:line="360" w:lineRule="auto"/>
        <w:ind w:firstLine="400" w:firstLineChars="200"/>
        <w:jc w:val="center"/>
        <w:rPr>
          <w:rFonts w:hint="eastAsia" w:hAnsi="宋体" w:eastAsia="宋体" w:cs="宋体"/>
          <w:color w:val="auto"/>
          <w:sz w:val="21"/>
          <w:szCs w:val="21"/>
          <w:highlight w:val="none"/>
          <w:lang w:val="en-US" w:eastAsia="zh-CN"/>
        </w:rPr>
      </w:pPr>
      <w:r>
        <w:rPr>
          <w:color w:val="auto"/>
          <w:highlight w:val="none"/>
        </w:rPr>
        <w:t xml:space="preserve">图 </w:t>
      </w:r>
      <w:r>
        <w:rPr>
          <w:color w:val="auto"/>
          <w:highlight w:val="none"/>
        </w:rPr>
        <w:fldChar w:fldCharType="begin"/>
      </w:r>
      <w:r>
        <w:rPr>
          <w:color w:val="auto"/>
          <w:highlight w:val="none"/>
        </w:rPr>
        <w:instrText xml:space="preserve"> SEQ 图 \* ARABIC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lang w:eastAsia="zh-CN"/>
        </w:rPr>
        <w:t xml:space="preserve"> 项目位置卫星图</w:t>
      </w:r>
    </w:p>
    <w:p w14:paraId="0B93C689">
      <w:pPr>
        <w:pStyle w:val="30"/>
        <w:adjustRightInd w:val="0"/>
        <w:snapToGrid w:val="0"/>
        <w:spacing w:line="360" w:lineRule="auto"/>
        <w:jc w:val="center"/>
        <w:rPr>
          <w:rFonts w:hint="default" w:hAnsi="宋体" w:cs="宋体"/>
          <w:color w:val="auto"/>
          <w:sz w:val="21"/>
          <w:szCs w:val="21"/>
          <w:highlight w:val="none"/>
          <w:lang w:val="en-US" w:eastAsia="zh-CN"/>
        </w:rPr>
      </w:pP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2068830</wp:posOffset>
                </wp:positionH>
                <wp:positionV relativeFrom="paragraph">
                  <wp:posOffset>1407160</wp:posOffset>
                </wp:positionV>
                <wp:extent cx="1420495" cy="1016000"/>
                <wp:effectExtent l="13970" t="14605" r="28575" b="20955"/>
                <wp:wrapNone/>
                <wp:docPr id="7" name="矩形 7"/>
                <wp:cNvGraphicFramePr/>
                <a:graphic xmlns:a="http://schemas.openxmlformats.org/drawingml/2006/main">
                  <a:graphicData uri="http://schemas.microsoft.com/office/word/2010/wordprocessingShape">
                    <wps:wsp>
                      <wps:cNvSpPr/>
                      <wps:spPr>
                        <a:xfrm>
                          <a:off x="3312160" y="7769860"/>
                          <a:ext cx="1420495" cy="1016000"/>
                        </a:xfrm>
                        <a:prstGeom prst="rect">
                          <a:avLst/>
                        </a:prstGeom>
                        <a:noFill/>
                        <a:ln w="28575" cmpd="sng">
                          <a:solidFill>
                            <a:srgbClr val="FF0000"/>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9pt;margin-top:110.8pt;height:80pt;width:111.85pt;z-index:251662336;v-text-anchor:middle;mso-width-relative:page;mso-height-relative:page;" filled="f" stroked="t" coordsize="21600,21600" o:gfxdata="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55FlfZAAAACwEAAA8AAAAAAAAAAQAgAAAAIgAAAGRy&#10;cy9kb3ducmV2LnhtbFBLAQIUABQAAAAIAIdO4kBgqdpHdgIAANgEAAAOAAAAAAAAAAEAIAAAACgB&#10;AABkcnMvZTJvRG9jLnhtbFBLBQYAAAAABgAGAFkBAAAQBgAAAAA=&#10;">
                <v:fill on="f" focussize="0,0"/>
                <v:stroke weight="2.25pt" color="#FF0000 [2404]" miterlimit="8" joinstyle="miter"/>
                <v:imagedata o:title=""/>
                <o:lock v:ext="edit" aspectratio="f"/>
              </v:rect>
            </w:pict>
          </mc:Fallback>
        </mc:AlternateContent>
      </w:r>
      <w:r>
        <w:rPr>
          <w:rFonts w:hint="default" w:hAnsi="宋体" w:cs="宋体"/>
          <w:color w:val="auto"/>
          <w:sz w:val="21"/>
          <w:szCs w:val="21"/>
          <w:highlight w:val="none"/>
          <w:lang w:val="en-US" w:eastAsia="zh-CN"/>
        </w:rPr>
        <w:drawing>
          <wp:inline distT="0" distB="0" distL="114300" distR="114300">
            <wp:extent cx="4192270" cy="3391535"/>
            <wp:effectExtent l="0" t="0" r="13970" b="6985"/>
            <wp:docPr id="11" name="图片 11" descr="173034115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30341151613"/>
                    <pic:cNvPicPr>
                      <a:picLocks noChangeAspect="1"/>
                    </pic:cNvPicPr>
                  </pic:nvPicPr>
                  <pic:blipFill>
                    <a:blip r:embed="rId14"/>
                    <a:stretch>
                      <a:fillRect/>
                    </a:stretch>
                  </pic:blipFill>
                  <pic:spPr>
                    <a:xfrm>
                      <a:off x="0" y="0"/>
                      <a:ext cx="4192270" cy="3391535"/>
                    </a:xfrm>
                    <a:prstGeom prst="rect">
                      <a:avLst/>
                    </a:prstGeom>
                  </pic:spPr>
                </pic:pic>
              </a:graphicData>
            </a:graphic>
          </wp:inline>
        </w:drawing>
      </w:r>
    </w:p>
    <w:p w14:paraId="41050B70">
      <w:pPr>
        <w:pStyle w:val="17"/>
        <w:adjustRightInd w:val="0"/>
        <w:snapToGrid w:val="0"/>
        <w:spacing w:line="360" w:lineRule="auto"/>
        <w:ind w:firstLine="400" w:firstLineChars="200"/>
        <w:jc w:val="center"/>
        <w:rPr>
          <w:rFonts w:hint="eastAsia" w:eastAsia="宋体"/>
          <w:color w:val="auto"/>
          <w:highlight w:val="none"/>
          <w:lang w:eastAsia="zh-CN"/>
        </w:rPr>
      </w:pPr>
      <w:r>
        <w:rPr>
          <w:color w:val="auto"/>
          <w:highlight w:val="none"/>
        </w:rPr>
        <w:t xml:space="preserve">图 </w:t>
      </w:r>
      <w:r>
        <w:rPr>
          <w:color w:val="auto"/>
          <w:highlight w:val="none"/>
        </w:rPr>
        <w:fldChar w:fldCharType="begin"/>
      </w:r>
      <w:r>
        <w:rPr>
          <w:color w:val="auto"/>
          <w:highlight w:val="none"/>
        </w:rPr>
        <w:instrText xml:space="preserve"> SEQ 图 \* ARABIC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lang w:eastAsia="zh-CN"/>
        </w:rPr>
        <w:t xml:space="preserve"> 钢膜结构效果图</w:t>
      </w:r>
    </w:p>
    <w:p w14:paraId="4D07F606">
      <w:pPr>
        <w:pStyle w:val="30"/>
        <w:adjustRightInd w:val="0"/>
        <w:snapToGrid w:val="0"/>
        <w:spacing w:line="360" w:lineRule="auto"/>
        <w:ind w:firstLine="480" w:firstLineChars="200"/>
        <w:jc w:val="center"/>
        <w:rPr>
          <w:color w:val="auto"/>
          <w:highlight w:val="none"/>
        </w:rPr>
      </w:pPr>
      <w:r>
        <w:rPr>
          <w:color w:val="auto"/>
          <w:highlight w:val="none"/>
        </w:rPr>
        <w:drawing>
          <wp:inline distT="0" distB="0" distL="0" distR="0">
            <wp:extent cx="4149090" cy="3112135"/>
            <wp:effectExtent l="0" t="0" r="11430" b="12065"/>
            <wp:docPr id="12" name="图片 12" descr="E:\微信\WeChat Files\wxid_j3mx6w38zfth12\FileStorage\Temp\88e655dcfd70952ced14bc180f7b3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微信\WeChat Files\wxid_j3mx6w38zfth12\FileStorage\Temp\88e655dcfd70952ced14bc180f7b3c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9090" cy="3112135"/>
                    </a:xfrm>
                    <a:prstGeom prst="rect">
                      <a:avLst/>
                    </a:prstGeom>
                    <a:noFill/>
                    <a:ln>
                      <a:noFill/>
                    </a:ln>
                  </pic:spPr>
                </pic:pic>
              </a:graphicData>
            </a:graphic>
          </wp:inline>
        </w:drawing>
      </w:r>
    </w:p>
    <w:p w14:paraId="0CB1D4E8">
      <w:pPr>
        <w:pStyle w:val="30"/>
        <w:adjustRightInd w:val="0"/>
        <w:snapToGrid w:val="0"/>
        <w:spacing w:beforeLines="0" w:afterLines="0" w:line="360" w:lineRule="auto"/>
        <w:rPr>
          <w:rFonts w:hint="eastAsia" w:ascii="仿宋" w:hAnsi="仿宋" w:eastAsia="仿宋" w:cs="仿宋"/>
          <w:color w:val="auto"/>
          <w:highlight w:val="none"/>
          <w:lang w:val="en-US" w:eastAsia="zh-CN"/>
        </w:rPr>
      </w:pPr>
    </w:p>
    <w:p w14:paraId="0E630C04">
      <w:pPr>
        <w:pStyle w:val="17"/>
        <w:adjustRightInd w:val="0"/>
        <w:snapToGrid w:val="0"/>
        <w:spacing w:before="0" w:after="0" w:line="360" w:lineRule="auto"/>
        <w:ind w:firstLine="480" w:firstLineChars="200"/>
        <w:jc w:val="center"/>
        <w:rPr>
          <w:rFonts w:ascii="仿宋" w:hAnsi="仿宋" w:eastAsia="仿宋" w:cs="仿宋"/>
          <w:color w:val="auto"/>
          <w:sz w:val="24"/>
          <w:szCs w:val="24"/>
          <w:highlight w:val="none"/>
        </w:rPr>
        <w:sectPr>
          <w:pgSz w:w="11906" w:h="16838"/>
          <w:pgMar w:top="1276" w:right="1417" w:bottom="1276" w:left="1417" w:header="851" w:footer="992" w:gutter="0"/>
          <w:cols w:space="720" w:num="1"/>
          <w:docGrid w:type="lines" w:linePitch="325" w:charSpace="0"/>
        </w:sectPr>
      </w:pPr>
    </w:p>
    <w:p w14:paraId="09A0C860">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2.3钢结构</w:t>
      </w:r>
      <w:r>
        <w:rPr>
          <w:rFonts w:hint="eastAsia" w:ascii="仿宋" w:hAnsi="仿宋" w:eastAsia="仿宋" w:cs="仿宋"/>
          <w:b/>
          <w:bCs/>
          <w:color w:val="auto"/>
          <w:highlight w:val="none"/>
          <w:lang w:val="en-US" w:eastAsia="zh-CN"/>
        </w:rPr>
        <w:t>要求</w:t>
      </w:r>
      <w:r>
        <w:rPr>
          <w:rFonts w:hint="eastAsia" w:ascii="仿宋" w:hAnsi="仿宋" w:eastAsia="仿宋" w:cs="仿宋"/>
          <w:b/>
          <w:bCs/>
          <w:color w:val="auto"/>
          <w:highlight w:val="none"/>
        </w:rPr>
        <w:t>。</w:t>
      </w:r>
    </w:p>
    <w:p w14:paraId="2D2E0F44">
      <w:pPr>
        <w:pStyle w:val="2"/>
        <w:adjustRightInd w:val="0"/>
        <w:snapToGrid w:val="0"/>
        <w:spacing w:line="360" w:lineRule="auto"/>
        <w:ind w:firstLine="464" w:firstLineChars="20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（1）</w:t>
      </w:r>
      <w:r>
        <w:rPr>
          <w:rFonts w:hint="default" w:ascii="仿宋" w:hAnsi="仿宋" w:eastAsia="仿宋" w:cs="仿宋"/>
          <w:color w:val="auto"/>
          <w:kern w:val="2"/>
          <w:sz w:val="24"/>
          <w:szCs w:val="24"/>
          <w:highlight w:val="none"/>
          <w:lang w:val="en-US" w:eastAsia="zh-CN"/>
        </w:rPr>
        <w:t>主体钢结构的安全等级为二级,钢结构耐火等级为二级,结构设计工作年限50年。</w:t>
      </w:r>
    </w:p>
    <w:p w14:paraId="66B5ADF6">
      <w:pPr>
        <w:pStyle w:val="2"/>
        <w:adjustRightInd w:val="0"/>
        <w:snapToGrid w:val="0"/>
        <w:spacing w:line="360" w:lineRule="auto"/>
        <w:ind w:firstLine="464" w:firstLineChars="20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（2）</w:t>
      </w:r>
      <w:r>
        <w:rPr>
          <w:rFonts w:hint="default" w:ascii="仿宋" w:hAnsi="仿宋" w:eastAsia="仿宋" w:cs="仿宋"/>
          <w:color w:val="auto"/>
          <w:kern w:val="2"/>
          <w:sz w:val="24"/>
          <w:szCs w:val="24"/>
          <w:highlight w:val="none"/>
          <w:lang w:val="en-US" w:eastAsia="zh-CN"/>
        </w:rPr>
        <w:t>钢结构防火等级为二级，耐火极限:钢柱2.5小时。梁为2.0小时;支撑为2.0小时。防火涂料均采用薄型钢结构防火涂料</w:t>
      </w:r>
      <w:r>
        <w:rPr>
          <w:rFonts w:hint="eastAsia" w:ascii="仿宋" w:hAnsi="仿宋" w:eastAsia="仿宋" w:cs="仿宋"/>
          <w:color w:val="auto"/>
          <w:kern w:val="2"/>
          <w:sz w:val="24"/>
          <w:szCs w:val="24"/>
          <w:highlight w:val="none"/>
          <w:lang w:val="en-US" w:eastAsia="zh-CN"/>
        </w:rPr>
        <w:t>。</w:t>
      </w:r>
    </w:p>
    <w:p w14:paraId="0147414C">
      <w:pPr>
        <w:pStyle w:val="2"/>
        <w:adjustRightInd w:val="0"/>
        <w:snapToGrid w:val="0"/>
        <w:spacing w:line="360" w:lineRule="auto"/>
        <w:ind w:firstLine="464" w:firstLineChars="20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（3）</w:t>
      </w:r>
      <w:r>
        <w:rPr>
          <w:rFonts w:hint="default" w:ascii="仿宋" w:hAnsi="仿宋" w:eastAsia="仿宋" w:cs="仿宋"/>
          <w:color w:val="auto"/>
          <w:kern w:val="2"/>
          <w:sz w:val="24"/>
          <w:szCs w:val="24"/>
          <w:highlight w:val="none"/>
          <w:lang w:val="en-US" w:eastAsia="zh-CN"/>
        </w:rPr>
        <w:t>除注明外，节点板、圆钢管杆件采用平炉或顶吹氧气转炉钢。质量应符合《GB/T700-2006》规定的Q235（B）要求。</w:t>
      </w:r>
    </w:p>
    <w:p w14:paraId="698EDD43">
      <w:pPr>
        <w:pStyle w:val="2"/>
        <w:adjustRightInd w:val="0"/>
        <w:snapToGrid w:val="0"/>
        <w:spacing w:line="360" w:lineRule="auto"/>
        <w:ind w:firstLine="464" w:firstLineChars="20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（4）</w:t>
      </w:r>
      <w:r>
        <w:rPr>
          <w:rFonts w:hint="default" w:ascii="仿宋" w:hAnsi="仿宋" w:eastAsia="仿宋" w:cs="仿宋"/>
          <w:color w:val="auto"/>
          <w:kern w:val="2"/>
          <w:sz w:val="24"/>
          <w:szCs w:val="24"/>
          <w:highlight w:val="none"/>
          <w:lang w:val="en-US" w:eastAsia="zh-CN"/>
        </w:rPr>
        <w:t>钢结构所有构件必须先喷砂、抛丸除锈再制作,其除锈等级不应低于Sa2.5级,再涂防锈底漆（60μm）。工厂加工，现场组装。现场焊接部分单独防锈处理。</w:t>
      </w:r>
    </w:p>
    <w:p w14:paraId="3011A675">
      <w:pPr>
        <w:pStyle w:val="2"/>
        <w:adjustRightInd w:val="0"/>
        <w:snapToGrid w:val="0"/>
        <w:spacing w:line="360" w:lineRule="auto"/>
        <w:ind w:firstLine="464" w:firstLineChars="20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（5）</w:t>
      </w:r>
      <w:r>
        <w:rPr>
          <w:rFonts w:hint="default" w:ascii="仿宋" w:hAnsi="仿宋" w:eastAsia="仿宋" w:cs="仿宋"/>
          <w:color w:val="auto"/>
          <w:kern w:val="2"/>
          <w:sz w:val="24"/>
          <w:szCs w:val="24"/>
          <w:highlight w:val="none"/>
          <w:lang w:val="en-US" w:eastAsia="zh-CN"/>
        </w:rPr>
        <w:t>焊缝的质量等级：全熔透焊缝为二级(即坡口焊接)，角焊缝为三级</w:t>
      </w:r>
      <w:r>
        <w:rPr>
          <w:rFonts w:hint="eastAsia" w:ascii="仿宋" w:hAnsi="仿宋" w:eastAsia="仿宋" w:cs="仿宋"/>
          <w:color w:val="auto"/>
          <w:kern w:val="2"/>
          <w:sz w:val="24"/>
          <w:szCs w:val="24"/>
          <w:highlight w:val="none"/>
          <w:lang w:val="en-US" w:eastAsia="zh-CN"/>
        </w:rPr>
        <w:t>。</w:t>
      </w:r>
    </w:p>
    <w:p w14:paraId="691D6854">
      <w:pPr>
        <w:pStyle w:val="2"/>
        <w:adjustRightInd w:val="0"/>
        <w:snapToGrid w:val="0"/>
        <w:spacing w:line="360" w:lineRule="auto"/>
        <w:ind w:firstLine="464"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雪荷载、风荷载</w:t>
      </w:r>
      <w:r>
        <w:rPr>
          <w:rFonts w:hint="default" w:ascii="仿宋" w:hAnsi="仿宋" w:eastAsia="仿宋" w:cs="仿宋"/>
          <w:color w:val="auto"/>
          <w:kern w:val="2"/>
          <w:sz w:val="24"/>
          <w:szCs w:val="24"/>
          <w:highlight w:val="none"/>
          <w:lang w:val="en-US" w:eastAsia="zh-CN"/>
        </w:rPr>
        <w:t>设计值不低于</w:t>
      </w:r>
      <w:r>
        <w:rPr>
          <w:rFonts w:hint="eastAsia" w:ascii="仿宋" w:hAnsi="仿宋" w:eastAsia="仿宋" w:cs="仿宋"/>
          <w:color w:val="auto"/>
          <w:kern w:val="2"/>
          <w:sz w:val="24"/>
          <w:szCs w:val="24"/>
          <w:highlight w:val="none"/>
          <w:lang w:val="en-US" w:eastAsia="zh-CN"/>
        </w:rPr>
        <w:t>建筑结构荷载规范等相关要求。</w:t>
      </w:r>
    </w:p>
    <w:p w14:paraId="23F6129A">
      <w:pPr>
        <w:pStyle w:val="2"/>
        <w:adjustRightInd w:val="0"/>
        <w:snapToGrid w:val="0"/>
        <w:spacing w:line="360" w:lineRule="auto"/>
        <w:ind w:firstLine="464"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2.4膜结构。</w:t>
      </w:r>
    </w:p>
    <w:p w14:paraId="32347636">
      <w:pPr>
        <w:pStyle w:val="2"/>
        <w:adjustRightInd w:val="0"/>
        <w:snapToGrid w:val="0"/>
        <w:spacing w:line="360" w:lineRule="auto"/>
        <w:ind w:firstLine="464" w:firstLineChars="200"/>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2.4.1膜材料采用白色超白自洁膜</w:t>
      </w:r>
      <w:r>
        <w:rPr>
          <w:rFonts w:hint="eastAsia" w:ascii="仿宋" w:hAnsi="仿宋" w:eastAsia="仿宋" w:cs="仿宋"/>
          <w:b w:val="0"/>
          <w:bCs w:val="0"/>
          <w:color w:val="auto"/>
          <w:kern w:val="2"/>
          <w:sz w:val="24"/>
          <w:szCs w:val="24"/>
          <w:highlight w:val="none"/>
        </w:rPr>
        <w:t>。</w:t>
      </w:r>
    </w:p>
    <w:p w14:paraId="61C52766">
      <w:pPr>
        <w:pStyle w:val="30"/>
        <w:adjustRightInd w:val="0"/>
        <w:snapToGrid w:val="0"/>
        <w:spacing w:beforeLines="0" w:afterLines="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相关技术参数要求：</w:t>
      </w:r>
    </w:p>
    <w:tbl>
      <w:tblPr>
        <w:tblStyle w:val="62"/>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450"/>
        <w:gridCol w:w="4407"/>
      </w:tblGrid>
      <w:tr w14:paraId="06EB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4C793887">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1450" w:type="dxa"/>
            <w:vAlign w:val="center"/>
          </w:tcPr>
          <w:p w14:paraId="6C126D82">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4407" w:type="dxa"/>
            <w:vAlign w:val="center"/>
          </w:tcPr>
          <w:p w14:paraId="553124AC">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参考值</w:t>
            </w:r>
          </w:p>
        </w:tc>
      </w:tr>
      <w:tr w14:paraId="1CFF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5529724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幅宽</w:t>
            </w:r>
          </w:p>
        </w:tc>
        <w:tc>
          <w:tcPr>
            <w:tcW w:w="1450" w:type="dxa"/>
            <w:vAlign w:val="center"/>
          </w:tcPr>
          <w:p w14:paraId="16D2407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4407" w:type="dxa"/>
            <w:vAlign w:val="center"/>
          </w:tcPr>
          <w:p w14:paraId="1F863CA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w:t>
            </w:r>
          </w:p>
        </w:tc>
      </w:tr>
      <w:tr w14:paraId="628D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73EF8B8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克重</w:t>
            </w:r>
          </w:p>
        </w:tc>
        <w:tc>
          <w:tcPr>
            <w:tcW w:w="1450" w:type="dxa"/>
            <w:vAlign w:val="center"/>
          </w:tcPr>
          <w:p w14:paraId="048D5B0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w:t>
            </w:r>
          </w:p>
        </w:tc>
        <w:tc>
          <w:tcPr>
            <w:tcW w:w="4407" w:type="dxa"/>
            <w:vAlign w:val="center"/>
          </w:tcPr>
          <w:p w14:paraId="03D275C1">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0±100</w:t>
            </w:r>
          </w:p>
        </w:tc>
      </w:tr>
      <w:tr w14:paraId="20F1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70C64F8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厚度</w:t>
            </w:r>
          </w:p>
        </w:tc>
        <w:tc>
          <w:tcPr>
            <w:tcW w:w="1450" w:type="dxa"/>
            <w:vAlign w:val="center"/>
          </w:tcPr>
          <w:p w14:paraId="160B65A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w:t>
            </w:r>
          </w:p>
        </w:tc>
        <w:tc>
          <w:tcPr>
            <w:tcW w:w="4407" w:type="dxa"/>
            <w:vAlign w:val="center"/>
          </w:tcPr>
          <w:p w14:paraId="20702C7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1.05±0.08</w:t>
            </w:r>
          </w:p>
        </w:tc>
      </w:tr>
      <w:tr w14:paraId="095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0537A87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拉伸负荷</w:t>
            </w:r>
          </w:p>
        </w:tc>
        <w:tc>
          <w:tcPr>
            <w:tcW w:w="1450" w:type="dxa"/>
            <w:vAlign w:val="center"/>
          </w:tcPr>
          <w:p w14:paraId="2C221DE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N/5cm</w:t>
            </w:r>
          </w:p>
        </w:tc>
        <w:tc>
          <w:tcPr>
            <w:tcW w:w="4407" w:type="dxa"/>
            <w:vAlign w:val="center"/>
          </w:tcPr>
          <w:p w14:paraId="66E3DCBE">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6200/6000</w:t>
            </w:r>
          </w:p>
        </w:tc>
      </w:tr>
      <w:tr w14:paraId="3B6A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525D314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防火等级</w:t>
            </w:r>
          </w:p>
        </w:tc>
        <w:tc>
          <w:tcPr>
            <w:tcW w:w="1450" w:type="dxa"/>
            <w:vAlign w:val="center"/>
          </w:tcPr>
          <w:p w14:paraId="6963E11B">
            <w:pPr>
              <w:bidi w:val="0"/>
              <w:jc w:val="center"/>
              <w:rPr>
                <w:rFonts w:hint="eastAsia" w:ascii="仿宋" w:hAnsi="仿宋" w:eastAsia="仿宋" w:cs="仿宋"/>
                <w:color w:val="auto"/>
                <w:sz w:val="24"/>
                <w:szCs w:val="24"/>
                <w:highlight w:val="none"/>
              </w:rPr>
            </w:pPr>
          </w:p>
        </w:tc>
        <w:tc>
          <w:tcPr>
            <w:tcW w:w="4407" w:type="dxa"/>
            <w:vAlign w:val="center"/>
          </w:tcPr>
          <w:p w14:paraId="6CBF8F2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B1</w:t>
            </w:r>
          </w:p>
        </w:tc>
      </w:tr>
      <w:tr w14:paraId="1701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54B4E1B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基布</w:t>
            </w:r>
          </w:p>
        </w:tc>
        <w:tc>
          <w:tcPr>
            <w:tcW w:w="1450" w:type="dxa"/>
            <w:vAlign w:val="center"/>
          </w:tcPr>
          <w:p w14:paraId="3DF5AB3B">
            <w:pPr>
              <w:bidi w:val="0"/>
              <w:jc w:val="center"/>
              <w:rPr>
                <w:rFonts w:hint="eastAsia" w:ascii="仿宋" w:hAnsi="仿宋" w:eastAsia="仿宋" w:cs="仿宋"/>
                <w:color w:val="auto"/>
                <w:sz w:val="24"/>
                <w:szCs w:val="24"/>
                <w:highlight w:val="none"/>
              </w:rPr>
            </w:pPr>
          </w:p>
        </w:tc>
        <w:tc>
          <w:tcPr>
            <w:tcW w:w="4407" w:type="dxa"/>
            <w:vAlign w:val="center"/>
          </w:tcPr>
          <w:p w14:paraId="628AA0E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聚酯纤维</w:t>
            </w:r>
          </w:p>
        </w:tc>
      </w:tr>
      <w:tr w14:paraId="24DC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27DC9456">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表面处理</w:t>
            </w:r>
          </w:p>
        </w:tc>
        <w:tc>
          <w:tcPr>
            <w:tcW w:w="1450" w:type="dxa"/>
            <w:vAlign w:val="center"/>
          </w:tcPr>
          <w:p w14:paraId="5FC9CD7D">
            <w:pPr>
              <w:bidi w:val="0"/>
              <w:jc w:val="center"/>
              <w:rPr>
                <w:rFonts w:hint="eastAsia" w:ascii="仿宋" w:hAnsi="仿宋" w:eastAsia="仿宋" w:cs="仿宋"/>
                <w:color w:val="auto"/>
                <w:sz w:val="24"/>
                <w:szCs w:val="24"/>
                <w:highlight w:val="none"/>
              </w:rPr>
            </w:pPr>
          </w:p>
        </w:tc>
        <w:tc>
          <w:tcPr>
            <w:tcW w:w="4407" w:type="dxa"/>
            <w:vAlign w:val="center"/>
          </w:tcPr>
          <w:p w14:paraId="7834FD85">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PVF</w:t>
            </w:r>
          </w:p>
        </w:tc>
      </w:tr>
      <w:tr w14:paraId="2144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14:paraId="20DDFEC4">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设计工作年限</w:t>
            </w:r>
          </w:p>
        </w:tc>
        <w:tc>
          <w:tcPr>
            <w:tcW w:w="1450" w:type="dxa"/>
            <w:vAlign w:val="center"/>
          </w:tcPr>
          <w:p w14:paraId="47CF6D07">
            <w:pPr>
              <w:bidi w:val="0"/>
              <w:jc w:val="center"/>
              <w:rPr>
                <w:rFonts w:hint="eastAsia" w:ascii="仿宋" w:hAnsi="仿宋" w:eastAsia="仿宋" w:cs="仿宋"/>
                <w:color w:val="auto"/>
                <w:sz w:val="24"/>
                <w:szCs w:val="24"/>
                <w:highlight w:val="none"/>
              </w:rPr>
            </w:pPr>
          </w:p>
        </w:tc>
        <w:tc>
          <w:tcPr>
            <w:tcW w:w="4407" w:type="dxa"/>
            <w:vAlign w:val="center"/>
          </w:tcPr>
          <w:p w14:paraId="779E295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15年</w:t>
            </w:r>
          </w:p>
        </w:tc>
      </w:tr>
    </w:tbl>
    <w:p w14:paraId="56D2CF6D">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2.4.2</w:t>
      </w:r>
      <w:r>
        <w:rPr>
          <w:rFonts w:hint="eastAsia" w:ascii="仿宋" w:hAnsi="仿宋" w:eastAsia="仿宋" w:cs="仿宋"/>
          <w:color w:val="auto"/>
          <w:highlight w:val="none"/>
        </w:rPr>
        <w:t>膜材料授权要求：</w:t>
      </w:r>
    </w:p>
    <w:p w14:paraId="09660DA7">
      <w:pPr>
        <w:pStyle w:val="30"/>
        <w:adjustRightInd w:val="0"/>
        <w:snapToGrid w:val="0"/>
        <w:spacing w:beforeLines="0" w:afterLines="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中标后需提供膜材料原厂针对本项目的质保函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授权委托书(提供证明材料的扫描件)</w:t>
      </w:r>
      <w:r>
        <w:rPr>
          <w:rFonts w:hint="eastAsia" w:ascii="仿宋" w:hAnsi="仿宋" w:eastAsia="仿宋" w:cs="仿宋"/>
          <w:color w:val="auto"/>
          <w:highlight w:val="none"/>
          <w:lang w:eastAsia="zh-CN"/>
        </w:rPr>
        <w:t>；</w:t>
      </w:r>
    </w:p>
    <w:p w14:paraId="0A95F985">
      <w:pPr>
        <w:pStyle w:val="30"/>
        <w:adjustRightInd w:val="0"/>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项目进场提供膜材料原厂质保书、原厂出厂检测报告。</w:t>
      </w:r>
    </w:p>
    <w:p w14:paraId="05BA4DC0">
      <w:pPr>
        <w:pStyle w:val="30"/>
        <w:adjustRightInd w:val="0"/>
        <w:snapToGrid w:val="0"/>
        <w:spacing w:beforeLines="0" w:afterLines="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2.5灯光照明。</w:t>
      </w:r>
    </w:p>
    <w:p w14:paraId="00E33628">
      <w:pPr>
        <w:pStyle w:val="30"/>
        <w:adjustRightInd w:val="0"/>
        <w:snapToGrid w:val="0"/>
        <w:spacing w:beforeLines="0" w:afterLines="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本项目按照JGJ 153-2016《体育场馆照明设计及检测标准》</w:t>
      </w:r>
      <w:r>
        <w:rPr>
          <w:rFonts w:hint="eastAsia" w:ascii="仿宋" w:hAnsi="仿宋" w:eastAsia="仿宋" w:cs="仿宋"/>
          <w:b/>
          <w:bCs/>
          <w:color w:val="auto"/>
          <w:highlight w:val="none"/>
          <w:lang w:val="en-US" w:eastAsia="zh-CN"/>
        </w:rPr>
        <w:t>Ш级</w:t>
      </w:r>
      <w:r>
        <w:rPr>
          <w:rFonts w:hint="eastAsia" w:ascii="仿宋" w:hAnsi="仿宋" w:eastAsia="仿宋" w:cs="仿宋"/>
          <w:color w:val="auto"/>
          <w:highlight w:val="none"/>
          <w:lang w:val="en-US" w:eastAsia="zh-CN"/>
        </w:rPr>
        <w:t>进行设计施工，完工后将对平均照度、水平照度均匀度、炫光指数等进行检测，相关指标满足要求后才能进行竣工验收，未达到要求的须进行整改。</w:t>
      </w:r>
    </w:p>
    <w:p w14:paraId="5DC5C286">
      <w:pPr>
        <w:pStyle w:val="30"/>
        <w:adjustRightInd w:val="0"/>
        <w:snapToGrid w:val="0"/>
        <w:spacing w:beforeLines="0" w:afterLines="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本次改造利用原有灯具，安装方式根据设计方案，原灯杆及灯具可移除。如个别灯具性能不满足的，需更换同品牌型号灯具，新购户外灯具防水等级不低于IP65。</w:t>
      </w:r>
    </w:p>
    <w:p w14:paraId="3027A8FF">
      <w:pPr>
        <w:pStyle w:val="30"/>
        <w:adjustRightInd w:val="0"/>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（2）设计施工前需对现场进行现场复核。复核原有灯具、负荷、原有线路走向、控制箱等。根据功能要求及实际情况进行设计施工。</w:t>
      </w:r>
    </w:p>
    <w:p w14:paraId="36921418">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3.工程管理要求</w:t>
      </w:r>
    </w:p>
    <w:p w14:paraId="1D19C013">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3.1 工程范围及要求</w:t>
      </w:r>
    </w:p>
    <w:p w14:paraId="7FEA6D31">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本次工程改造范围详见附图，供应商可到实地进行勘察，同相关部门及人员沟通，根据磋商文件中提供的改造要求、结合现场勘察的内容和沟通后的功能需求进行设计，提供全套详细设计方案、施工图纸、工程预算清单、详细的工程施工组织计划及措施，并向采购人提供设计、采购、施工成果及相关资料。</w:t>
      </w:r>
    </w:p>
    <w:p w14:paraId="5F6BFE44">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3.2 设计要求</w:t>
      </w:r>
    </w:p>
    <w:p w14:paraId="4D064E25">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（1）质量标准：设计符合现行国家、省、市现行的相关设计规范，各阶段图纸深度达到《建筑工程设计文件编制深度规定（2016版）》；</w:t>
      </w:r>
    </w:p>
    <w:p w14:paraId="05F0BA4F">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（2）设计内容：设计范围内的初步设计、施工图设计、概算等基本设计内容；</w:t>
      </w:r>
    </w:p>
    <w:p w14:paraId="7F282C81">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1）对设计范围进行方案设计，直至取得采购人批准并提供完整的调整设计成果后视为该阶段工作完成，开始施工图设计；</w:t>
      </w:r>
    </w:p>
    <w:p w14:paraId="43405FD4">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2）方案设计文件包括：总平面图、各分项专业平面图和立面图、空间轴侧图、工程造价预算书；</w:t>
      </w:r>
    </w:p>
    <w:p w14:paraId="17A91160">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3）施工图设计文件满足施工要求、经采购人认可并按规定提供施工图设计成果后视为本阶段工作完成。</w:t>
      </w:r>
    </w:p>
    <w:p w14:paraId="4C0C3CAF">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4）在此阶段中供应商应完成其他与本项目有关的设计服务。</w:t>
      </w:r>
    </w:p>
    <w:p w14:paraId="73680712">
      <w:pPr>
        <w:pStyle w:val="30"/>
        <w:adjustRightInd w:val="0"/>
        <w:snapToGrid w:val="0"/>
        <w:spacing w:beforeLines="0" w:afterLines="0"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（3）成果资料：</w:t>
      </w:r>
    </w:p>
    <w:p w14:paraId="0C80D0E1">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施工图需加盖设计单位的出图章，并由注册结构工程师复核签字。</w:t>
      </w:r>
    </w:p>
    <w:p w14:paraId="6BC37F07">
      <w:pPr>
        <w:pStyle w:val="30"/>
        <w:adjustRightInd w:val="0"/>
        <w:snapToGrid w:val="0"/>
        <w:spacing w:beforeLines="0" w:afterLines="0" w:line="360" w:lineRule="auto"/>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rPr>
        <w:t>）其他</w:t>
      </w:r>
    </w:p>
    <w:p w14:paraId="430FCF50">
      <w:pPr>
        <w:pStyle w:val="30"/>
        <w:adjustRightInd w:val="0"/>
        <w:snapToGrid w:val="0"/>
        <w:spacing w:beforeLines="0" w:afterLines="0" w:line="360" w:lineRule="auto"/>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各阶段设计图纸必须满足现行国家、行业及工程所在地的地方规范、规程、标准，当规范、规程、标准存在不一致时，约定采用的规范、规程、标准应按较高标准执行，除非当地相关部门另有规定。若超出国内规范、规程、标准，应进行技术论证。</w:t>
      </w:r>
    </w:p>
    <w:p w14:paraId="583E5BC4">
      <w:pPr>
        <w:pStyle w:val="30"/>
        <w:adjustRightInd w:val="0"/>
        <w:snapToGrid w:val="0"/>
        <w:spacing w:beforeLines="0" w:afterLines="0" w:line="360" w:lineRule="auto"/>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2）所有图纸设计深度应满足国家有关设计图纸深度要求及编制要求。</w:t>
      </w:r>
    </w:p>
    <w:p w14:paraId="6714B878">
      <w:pPr>
        <w:pStyle w:val="30"/>
        <w:adjustRightInd w:val="0"/>
        <w:snapToGrid w:val="0"/>
        <w:spacing w:beforeLines="0" w:afterLines="0" w:line="360" w:lineRule="auto"/>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3）与其他专业协调、配合。</w:t>
      </w:r>
    </w:p>
    <w:p w14:paraId="44DA1045">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3.3 相关服务</w:t>
      </w:r>
    </w:p>
    <w:p w14:paraId="7CAEFA4F">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（1）参加深化设计各阶段的交流会；</w:t>
      </w:r>
    </w:p>
    <w:p w14:paraId="5FC5A155">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（2）其他采购人指定的工作。</w:t>
      </w:r>
    </w:p>
    <w:p w14:paraId="3BCB24CD">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3.4 工程质量</w:t>
      </w:r>
    </w:p>
    <w:p w14:paraId="6EA2CAD0">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（1）保质保量保进度，项目前期及竣工涉及的所有报批报建及消防验收；</w:t>
      </w:r>
    </w:p>
    <w:p w14:paraId="24EEA6A7">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（2）严格按照采购需求、工程技术要求及行业规范进行施工，无条件地接受采购人全方位、全过程的监督管理；</w:t>
      </w:r>
    </w:p>
    <w:p w14:paraId="515AEB64">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（3）所有材料、设备在检验合格经采购人同意后方可用于本工程；</w:t>
      </w:r>
    </w:p>
    <w:p w14:paraId="68FBFF54">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（4）隐蔽工程经采购人检查、验收后方可进行下一道工序；</w:t>
      </w:r>
    </w:p>
    <w:p w14:paraId="56EB596E">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（5）采购人有权监督、检查、检验成交供应商的施工质量、进度，成交供应商应把工程质量放在首位，加强技术管理和质量保证体系，严格认真地执行技术标准和规范。</w:t>
      </w:r>
    </w:p>
    <w:p w14:paraId="030CE8A3">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3.5 工程管理原则</w:t>
      </w:r>
    </w:p>
    <w:p w14:paraId="07FBC058">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（1）负责设计及施工内容的总体管理和协调，自合同签订之日开始贯穿整个工程，到整个项目竣工验收完成时止。</w:t>
      </w:r>
    </w:p>
    <w:p w14:paraId="401CFA5D">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55AE7EE1">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（2）编制进场计划和保证计划实行的措施。严格按照已确认的设计图纸和施工技术方案组织实施，并无条件接受采购人和采购人委托的监理人员的管理；</w:t>
      </w:r>
    </w:p>
    <w:p w14:paraId="38BF17EB">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3FD9F55">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（4）依据设计施工图纸和技术文件要求，项目的材料、设备、施工必须达到现行中华人民共和国及省、市、行业的一切有关法规、规范的要求，如标准及规范要求有出入则以较严格者为准。</w:t>
      </w:r>
    </w:p>
    <w:p w14:paraId="16A5F2F9">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（5）施工要求</w:t>
      </w:r>
    </w:p>
    <w:p w14:paraId="28DB93E6">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1）严格按照规范要求进行施工，达到各项拟定的设计指标；</w:t>
      </w:r>
    </w:p>
    <w:p w14:paraId="223555C5">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2）免费保修期内，成交供应商对有缺陷的部位必须无偿地给予修理与更换，并承担一切由此引起的对采购人或第三者的直接损失，除非该缺陷是由于人为破坏或合同规定的不可抗因素造成的损坏；</w:t>
      </w:r>
    </w:p>
    <w:p w14:paraId="12CCAB15">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3）对所承包工程的质量负全部责任，其责任不因其他材料生产商提供的保证书而减轻或更改；</w:t>
      </w:r>
    </w:p>
    <w:p w14:paraId="60294234">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0C86E78E">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施工过程中尽量选用低噪声设备，加强高噪声施工设备的管理，减少设备非正常的噪声，施工车辆的运行路线和时间尽量避开噪声敏感区和噪声敏感时段，按采购人管理要求尽量减少对学校教学、科研工作的干扰；</w:t>
      </w:r>
    </w:p>
    <w:p w14:paraId="15343D17">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6）施工现场应做到“落手清”，工程施工中产生的废建筑材料、建筑施工垃圾，不能随意堆放，应及时清运、妥善处理，做到工完料尽场地清；</w:t>
      </w:r>
    </w:p>
    <w:p w14:paraId="3181181E">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218ADEEE">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8）工程施工全过程中要认真做好成品保护，因失窃或失火造成的损失均由成交供应商负责，凡由此而损及采购人利益时，采购人将向成交供应商索赔。</w:t>
      </w:r>
    </w:p>
    <w:p w14:paraId="452A2B05">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（6）其他采购人指定的工作。</w:t>
      </w:r>
    </w:p>
    <w:p w14:paraId="3CEDA25D">
      <w:pPr>
        <w:pStyle w:val="30"/>
        <w:adjustRightInd w:val="0"/>
        <w:snapToGrid w:val="0"/>
        <w:spacing w:beforeLines="0" w:afterLines="0"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3.6 安全与文明施工管理</w:t>
      </w:r>
    </w:p>
    <w:p w14:paraId="3FDC9F87">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（1）施工期间服从采购人管理，确保施工安全，施工人员、车辆进出按相关规定实施；</w:t>
      </w:r>
    </w:p>
    <w:p w14:paraId="224667AA">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根据《保障农民工工资支付条款》《浙江省民营企业发展促进条例》和《住房和城乡建设部等部门关于加快推进房屋建筑和市政基础设施工程实行工程担保制度的指导意见》的规定，供应商对工资性工程款占合同总价的比例、支付时间、支付方式予以明确，对所承包工程的农民工工资支付负总责；</w:t>
      </w:r>
    </w:p>
    <w:p w14:paraId="6CFF2E08">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（3）保护好原有不变动的设施设备；</w:t>
      </w:r>
    </w:p>
    <w:p w14:paraId="520D08F3">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（4）合理安排施工时间及噪音控制，遵守校区物业关于装修施工的相关规定；</w:t>
      </w:r>
    </w:p>
    <w:p w14:paraId="355AEF22">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（5）严格施工现场管理，如防火、防盗等；</w:t>
      </w:r>
    </w:p>
    <w:p w14:paraId="0D0DFB81">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（6）竣工后及时供给水、电及做好卫生保洁工作；</w:t>
      </w:r>
    </w:p>
    <w:p w14:paraId="6EC6943F">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（7）施工现场做好标准化布置，醒目位置悬挂工程告示牌；施工人员统一着装、统一编号，工作装或马甲上醒目标识单位名称、人员编号；</w:t>
      </w:r>
    </w:p>
    <w:p w14:paraId="6DF7839C">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（8）施工单位在校内须严格遵守国家相关法律法规，严格遵守学校有关意识形态、宗教管理教育工作等相关规定；</w:t>
      </w:r>
    </w:p>
    <w:p w14:paraId="69423823">
      <w:pPr>
        <w:pStyle w:val="30"/>
        <w:adjustRightInd w:val="0"/>
        <w:snapToGrid w:val="0"/>
        <w:spacing w:beforeLines="0" w:afterLines="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（9）供应商应充分考虑材料供应紧张的因素，提前做好各类材料的备货工作。</w:t>
      </w:r>
    </w:p>
    <w:p w14:paraId="780F73D2">
      <w:pPr>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4、主要材料推荐品牌（或厂家）</w:t>
      </w:r>
    </w:p>
    <w:tbl>
      <w:tblPr>
        <w:tblStyle w:val="62"/>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3107"/>
        <w:gridCol w:w="4150"/>
      </w:tblGrid>
      <w:tr w14:paraId="666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03DB2EA3">
            <w:pPr>
              <w:adjustRightInd w:val="0"/>
              <w:snapToGrid w:val="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序号</w:t>
            </w:r>
          </w:p>
        </w:tc>
        <w:tc>
          <w:tcPr>
            <w:tcW w:w="3107" w:type="dxa"/>
            <w:vAlign w:val="center"/>
          </w:tcPr>
          <w:p w14:paraId="0A98D3B2">
            <w:pPr>
              <w:adjustRightInd w:val="0"/>
              <w:snapToGrid w:val="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材料( 设备 )名称</w:t>
            </w:r>
          </w:p>
        </w:tc>
        <w:tc>
          <w:tcPr>
            <w:tcW w:w="4150" w:type="dxa"/>
            <w:vAlign w:val="center"/>
          </w:tcPr>
          <w:p w14:paraId="23FE1B26">
            <w:pPr>
              <w:adjustRightInd w:val="0"/>
              <w:snapToGrid w:val="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推荐品牌</w:t>
            </w:r>
          </w:p>
        </w:tc>
      </w:tr>
      <w:tr w14:paraId="3DE6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2EDA2C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07" w:type="dxa"/>
            <w:vAlign w:val="center"/>
          </w:tcPr>
          <w:p w14:paraId="02FB257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PVF长效建筑膜材</w:t>
            </w:r>
          </w:p>
        </w:tc>
        <w:tc>
          <w:tcPr>
            <w:tcW w:w="4150" w:type="dxa"/>
            <w:vAlign w:val="center"/>
          </w:tcPr>
          <w:p w14:paraId="77D83E9B">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浙江汇锋、浙江富兴、深圳卡斯蒂诺</w:t>
            </w:r>
          </w:p>
        </w:tc>
      </w:tr>
      <w:tr w14:paraId="0435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0B3663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107" w:type="dxa"/>
            <w:vAlign w:val="center"/>
          </w:tcPr>
          <w:p w14:paraId="550B584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电线</w:t>
            </w:r>
          </w:p>
        </w:tc>
        <w:tc>
          <w:tcPr>
            <w:tcW w:w="4150" w:type="dxa"/>
            <w:vAlign w:val="center"/>
          </w:tcPr>
          <w:p w14:paraId="2697182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浙江元通、浙江万马、杭州中策</w:t>
            </w:r>
          </w:p>
        </w:tc>
      </w:tr>
      <w:tr w14:paraId="726F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19A3CE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3107" w:type="dxa"/>
            <w:vAlign w:val="center"/>
          </w:tcPr>
          <w:p w14:paraId="1B5E435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配电箱元器件（含空气开关、双电源、浪涌保护器、漏电开关）</w:t>
            </w:r>
          </w:p>
        </w:tc>
        <w:tc>
          <w:tcPr>
            <w:tcW w:w="4150" w:type="dxa"/>
            <w:vAlign w:val="center"/>
          </w:tcPr>
          <w:p w14:paraId="6E6BC31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ABB、罗格朗、施耐德</w:t>
            </w:r>
          </w:p>
        </w:tc>
      </w:tr>
    </w:tbl>
    <w:p w14:paraId="7F1EF0BD">
      <w:pPr>
        <w:pStyle w:val="128"/>
        <w:adjustRightInd w:val="0"/>
        <w:snapToGrid w:val="0"/>
        <w:spacing w:line="360" w:lineRule="auto"/>
        <w:rPr>
          <w:rFonts w:ascii="仿宋" w:hAnsi="仿宋" w:eastAsia="仿宋" w:cs="仿宋"/>
          <w:color w:val="auto"/>
          <w:sz w:val="10"/>
          <w:szCs w:val="10"/>
          <w:highlight w:val="none"/>
        </w:rPr>
      </w:pPr>
    </w:p>
    <w:p w14:paraId="06528438">
      <w:pPr>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备注：a.合同期内供应商选用品牌/厂家因停产或不能满足技术要求的，采购人有权要求供应商在推荐品牌（或厂家）中重新选取并供货，价格不作调整；</w:t>
      </w:r>
    </w:p>
    <w:p w14:paraId="053C082E">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b.供应商应充分自行勘查现场（采购人不集中组织），对现场和周围环境进行踏勘和了解，以获取有关编制响应文件和签署合同所需的各种资料，并充分考虑影响响应报价的因素、预计实施过程中各种不利因素，由此可能发生的费用均由供应商考虑并包含在响应报价中，因现场勘查不充分导致的响应报价缺失由供应商自行承担，成交后成交供应商不得再以不完全了解现场情况等为理由而提出额外付款或延长工期等要求，若有此类要求采购人将不作任何答复与考虑，现场勘查所产生的一切责任、风险、费用和后果由供应商自行承担。现场踏勘需遵循采购人要求，持法人授权委托书、本人身份证参加。</w:t>
      </w:r>
    </w:p>
    <w:p w14:paraId="1DB3A271">
      <w:pPr>
        <w:adjustRightInd w:val="0"/>
        <w:snapToGrid w:val="0"/>
        <w:spacing w:line="360" w:lineRule="auto"/>
        <w:ind w:firstLine="480" w:firstLineChars="200"/>
        <w:jc w:val="left"/>
        <w:rPr>
          <w:rFonts w:ascii="仿宋" w:hAnsi="仿宋" w:eastAsia="仿宋" w:cs="仿宋"/>
          <w:color w:val="auto"/>
          <w:sz w:val="24"/>
          <w:szCs w:val="24"/>
          <w:highlight w:val="none"/>
        </w:rPr>
      </w:pPr>
    </w:p>
    <w:p w14:paraId="0F6B7F87">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三、报价说明</w:t>
      </w:r>
    </w:p>
    <w:p w14:paraId="2A08138B">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宋体"/>
          <w:color w:val="auto"/>
          <w:sz w:val="24"/>
          <w:szCs w:val="24"/>
          <w:highlight w:val="none"/>
        </w:rPr>
        <w:t>本工程采用固定总价包干方式承包。除根据合同约定的在工程实施过程中需进行增减的款项外，合同价格不作调整。最终竣工结算价（合同总价）以审计审定的竣工结算价为准。</w:t>
      </w:r>
    </w:p>
    <w:p w14:paraId="12E28980">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2、磋商供应商的投标报价，应是完成本项目工程范围的全部内容，不得以任何理由予以重复作为磋商供应商计算单价或总价的依据。</w:t>
      </w:r>
    </w:p>
    <w:p w14:paraId="17C1AA5A">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3、施工水电费按工程竣工结算审定价的0.5％计算，在结算审定款中直接扣除。</w:t>
      </w:r>
    </w:p>
    <w:p w14:paraId="7BB0F0AB">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4、如有材料检验检测，则检验检测单位由建设单位指定，磋商供应商承担相应材料检验检测费用，相关费用在投标报价中综合考虑，今后不得调整。</w:t>
      </w:r>
    </w:p>
    <w:p w14:paraId="4E0DD63E">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5、工程施工造成的其它设施、设备等的破损须修复原状，费用自行考虑报价。</w:t>
      </w:r>
    </w:p>
    <w:p w14:paraId="03E0E7C3">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6、本项目周边无搭设临时设施场地，项目施工人员住宿、办公用房及材料仓库等临时设施由磋商供应商自行负责，相关费用在措施费中考虑，费用包干，不报或漏报视作优惠。</w:t>
      </w:r>
    </w:p>
    <w:p w14:paraId="20B5B906">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7687DE03">
      <w:pPr>
        <w:adjustRightInd w:val="0"/>
        <w:snapToGrid w:val="0"/>
        <w:spacing w:line="360" w:lineRule="auto"/>
        <w:ind w:firstLine="480" w:firstLineChars="200"/>
        <w:jc w:val="left"/>
        <w:rPr>
          <w:rFonts w:ascii="仿宋" w:hAnsi="仿宋" w:eastAsia="仿宋" w:cs="仿宋"/>
          <w:color w:val="auto"/>
          <w:sz w:val="24"/>
          <w:szCs w:val="24"/>
          <w:highlight w:val="none"/>
        </w:rPr>
      </w:pPr>
    </w:p>
    <w:p w14:paraId="555D1A31">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六、质保期要求</w:t>
      </w:r>
    </w:p>
    <w:p w14:paraId="6FC2A270">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质保期：2年</w:t>
      </w:r>
    </w:p>
    <w:p w14:paraId="18DE9E52">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质保金退还：工程竣工验收合格之日起满两年且回访质量符合要求后，一次性付清（无息）；如保修期间产生维修费、赔偿金等，则扣除相应的维修费、赔偿金等款项后退还。</w:t>
      </w:r>
    </w:p>
    <w:p w14:paraId="2F6C7E8A">
      <w:pPr>
        <w:adjustRightInd w:val="0"/>
        <w:snapToGrid w:val="0"/>
        <w:spacing w:line="360" w:lineRule="auto"/>
        <w:ind w:firstLine="480" w:firstLineChars="200"/>
        <w:jc w:val="left"/>
        <w:rPr>
          <w:rFonts w:ascii="仿宋" w:hAnsi="仿宋" w:eastAsia="仿宋" w:cs="仿宋"/>
          <w:color w:val="auto"/>
          <w:sz w:val="24"/>
          <w:szCs w:val="24"/>
          <w:highlight w:val="none"/>
        </w:rPr>
      </w:pPr>
    </w:p>
    <w:p w14:paraId="703F4A4C">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七、针对本项目的其他要求</w:t>
      </w:r>
    </w:p>
    <w:p w14:paraId="47124177">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1、供应商在施工时需针对高校特点合理安排施工时间及噪音控制，保障学校正常教学生活秩序；</w:t>
      </w:r>
    </w:p>
    <w:p w14:paraId="226655D0">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2、供应商在施工时需严格做好施工现场管理的安全管理，如防火、防盗等；</w:t>
      </w:r>
    </w:p>
    <w:p w14:paraId="4AF6CF66">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3、供应商需在竣工后及时供给水、电，做好卫生保洁工作。</w:t>
      </w:r>
    </w:p>
    <w:p w14:paraId="797F56CA">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4、供应商在校内须严格遵守国家相关法律法规、严格遵守学校有关疫情防控、意识形态、宗教管理教育工作等相关规定。</w:t>
      </w:r>
    </w:p>
    <w:p w14:paraId="25318250">
      <w:pPr>
        <w:pStyle w:val="23"/>
        <w:adjustRightInd w:val="0"/>
        <w:snapToGrid w:val="0"/>
        <w:spacing w:after="0" w:line="360" w:lineRule="auto"/>
        <w:rPr>
          <w:color w:val="auto"/>
          <w:highlight w:val="none"/>
        </w:rPr>
      </w:pPr>
    </w:p>
    <w:p w14:paraId="77610582">
      <w:pPr>
        <w:adjustRightInd w:val="0"/>
        <w:snapToGrid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八、本章未尽内容按“第五章 合同主要条款”。</w:t>
      </w:r>
    </w:p>
    <w:p w14:paraId="601D533F">
      <w:pPr>
        <w:pStyle w:val="75"/>
        <w:ind w:firstLine="0"/>
        <w:rPr>
          <w:color w:val="auto"/>
          <w:highlight w:val="none"/>
        </w:rPr>
      </w:pPr>
    </w:p>
    <w:p w14:paraId="600F7E03">
      <w:pPr>
        <w:rPr>
          <w:rFonts w:ascii="仿宋" w:hAnsi="仿宋" w:eastAsia="仿宋" w:cs="宋体"/>
          <w:b/>
          <w:color w:val="auto"/>
          <w:sz w:val="32"/>
          <w:szCs w:val="32"/>
          <w:highlight w:val="none"/>
        </w:rPr>
      </w:pPr>
      <w:bookmarkStart w:id="95" w:name="_Toc18450"/>
      <w:bookmarkStart w:id="96" w:name="_Hlk97732490"/>
      <w:r>
        <w:rPr>
          <w:rFonts w:hint="eastAsia" w:ascii="仿宋" w:hAnsi="仿宋" w:eastAsia="仿宋" w:cs="宋体"/>
          <w:b/>
          <w:color w:val="auto"/>
          <w:sz w:val="32"/>
          <w:szCs w:val="32"/>
          <w:highlight w:val="none"/>
        </w:rPr>
        <w:br w:type="page"/>
      </w:r>
    </w:p>
    <w:p w14:paraId="4D622908">
      <w:pPr>
        <w:autoSpaceDN w:val="0"/>
        <w:adjustRightInd w:val="0"/>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5"/>
    </w:p>
    <w:bookmarkEnd w:id="94"/>
    <w:bookmarkEnd w:id="96"/>
    <w:p w14:paraId="49CCFFFB">
      <w:pPr>
        <w:spacing w:line="288" w:lineRule="auto"/>
        <w:ind w:firstLine="458" w:firstLineChars="200"/>
        <w:jc w:val="center"/>
        <w:rPr>
          <w:rFonts w:ascii="仿宋" w:hAnsi="仿宋" w:eastAsia="仿宋" w:cs="仿宋"/>
          <w:color w:val="auto"/>
          <w:spacing w:val="-6"/>
          <w:sz w:val="24"/>
          <w:szCs w:val="24"/>
          <w:highlight w:val="none"/>
        </w:rPr>
      </w:pPr>
      <w:bookmarkStart w:id="97" w:name="_Toc15050"/>
      <w:r>
        <w:rPr>
          <w:rFonts w:hint="eastAsia" w:ascii="仿宋" w:hAnsi="仿宋" w:eastAsia="仿宋" w:cs="仿宋"/>
          <w:b/>
          <w:color w:val="auto"/>
          <w:spacing w:val="-6"/>
          <w:sz w:val="24"/>
          <w:szCs w:val="24"/>
          <w:highlight w:val="none"/>
        </w:rPr>
        <w:t>浙江工业大学采购合同</w:t>
      </w:r>
    </w:p>
    <w:p w14:paraId="5885257C">
      <w:pPr>
        <w:spacing w:line="288" w:lineRule="auto"/>
        <w:ind w:firstLine="396" w:firstLineChars="200"/>
        <w:jc w:val="cente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14:paraId="06FBF612">
      <w:pPr>
        <w:spacing w:line="288" w:lineRule="auto"/>
        <w:ind w:firstLine="422" w:firstLineChars="200"/>
        <w:jc w:val="center"/>
        <w:outlineLvl w:val="1"/>
        <w:rPr>
          <w:rFonts w:ascii="仿宋" w:hAnsi="仿宋" w:eastAsia="仿宋" w:cs="仿宋"/>
          <w:b/>
          <w:bCs/>
          <w:color w:val="auto"/>
          <w:szCs w:val="21"/>
          <w:highlight w:val="none"/>
        </w:rPr>
      </w:pPr>
    </w:p>
    <w:p w14:paraId="0B1BB2DC">
      <w:pPr>
        <w:spacing w:line="288" w:lineRule="auto"/>
        <w:ind w:firstLine="4830" w:firstLineChars="2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HSZB-2024-1155</w:t>
      </w:r>
    </w:p>
    <w:p w14:paraId="40A95CBE">
      <w:pPr>
        <w:spacing w:line="288" w:lineRule="auto"/>
        <w:ind w:firstLine="4830" w:firstLineChars="2300"/>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[2024]79912</w:t>
      </w:r>
      <w:r>
        <w:rPr>
          <w:rFonts w:hint="eastAsia" w:ascii="仿宋" w:hAnsi="仿宋" w:eastAsia="仿宋" w:cs="仿宋"/>
          <w:color w:val="auto"/>
          <w:szCs w:val="21"/>
          <w:highlight w:val="none"/>
        </w:rPr>
        <w:t>号</w:t>
      </w:r>
    </w:p>
    <w:p w14:paraId="3C57AF0E">
      <w:pPr>
        <w:spacing w:line="288" w:lineRule="auto"/>
        <w:ind w:firstLine="4830" w:firstLineChars="23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委托编号：ZJGDZC(W)-2024-HS060</w:t>
      </w:r>
    </w:p>
    <w:p w14:paraId="0AE37140">
      <w:pPr>
        <w:spacing w:line="288"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第一部分  合同协议书</w:t>
      </w:r>
    </w:p>
    <w:p w14:paraId="527C4A76">
      <w:pPr>
        <w:pStyle w:val="1024"/>
        <w:adjustRightInd w:val="0"/>
        <w:snapToGrid w:val="0"/>
        <w:spacing w:line="288" w:lineRule="auto"/>
        <w:jc w:val="both"/>
        <w:rPr>
          <w:rFonts w:ascii="仿宋" w:hAnsi="仿宋" w:eastAsia="仿宋" w:cs="仿宋"/>
          <w:bCs/>
          <w:color w:val="auto"/>
          <w:kern w:val="2"/>
          <w:sz w:val="21"/>
          <w:szCs w:val="21"/>
          <w:highlight w:val="none"/>
        </w:rPr>
      </w:pPr>
    </w:p>
    <w:p w14:paraId="0541832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Cs/>
          <w:color w:val="auto"/>
          <w:kern w:val="2"/>
          <w:sz w:val="21"/>
          <w:szCs w:val="21"/>
          <w:highlight w:val="none"/>
        </w:rPr>
        <w:t>发包人(全称)：浙江工业大学</w:t>
      </w:r>
    </w:p>
    <w:p w14:paraId="3D508944">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Cs/>
          <w:color w:val="auto"/>
          <w:kern w:val="2"/>
          <w:sz w:val="21"/>
          <w:szCs w:val="21"/>
          <w:highlight w:val="none"/>
        </w:rPr>
        <w:t>承包人(全称)：</w:t>
      </w:r>
      <w:r>
        <w:rPr>
          <w:rFonts w:hint="eastAsia" w:ascii="仿宋" w:hAnsi="仿宋" w:eastAsia="仿宋" w:cs="仿宋"/>
          <w:color w:val="auto"/>
          <w:kern w:val="2"/>
          <w:sz w:val="21"/>
          <w:szCs w:val="21"/>
          <w:highlight w:val="none"/>
          <w:u w:val="single"/>
        </w:rPr>
        <w:t xml:space="preserve">              </w:t>
      </w:r>
    </w:p>
    <w:p w14:paraId="55AECE58">
      <w:pPr>
        <w:pStyle w:val="1024"/>
        <w:adjustRightInd w:val="0"/>
        <w:snapToGrid w:val="0"/>
        <w:spacing w:line="288" w:lineRule="auto"/>
        <w:jc w:val="both"/>
        <w:rPr>
          <w:rFonts w:ascii="仿宋" w:hAnsi="仿宋" w:eastAsia="仿宋" w:cs="仿宋"/>
          <w:b/>
          <w:bCs/>
          <w:color w:val="auto"/>
          <w:kern w:val="2"/>
          <w:sz w:val="21"/>
          <w:szCs w:val="21"/>
          <w:highlight w:val="none"/>
        </w:rPr>
      </w:pPr>
    </w:p>
    <w:p w14:paraId="2E2EDB3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依照《中华人民共和国民法典》《中华人民共和国建筑法》《中华人民共和国招标投标法》及相关法律、行政法规，遵循平等、自愿、公平和诚信原则，合同双方就</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sz w:val="21"/>
          <w:szCs w:val="21"/>
          <w:highlight w:val="none"/>
          <w:shd w:val="clear" w:color="auto" w:fill="FFFFFF"/>
        </w:rPr>
        <w:t>EPC工程总承</w:t>
      </w:r>
      <w:r>
        <w:rPr>
          <w:rFonts w:hint="eastAsia" w:ascii="仿宋" w:hAnsi="仿宋" w:eastAsia="仿宋" w:cs="仿宋"/>
          <w:color w:val="auto"/>
          <w:kern w:val="2"/>
          <w:sz w:val="21"/>
          <w:szCs w:val="21"/>
          <w:highlight w:val="none"/>
        </w:rPr>
        <w:t>包项目事宜经协商一致，订立本合同。</w:t>
      </w:r>
    </w:p>
    <w:p w14:paraId="569D81C2">
      <w:pPr>
        <w:pStyle w:val="1024"/>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一、工程概况</w:t>
      </w:r>
    </w:p>
    <w:p w14:paraId="7387DE11">
      <w:pPr>
        <w:pStyle w:val="1024"/>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1、工程名称：</w:t>
      </w:r>
      <w:r>
        <w:rPr>
          <w:rFonts w:hint="eastAsia" w:ascii="仿宋" w:hAnsi="仿宋" w:eastAsia="仿宋" w:cs="仿宋"/>
          <w:color w:val="auto"/>
          <w:kern w:val="2"/>
          <w:sz w:val="21"/>
          <w:szCs w:val="21"/>
          <w:highlight w:val="none"/>
          <w:u w:val="single"/>
        </w:rPr>
        <w:t xml:space="preserve">              </w:t>
      </w:r>
    </w:p>
    <w:p w14:paraId="3E5F3646">
      <w:pPr>
        <w:pStyle w:val="1024"/>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2、工程批准、核准或备案文号：</w:t>
      </w:r>
      <w:r>
        <w:rPr>
          <w:rFonts w:hint="eastAsia" w:ascii="仿宋" w:hAnsi="仿宋" w:eastAsia="仿宋" w:cs="仿宋"/>
          <w:color w:val="auto"/>
          <w:kern w:val="2"/>
          <w:sz w:val="21"/>
          <w:szCs w:val="21"/>
          <w:highlight w:val="none"/>
          <w:u w:val="single"/>
        </w:rPr>
        <w:t xml:space="preserve">             </w:t>
      </w:r>
    </w:p>
    <w:p w14:paraId="65B1FE4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3、工程承包范围及内容：</w:t>
      </w:r>
      <w:r>
        <w:rPr>
          <w:rFonts w:hint="eastAsia" w:ascii="仿宋" w:hAnsi="仿宋" w:eastAsia="仿宋" w:cs="仿宋"/>
          <w:color w:val="auto"/>
          <w:szCs w:val="21"/>
          <w:highlight w:val="none"/>
          <w:u w:val="single"/>
        </w:rPr>
        <w:t xml:space="preserve">              </w:t>
      </w:r>
    </w:p>
    <w:p w14:paraId="78741A37">
      <w:pPr>
        <w:pStyle w:val="1024"/>
        <w:spacing w:line="288" w:lineRule="auto"/>
        <w:jc w:val="both"/>
        <w:outlineLvl w:val="0"/>
        <w:rPr>
          <w:rFonts w:ascii="仿宋" w:hAnsi="仿宋" w:eastAsia="仿宋" w:cs="仿宋"/>
          <w:color w:val="auto"/>
          <w:kern w:val="2"/>
          <w:sz w:val="21"/>
          <w:szCs w:val="21"/>
          <w:highlight w:val="none"/>
          <w:u w:val="single"/>
        </w:rPr>
      </w:pPr>
      <w:r>
        <w:rPr>
          <w:rFonts w:hint="eastAsia" w:ascii="仿宋" w:hAnsi="仿宋" w:eastAsia="仿宋" w:cs="仿宋"/>
          <w:b/>
          <w:bCs/>
          <w:color w:val="auto"/>
          <w:kern w:val="2"/>
          <w:sz w:val="21"/>
          <w:szCs w:val="21"/>
          <w:highlight w:val="none"/>
        </w:rPr>
        <w:t>二、工程主要生产技术(或建筑设计方案)来源：</w:t>
      </w:r>
      <w:r>
        <w:rPr>
          <w:rFonts w:hint="eastAsia" w:ascii="仿宋" w:hAnsi="仿宋" w:eastAsia="仿宋" w:cs="仿宋"/>
          <w:b/>
          <w:bCs/>
          <w:color w:val="auto"/>
          <w:kern w:val="2"/>
          <w:sz w:val="21"/>
          <w:szCs w:val="21"/>
          <w:highlight w:val="none"/>
          <w:u w:val="single"/>
        </w:rPr>
        <w:t xml:space="preserve">   </w:t>
      </w:r>
      <w:r>
        <w:rPr>
          <w:rFonts w:hint="eastAsia" w:ascii="仿宋" w:hAnsi="仿宋" w:eastAsia="仿宋" w:cs="仿宋"/>
          <w:color w:val="auto"/>
          <w:kern w:val="2"/>
          <w:sz w:val="21"/>
          <w:szCs w:val="21"/>
          <w:highlight w:val="none"/>
          <w:u w:val="single"/>
        </w:rPr>
        <w:t xml:space="preserve">/   </w:t>
      </w:r>
    </w:p>
    <w:p w14:paraId="191EB3E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三、总工期</w:t>
      </w:r>
    </w:p>
    <w:p w14:paraId="49E9865B">
      <w:pPr>
        <w:pStyle w:val="1024"/>
        <w:adjustRightInd w:val="0"/>
        <w:snapToGrid w:val="0"/>
        <w:spacing w:line="288" w:lineRule="auto"/>
        <w:ind w:firstLine="400" w:firstLineChars="200"/>
        <w:jc w:val="both"/>
        <w:rPr>
          <w:rFonts w:ascii="仿宋" w:hAnsi="仿宋" w:eastAsia="仿宋" w:cs="仿宋"/>
          <w:b/>
          <w:bCs/>
          <w:color w:val="auto"/>
          <w:kern w:val="2"/>
          <w:sz w:val="21"/>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日历天（设计工期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日历天、施工工期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日历天）</w:t>
      </w:r>
    </w:p>
    <w:p w14:paraId="1ED4232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四、工程质量标准</w:t>
      </w:r>
    </w:p>
    <w:p w14:paraId="4B56788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工程设计质量标准：</w:t>
      </w:r>
      <w:r>
        <w:rPr>
          <w:rFonts w:hint="eastAsia" w:ascii="仿宋" w:hAnsi="仿宋" w:eastAsia="仿宋" w:cs="仿宋"/>
          <w:color w:val="auto"/>
          <w:kern w:val="2"/>
          <w:sz w:val="21"/>
          <w:szCs w:val="21"/>
          <w:highlight w:val="none"/>
          <w:u w:val="single"/>
        </w:rPr>
        <w:t xml:space="preserve">              </w:t>
      </w:r>
    </w:p>
    <w:p w14:paraId="4F5B6EB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工程施工质量标准：</w:t>
      </w:r>
      <w:r>
        <w:rPr>
          <w:rFonts w:hint="eastAsia" w:ascii="仿宋" w:hAnsi="仿宋" w:eastAsia="仿宋" w:cs="仿宋"/>
          <w:color w:val="auto"/>
          <w:kern w:val="2"/>
          <w:sz w:val="21"/>
          <w:szCs w:val="21"/>
          <w:highlight w:val="none"/>
          <w:u w:val="single"/>
        </w:rPr>
        <w:t xml:space="preserve">              </w:t>
      </w:r>
    </w:p>
    <w:p w14:paraId="01B37D3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五、合同价格</w:t>
      </w:r>
    </w:p>
    <w:p w14:paraId="5DD7377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本合同价格(含增值税)为人民币(大写)：</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元)。</w:t>
      </w:r>
    </w:p>
    <w:p w14:paraId="2477A89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其中：</w:t>
      </w:r>
    </w:p>
    <w:p w14:paraId="1D8ADFC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1.设计费为人民币(大写)</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元)；</w:t>
      </w:r>
    </w:p>
    <w:p w14:paraId="73B8917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2.建筑安装工程费为人民币(大写)</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元)；</w:t>
      </w:r>
    </w:p>
    <w:p w14:paraId="0AB2565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除根据合同约定的在工程实施过程中需进行增减的款项外，合同价格不作调整。最终竣工结算价（合同总价）以审计审定的竣工结算价为准。</w:t>
      </w:r>
    </w:p>
    <w:p w14:paraId="76A6C05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六、定义与解释</w:t>
      </w:r>
    </w:p>
    <w:p w14:paraId="762D8BB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本协议书中有关词语的含义与通用条款中赋予的定义与解释相同。</w:t>
      </w:r>
    </w:p>
    <w:p w14:paraId="4C54E73B">
      <w:pPr>
        <w:pStyle w:val="1024"/>
        <w:adjustRightInd w:val="0"/>
        <w:snapToGrid w:val="0"/>
        <w:spacing w:line="288" w:lineRule="auto"/>
        <w:jc w:val="both"/>
        <w:outlineLvl w:val="0"/>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七、合同生效</w:t>
      </w:r>
    </w:p>
    <w:p w14:paraId="7037ABD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本合同经发包人、承包人双方盖章并在承包人提交履约担保后生效。</w:t>
      </w:r>
    </w:p>
    <w:p w14:paraId="22C8E03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八、合同份数</w:t>
      </w:r>
    </w:p>
    <w:p w14:paraId="0F4DF73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本合同一式捌份，均具有同等法律效力，发包人执肆份，承包人执肆份。</w:t>
      </w:r>
    </w:p>
    <w:p w14:paraId="3D12E2E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九、</w:t>
      </w:r>
      <w:r>
        <w:rPr>
          <w:rFonts w:hint="eastAsia" w:ascii="仿宋" w:hAnsi="仿宋" w:eastAsia="仿宋" w:cs="仿宋"/>
          <w:color w:val="auto"/>
          <w:kern w:val="2"/>
          <w:sz w:val="21"/>
          <w:szCs w:val="21"/>
          <w:highlight w:val="none"/>
        </w:rPr>
        <w:t>合同订立时间：</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日</w:t>
      </w:r>
    </w:p>
    <w:p w14:paraId="1896DE62">
      <w:pPr>
        <w:pStyle w:val="1024"/>
        <w:adjustRightInd w:val="0"/>
        <w:snapToGrid w:val="0"/>
        <w:spacing w:line="288" w:lineRule="auto"/>
        <w:jc w:val="both"/>
        <w:rPr>
          <w:rFonts w:ascii="仿宋" w:hAnsi="仿宋" w:eastAsia="仿宋" w:cs="仿宋"/>
          <w:color w:val="auto"/>
          <w:kern w:val="2"/>
          <w:sz w:val="21"/>
          <w:szCs w:val="21"/>
          <w:highlight w:val="none"/>
          <w:u w:val="single"/>
        </w:rPr>
      </w:pPr>
      <w:r>
        <w:rPr>
          <w:rFonts w:hint="eastAsia" w:ascii="仿宋" w:hAnsi="仿宋" w:eastAsia="仿宋" w:cs="仿宋"/>
          <w:b/>
          <w:bCs/>
          <w:color w:val="auto"/>
          <w:kern w:val="2"/>
          <w:sz w:val="21"/>
          <w:szCs w:val="21"/>
          <w:highlight w:val="none"/>
        </w:rPr>
        <w:t>十、</w:t>
      </w:r>
      <w:r>
        <w:rPr>
          <w:rFonts w:hint="eastAsia" w:ascii="仿宋" w:hAnsi="仿宋" w:eastAsia="仿宋" w:cs="仿宋"/>
          <w:color w:val="auto"/>
          <w:kern w:val="2"/>
          <w:sz w:val="21"/>
          <w:szCs w:val="21"/>
          <w:highlight w:val="none"/>
        </w:rPr>
        <w:t>合同订立地点：</w:t>
      </w:r>
      <w:r>
        <w:rPr>
          <w:rFonts w:hint="eastAsia" w:ascii="仿宋" w:hAnsi="仿宋" w:eastAsia="仿宋" w:cs="仿宋"/>
          <w:color w:val="auto"/>
          <w:kern w:val="2"/>
          <w:sz w:val="21"/>
          <w:szCs w:val="21"/>
          <w:highlight w:val="none"/>
          <w:u w:val="single"/>
        </w:rPr>
        <w:t xml:space="preserve">              </w:t>
      </w:r>
    </w:p>
    <w:p w14:paraId="6EDE06C1">
      <w:pPr>
        <w:pStyle w:val="131"/>
        <w:adjustRightInd w:val="0"/>
        <w:snapToGrid w:val="0"/>
        <w:spacing w:line="288" w:lineRule="auto"/>
        <w:rPr>
          <w:rFonts w:ascii="仿宋" w:hAnsi="仿宋" w:eastAsia="仿宋" w:cs="仿宋"/>
          <w:color w:val="auto"/>
          <w:szCs w:val="21"/>
          <w:highlight w:val="none"/>
        </w:rPr>
      </w:pPr>
    </w:p>
    <w:p w14:paraId="56B5F9F2">
      <w:pPr>
        <w:pStyle w:val="131"/>
        <w:adjustRightInd w:val="0"/>
        <w:snapToGrid w:val="0"/>
        <w:spacing w:line="288" w:lineRule="auto"/>
        <w:rPr>
          <w:rFonts w:ascii="仿宋" w:hAnsi="仿宋" w:eastAsia="仿宋" w:cs="仿宋"/>
          <w:color w:val="auto"/>
          <w:szCs w:val="21"/>
          <w:highlight w:val="none"/>
        </w:rPr>
      </w:pPr>
    </w:p>
    <w:p w14:paraId="1E429F0B">
      <w:pPr>
        <w:pStyle w:val="131"/>
        <w:adjustRightInd w:val="0"/>
        <w:snapToGrid w:val="0"/>
        <w:spacing w:line="288" w:lineRule="auto"/>
        <w:rPr>
          <w:rFonts w:ascii="仿宋" w:hAnsi="仿宋" w:eastAsia="仿宋" w:cs="仿宋"/>
          <w:color w:val="auto"/>
          <w:szCs w:val="21"/>
          <w:highlight w:val="none"/>
        </w:rPr>
      </w:pPr>
    </w:p>
    <w:p w14:paraId="7CDC3293">
      <w:pPr>
        <w:pStyle w:val="131"/>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                                       承包人：</w:t>
      </w:r>
    </w:p>
    <w:p w14:paraId="268D197B">
      <w:pPr>
        <w:pStyle w:val="131"/>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(公章)                                         (公章)</w:t>
      </w:r>
    </w:p>
    <w:p w14:paraId="0E1742B4">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                       法定代表人：</w:t>
      </w:r>
    </w:p>
    <w:p w14:paraId="2D669DA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（盖章）                                      （盖章）</w:t>
      </w:r>
    </w:p>
    <w:p w14:paraId="54BAD43A">
      <w:pPr>
        <w:tabs>
          <w:tab w:val="left" w:pos="4410"/>
        </w:tabs>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统一社会信用代码                               统一社会信用代码：</w:t>
      </w:r>
    </w:p>
    <w:p w14:paraId="1E6C96A1">
      <w:pPr>
        <w:adjustRightInd w:val="0"/>
        <w:snapToGrid w:val="0"/>
        <w:spacing w:line="288" w:lineRule="auto"/>
        <w:ind w:firstLine="420" w:firstLineChars="200"/>
        <w:rPr>
          <w:rFonts w:ascii="仿宋" w:hAnsi="仿宋" w:eastAsia="仿宋" w:cs="仿宋"/>
          <w:color w:val="auto"/>
          <w:kern w:val="0"/>
          <w:szCs w:val="21"/>
          <w:highlight w:val="none"/>
          <w:u w:val="single"/>
        </w:rPr>
      </w:pPr>
      <w:r>
        <w:rPr>
          <w:rFonts w:hint="eastAsia" w:ascii="仿宋" w:hAnsi="仿宋" w:eastAsia="仿宋" w:cs="仿宋"/>
          <w:color w:val="auto"/>
          <w:szCs w:val="21"/>
          <w:highlight w:val="none"/>
        </w:rPr>
        <w:t>地址：                                         地址：</w:t>
      </w:r>
    </w:p>
    <w:p w14:paraId="46DB64FF">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邮政编码：                                     邮政编码：</w:t>
      </w:r>
    </w:p>
    <w:p w14:paraId="69BE618D">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开户名：                                       开户名：</w:t>
      </w:r>
    </w:p>
    <w:p w14:paraId="47B15309">
      <w:pPr>
        <w:adjustRightInd w:val="0"/>
        <w:snapToGrid w:val="0"/>
        <w:spacing w:line="288" w:lineRule="auto"/>
        <w:ind w:firstLine="420" w:firstLineChars="200"/>
        <w:rPr>
          <w:rFonts w:ascii="仿宋" w:hAnsi="仿宋" w:eastAsia="仿宋" w:cs="仿宋"/>
          <w:bCs/>
          <w:color w:val="auto"/>
          <w:szCs w:val="21"/>
          <w:highlight w:val="none"/>
          <w:u w:val="single"/>
        </w:rPr>
      </w:pPr>
      <w:r>
        <w:rPr>
          <w:rFonts w:hint="eastAsia" w:ascii="仿宋" w:hAnsi="仿宋" w:eastAsia="仿宋" w:cs="仿宋"/>
          <w:color w:val="auto"/>
          <w:szCs w:val="21"/>
          <w:highlight w:val="none"/>
        </w:rPr>
        <w:t>开户银行：                                     开户银行：</w:t>
      </w:r>
    </w:p>
    <w:p w14:paraId="78CB60ED">
      <w:pPr>
        <w:adjustRightInd w:val="0"/>
        <w:snapToGrid w:val="0"/>
        <w:spacing w:line="288" w:lineRule="auto"/>
        <w:ind w:firstLine="420" w:firstLineChars="200"/>
        <w:rPr>
          <w:rFonts w:ascii="仿宋" w:hAnsi="仿宋" w:eastAsia="仿宋" w:cs="仿宋"/>
          <w:bCs/>
          <w:color w:val="auto"/>
          <w:szCs w:val="21"/>
          <w:highlight w:val="none"/>
          <w:u w:val="single"/>
        </w:rPr>
      </w:pPr>
      <w:r>
        <w:rPr>
          <w:rFonts w:hint="eastAsia" w:ascii="仿宋" w:hAnsi="仿宋" w:eastAsia="仿宋" w:cs="仿宋"/>
          <w:color w:val="auto"/>
          <w:szCs w:val="21"/>
          <w:highlight w:val="none"/>
        </w:rPr>
        <w:t>账号：                                         帐号：</w:t>
      </w:r>
    </w:p>
    <w:p w14:paraId="2D524A14">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经办人：                                       经办人：</w:t>
      </w:r>
    </w:p>
    <w:p w14:paraId="48F09CFC">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51C34078">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传真：                                         传真：</w:t>
      </w:r>
    </w:p>
    <w:p w14:paraId="4A8D1C07">
      <w:pPr>
        <w:adjustRightInd w:val="0"/>
        <w:snapToGrid w:val="0"/>
        <w:spacing w:line="288"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电子信箱：                                     电子信箱：</w:t>
      </w:r>
    </w:p>
    <w:p w14:paraId="2279099E">
      <w:pPr>
        <w:pStyle w:val="1024"/>
        <w:adjustRightInd w:val="0"/>
        <w:snapToGrid w:val="0"/>
        <w:spacing w:line="288" w:lineRule="auto"/>
        <w:jc w:val="center"/>
        <w:outlineLvl w:val="0"/>
        <w:rPr>
          <w:rFonts w:ascii="仿宋" w:hAnsi="仿宋" w:eastAsia="仿宋" w:cs="仿宋"/>
          <w:b/>
          <w:bCs/>
          <w:color w:val="auto"/>
          <w:kern w:val="2"/>
          <w:sz w:val="21"/>
          <w:szCs w:val="21"/>
          <w:highlight w:val="none"/>
        </w:rPr>
      </w:pPr>
      <w:bookmarkStart w:id="98" w:name="_Toc947523"/>
      <w:r>
        <w:rPr>
          <w:rFonts w:hint="eastAsia" w:ascii="仿宋" w:hAnsi="仿宋" w:eastAsia="仿宋" w:cs="仿宋"/>
          <w:color w:val="auto"/>
          <w:sz w:val="21"/>
          <w:szCs w:val="21"/>
          <w:highlight w:val="none"/>
        </w:rPr>
        <w:br w:type="page"/>
      </w:r>
      <w:r>
        <w:rPr>
          <w:rFonts w:hint="eastAsia" w:ascii="仿宋" w:hAnsi="仿宋" w:eastAsia="仿宋" w:cs="仿宋"/>
          <w:b/>
          <w:bCs/>
          <w:color w:val="auto"/>
          <w:kern w:val="2"/>
          <w:sz w:val="21"/>
          <w:szCs w:val="21"/>
          <w:highlight w:val="none"/>
        </w:rPr>
        <w:t>第二部分  通用条款</w:t>
      </w:r>
      <w:bookmarkEnd w:id="98"/>
    </w:p>
    <w:p w14:paraId="1872BA6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99" w:name="_Toc535392430"/>
      <w:bookmarkEnd w:id="99"/>
      <w:bookmarkStart w:id="100" w:name="_Toc947524"/>
      <w:r>
        <w:rPr>
          <w:rFonts w:hint="eastAsia" w:ascii="仿宋" w:hAnsi="仿宋" w:eastAsia="仿宋" w:cs="仿宋"/>
          <w:b/>
          <w:bCs/>
          <w:color w:val="auto"/>
          <w:kern w:val="2"/>
          <w:sz w:val="21"/>
          <w:szCs w:val="21"/>
          <w:highlight w:val="none"/>
        </w:rPr>
        <w:t>第l条 一般规定</w:t>
      </w:r>
      <w:bookmarkEnd w:id="100"/>
    </w:p>
    <w:p w14:paraId="0465F09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01" w:name="_Toc535392431"/>
      <w:bookmarkEnd w:id="101"/>
      <w:bookmarkStart w:id="102" w:name="_Toc947525"/>
      <w:r>
        <w:rPr>
          <w:rFonts w:hint="eastAsia" w:ascii="仿宋" w:hAnsi="仿宋" w:eastAsia="仿宋" w:cs="仿宋"/>
          <w:b/>
          <w:bCs/>
          <w:color w:val="auto"/>
          <w:kern w:val="2"/>
          <w:sz w:val="21"/>
          <w:szCs w:val="21"/>
          <w:highlight w:val="none"/>
        </w:rPr>
        <w:t>1.1 定义与解释</w:t>
      </w:r>
      <w:bookmarkEnd w:id="102"/>
    </w:p>
    <w:p w14:paraId="55CC7FC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w:t>
      </w:r>
      <w:r>
        <w:rPr>
          <w:rFonts w:hint="eastAsia" w:ascii="仿宋" w:hAnsi="仿宋" w:eastAsia="仿宋" w:cs="仿宋"/>
          <w:color w:val="auto"/>
          <w:kern w:val="2"/>
          <w:sz w:val="21"/>
          <w:szCs w:val="21"/>
          <w:highlight w:val="none"/>
        </w:rPr>
        <w:t>合同，指由第1．2．1项所述的各项文件所构成的整体。</w:t>
      </w:r>
    </w:p>
    <w:p w14:paraId="214F508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w:t>
      </w:r>
      <w:r>
        <w:rPr>
          <w:rFonts w:hint="eastAsia" w:ascii="仿宋" w:hAnsi="仿宋" w:eastAsia="仿宋" w:cs="仿宋"/>
          <w:color w:val="auto"/>
          <w:kern w:val="2"/>
          <w:sz w:val="21"/>
          <w:szCs w:val="21"/>
          <w:highlight w:val="none"/>
        </w:rPr>
        <w:t>通用条款，指合同当事人在履行工程总承包合同过程中依法所遵守的一般性条款，由本文件第1条至第20条组成。</w:t>
      </w:r>
    </w:p>
    <w:p w14:paraId="7AD15DA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w:t>
      </w:r>
      <w:r>
        <w:rPr>
          <w:rFonts w:hint="eastAsia" w:ascii="仿宋" w:hAnsi="仿宋" w:eastAsia="仿宋" w:cs="仿宋"/>
          <w:color w:val="auto"/>
          <w:kern w:val="2"/>
          <w:sz w:val="21"/>
          <w:szCs w:val="21"/>
          <w:highlight w:val="none"/>
        </w:rPr>
        <w:t>专用条款，指合同当事人根据工程总承包项目的具体情况，对通用条款进行细化、完善、补充、修改或另行约定，并同意共同遵守的条款。</w:t>
      </w:r>
    </w:p>
    <w:p w14:paraId="4D03A1B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w:t>
      </w:r>
      <w:r>
        <w:rPr>
          <w:rFonts w:hint="eastAsia" w:ascii="仿宋" w:hAnsi="仿宋" w:eastAsia="仿宋" w:cs="仿宋"/>
          <w:color w:val="auto"/>
          <w:kern w:val="2"/>
          <w:sz w:val="21"/>
          <w:szCs w:val="21"/>
          <w:highlight w:val="none"/>
        </w:rPr>
        <w:t>工程总承包，指承包人受发包人委托，按照合同约定对工程建设项目的设计、采购、施工(含竣工试验)、试运行等阶段实行全过程或若干阶段的工程承包。</w:t>
      </w:r>
    </w:p>
    <w:p w14:paraId="1F60E57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1.1.5</w:t>
      </w:r>
      <w:r>
        <w:rPr>
          <w:rFonts w:hint="eastAsia" w:ascii="仿宋" w:hAnsi="仿宋" w:eastAsia="仿宋" w:cs="仿宋"/>
          <w:color w:val="auto"/>
          <w:kern w:val="2"/>
          <w:sz w:val="21"/>
          <w:szCs w:val="21"/>
          <w:highlight w:val="none"/>
        </w:rPr>
        <w:t>发包人，指在合同协议书中约定的，具有项目发包主体资格和支付工程价款能力的当事人或取得该当事人资格的合法继承人。</w:t>
      </w:r>
    </w:p>
    <w:p w14:paraId="634EFDB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1.1.6</w:t>
      </w:r>
      <w:r>
        <w:rPr>
          <w:rFonts w:hint="eastAsia" w:ascii="仿宋" w:hAnsi="仿宋" w:eastAsia="仿宋" w:cs="仿宋"/>
          <w:color w:val="auto"/>
          <w:kern w:val="2"/>
          <w:sz w:val="21"/>
          <w:szCs w:val="21"/>
          <w:highlight w:val="none"/>
        </w:rPr>
        <w:t>承包人，指在合同协议书中约定的，被发包人接受的具有工程总承包主体资格的当事人，包括其合法继承人。</w:t>
      </w:r>
    </w:p>
    <w:p w14:paraId="68680AE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1.1.7</w:t>
      </w:r>
      <w:r>
        <w:rPr>
          <w:rFonts w:hint="eastAsia" w:ascii="仿宋" w:hAnsi="仿宋" w:eastAsia="仿宋" w:cs="仿宋"/>
          <w:color w:val="auto"/>
          <w:kern w:val="2"/>
          <w:sz w:val="21"/>
          <w:szCs w:val="21"/>
          <w:highlight w:val="none"/>
        </w:rPr>
        <w:t>联合体，指经发包人同意由两个或两个以上法人或者其他组织组成的，作为工程承包人的临时机构，联合体各方向发包人承担连带责任。联合体各方应指定其中一方作为牵头人。</w:t>
      </w:r>
    </w:p>
    <w:p w14:paraId="7A772D4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1.1.8</w:t>
      </w:r>
      <w:r>
        <w:rPr>
          <w:rFonts w:hint="eastAsia" w:ascii="仿宋" w:hAnsi="仿宋" w:eastAsia="仿宋" w:cs="仿宋"/>
          <w:color w:val="auto"/>
          <w:kern w:val="2"/>
          <w:sz w:val="21"/>
          <w:szCs w:val="21"/>
          <w:highlight w:val="none"/>
        </w:rPr>
        <w:t>分包人，指接受承包人根据合同约定对外分包的部分工程或服务的、具有相应资格的法人或其他组织。</w:t>
      </w:r>
    </w:p>
    <w:p w14:paraId="4912376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1.1.9</w:t>
      </w:r>
      <w:r>
        <w:rPr>
          <w:rFonts w:hint="eastAsia" w:ascii="仿宋" w:hAnsi="仿宋" w:eastAsia="仿宋" w:cs="仿宋"/>
          <w:color w:val="auto"/>
          <w:kern w:val="2"/>
          <w:sz w:val="21"/>
          <w:szCs w:val="21"/>
          <w:highlight w:val="none"/>
        </w:rPr>
        <w:t>发包人代表，指发包人指定的履行本合同的代表。</w:t>
      </w:r>
    </w:p>
    <w:p w14:paraId="5AE3F5B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1.1.10</w:t>
      </w:r>
      <w:r>
        <w:rPr>
          <w:rFonts w:hint="eastAsia" w:ascii="仿宋" w:hAnsi="仿宋" w:eastAsia="仿宋" w:cs="仿宋"/>
          <w:color w:val="auto"/>
          <w:kern w:val="2"/>
          <w:sz w:val="21"/>
          <w:szCs w:val="21"/>
          <w:highlight w:val="none"/>
        </w:rPr>
        <w:t>监理人，指发包人委托的具有相应资质的工程监理人。</w:t>
      </w:r>
    </w:p>
    <w:p w14:paraId="7656F12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1.1.11</w:t>
      </w:r>
      <w:r>
        <w:rPr>
          <w:rFonts w:hint="eastAsia" w:ascii="仿宋" w:hAnsi="仿宋" w:eastAsia="仿宋" w:cs="仿宋"/>
          <w:color w:val="auto"/>
          <w:kern w:val="2"/>
          <w:sz w:val="21"/>
          <w:szCs w:val="21"/>
          <w:highlight w:val="none"/>
        </w:rPr>
        <w:t>工程总监，指由监理人授权、负责履行监理合同的总监理工程师。</w:t>
      </w:r>
    </w:p>
    <w:p w14:paraId="006F614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1.1.12</w:t>
      </w:r>
      <w:r>
        <w:rPr>
          <w:rFonts w:hint="eastAsia" w:ascii="仿宋" w:hAnsi="仿宋" w:eastAsia="仿宋" w:cs="仿宋"/>
          <w:color w:val="auto"/>
          <w:kern w:val="2"/>
          <w:sz w:val="21"/>
          <w:szCs w:val="21"/>
          <w:highlight w:val="none"/>
        </w:rPr>
        <w:t>项目负责人，指承包人按照合同约定任命的负责履行合同的代表。</w:t>
      </w:r>
    </w:p>
    <w:p w14:paraId="4BF3CC7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1.1.13</w:t>
      </w:r>
      <w:r>
        <w:rPr>
          <w:rFonts w:hint="eastAsia" w:ascii="仿宋" w:hAnsi="仿宋" w:eastAsia="仿宋" w:cs="仿宋"/>
          <w:color w:val="auto"/>
          <w:kern w:val="2"/>
          <w:sz w:val="21"/>
          <w:szCs w:val="21"/>
          <w:highlight w:val="none"/>
        </w:rPr>
        <w:t>工程，指永久性工程和(或)临时性工程。</w:t>
      </w:r>
    </w:p>
    <w:p w14:paraId="62F7CBB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1.1.14</w:t>
      </w:r>
      <w:r>
        <w:rPr>
          <w:rFonts w:hint="eastAsia" w:ascii="仿宋" w:hAnsi="仿宋" w:eastAsia="仿宋" w:cs="仿宋"/>
          <w:color w:val="auto"/>
          <w:kern w:val="2"/>
          <w:sz w:val="21"/>
          <w:szCs w:val="21"/>
          <w:highlight w:val="none"/>
        </w:rPr>
        <w:t>永久性工程，指承包人根据合同约定，进行设计、采购、施工、竣工试验、竣工后试验和试运行考核并交付发包人进行生产操作或使用的工程。</w:t>
      </w:r>
    </w:p>
    <w:p w14:paraId="57502D8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1.1.15</w:t>
      </w:r>
      <w:r>
        <w:rPr>
          <w:rFonts w:hint="eastAsia" w:ascii="仿宋" w:hAnsi="仿宋" w:eastAsia="仿宋" w:cs="仿宋"/>
          <w:color w:val="auto"/>
          <w:kern w:val="2"/>
          <w:sz w:val="21"/>
          <w:szCs w:val="21"/>
          <w:highlight w:val="none"/>
        </w:rPr>
        <w:t>单项工程，指专用条件中列明的具有某项独立功能的工程单元，是永久性工程的组成部分。</w:t>
      </w:r>
    </w:p>
    <w:p w14:paraId="39EECD3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1.1.16</w:t>
      </w:r>
      <w:r>
        <w:rPr>
          <w:rFonts w:hint="eastAsia" w:ascii="仿宋" w:hAnsi="仿宋" w:eastAsia="仿宋" w:cs="仿宋"/>
          <w:color w:val="auto"/>
          <w:kern w:val="2"/>
          <w:sz w:val="21"/>
          <w:szCs w:val="21"/>
          <w:highlight w:val="none"/>
        </w:rPr>
        <w:t>临时性工程，指为实施、完成永久性工程及修补任何质量缺陷，在现场所需搭建的临时建筑物、构筑物，以及不构成永久性工程实体的其它临时设施</w:t>
      </w:r>
    </w:p>
    <w:p w14:paraId="19445E0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1.1.17</w:t>
      </w:r>
      <w:r>
        <w:rPr>
          <w:rFonts w:hint="eastAsia" w:ascii="仿宋" w:hAnsi="仿宋" w:eastAsia="仿宋" w:cs="仿宋"/>
          <w:color w:val="auto"/>
          <w:kern w:val="2"/>
          <w:sz w:val="21"/>
          <w:szCs w:val="21"/>
          <w:highlight w:val="none"/>
        </w:rPr>
        <w:t>现场或场地，指合同约定的由发包人提供的用于承包人现场办公，工程物资、机具设施存放和工程实施的任何地点。</w:t>
      </w:r>
    </w:p>
    <w:p w14:paraId="6ED8D7B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1.1.18</w:t>
      </w:r>
      <w:r>
        <w:rPr>
          <w:rFonts w:hint="eastAsia" w:ascii="仿宋" w:hAnsi="仿宋" w:eastAsia="仿宋" w:cs="仿宋"/>
          <w:color w:val="auto"/>
          <w:kern w:val="2"/>
          <w:sz w:val="21"/>
          <w:szCs w:val="21"/>
          <w:highlight w:val="none"/>
        </w:rPr>
        <w:t>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14:paraId="0FD93E4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1.1.19</w:t>
      </w:r>
      <w:r>
        <w:rPr>
          <w:rFonts w:hint="eastAsia" w:ascii="仿宋" w:hAnsi="仿宋" w:eastAsia="仿宋" w:cs="仿宋"/>
          <w:color w:val="auto"/>
          <w:kern w:val="2"/>
          <w:sz w:val="21"/>
          <w:szCs w:val="21"/>
          <w:highlight w:val="none"/>
        </w:rPr>
        <w:t>现场障碍资料，指发包人需向承包人提供的进行工程设计、现场施工所需的地上和地下已有的建筑物、构筑物、线缆、管道、受保护的古建筑、古树木等坐标方位、数据和其它相关资料。</w:t>
      </w:r>
    </w:p>
    <w:p w14:paraId="1C373B1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1.1.20</w:t>
      </w:r>
      <w:r>
        <w:rPr>
          <w:rFonts w:hint="eastAsia" w:ascii="仿宋" w:hAnsi="仿宋" w:eastAsia="仿宋" w:cs="仿宋"/>
          <w:color w:val="auto"/>
          <w:kern w:val="2"/>
          <w:sz w:val="21"/>
          <w:szCs w:val="21"/>
          <w:highlight w:val="none"/>
        </w:rPr>
        <w:t>设计阶段，指规划设计、总体设计、初步设计、技术设计和施工图设计等阶段。设计阶段的组成，视项目情况而定。</w:t>
      </w:r>
    </w:p>
    <w:p w14:paraId="0DE24F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1.1.21</w:t>
      </w:r>
      <w:r>
        <w:rPr>
          <w:rFonts w:hint="eastAsia" w:ascii="仿宋" w:hAnsi="仿宋" w:eastAsia="仿宋" w:cs="仿宋"/>
          <w:color w:val="auto"/>
          <w:kern w:val="2"/>
          <w:sz w:val="21"/>
          <w:szCs w:val="21"/>
          <w:highlight w:val="none"/>
        </w:rPr>
        <w:t>工程物资，指设计文件规定的将构成永久性工程实体的设备、材料和部件，以及进行竣工试验和竣工后试验所需的材料等。</w:t>
      </w:r>
    </w:p>
    <w:p w14:paraId="3E1D182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1.1.22</w:t>
      </w:r>
      <w:r>
        <w:rPr>
          <w:rFonts w:hint="eastAsia" w:ascii="仿宋" w:hAnsi="仿宋" w:eastAsia="仿宋" w:cs="仿宋"/>
          <w:color w:val="auto"/>
          <w:kern w:val="2"/>
          <w:sz w:val="21"/>
          <w:szCs w:val="21"/>
          <w:highlight w:val="none"/>
        </w:rPr>
        <w:t>施工，指承包人把设计文件转化为永久性工程的过程，包括土建、安装和竣工试验等作业。</w:t>
      </w:r>
    </w:p>
    <w:p w14:paraId="7D34B3C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1.1.23</w:t>
      </w:r>
      <w:r>
        <w:rPr>
          <w:rFonts w:hint="eastAsia" w:ascii="仿宋" w:hAnsi="仿宋" w:eastAsia="仿宋" w:cs="仿宋"/>
          <w:color w:val="auto"/>
          <w:kern w:val="2"/>
          <w:sz w:val="21"/>
          <w:szCs w:val="21"/>
          <w:highlight w:val="none"/>
        </w:rPr>
        <w:t>竣工试验，指工程或(和)单项工程被发包人接收前，应由承包人负责进行的机械、设备、部件、线缆和管道等性能试验。</w:t>
      </w:r>
    </w:p>
    <w:p w14:paraId="69E3010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1.1.24</w:t>
      </w:r>
      <w:r>
        <w:rPr>
          <w:rFonts w:hint="eastAsia" w:ascii="仿宋" w:hAnsi="仿宋" w:eastAsia="仿宋" w:cs="仿宋"/>
          <w:color w:val="auto"/>
          <w:kern w:val="2"/>
          <w:sz w:val="21"/>
          <w:szCs w:val="21"/>
          <w:highlight w:val="none"/>
        </w:rPr>
        <w:t>变更，指在不改变工程功能和规模的情况下，发包人书面通知或书面批准的，对工程所作的任何更改。</w:t>
      </w:r>
    </w:p>
    <w:p w14:paraId="44AAB0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1.1.25</w:t>
      </w:r>
      <w:r>
        <w:rPr>
          <w:rFonts w:hint="eastAsia" w:ascii="仿宋" w:hAnsi="仿宋" w:eastAsia="仿宋" w:cs="仿宋"/>
          <w:color w:val="auto"/>
          <w:kern w:val="2"/>
          <w:sz w:val="21"/>
          <w:szCs w:val="21"/>
          <w:highlight w:val="none"/>
        </w:rPr>
        <w:t>施工竣工，指工程己按合同约定和设计要求完成土建、安装，并通过竣工试验。</w:t>
      </w:r>
    </w:p>
    <w:p w14:paraId="634E553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1.1.26</w:t>
      </w:r>
      <w:r>
        <w:rPr>
          <w:rFonts w:hint="eastAsia" w:ascii="仿宋" w:hAnsi="仿宋" w:eastAsia="仿宋" w:cs="仿宋"/>
          <w:color w:val="auto"/>
          <w:kern w:val="2"/>
          <w:sz w:val="21"/>
          <w:szCs w:val="21"/>
          <w:highlight w:val="none"/>
        </w:rPr>
        <w:t>工程接收，指工程或(和)单项工程通过竣工试验后，为使发包人的操作人员、使用人员进入岗位进行竣工后试验、试运行准备，由承包人与发包人进行工程交接，并由发包人颁发接收证书的过程。</w:t>
      </w:r>
    </w:p>
    <w:p w14:paraId="4F28BCA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1.1.27</w:t>
      </w:r>
      <w:r>
        <w:rPr>
          <w:rFonts w:hint="eastAsia" w:ascii="仿宋" w:hAnsi="仿宋" w:eastAsia="仿宋" w:cs="仿宋"/>
          <w:color w:val="auto"/>
          <w:kern w:val="2"/>
          <w:sz w:val="21"/>
          <w:szCs w:val="21"/>
          <w:highlight w:val="none"/>
        </w:rPr>
        <w:t>竣工后试验，指工程被发包人接收后，按合同约定由发包人自行或在发包人组织领导下由承包人指导进行的工程的生产或(和)使用功能试验。</w:t>
      </w:r>
    </w:p>
    <w:p w14:paraId="68DB4FE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1.1.28</w:t>
      </w:r>
      <w:r>
        <w:rPr>
          <w:rFonts w:hint="eastAsia" w:ascii="仿宋" w:hAnsi="仿宋" w:eastAsia="仿宋" w:cs="仿宋"/>
          <w:color w:val="auto"/>
          <w:kern w:val="2"/>
          <w:sz w:val="21"/>
          <w:szCs w:val="21"/>
          <w:highlight w:val="none"/>
        </w:rPr>
        <w:t>试运行考核，指根据合同约定，在工程完成竣工试验后，由发包人自行或在发包人的组织领导下由承包人指导进行的包括合同目标考核验收在内的全部试验。</w:t>
      </w:r>
    </w:p>
    <w:p w14:paraId="409531F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1.1.29</w:t>
      </w:r>
      <w:r>
        <w:rPr>
          <w:rFonts w:hint="eastAsia" w:ascii="仿宋" w:hAnsi="仿宋" w:eastAsia="仿宋" w:cs="仿宋"/>
          <w:color w:val="auto"/>
          <w:kern w:val="2"/>
          <w:sz w:val="21"/>
          <w:szCs w:val="21"/>
          <w:highlight w:val="none"/>
        </w:rPr>
        <w:t>考核验收证书，指试运行考核的全部试验完成并通过验收后，由发包人签发的验收证书。</w:t>
      </w:r>
    </w:p>
    <w:p w14:paraId="36AA19B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1.1.30</w:t>
      </w:r>
      <w:r>
        <w:rPr>
          <w:rFonts w:hint="eastAsia" w:ascii="仿宋" w:hAnsi="仿宋" w:eastAsia="仿宋" w:cs="仿宋"/>
          <w:color w:val="auto"/>
          <w:kern w:val="2"/>
          <w:sz w:val="21"/>
          <w:szCs w:val="21"/>
          <w:highlight w:val="none"/>
        </w:rPr>
        <w:t>工程竣工验收，指承包人接到考核验收证书、完成扫尾工程和缺陷修复，并按合同约定提交竣工验收报告、竣工资料、竣工结算资料，由发包人组织的工程结算与验收。</w:t>
      </w:r>
    </w:p>
    <w:p w14:paraId="36AA0EB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1.1.31</w:t>
      </w:r>
      <w:r>
        <w:rPr>
          <w:rFonts w:hint="eastAsia" w:ascii="仿宋" w:hAnsi="仿宋" w:eastAsia="仿宋" w:cs="仿宋"/>
          <w:color w:val="auto"/>
          <w:kern w:val="2"/>
          <w:sz w:val="21"/>
          <w:szCs w:val="21"/>
          <w:highlight w:val="none"/>
        </w:rPr>
        <w:t>合同期限，指从合同生效之日起，至双方在合同下的义务履行完毕之日止的期间。</w:t>
      </w:r>
    </w:p>
    <w:p w14:paraId="3502B4D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1.1.32</w:t>
      </w:r>
      <w:r>
        <w:rPr>
          <w:rFonts w:hint="eastAsia" w:ascii="仿宋" w:hAnsi="仿宋" w:eastAsia="仿宋" w:cs="仿宋"/>
          <w:color w:val="auto"/>
          <w:kern w:val="2"/>
          <w:sz w:val="21"/>
          <w:szCs w:val="21"/>
          <w:highlight w:val="none"/>
        </w:rPr>
        <w:t>基准日期，指递交投标文件截止日期之前30日的日期。</w:t>
      </w:r>
    </w:p>
    <w:p w14:paraId="43E1088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1.1.33</w:t>
      </w:r>
      <w:r>
        <w:rPr>
          <w:rFonts w:hint="eastAsia" w:ascii="仿宋" w:hAnsi="仿宋" w:eastAsia="仿宋" w:cs="仿宋"/>
          <w:color w:val="auto"/>
          <w:kern w:val="2"/>
          <w:sz w:val="21"/>
          <w:szCs w:val="21"/>
          <w:highlight w:val="none"/>
        </w:rPr>
        <w:t>项目进度计划，指自合同生效之日起，按合同约定的工程全部实施阶段(包括设计、采购、施工、竣工试验、工程接收、竣工后试验至试运行考核等阶段)或若干实施阶段的时间计划安排。</w:t>
      </w:r>
    </w:p>
    <w:p w14:paraId="2B1019A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1.1.34</w:t>
      </w:r>
      <w:r>
        <w:rPr>
          <w:rFonts w:hint="eastAsia" w:ascii="仿宋" w:hAnsi="仿宋" w:eastAsia="仿宋" w:cs="仿宋"/>
          <w:color w:val="auto"/>
          <w:kern w:val="2"/>
          <w:sz w:val="21"/>
          <w:szCs w:val="21"/>
          <w:highlight w:val="none"/>
        </w:rPr>
        <w:t>施工开工日期，指合同协议书中约定的，承包人开始现场施工的绝对日期或相对日期。</w:t>
      </w:r>
    </w:p>
    <w:p w14:paraId="23B3E40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1.1.35</w:t>
      </w:r>
      <w:r>
        <w:rPr>
          <w:rFonts w:hint="eastAsia" w:ascii="仿宋" w:hAnsi="仿宋" w:eastAsia="仿宋" w:cs="仿宋"/>
          <w:color w:val="auto"/>
          <w:kern w:val="2"/>
          <w:sz w:val="21"/>
          <w:szCs w:val="21"/>
          <w:highlight w:val="none"/>
        </w:rPr>
        <w:t>竣工日期，指合同协议书中约定的，由承包人完成工程施工(含竣工试验)的绝对日期或相对日期，包括合同约定的任何延长日期。</w:t>
      </w:r>
    </w:p>
    <w:p w14:paraId="473F65F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1.1.36</w:t>
      </w:r>
      <w:r>
        <w:rPr>
          <w:rFonts w:hint="eastAsia" w:ascii="仿宋" w:hAnsi="仿宋" w:eastAsia="仿宋" w:cs="仿宋"/>
          <w:color w:val="auto"/>
          <w:kern w:val="2"/>
          <w:sz w:val="21"/>
          <w:szCs w:val="21"/>
          <w:highlight w:val="none"/>
        </w:rPr>
        <w:t>绝对日期，指以公历年、月、日所表明的具体期限。</w:t>
      </w:r>
    </w:p>
    <w:p w14:paraId="6636850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1.1.37</w:t>
      </w:r>
      <w:r>
        <w:rPr>
          <w:rFonts w:hint="eastAsia" w:ascii="仿宋" w:hAnsi="仿宋" w:eastAsia="仿宋" w:cs="仿宋"/>
          <w:color w:val="auto"/>
          <w:kern w:val="2"/>
          <w:sz w:val="21"/>
          <w:szCs w:val="21"/>
          <w:highlight w:val="none"/>
        </w:rPr>
        <w:t>相对日期，指以公历天数表明的具体期限。</w:t>
      </w:r>
    </w:p>
    <w:p w14:paraId="549A130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 xml:space="preserve">1.1.38 </w:t>
      </w:r>
      <w:r>
        <w:rPr>
          <w:rFonts w:hint="eastAsia" w:ascii="仿宋" w:hAnsi="仿宋" w:eastAsia="仿宋" w:cs="仿宋"/>
          <w:color w:val="auto"/>
          <w:kern w:val="2"/>
          <w:sz w:val="21"/>
          <w:szCs w:val="21"/>
          <w:highlight w:val="none"/>
        </w:rPr>
        <w:t>关键路径，指项目进度计划中直接影响到竣工日期的时间计划线路。</w:t>
      </w:r>
    </w:p>
    <w:p w14:paraId="35D95AF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该关键路径由合同双方在讨论项目进度计划时商定。</w:t>
      </w:r>
    </w:p>
    <w:p w14:paraId="6E84C5D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1.1.39</w:t>
      </w:r>
      <w:r>
        <w:rPr>
          <w:rFonts w:hint="eastAsia" w:ascii="仿宋" w:hAnsi="仿宋" w:eastAsia="仿宋" w:cs="仿宋"/>
          <w:color w:val="auto"/>
          <w:kern w:val="2"/>
          <w:sz w:val="21"/>
          <w:szCs w:val="21"/>
          <w:highlight w:val="none"/>
        </w:rPr>
        <w:t>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14:paraId="76A6EE2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1.1.40</w:t>
      </w:r>
      <w:r>
        <w:rPr>
          <w:rFonts w:hint="eastAsia" w:ascii="仿宋" w:hAnsi="仿宋" w:eastAsia="仿宋" w:cs="仿宋"/>
          <w:color w:val="auto"/>
          <w:kern w:val="2"/>
          <w:sz w:val="21"/>
          <w:szCs w:val="21"/>
          <w:highlight w:val="none"/>
        </w:rPr>
        <w:t>工作日，指除中国法定常假日之外的其它公历日。</w:t>
      </w:r>
    </w:p>
    <w:p w14:paraId="7D0BEDD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1.1.41</w:t>
      </w:r>
      <w:r>
        <w:rPr>
          <w:rFonts w:hint="eastAsia" w:ascii="仿宋" w:hAnsi="仿宋" w:eastAsia="仿宋" w:cs="仿宋"/>
          <w:color w:val="auto"/>
          <w:kern w:val="2"/>
          <w:sz w:val="21"/>
          <w:szCs w:val="21"/>
          <w:highlight w:val="none"/>
        </w:rPr>
        <w:t>合同价格，指合同协议书中约定的、承包人进行设计、采购、施工、竣工试验、竣工后试验、试运行考核和服务等工作的价款。</w:t>
      </w:r>
    </w:p>
    <w:p w14:paraId="4DAF510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1.1.42</w:t>
      </w:r>
      <w:r>
        <w:rPr>
          <w:rFonts w:hint="eastAsia" w:ascii="仿宋" w:hAnsi="仿宋" w:eastAsia="仿宋" w:cs="仿宋"/>
          <w:color w:val="auto"/>
          <w:kern w:val="2"/>
          <w:sz w:val="21"/>
          <w:szCs w:val="21"/>
          <w:highlight w:val="none"/>
        </w:rPr>
        <w:t>合同价格调整，指依据法律及合同约定需要增减的费用而对合同价格进行的相应调整。</w:t>
      </w:r>
    </w:p>
    <w:p w14:paraId="59C54FB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1.1.43</w:t>
      </w:r>
      <w:r>
        <w:rPr>
          <w:rFonts w:hint="eastAsia" w:ascii="仿宋" w:hAnsi="仿宋" w:eastAsia="仿宋" w:cs="仿宋"/>
          <w:color w:val="auto"/>
          <w:kern w:val="2"/>
          <w:sz w:val="21"/>
          <w:szCs w:val="21"/>
          <w:highlight w:val="none"/>
        </w:rPr>
        <w:t>合同总价，指根据合同约定，经调整后的合同结算价格。</w:t>
      </w:r>
    </w:p>
    <w:p w14:paraId="0190F4B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1.1.44</w:t>
      </w:r>
      <w:r>
        <w:rPr>
          <w:rFonts w:hint="eastAsia" w:ascii="仿宋" w:hAnsi="仿宋" w:eastAsia="仿宋" w:cs="仿宋"/>
          <w:color w:val="auto"/>
          <w:kern w:val="2"/>
          <w:sz w:val="21"/>
          <w:szCs w:val="21"/>
          <w:highlight w:val="none"/>
        </w:rPr>
        <w:t>预付款，指根据合同约定，由发包人预先支付给承包人的款项。</w:t>
      </w:r>
    </w:p>
    <w:p w14:paraId="31087E9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1.1.45</w:t>
      </w:r>
      <w:r>
        <w:rPr>
          <w:rFonts w:hint="eastAsia" w:ascii="仿宋" w:hAnsi="仿宋" w:eastAsia="仿宋" w:cs="仿宋"/>
          <w:color w:val="auto"/>
          <w:kern w:val="2"/>
          <w:sz w:val="21"/>
          <w:szCs w:val="21"/>
          <w:highlight w:val="none"/>
        </w:rPr>
        <w:t>工程进度款，指发包人根据合同约定的支付内容、支付条件，分期向承包人支付的设计、采购、施工和竣工试验的进度款，竣工后试验和试运行考核的服务费以及工程总承包管理费等款项。</w:t>
      </w:r>
    </w:p>
    <w:p w14:paraId="2DEC976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1.1.46</w:t>
      </w:r>
      <w:r>
        <w:rPr>
          <w:rFonts w:hint="eastAsia" w:ascii="仿宋" w:hAnsi="仿宋" w:eastAsia="仿宋" w:cs="仿宋"/>
          <w:color w:val="auto"/>
          <w:kern w:val="2"/>
          <w:sz w:val="21"/>
          <w:szCs w:val="21"/>
          <w:highlight w:val="none"/>
        </w:rPr>
        <w:t>工程质量保修责任书，指依据有关质量保修的法律规定，发包人与承包人就工程质量保修相关事宜所签订的协议。</w:t>
      </w:r>
    </w:p>
    <w:p w14:paraId="687A4DF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1.1.47</w:t>
      </w:r>
      <w:r>
        <w:rPr>
          <w:rFonts w:hint="eastAsia" w:ascii="仿宋" w:hAnsi="仿宋" w:eastAsia="仿宋" w:cs="仿宋"/>
          <w:color w:val="auto"/>
          <w:kern w:val="2"/>
          <w:sz w:val="21"/>
          <w:szCs w:val="21"/>
          <w:highlight w:val="none"/>
        </w:rPr>
        <w:t>缺陷责任保修金，指按合同约定发包人从工程进度款中暂时扣除的，作为承包人在施工过程及缺陷责任期内履行缺陷责任担保的金额。</w:t>
      </w:r>
    </w:p>
    <w:p w14:paraId="370E97C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1.1.48</w:t>
      </w:r>
      <w:r>
        <w:rPr>
          <w:rFonts w:hint="eastAsia" w:ascii="仿宋" w:hAnsi="仿宋" w:eastAsia="仿宋" w:cs="仿宋"/>
          <w:color w:val="auto"/>
          <w:kern w:val="2"/>
          <w:sz w:val="21"/>
          <w:szCs w:val="21"/>
          <w:highlight w:val="none"/>
        </w:rPr>
        <w:t>缺陷责任期，指承包人按合同约定承担缺陷保修责任的期间，一般应为12个月。因缺陷责任的延长，最长不超过24个月。具体期限在专用条款约定。</w:t>
      </w:r>
    </w:p>
    <w:p w14:paraId="45E1533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1.1.49</w:t>
      </w:r>
      <w:r>
        <w:rPr>
          <w:rFonts w:hint="eastAsia" w:ascii="仿宋" w:hAnsi="仿宋" w:eastAsia="仿宋" w:cs="仿宋"/>
          <w:color w:val="auto"/>
          <w:kern w:val="2"/>
          <w:sz w:val="21"/>
          <w:szCs w:val="21"/>
          <w:highlight w:val="none"/>
        </w:rPr>
        <w:t>书面形式，指合同书、信件和数据电文等可以有形地表现所载内容的形式。数据电文包括：电传、传真、电子数据交换和电子邮件等。</w:t>
      </w:r>
    </w:p>
    <w:p w14:paraId="7041EEA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1.1.50</w:t>
      </w:r>
      <w:r>
        <w:rPr>
          <w:rFonts w:hint="eastAsia" w:ascii="仿宋" w:hAnsi="仿宋" w:eastAsia="仿宋" w:cs="仿宋"/>
          <w:color w:val="auto"/>
          <w:kern w:val="2"/>
          <w:sz w:val="21"/>
          <w:szCs w:val="21"/>
          <w:highlight w:val="none"/>
        </w:rPr>
        <w:t>违约责任，指合同一方不履行合同义务或履行合同义务不符合合同约定所须承担的责任。</w:t>
      </w:r>
    </w:p>
    <w:p w14:paraId="2C6D1A5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1.1.51</w:t>
      </w:r>
      <w:r>
        <w:rPr>
          <w:rFonts w:hint="eastAsia" w:ascii="仿宋" w:hAnsi="仿宋" w:eastAsia="仿宋" w:cs="仿宋"/>
          <w:color w:val="auto"/>
          <w:kern w:val="2"/>
          <w:sz w:val="21"/>
          <w:szCs w:val="21"/>
          <w:highlight w:val="none"/>
        </w:rPr>
        <w:t>不可抗力，指不能预见、不能避免并不能克服的客观情况，具体情形由双方在专用条款中约定。</w:t>
      </w:r>
    </w:p>
    <w:p w14:paraId="709852B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1.1.52</w:t>
      </w:r>
      <w:r>
        <w:rPr>
          <w:rFonts w:hint="eastAsia" w:ascii="仿宋" w:hAnsi="仿宋" w:eastAsia="仿宋" w:cs="仿宋"/>
          <w:color w:val="auto"/>
          <w:kern w:val="2"/>
          <w:sz w:val="21"/>
          <w:szCs w:val="21"/>
          <w:highlight w:val="none"/>
        </w:rPr>
        <w:t>根据本合同工程的特点，需补充约定的其它定义，在专用条款中约定。</w:t>
      </w:r>
    </w:p>
    <w:p w14:paraId="1EAB4CBE">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103" w:name="_Toc535392432"/>
      <w:bookmarkEnd w:id="103"/>
      <w:bookmarkStart w:id="104" w:name="_Toc947526"/>
      <w:r>
        <w:rPr>
          <w:rFonts w:hint="eastAsia" w:ascii="仿宋" w:hAnsi="仿宋" w:eastAsia="仿宋" w:cs="仿宋"/>
          <w:b/>
          <w:bCs/>
          <w:color w:val="auto"/>
          <w:kern w:val="2"/>
          <w:sz w:val="21"/>
          <w:szCs w:val="21"/>
          <w:highlight w:val="none"/>
        </w:rPr>
        <w:t>1.2 合同文件</w:t>
      </w:r>
      <w:bookmarkEnd w:id="104"/>
    </w:p>
    <w:p w14:paraId="2CABE97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1.2.1</w:t>
      </w:r>
      <w:r>
        <w:rPr>
          <w:rFonts w:hint="eastAsia" w:ascii="仿宋" w:hAnsi="仿宋" w:eastAsia="仿宋" w:cs="仿宋"/>
          <w:color w:val="auto"/>
          <w:kern w:val="2"/>
          <w:sz w:val="21"/>
          <w:szCs w:val="21"/>
          <w:highlight w:val="none"/>
        </w:rPr>
        <w:t>合同文件的组成。合同文件相互解释，互为说明。除专用条款另有约定外，组成本合同的文件及优先解释顺序如下：</w:t>
      </w:r>
    </w:p>
    <w:p w14:paraId="5A286F4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(1)本合同协议书</w:t>
      </w:r>
    </w:p>
    <w:p w14:paraId="5C41794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(2)本合同专用条款</w:t>
      </w:r>
    </w:p>
    <w:p w14:paraId="56D5FF5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(3)成交通知书</w:t>
      </w:r>
    </w:p>
    <w:p w14:paraId="6AB0A98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(4)磋商文件及其附件、响应文件</w:t>
      </w:r>
    </w:p>
    <w:p w14:paraId="1665925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(5)本合同通用条款</w:t>
      </w:r>
    </w:p>
    <w:p w14:paraId="51ABE0B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(6)合同附件</w:t>
      </w:r>
    </w:p>
    <w:p w14:paraId="49D8561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(7)标准、规范及有关技术文件</w:t>
      </w:r>
    </w:p>
    <w:p w14:paraId="0B6AD3F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(8)设计文件、资料和图纸</w:t>
      </w:r>
    </w:p>
    <w:p w14:paraId="1C52AC5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(9)双方约定构成合同组成部分的其它文件</w:t>
      </w:r>
    </w:p>
    <w:p w14:paraId="2AAB020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双方在履行合同过程中形成的双方授权代表签署的会议纪要、备忘录、补充文件、变更和洽商等书面形式的文件构成本合同的组成部分。</w:t>
      </w:r>
    </w:p>
    <w:p w14:paraId="7D7A117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1.2.2</w:t>
      </w:r>
      <w:r>
        <w:rPr>
          <w:rFonts w:hint="eastAsia" w:ascii="仿宋" w:hAnsi="仿宋" w:eastAsia="仿宋" w:cs="仿宋"/>
          <w:color w:val="auto"/>
          <w:kern w:val="2"/>
          <w:sz w:val="21"/>
          <w:szCs w:val="21"/>
          <w:highlight w:val="none"/>
        </w:rPr>
        <w:t>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14:paraId="4EFC3E1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1.2.3</w:t>
      </w:r>
      <w:r>
        <w:rPr>
          <w:rFonts w:hint="eastAsia" w:ascii="仿宋" w:hAnsi="仿宋" w:eastAsia="仿宋" w:cs="仿宋"/>
          <w:color w:val="auto"/>
          <w:kern w:val="2"/>
          <w:sz w:val="21"/>
          <w:szCs w:val="21"/>
          <w:highlight w:val="none"/>
        </w:rPr>
        <w:t>合同中的条款标题仅为阅读方便，不作为对合同条款解释的依据。</w:t>
      </w:r>
    </w:p>
    <w:p w14:paraId="3DE800E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05" w:name="_Toc535392433"/>
      <w:bookmarkEnd w:id="105"/>
      <w:bookmarkStart w:id="106" w:name="_Toc947527"/>
      <w:r>
        <w:rPr>
          <w:rFonts w:hint="eastAsia" w:ascii="仿宋" w:hAnsi="仿宋" w:eastAsia="仿宋" w:cs="仿宋"/>
          <w:b/>
          <w:bCs/>
          <w:color w:val="auto"/>
          <w:kern w:val="2"/>
          <w:sz w:val="21"/>
          <w:szCs w:val="21"/>
          <w:highlight w:val="none"/>
        </w:rPr>
        <w:t>1.3 语言文字</w:t>
      </w:r>
      <w:bookmarkEnd w:id="106"/>
    </w:p>
    <w:p w14:paraId="08778F5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合同文件以中国的汉语简体语言文字编写、解释和说明。合同当事人在专用条款约定使用两种及以上语言时，汉语为优先解释和说明本合同的主导语言。</w:t>
      </w:r>
    </w:p>
    <w:p w14:paraId="6DC3966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在少数民族地区，当事人可以约定使用少数民族语言编写、解释和说明本合同文件。</w:t>
      </w:r>
    </w:p>
    <w:p w14:paraId="036E19C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07" w:name="_Toc535392434"/>
      <w:bookmarkEnd w:id="107"/>
      <w:bookmarkStart w:id="108" w:name="_Toc947528"/>
      <w:r>
        <w:rPr>
          <w:rFonts w:hint="eastAsia" w:ascii="仿宋" w:hAnsi="仿宋" w:eastAsia="仿宋" w:cs="仿宋"/>
          <w:b/>
          <w:bCs/>
          <w:color w:val="auto"/>
          <w:kern w:val="2"/>
          <w:sz w:val="21"/>
          <w:szCs w:val="21"/>
          <w:highlight w:val="none"/>
        </w:rPr>
        <w:t>1.4 适用法律</w:t>
      </w:r>
      <w:bookmarkEnd w:id="108"/>
    </w:p>
    <w:p w14:paraId="31DED24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14:paraId="4C35235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在基准日期之后，因法律变化导致承包人的费用增加的，发包人应合理增加合同价格；如果因法律变化导致关键路径工期延误的，应合理延长工期。</w:t>
      </w:r>
    </w:p>
    <w:p w14:paraId="2D989F2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09" w:name="_Toc535392435"/>
      <w:bookmarkEnd w:id="109"/>
      <w:bookmarkStart w:id="110" w:name="_Toc947529"/>
      <w:r>
        <w:rPr>
          <w:rFonts w:hint="eastAsia" w:ascii="仿宋" w:hAnsi="仿宋" w:eastAsia="仿宋" w:cs="仿宋"/>
          <w:b/>
          <w:bCs/>
          <w:color w:val="auto"/>
          <w:kern w:val="2"/>
          <w:sz w:val="21"/>
          <w:szCs w:val="21"/>
          <w:highlight w:val="none"/>
        </w:rPr>
        <w:t>1.5 标准、规范</w:t>
      </w:r>
      <w:bookmarkEnd w:id="110"/>
    </w:p>
    <w:p w14:paraId="531DCAD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w:t>
      </w:r>
      <w:r>
        <w:rPr>
          <w:rFonts w:hint="eastAsia" w:ascii="仿宋" w:hAnsi="仿宋" w:eastAsia="仿宋" w:cs="仿宋"/>
          <w:color w:val="auto"/>
          <w:kern w:val="2"/>
          <w:sz w:val="21"/>
          <w:szCs w:val="21"/>
          <w:highlight w:val="none"/>
        </w:rPr>
        <w:t>适用于本工程的国家标准规范、和(或)行业标准规范、和(或)工程所在地方的标准规范、和(或)企业标准规范的名称(或编号)，在专用条款中约定。</w:t>
      </w:r>
    </w:p>
    <w:p w14:paraId="38FBA51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1.5.2</w:t>
      </w:r>
      <w:r>
        <w:rPr>
          <w:rFonts w:hint="eastAsia" w:ascii="仿宋" w:hAnsi="仿宋" w:eastAsia="仿宋" w:cs="仿宋"/>
          <w:color w:val="auto"/>
          <w:kern w:val="2"/>
          <w:sz w:val="21"/>
          <w:szCs w:val="21"/>
          <w:highlight w:val="none"/>
        </w:rPr>
        <w:t>发包人使用国外标准、规范的，负责提供原文版本和中文译本，并在专用条款中约定提供的标准、规范的名称、份数和时间。</w:t>
      </w:r>
    </w:p>
    <w:p w14:paraId="28F987C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1.5.3</w:t>
      </w:r>
      <w:r>
        <w:rPr>
          <w:rFonts w:hint="eastAsia" w:ascii="仿宋" w:hAnsi="仿宋" w:eastAsia="仿宋" w:cs="仿宋"/>
          <w:color w:val="auto"/>
          <w:kern w:val="2"/>
          <w:sz w:val="21"/>
          <w:szCs w:val="21"/>
          <w:highlight w:val="none"/>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14:paraId="07D9982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1.5.4</w:t>
      </w:r>
      <w:r>
        <w:rPr>
          <w:rFonts w:hint="eastAsia" w:ascii="仿宋" w:hAnsi="仿宋" w:eastAsia="仿宋" w:cs="仿宋"/>
          <w:color w:val="auto"/>
          <w:kern w:val="2"/>
          <w:sz w:val="21"/>
          <w:szCs w:val="21"/>
          <w:highlight w:val="none"/>
        </w:rPr>
        <w:t>在基准日期之后，因国家颁布新的强制性规范、标准导致承包人的费用增加的，发包人应合理增加合同价格；导致关键路径工期延误的，发包人应合理延长工期。</w:t>
      </w:r>
    </w:p>
    <w:p w14:paraId="41AF145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11" w:name="_Toc535392436"/>
      <w:bookmarkEnd w:id="111"/>
      <w:bookmarkStart w:id="112" w:name="_Toc947530"/>
      <w:r>
        <w:rPr>
          <w:rFonts w:hint="eastAsia" w:ascii="仿宋" w:hAnsi="仿宋" w:eastAsia="仿宋" w:cs="仿宋"/>
          <w:b/>
          <w:bCs/>
          <w:color w:val="auto"/>
          <w:kern w:val="2"/>
          <w:sz w:val="21"/>
          <w:szCs w:val="21"/>
          <w:highlight w:val="none"/>
        </w:rPr>
        <w:t>1.6 保密事项</w:t>
      </w:r>
      <w:bookmarkEnd w:id="112"/>
    </w:p>
    <w:p w14:paraId="74AC375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14:paraId="0DD376A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第2条 发包人</w:t>
      </w:r>
    </w:p>
    <w:p w14:paraId="047C605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13" w:name="_Toc535392437"/>
      <w:bookmarkEnd w:id="113"/>
      <w:bookmarkStart w:id="114" w:name="_Toc947531"/>
      <w:r>
        <w:rPr>
          <w:rFonts w:hint="eastAsia" w:ascii="仿宋" w:hAnsi="仿宋" w:eastAsia="仿宋" w:cs="仿宋"/>
          <w:b/>
          <w:bCs/>
          <w:color w:val="auto"/>
          <w:kern w:val="2"/>
          <w:sz w:val="21"/>
          <w:szCs w:val="21"/>
          <w:highlight w:val="none"/>
        </w:rPr>
        <w:t>2.1 发包人的主要权利和义务</w:t>
      </w:r>
      <w:bookmarkEnd w:id="114"/>
    </w:p>
    <w:p w14:paraId="32893B8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2.1.1</w:t>
      </w:r>
      <w:r>
        <w:rPr>
          <w:rFonts w:hint="eastAsia" w:ascii="仿宋" w:hAnsi="仿宋" w:eastAsia="仿宋" w:cs="仿宋"/>
          <w:color w:val="auto"/>
          <w:kern w:val="2"/>
          <w:sz w:val="21"/>
          <w:szCs w:val="21"/>
          <w:highlight w:val="none"/>
        </w:rPr>
        <w:t>负责办理项目的审批、核准或备案手续，取得项目用地的使用权，完成拆迁补偿工作，使项目具备法律规定的及合同约定的开工条件，并提供立项文件</w:t>
      </w:r>
    </w:p>
    <w:p w14:paraId="55BE8EC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2.1.2</w:t>
      </w:r>
      <w:r>
        <w:rPr>
          <w:rFonts w:hint="eastAsia" w:ascii="仿宋" w:hAnsi="仿宋" w:eastAsia="仿宋" w:cs="仿宋"/>
          <w:color w:val="auto"/>
          <w:kern w:val="2"/>
          <w:sz w:val="21"/>
          <w:szCs w:val="21"/>
          <w:highlight w:val="none"/>
        </w:rPr>
        <w:t>履行合同中约定的合同价格调整、付款、竣工结算义务。</w:t>
      </w:r>
    </w:p>
    <w:p w14:paraId="0A783A1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2.1.3</w:t>
      </w:r>
      <w:r>
        <w:rPr>
          <w:rFonts w:hint="eastAsia" w:ascii="仿宋" w:hAnsi="仿宋" w:eastAsia="仿宋" w:cs="仿宋"/>
          <w:color w:val="auto"/>
          <w:kern w:val="2"/>
          <w:sz w:val="21"/>
          <w:szCs w:val="21"/>
          <w:highlight w:val="none"/>
        </w:rPr>
        <w:t>有权按照合同约定和适用法律关于安全、质量、环境保护和职业健康等强制性标准、规范的规定，对承包人的设计、采购、施工、竣工试验等实施工作提出建议、修改和变更，但不得违反国家强制性标准、规范的规定。</w:t>
      </w:r>
    </w:p>
    <w:p w14:paraId="415A51D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2.1.4</w:t>
      </w:r>
      <w:r>
        <w:rPr>
          <w:rFonts w:hint="eastAsia" w:ascii="仿宋" w:hAnsi="仿宋" w:eastAsia="仿宋" w:cs="仿宋"/>
          <w:color w:val="auto"/>
          <w:kern w:val="2"/>
          <w:sz w:val="21"/>
          <w:szCs w:val="21"/>
          <w:highlight w:val="none"/>
        </w:rPr>
        <w:t>有权根据合同约定，对因承包人原因给发包人带来的任何损失和损害，提出赔偿。</w:t>
      </w:r>
    </w:p>
    <w:p w14:paraId="4103514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2.1.5</w:t>
      </w:r>
      <w:r>
        <w:rPr>
          <w:rFonts w:hint="eastAsia" w:ascii="仿宋" w:hAnsi="仿宋" w:eastAsia="仿宋" w:cs="仿宋"/>
          <w:color w:val="auto"/>
          <w:kern w:val="2"/>
          <w:sz w:val="21"/>
          <w:szCs w:val="21"/>
          <w:highlight w:val="none"/>
        </w:rPr>
        <w:t>发包人认为必要时，有权以书面形式发出暂停通知。其中，因发包人原因造成的暂停，给承包人造成的费用增加由发包人承担，造成关键路径延误的，竣工日期相应顺延。</w:t>
      </w:r>
    </w:p>
    <w:p w14:paraId="3751909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15" w:name="_Toc535392438"/>
      <w:bookmarkEnd w:id="115"/>
      <w:bookmarkStart w:id="116" w:name="_Toc947532"/>
      <w:r>
        <w:rPr>
          <w:rFonts w:hint="eastAsia" w:ascii="仿宋" w:hAnsi="仿宋" w:eastAsia="仿宋" w:cs="仿宋"/>
          <w:b/>
          <w:bCs/>
          <w:color w:val="auto"/>
          <w:kern w:val="2"/>
          <w:sz w:val="21"/>
          <w:szCs w:val="21"/>
          <w:highlight w:val="none"/>
        </w:rPr>
        <w:t>2.2 发包人代表</w:t>
      </w:r>
      <w:bookmarkEnd w:id="116"/>
    </w:p>
    <w:p w14:paraId="4F23F5F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委派代表，行使发包人委托的权利，履行发包人的义务，但发包人代表无权修改合同。发包人代表依据本合同并在其授权范围内履行其职责。发包人代表根据合同约定的范围和事项，向承包人发出的书面通知，由其本人签字后送交项目负责人。发包人代表的姓名、职务和职责在专用条款约定。发包人决定替换其代表时，应将新任代表的姓名、职务、职权和任命时间在其到任的15日前，以书面形式通知承包人。</w:t>
      </w:r>
    </w:p>
    <w:p w14:paraId="31A02F7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17" w:name="_Toc535392439"/>
      <w:bookmarkEnd w:id="117"/>
      <w:bookmarkStart w:id="118" w:name="_Toc947533"/>
      <w:r>
        <w:rPr>
          <w:rFonts w:hint="eastAsia" w:ascii="仿宋" w:hAnsi="仿宋" w:eastAsia="仿宋" w:cs="仿宋"/>
          <w:b/>
          <w:bCs/>
          <w:color w:val="auto"/>
          <w:kern w:val="2"/>
          <w:sz w:val="21"/>
          <w:szCs w:val="21"/>
          <w:highlight w:val="none"/>
        </w:rPr>
        <w:t>2.3 监理人</w:t>
      </w:r>
      <w:bookmarkEnd w:id="118"/>
    </w:p>
    <w:p w14:paraId="694ACD0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2.3.1</w:t>
      </w:r>
      <w:r>
        <w:rPr>
          <w:rFonts w:hint="eastAsia" w:ascii="仿宋" w:hAnsi="仿宋" w:eastAsia="仿宋" w:cs="仿宋"/>
          <w:color w:val="auto"/>
          <w:kern w:val="2"/>
          <w:sz w:val="21"/>
          <w:szCs w:val="21"/>
          <w:highlight w:val="none"/>
        </w:rPr>
        <w:t>发包人需对工程实行监理的，监理人的名称、工程总监、监理范围、内容和权限在专用条款中写明。</w:t>
      </w:r>
    </w:p>
    <w:p w14:paraId="75A8D16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监理人按发包人委托监理的范围、内容、职权和权限，代表发包人对承包人实施监督。监理人向承包人发出的通知，以书面形式由项目总监签字后送交承包人实施，并抄送发包人。</w:t>
      </w:r>
    </w:p>
    <w:p w14:paraId="6876FF7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2.3.2</w:t>
      </w:r>
      <w:r>
        <w:rPr>
          <w:rFonts w:hint="eastAsia" w:ascii="仿宋" w:hAnsi="仿宋" w:eastAsia="仿宋" w:cs="仿宋"/>
          <w:color w:val="auto"/>
          <w:kern w:val="2"/>
          <w:sz w:val="21"/>
          <w:szCs w:val="21"/>
          <w:highlight w:val="none"/>
        </w:rPr>
        <w:t>工程总监的职权与发包人代表的职权相重叠或不明确时，由发包人予以防调和明确，并以书面形式通知承包人。</w:t>
      </w:r>
    </w:p>
    <w:p w14:paraId="3832586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2.3.3</w:t>
      </w:r>
      <w:r>
        <w:rPr>
          <w:rFonts w:hint="eastAsia" w:ascii="仿宋" w:hAnsi="仿宋" w:eastAsia="仿宋" w:cs="仿宋"/>
          <w:color w:val="auto"/>
          <w:kern w:val="2"/>
          <w:sz w:val="21"/>
          <w:szCs w:val="21"/>
          <w:highlight w:val="none"/>
        </w:rPr>
        <w:t>除专用条款另有约定外，工程总监无权改变本合同当事人的任何权利和义务。</w:t>
      </w:r>
    </w:p>
    <w:p w14:paraId="7E767D1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2.3.4</w:t>
      </w:r>
      <w:r>
        <w:rPr>
          <w:rFonts w:hint="eastAsia" w:ascii="仿宋" w:hAnsi="仿宋" w:eastAsia="仿宋" w:cs="仿宋"/>
          <w:color w:val="auto"/>
          <w:kern w:val="2"/>
          <w:sz w:val="21"/>
          <w:szCs w:val="21"/>
          <w:highlight w:val="none"/>
        </w:rPr>
        <w:t>发包人更换工程总监时，应提前5日以书面形式通知承包人，并在通知中写明替换者的姓名、职务、职权、权限和任命时间。</w:t>
      </w:r>
    </w:p>
    <w:p w14:paraId="22AB0B5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2.4 安全保证</w:t>
      </w:r>
    </w:p>
    <w:p w14:paraId="16DE026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2.4.1</w:t>
      </w:r>
      <w:r>
        <w:rPr>
          <w:rFonts w:hint="eastAsia" w:ascii="仿宋" w:hAnsi="仿宋" w:eastAsia="仿宋" w:cs="仿宋"/>
          <w:color w:val="auto"/>
          <w:kern w:val="2"/>
          <w:sz w:val="21"/>
          <w:szCs w:val="21"/>
          <w:highlight w:val="none"/>
        </w:rPr>
        <w:t>除专用条款另有约定外，发包人应负责协调处理施工现场周围的地下、地上已有设施和邻近建筑物、构筑物、古树名木、文物及坟墓等的安全保护工作，维护现场周围的正常秩序，并承担相关费用。</w:t>
      </w:r>
    </w:p>
    <w:p w14:paraId="5E0F43C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2.4.2</w:t>
      </w:r>
      <w:r>
        <w:rPr>
          <w:rFonts w:hint="eastAsia" w:ascii="仿宋" w:hAnsi="仿宋" w:eastAsia="仿宋" w:cs="仿宋"/>
          <w:color w:val="auto"/>
          <w:kern w:val="2"/>
          <w:sz w:val="21"/>
          <w:szCs w:val="21"/>
          <w:highlight w:val="none"/>
        </w:rPr>
        <w:t>除专用条款另有约定外，发包人应负责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14:paraId="0AA7BD4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2.4.3</w:t>
      </w:r>
      <w:r>
        <w:rPr>
          <w:rFonts w:hint="eastAsia" w:ascii="仿宋" w:hAnsi="仿宋" w:eastAsia="仿宋" w:cs="仿宋"/>
          <w:color w:val="auto"/>
          <w:kern w:val="2"/>
          <w:sz w:val="21"/>
          <w:szCs w:val="21"/>
          <w:highlight w:val="none"/>
        </w:rPr>
        <w:t>本合同未作约定，而在工程主体结构或工程主要装置完成后，发包人要求进行涉及建筑主体及承重结构变动、或涉及重大工艺变化的装修工程时，双方可另行签订委托合同，作为本合同附件。</w:t>
      </w:r>
    </w:p>
    <w:p w14:paraId="6015F98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发包人自行决定此类装修或发包人与第三方签订委托合同，由发包人或发包人另行委托的第三方提出设计方案及施工的，由此造成的损失、损害由发包人负责。</w:t>
      </w:r>
    </w:p>
    <w:p w14:paraId="46139A7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2.4.4</w:t>
      </w:r>
      <w:r>
        <w:rPr>
          <w:rFonts w:hint="eastAsia" w:ascii="仿宋" w:hAnsi="仿宋" w:eastAsia="仿宋" w:cs="仿宋"/>
          <w:color w:val="auto"/>
          <w:kern w:val="2"/>
          <w:sz w:val="21"/>
          <w:szCs w:val="21"/>
          <w:highlight w:val="none"/>
        </w:rPr>
        <w:t>发包人负责对其代表、雇员、监理人及其委托的其他人员进行安全教育，并遵守承包人工程现场的安全规定。承包人应在工程现场以标牌明示相关安全规定，或将安全规定发送给发包人。因发包人的代表、雇员、监理人及其委托的其他人员未能遵守承包人工程现场的安全规定所发生的人身伤害、安全事故，由发包人负责。</w:t>
      </w:r>
    </w:p>
    <w:p w14:paraId="7919DE4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2.4.5</w:t>
      </w:r>
      <w:r>
        <w:rPr>
          <w:rFonts w:hint="eastAsia" w:ascii="仿宋" w:hAnsi="仿宋" w:eastAsia="仿宋" w:cs="仿宋"/>
          <w:color w:val="auto"/>
          <w:kern w:val="2"/>
          <w:sz w:val="21"/>
          <w:szCs w:val="21"/>
          <w:highlight w:val="none"/>
        </w:rPr>
        <w:t>发包人、发包人代表、雇员、监理人及其委托的其他人员应遵守7.8款职业健康、安全和环境保护的相关约定。</w:t>
      </w:r>
    </w:p>
    <w:p w14:paraId="7071778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19" w:name="_Toc535392440"/>
      <w:bookmarkEnd w:id="119"/>
      <w:bookmarkStart w:id="120" w:name="_Toc947534"/>
      <w:r>
        <w:rPr>
          <w:rFonts w:hint="eastAsia" w:ascii="仿宋" w:hAnsi="仿宋" w:eastAsia="仿宋" w:cs="仿宋"/>
          <w:b/>
          <w:bCs/>
          <w:color w:val="auto"/>
          <w:kern w:val="2"/>
          <w:sz w:val="21"/>
          <w:szCs w:val="21"/>
          <w:highlight w:val="none"/>
        </w:rPr>
        <w:t>2.5 保安责任</w:t>
      </w:r>
      <w:bookmarkEnd w:id="120"/>
    </w:p>
    <w:p w14:paraId="4C043EC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2.5.1</w:t>
      </w:r>
      <w:r>
        <w:rPr>
          <w:rFonts w:hint="eastAsia" w:ascii="仿宋" w:hAnsi="仿宋" w:eastAsia="仿宋" w:cs="仿宋"/>
          <w:color w:val="auto"/>
          <w:kern w:val="2"/>
          <w:sz w:val="21"/>
          <w:szCs w:val="21"/>
          <w:highlight w:val="none"/>
        </w:rPr>
        <w:t>现场保安工作的责任主体由专用条款约定。承担现场保安工作的一方负责与当地有关治安部门的联系、沟通和协调，并承担所发生的相关费用。</w:t>
      </w:r>
    </w:p>
    <w:p w14:paraId="59E8468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2.5.2</w:t>
      </w:r>
      <w:r>
        <w:rPr>
          <w:rFonts w:hint="eastAsia" w:ascii="仿宋" w:hAnsi="仿宋" w:eastAsia="仿宋" w:cs="仿宋"/>
          <w:color w:val="auto"/>
          <w:kern w:val="2"/>
          <w:sz w:val="21"/>
          <w:szCs w:val="21"/>
          <w:highlight w:val="none"/>
        </w:rPr>
        <w:t>发包人与承包人商定工程实施阶段及区域的保安责任划分，并编制各自的相关保安制度、责任制度和报告制度，作为合同附件。</w:t>
      </w:r>
    </w:p>
    <w:p w14:paraId="3EE7AAA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2.5.3</w:t>
      </w:r>
      <w:r>
        <w:rPr>
          <w:rFonts w:hint="eastAsia" w:ascii="仿宋" w:hAnsi="仿宋" w:eastAsia="仿宋" w:cs="仿宋"/>
          <w:color w:val="auto"/>
          <w:kern w:val="2"/>
          <w:sz w:val="21"/>
          <w:szCs w:val="21"/>
          <w:highlight w:val="none"/>
        </w:rPr>
        <w:t>发包人按合同约定占用的区域、接收的单项工程和工程，由发包人承担相关保安工作，及因此产生的费用、损害和责任。</w:t>
      </w:r>
    </w:p>
    <w:p w14:paraId="58898B5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第3条 承包人</w:t>
      </w:r>
    </w:p>
    <w:p w14:paraId="2FB2C8C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21" w:name="_Toc535392441"/>
      <w:bookmarkEnd w:id="121"/>
      <w:bookmarkStart w:id="122" w:name="_Toc947535"/>
      <w:r>
        <w:rPr>
          <w:rFonts w:hint="eastAsia" w:ascii="仿宋" w:hAnsi="仿宋" w:eastAsia="仿宋" w:cs="仿宋"/>
          <w:b/>
          <w:bCs/>
          <w:color w:val="auto"/>
          <w:kern w:val="2"/>
          <w:sz w:val="21"/>
          <w:szCs w:val="21"/>
          <w:highlight w:val="none"/>
        </w:rPr>
        <w:t>3.1 承包人的主要权利和义务</w:t>
      </w:r>
      <w:bookmarkEnd w:id="122"/>
    </w:p>
    <w:p w14:paraId="78CCEA5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3.1.1</w:t>
      </w:r>
      <w:r>
        <w:rPr>
          <w:rFonts w:hint="eastAsia" w:ascii="仿宋" w:hAnsi="仿宋" w:eastAsia="仿宋" w:cs="仿宋"/>
          <w:color w:val="auto"/>
          <w:kern w:val="2"/>
          <w:sz w:val="21"/>
          <w:szCs w:val="21"/>
          <w:highlight w:val="none"/>
        </w:rPr>
        <w:t>承包人应按照合同约定的标准、规范、工程的功能、规模、考核目标和竣工日期，完成设计、采购、施工、竣工试验和(或)指导竣工后试验等工作，不得违反国家强制性标准、规范的规定。</w:t>
      </w:r>
    </w:p>
    <w:p w14:paraId="6846A4A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本工程的具体承包范围，应依据合同协议书第一项“工程概况”中有关“工程承包范围”的约定。</w:t>
      </w:r>
    </w:p>
    <w:p w14:paraId="7926A81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3.1.2</w:t>
      </w:r>
      <w:r>
        <w:rPr>
          <w:rFonts w:hint="eastAsia" w:ascii="仿宋" w:hAnsi="仿宋" w:eastAsia="仿宋" w:cs="仿宋"/>
          <w:color w:val="auto"/>
          <w:kern w:val="2"/>
          <w:sz w:val="21"/>
          <w:szCs w:val="21"/>
          <w:highlight w:val="none"/>
        </w:rPr>
        <w:t>承包人应按合同约定，自费修复因承包人原因引起的设计、文件、设备、材料、部件、施工中存在的缺陷、或在竣工试验和竣工后试验中发现的缺陷。</w:t>
      </w:r>
    </w:p>
    <w:p w14:paraId="5B0BD1B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3.1.3</w:t>
      </w:r>
      <w:r>
        <w:rPr>
          <w:rFonts w:hint="eastAsia" w:ascii="仿宋" w:hAnsi="仿宋" w:eastAsia="仿宋" w:cs="仿宋"/>
          <w:color w:val="auto"/>
          <w:kern w:val="2"/>
          <w:sz w:val="21"/>
          <w:szCs w:val="21"/>
          <w:highlight w:val="none"/>
        </w:rPr>
        <w:t>承包人应按合同约定和发包人的要求，提交相关报表。报表的类别、名称、内容、报告期、提交时间和份数，在专用条款中约定。</w:t>
      </w:r>
    </w:p>
    <w:p w14:paraId="6F789B5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3.1.4</w:t>
      </w:r>
      <w:r>
        <w:rPr>
          <w:rFonts w:hint="eastAsia" w:ascii="仿宋" w:hAnsi="仿宋" w:eastAsia="仿宋" w:cs="仿宋"/>
          <w:color w:val="auto"/>
          <w:kern w:val="2"/>
          <w:sz w:val="21"/>
          <w:szCs w:val="21"/>
          <w:highlight w:val="none"/>
        </w:rPr>
        <w:t>承包人有权根据4.6.4款承包人的复工要求、14.9款付款时间延误和17条不可抗力的约定，以书面形式向发包人发出暂停通知。除此之外，凡因承包人原因的暂停，造成承包人的费用增加由其自负，造成关键路径延误的应自费赶上。</w:t>
      </w:r>
    </w:p>
    <w:p w14:paraId="00ED28B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3.1.5</w:t>
      </w:r>
      <w:r>
        <w:rPr>
          <w:rFonts w:hint="eastAsia" w:ascii="仿宋" w:hAnsi="仿宋" w:eastAsia="仿宋" w:cs="仿宋"/>
          <w:color w:val="auto"/>
          <w:kern w:val="2"/>
          <w:sz w:val="21"/>
          <w:szCs w:val="21"/>
          <w:highlight w:val="none"/>
        </w:rPr>
        <w:t>对因发包人原因给承包人带来任何损失、损害或造成工程关键路径延误的，承包人有权要求赔偿或(和)延长竣工日期。</w:t>
      </w:r>
    </w:p>
    <w:p w14:paraId="2540882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3.2 项目负责人</w:t>
      </w:r>
    </w:p>
    <w:p w14:paraId="37B3B0B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3.2.1</w:t>
      </w:r>
      <w:r>
        <w:rPr>
          <w:rFonts w:hint="eastAsia" w:ascii="仿宋" w:hAnsi="仿宋" w:eastAsia="仿宋" w:cs="仿宋"/>
          <w:color w:val="auto"/>
          <w:kern w:val="2"/>
          <w:sz w:val="21"/>
          <w:szCs w:val="21"/>
          <w:highlight w:val="none"/>
        </w:rPr>
        <w:t>项目负责人，应是当事人双方所确认的人选。项目负责人经授权并代表承包人负责履行本合同。项目负责人的姓名、职责和权限在专用条款中约定。</w:t>
      </w:r>
    </w:p>
    <w:p w14:paraId="038FF19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负责人应是承包人的员工，承包人应在合同生效后10日内向发包人提交项目负责人与承包人之间的劳动合同，以及承包人为项目负责人缴纳社会保险的有效证明，承包人不提交上述文件的，项目负责人无权履行职责，由此影响工程进度或发生其它问题的，由承包人承担责任。</w:t>
      </w:r>
    </w:p>
    <w:p w14:paraId="4434864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负责人应常驻项目现场，且每月在现场时间不得少于专用条款约定的天数。项目负责人不得同时担任其它项目的项目负责人。项目负责人确需离开项目现场时应事先取得发包人同意，并指定一名有经验的人员临时代行其职责。</w:t>
      </w:r>
    </w:p>
    <w:p w14:paraId="2E0F0EE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承包人违反上述约定的，按照专用条款的约定，承担违约责任。</w:t>
      </w:r>
    </w:p>
    <w:p w14:paraId="12BBA2F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3.2.2</w:t>
      </w:r>
      <w:r>
        <w:rPr>
          <w:rFonts w:hint="eastAsia" w:ascii="仿宋" w:hAnsi="仿宋" w:eastAsia="仿宋" w:cs="仿宋"/>
          <w:color w:val="auto"/>
          <w:kern w:val="2"/>
          <w:sz w:val="21"/>
          <w:szCs w:val="21"/>
          <w:highlight w:val="none"/>
        </w:rPr>
        <w:t>项目负责人按合同约定的项目进度计划，并按发包人代表和(或)工程总监依据合同发出的指令组织项目实施。在紧急情况下，且无法与发包人代表和(或)工程总监取得联系时，项目负责人有权采取必要的措施保证人身、工程和财产的安全，但须在事后48小时内向发包人代表和(或)工程总监送交书面报告。</w:t>
      </w:r>
    </w:p>
    <w:p w14:paraId="4367988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3.2.3</w:t>
      </w:r>
      <w:r>
        <w:rPr>
          <w:rFonts w:hint="eastAsia" w:ascii="仿宋" w:hAnsi="仿宋" w:eastAsia="仿宋" w:cs="仿宋"/>
          <w:color w:val="auto"/>
          <w:kern w:val="2"/>
          <w:sz w:val="21"/>
          <w:szCs w:val="21"/>
          <w:highlight w:val="none"/>
        </w:rPr>
        <w:t>承包人需更换项目负责人时，提前15日以书面形式通知发包人，并征得发包人的同意。继任的项目负责人须继续履行第3.2.1款约定的职责和权限。未经发包人同意，承包人不得擅自更换项目负责人。承包人擅自更换项目负责人的，按专用条款的约定，承担违约责任。</w:t>
      </w:r>
    </w:p>
    <w:p w14:paraId="7854234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3.2.4</w:t>
      </w:r>
      <w:r>
        <w:rPr>
          <w:rFonts w:hint="eastAsia" w:ascii="仿宋" w:hAnsi="仿宋" w:eastAsia="仿宋" w:cs="仿宋"/>
          <w:color w:val="auto"/>
          <w:kern w:val="2"/>
          <w:sz w:val="21"/>
          <w:szCs w:val="21"/>
          <w:highlight w:val="none"/>
        </w:rPr>
        <w:t>发包人有权以书面形式通知更换其认为不称职的项目负责人，应说明更换因由，承包人应在接到更换通知后15日内向发包人提出书面的改进报告。发包人收到改进报告后仍以书面形式通知更换的，承包人应在接到第二次更换通知后的30日内进行更换，并将新任命的项目负责人的姓名、简历以书面形式通知发包人。新任项目负责人继续履行第3.2.1款约定的职责和权限。</w:t>
      </w:r>
    </w:p>
    <w:p w14:paraId="4ED939C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3.3 工程质量保证</w:t>
      </w:r>
    </w:p>
    <w:p w14:paraId="7E8A2D9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合同约定的质量标准规范，确保设计、采购、加工制造、施工、竣工试验等各项工作的质量，建立有效的质量保证体系，并按照国家有关规定，通过质量保修责任书的形式约定保修范围、保修期限和保修责任。</w:t>
      </w:r>
    </w:p>
    <w:p w14:paraId="1603800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3.4 安全保证</w:t>
      </w:r>
    </w:p>
    <w:p w14:paraId="1F5255F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3.4.1</w:t>
      </w:r>
      <w:r>
        <w:rPr>
          <w:rFonts w:hint="eastAsia" w:ascii="仿宋" w:hAnsi="仿宋" w:eastAsia="仿宋" w:cs="仿宋"/>
          <w:color w:val="auto"/>
          <w:kern w:val="2"/>
          <w:sz w:val="21"/>
          <w:szCs w:val="21"/>
          <w:highlight w:val="none"/>
        </w:rPr>
        <w:t>工程安全性能</w:t>
      </w:r>
    </w:p>
    <w:p w14:paraId="34B7E58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承包人应按照合同约定和国家有关安全生产的法律规定，进行设计、采购、施工、竣工试验，保证工程的安全性能。</w:t>
      </w:r>
    </w:p>
    <w:p w14:paraId="0DEC4F5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3.4.2</w:t>
      </w:r>
      <w:r>
        <w:rPr>
          <w:rFonts w:hint="eastAsia" w:ascii="仿宋" w:hAnsi="仿宋" w:eastAsia="仿宋" w:cs="仿宋"/>
          <w:color w:val="auto"/>
          <w:kern w:val="2"/>
          <w:sz w:val="21"/>
          <w:szCs w:val="21"/>
          <w:highlight w:val="none"/>
        </w:rPr>
        <w:t>安全施工</w:t>
      </w:r>
    </w:p>
    <w:p w14:paraId="3DADAA4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承包人应遵守7.8款职业健康、安全和环境保护的约定。</w:t>
      </w:r>
    </w:p>
    <w:p w14:paraId="4A69690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3.4.3</w:t>
      </w:r>
      <w:r>
        <w:rPr>
          <w:rFonts w:hint="eastAsia" w:ascii="仿宋" w:hAnsi="仿宋" w:eastAsia="仿宋" w:cs="仿宋"/>
          <w:color w:val="auto"/>
          <w:kern w:val="2"/>
          <w:sz w:val="21"/>
          <w:szCs w:val="21"/>
          <w:highlight w:val="none"/>
        </w:rPr>
        <w:t>因承包人未遵守发包人按2.4.2款通知的安全规定和位置范围限定所造成的损失和伤害，由承包人负责。</w:t>
      </w:r>
    </w:p>
    <w:p w14:paraId="48EF6DE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3.4.4</w:t>
      </w:r>
      <w:r>
        <w:rPr>
          <w:rFonts w:hint="eastAsia" w:ascii="仿宋" w:hAnsi="仿宋" w:eastAsia="仿宋" w:cs="仿宋"/>
          <w:color w:val="auto"/>
          <w:kern w:val="2"/>
          <w:sz w:val="21"/>
          <w:szCs w:val="21"/>
          <w:highlight w:val="none"/>
        </w:rPr>
        <w:t>承包人全面负责其施工场地的安全管理，保障所有进入施工场地的人员的安全。因承包人原因所发生的人身伤害、安全事故，由承包人负责。</w:t>
      </w:r>
    </w:p>
    <w:p w14:paraId="2458763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23" w:name="_Toc535392442"/>
      <w:bookmarkEnd w:id="123"/>
      <w:bookmarkStart w:id="124" w:name="_Toc947536"/>
      <w:r>
        <w:rPr>
          <w:rFonts w:hint="eastAsia" w:ascii="仿宋" w:hAnsi="仿宋" w:eastAsia="仿宋" w:cs="仿宋"/>
          <w:b/>
          <w:bCs/>
          <w:color w:val="auto"/>
          <w:kern w:val="2"/>
          <w:sz w:val="21"/>
          <w:szCs w:val="21"/>
          <w:highlight w:val="none"/>
        </w:rPr>
        <w:t>3.5 职业健康和环境保护保证</w:t>
      </w:r>
      <w:bookmarkEnd w:id="124"/>
    </w:p>
    <w:p w14:paraId="70BBC50A">
      <w:pPr>
        <w:pStyle w:val="1024"/>
        <w:adjustRightInd w:val="0"/>
        <w:snapToGrid w:val="0"/>
        <w:spacing w:line="288" w:lineRule="auto"/>
        <w:jc w:val="both"/>
        <w:rPr>
          <w:rFonts w:ascii="仿宋" w:hAnsi="仿宋" w:eastAsia="仿宋" w:cs="仿宋"/>
          <w:color w:val="auto"/>
          <w:kern w:val="2"/>
          <w:sz w:val="21"/>
          <w:szCs w:val="21"/>
          <w:highlight w:val="none"/>
        </w:rPr>
      </w:pPr>
      <w:bookmarkStart w:id="125" w:name="_Toc535392443"/>
      <w:bookmarkEnd w:id="125"/>
      <w:bookmarkStart w:id="126" w:name="_Toc947537"/>
      <w:r>
        <w:rPr>
          <w:rFonts w:hint="eastAsia" w:ascii="仿宋" w:hAnsi="仿宋" w:eastAsia="仿宋" w:cs="仿宋"/>
          <w:b/>
          <w:bCs/>
          <w:color w:val="auto"/>
          <w:kern w:val="2"/>
          <w:sz w:val="21"/>
          <w:szCs w:val="21"/>
          <w:highlight w:val="none"/>
        </w:rPr>
        <w:t>3.5.1</w:t>
      </w:r>
      <w:r>
        <w:rPr>
          <w:rFonts w:hint="eastAsia" w:ascii="仿宋" w:hAnsi="仿宋" w:eastAsia="仿宋" w:cs="仿宋"/>
          <w:color w:val="auto"/>
          <w:kern w:val="2"/>
          <w:sz w:val="21"/>
          <w:szCs w:val="21"/>
          <w:highlight w:val="none"/>
        </w:rPr>
        <w:t>工程设计</w:t>
      </w:r>
      <w:bookmarkEnd w:id="126"/>
    </w:p>
    <w:p w14:paraId="6E82FF2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照合同约定，并遵照《建设工程勘察设计管理条例》、《建设工程环境保护条例》及其它相关法律规定进行工程的环境保护设计及职业健康防护设计，保证工程符合环境保护和职业健康相关法律和标准规定。</w:t>
      </w:r>
    </w:p>
    <w:p w14:paraId="32835203">
      <w:pPr>
        <w:pStyle w:val="1024"/>
        <w:adjustRightInd w:val="0"/>
        <w:snapToGrid w:val="0"/>
        <w:spacing w:line="288" w:lineRule="auto"/>
        <w:jc w:val="both"/>
        <w:rPr>
          <w:rFonts w:ascii="仿宋" w:hAnsi="仿宋" w:eastAsia="仿宋" w:cs="仿宋"/>
          <w:color w:val="auto"/>
          <w:kern w:val="2"/>
          <w:sz w:val="21"/>
          <w:szCs w:val="21"/>
          <w:highlight w:val="none"/>
        </w:rPr>
      </w:pPr>
      <w:bookmarkStart w:id="127" w:name="_Toc535392444"/>
      <w:bookmarkEnd w:id="127"/>
      <w:bookmarkStart w:id="128" w:name="_Toc947538"/>
      <w:r>
        <w:rPr>
          <w:rFonts w:hint="eastAsia" w:ascii="仿宋" w:hAnsi="仿宋" w:eastAsia="仿宋" w:cs="仿宋"/>
          <w:b/>
          <w:bCs/>
          <w:color w:val="auto"/>
          <w:kern w:val="2"/>
          <w:sz w:val="21"/>
          <w:szCs w:val="21"/>
          <w:highlight w:val="none"/>
        </w:rPr>
        <w:t>3.5.2</w:t>
      </w:r>
      <w:r>
        <w:rPr>
          <w:rFonts w:hint="eastAsia" w:ascii="仿宋" w:hAnsi="仿宋" w:eastAsia="仿宋" w:cs="仿宋"/>
          <w:color w:val="auto"/>
          <w:kern w:val="2"/>
          <w:sz w:val="21"/>
          <w:szCs w:val="21"/>
          <w:highlight w:val="none"/>
        </w:rPr>
        <w:t>职业健康和环境保护</w:t>
      </w:r>
      <w:bookmarkEnd w:id="128"/>
    </w:p>
    <w:p w14:paraId="72EE04A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承包人应遵守7.8款职业健康、安全和环境保护的约定。</w:t>
      </w:r>
    </w:p>
    <w:p w14:paraId="303519B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29" w:name="_Toc535392445"/>
      <w:bookmarkEnd w:id="129"/>
      <w:bookmarkStart w:id="130" w:name="_Toc947539"/>
      <w:r>
        <w:rPr>
          <w:rFonts w:hint="eastAsia" w:ascii="仿宋" w:hAnsi="仿宋" w:eastAsia="仿宋" w:cs="仿宋"/>
          <w:b/>
          <w:bCs/>
          <w:color w:val="auto"/>
          <w:kern w:val="2"/>
          <w:sz w:val="21"/>
          <w:szCs w:val="21"/>
          <w:highlight w:val="none"/>
        </w:rPr>
        <w:t>3.6 进度保证</w:t>
      </w:r>
      <w:bookmarkEnd w:id="130"/>
    </w:p>
    <w:p w14:paraId="0027569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承包人按4.l款约定的项目进度计划，合理有序地组织设计、采购、施工、竣工试验所需要的各类资源，以及派出有经验的竣工后试验的指导人员，采用有效的实施方法和组织措施，保证项目进度计划的实现。</w:t>
      </w:r>
    </w:p>
    <w:p w14:paraId="0030EC8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31" w:name="_Toc535392446"/>
      <w:bookmarkEnd w:id="131"/>
      <w:bookmarkStart w:id="132" w:name="_Toc947540"/>
      <w:r>
        <w:rPr>
          <w:rFonts w:hint="eastAsia" w:ascii="仿宋" w:hAnsi="仿宋" w:eastAsia="仿宋" w:cs="仿宋"/>
          <w:b/>
          <w:bCs/>
          <w:color w:val="auto"/>
          <w:kern w:val="2"/>
          <w:sz w:val="21"/>
          <w:szCs w:val="21"/>
          <w:highlight w:val="none"/>
        </w:rPr>
        <w:t>3.7 现场保安</w:t>
      </w:r>
      <w:bookmarkEnd w:id="132"/>
    </w:p>
    <w:p w14:paraId="6FEE56B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承包人承担其进入现场、施工开工至发包人接收单项工程或(和)工程之前的现场保安责任(含承包人的预制加工场地、办公及生活营区)，并负责编制相关的保安制度、责任制度和报告制度，提交给发包人。</w:t>
      </w:r>
    </w:p>
    <w:p w14:paraId="2582E0F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33" w:name="_Toc535392447"/>
      <w:bookmarkEnd w:id="133"/>
      <w:bookmarkStart w:id="134" w:name="_Toc947541"/>
      <w:r>
        <w:rPr>
          <w:rFonts w:hint="eastAsia" w:ascii="仿宋" w:hAnsi="仿宋" w:eastAsia="仿宋" w:cs="仿宋"/>
          <w:b/>
          <w:bCs/>
          <w:color w:val="auto"/>
          <w:kern w:val="2"/>
          <w:sz w:val="21"/>
          <w:szCs w:val="21"/>
          <w:highlight w:val="none"/>
        </w:rPr>
        <w:t>3.8 分包</w:t>
      </w:r>
      <w:bookmarkEnd w:id="134"/>
    </w:p>
    <w:p w14:paraId="28FC9D13">
      <w:pPr>
        <w:pStyle w:val="1024"/>
        <w:adjustRightInd w:val="0"/>
        <w:snapToGrid w:val="0"/>
        <w:spacing w:line="288" w:lineRule="auto"/>
        <w:jc w:val="both"/>
        <w:rPr>
          <w:rFonts w:ascii="仿宋" w:hAnsi="仿宋" w:eastAsia="仿宋" w:cs="仿宋"/>
          <w:color w:val="auto"/>
          <w:kern w:val="2"/>
          <w:sz w:val="21"/>
          <w:szCs w:val="21"/>
          <w:highlight w:val="none"/>
        </w:rPr>
      </w:pPr>
      <w:bookmarkStart w:id="135" w:name="_Toc535392448"/>
      <w:bookmarkEnd w:id="135"/>
      <w:bookmarkStart w:id="136" w:name="_Toc947542"/>
      <w:r>
        <w:rPr>
          <w:rFonts w:hint="eastAsia" w:ascii="仿宋" w:hAnsi="仿宋" w:eastAsia="仿宋" w:cs="仿宋"/>
          <w:b/>
          <w:bCs/>
          <w:color w:val="auto"/>
          <w:kern w:val="2"/>
          <w:sz w:val="21"/>
          <w:szCs w:val="21"/>
          <w:highlight w:val="none"/>
        </w:rPr>
        <w:t>3.8.1</w:t>
      </w:r>
      <w:r>
        <w:rPr>
          <w:rFonts w:hint="eastAsia" w:ascii="仿宋" w:hAnsi="仿宋" w:eastAsia="仿宋" w:cs="仿宋"/>
          <w:color w:val="auto"/>
          <w:kern w:val="2"/>
          <w:sz w:val="21"/>
          <w:szCs w:val="21"/>
          <w:highlight w:val="none"/>
        </w:rPr>
        <w:t>分包约定</w:t>
      </w:r>
      <w:bookmarkEnd w:id="136"/>
    </w:p>
    <w:p w14:paraId="7E22B0B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承包人只能对专用条款约定列出的工作事项(含设计、采购、施工、劳务服务、竣工试验等)进行分包。</w:t>
      </w:r>
    </w:p>
    <w:p w14:paraId="13E2ACB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14:paraId="7A086D33">
      <w:pPr>
        <w:pStyle w:val="1024"/>
        <w:adjustRightInd w:val="0"/>
        <w:snapToGrid w:val="0"/>
        <w:spacing w:line="288" w:lineRule="auto"/>
        <w:jc w:val="both"/>
        <w:rPr>
          <w:rFonts w:ascii="仿宋" w:hAnsi="仿宋" w:eastAsia="仿宋" w:cs="仿宋"/>
          <w:color w:val="auto"/>
          <w:kern w:val="2"/>
          <w:sz w:val="21"/>
          <w:szCs w:val="21"/>
          <w:highlight w:val="none"/>
        </w:rPr>
      </w:pPr>
      <w:bookmarkStart w:id="137" w:name="_Toc535392449"/>
      <w:bookmarkEnd w:id="137"/>
      <w:bookmarkStart w:id="138" w:name="_Toc947543"/>
      <w:r>
        <w:rPr>
          <w:rFonts w:hint="eastAsia" w:ascii="仿宋" w:hAnsi="仿宋" w:eastAsia="仿宋" w:cs="仿宋"/>
          <w:b/>
          <w:bCs/>
          <w:color w:val="auto"/>
          <w:kern w:val="2"/>
          <w:sz w:val="21"/>
          <w:szCs w:val="21"/>
          <w:highlight w:val="none"/>
        </w:rPr>
        <w:t>3.8.2</w:t>
      </w:r>
      <w:r>
        <w:rPr>
          <w:rFonts w:hint="eastAsia" w:ascii="仿宋" w:hAnsi="仿宋" w:eastAsia="仿宋" w:cs="仿宋"/>
          <w:color w:val="auto"/>
          <w:kern w:val="2"/>
          <w:sz w:val="21"/>
          <w:szCs w:val="21"/>
          <w:highlight w:val="none"/>
        </w:rPr>
        <w:t>分包人资质</w:t>
      </w:r>
      <w:bookmarkEnd w:id="138"/>
    </w:p>
    <w:p w14:paraId="3052286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分包人应符合国家法律规定的企业资质等级，否则不能作为分包人。承包人有义务对分包人的资质进行审查。</w:t>
      </w:r>
    </w:p>
    <w:p w14:paraId="5AE3C59D">
      <w:pPr>
        <w:pStyle w:val="1024"/>
        <w:adjustRightInd w:val="0"/>
        <w:snapToGrid w:val="0"/>
        <w:spacing w:line="288" w:lineRule="auto"/>
        <w:jc w:val="both"/>
        <w:rPr>
          <w:rFonts w:ascii="仿宋" w:hAnsi="仿宋" w:eastAsia="仿宋" w:cs="仿宋"/>
          <w:color w:val="auto"/>
          <w:kern w:val="2"/>
          <w:sz w:val="21"/>
          <w:szCs w:val="21"/>
          <w:highlight w:val="none"/>
        </w:rPr>
      </w:pPr>
      <w:bookmarkStart w:id="139" w:name="_Toc535392450"/>
      <w:bookmarkEnd w:id="139"/>
      <w:bookmarkStart w:id="140" w:name="_Toc947544"/>
      <w:r>
        <w:rPr>
          <w:rFonts w:hint="eastAsia" w:ascii="仿宋" w:hAnsi="仿宋" w:eastAsia="仿宋" w:cs="仿宋"/>
          <w:b/>
          <w:bCs/>
          <w:color w:val="auto"/>
          <w:kern w:val="2"/>
          <w:sz w:val="21"/>
          <w:szCs w:val="21"/>
          <w:highlight w:val="none"/>
        </w:rPr>
        <w:t>3.8.3</w:t>
      </w:r>
      <w:r>
        <w:rPr>
          <w:rFonts w:hint="eastAsia" w:ascii="仿宋" w:hAnsi="仿宋" w:eastAsia="仿宋" w:cs="仿宋"/>
          <w:color w:val="auto"/>
          <w:kern w:val="2"/>
          <w:sz w:val="21"/>
          <w:szCs w:val="21"/>
          <w:highlight w:val="none"/>
        </w:rPr>
        <w:t>承包人不得将承包的工程对外转包，也不得以肢解方式将承包的全部工程对外分包。</w:t>
      </w:r>
      <w:bookmarkEnd w:id="140"/>
    </w:p>
    <w:p w14:paraId="6F20F099">
      <w:pPr>
        <w:pStyle w:val="1024"/>
        <w:adjustRightInd w:val="0"/>
        <w:snapToGrid w:val="0"/>
        <w:spacing w:line="288" w:lineRule="auto"/>
        <w:jc w:val="both"/>
        <w:rPr>
          <w:rFonts w:ascii="仿宋" w:hAnsi="仿宋" w:eastAsia="仿宋" w:cs="仿宋"/>
          <w:color w:val="auto"/>
          <w:kern w:val="2"/>
          <w:sz w:val="21"/>
          <w:szCs w:val="21"/>
          <w:highlight w:val="none"/>
        </w:rPr>
      </w:pPr>
      <w:bookmarkStart w:id="141" w:name="_Toc535392451"/>
      <w:bookmarkEnd w:id="141"/>
      <w:bookmarkStart w:id="142" w:name="_Toc947545"/>
      <w:r>
        <w:rPr>
          <w:rFonts w:hint="eastAsia" w:ascii="仿宋" w:hAnsi="仿宋" w:eastAsia="仿宋" w:cs="仿宋"/>
          <w:b/>
          <w:bCs/>
          <w:color w:val="auto"/>
          <w:kern w:val="2"/>
          <w:sz w:val="21"/>
          <w:szCs w:val="21"/>
          <w:highlight w:val="none"/>
        </w:rPr>
        <w:t>3.8.4</w:t>
      </w:r>
      <w:r>
        <w:rPr>
          <w:rFonts w:hint="eastAsia" w:ascii="仿宋" w:hAnsi="仿宋" w:eastAsia="仿宋" w:cs="仿宋"/>
          <w:color w:val="auto"/>
          <w:kern w:val="2"/>
          <w:sz w:val="21"/>
          <w:szCs w:val="21"/>
          <w:highlight w:val="none"/>
        </w:rPr>
        <w:t>设计、施工和工程物资等分包人，应严格执行国家有关分包事项的管理规定。</w:t>
      </w:r>
      <w:bookmarkEnd w:id="142"/>
    </w:p>
    <w:p w14:paraId="5DBB123E">
      <w:pPr>
        <w:pStyle w:val="1024"/>
        <w:adjustRightInd w:val="0"/>
        <w:snapToGrid w:val="0"/>
        <w:spacing w:line="288" w:lineRule="auto"/>
        <w:jc w:val="both"/>
        <w:rPr>
          <w:rFonts w:ascii="仿宋" w:hAnsi="仿宋" w:eastAsia="仿宋" w:cs="仿宋"/>
          <w:color w:val="auto"/>
          <w:kern w:val="2"/>
          <w:sz w:val="21"/>
          <w:szCs w:val="21"/>
          <w:highlight w:val="none"/>
        </w:rPr>
      </w:pPr>
      <w:bookmarkStart w:id="143" w:name="_Toc535392452"/>
      <w:bookmarkEnd w:id="143"/>
      <w:bookmarkStart w:id="144" w:name="_Toc947546"/>
      <w:r>
        <w:rPr>
          <w:rFonts w:hint="eastAsia" w:ascii="仿宋" w:hAnsi="仿宋" w:eastAsia="仿宋" w:cs="仿宋"/>
          <w:b/>
          <w:bCs/>
          <w:color w:val="auto"/>
          <w:kern w:val="2"/>
          <w:sz w:val="21"/>
          <w:szCs w:val="21"/>
          <w:highlight w:val="none"/>
        </w:rPr>
        <w:t>3.8.5</w:t>
      </w:r>
      <w:r>
        <w:rPr>
          <w:rFonts w:hint="eastAsia" w:ascii="仿宋" w:hAnsi="仿宋" w:eastAsia="仿宋" w:cs="仿宋"/>
          <w:color w:val="auto"/>
          <w:kern w:val="2"/>
          <w:sz w:val="21"/>
          <w:szCs w:val="21"/>
          <w:highlight w:val="none"/>
        </w:rPr>
        <w:t>对分包人的付款</w:t>
      </w:r>
      <w:bookmarkEnd w:id="144"/>
    </w:p>
    <w:p w14:paraId="6CB7CD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承包人应按分包合同约定，按时向分包人支付合同价款。除非专用条款另有约定外，未经承包人同意，发包人不得以任何形式向分包人支付任何款项。</w:t>
      </w:r>
    </w:p>
    <w:p w14:paraId="625A8166">
      <w:pPr>
        <w:pStyle w:val="1024"/>
        <w:adjustRightInd w:val="0"/>
        <w:snapToGrid w:val="0"/>
        <w:spacing w:line="288" w:lineRule="auto"/>
        <w:jc w:val="both"/>
        <w:rPr>
          <w:rFonts w:ascii="仿宋" w:hAnsi="仿宋" w:eastAsia="仿宋" w:cs="仿宋"/>
          <w:color w:val="auto"/>
          <w:kern w:val="2"/>
          <w:sz w:val="21"/>
          <w:szCs w:val="21"/>
          <w:highlight w:val="none"/>
        </w:rPr>
      </w:pPr>
      <w:bookmarkStart w:id="145" w:name="_Toc535392453"/>
      <w:bookmarkEnd w:id="145"/>
      <w:bookmarkStart w:id="146" w:name="_Toc947547"/>
      <w:r>
        <w:rPr>
          <w:rFonts w:hint="eastAsia" w:ascii="仿宋" w:hAnsi="仿宋" w:eastAsia="仿宋" w:cs="仿宋"/>
          <w:b/>
          <w:bCs/>
          <w:color w:val="auto"/>
          <w:kern w:val="2"/>
          <w:sz w:val="21"/>
          <w:szCs w:val="21"/>
          <w:highlight w:val="none"/>
        </w:rPr>
        <w:t>3.8.6</w:t>
      </w:r>
      <w:r>
        <w:rPr>
          <w:rFonts w:hint="eastAsia" w:ascii="仿宋" w:hAnsi="仿宋" w:eastAsia="仿宋" w:cs="仿宋"/>
          <w:color w:val="auto"/>
          <w:kern w:val="2"/>
          <w:sz w:val="21"/>
          <w:szCs w:val="21"/>
          <w:highlight w:val="none"/>
        </w:rPr>
        <w:t>承包人对发包人负责</w:t>
      </w:r>
      <w:bookmarkEnd w:id="146"/>
    </w:p>
    <w:p w14:paraId="4523033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承包人对分包人的行为向发包人负责，承包人和分包人就分包工作向发包人承担连带责任。</w:t>
      </w:r>
    </w:p>
    <w:p w14:paraId="6B3E402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第4条 进度计划、延误和暂停</w:t>
      </w:r>
    </w:p>
    <w:p w14:paraId="4E30BBD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47" w:name="_Toc535392454"/>
      <w:bookmarkEnd w:id="147"/>
      <w:bookmarkStart w:id="148" w:name="_Toc947548"/>
      <w:r>
        <w:rPr>
          <w:rFonts w:hint="eastAsia" w:ascii="仿宋" w:hAnsi="仿宋" w:eastAsia="仿宋" w:cs="仿宋"/>
          <w:b/>
          <w:bCs/>
          <w:color w:val="auto"/>
          <w:kern w:val="2"/>
          <w:sz w:val="21"/>
          <w:szCs w:val="21"/>
          <w:highlight w:val="none"/>
        </w:rPr>
        <w:t>4.1 项目进度计划</w:t>
      </w:r>
      <w:bookmarkEnd w:id="148"/>
    </w:p>
    <w:p w14:paraId="3EA3EC12">
      <w:pPr>
        <w:pStyle w:val="1024"/>
        <w:adjustRightInd w:val="0"/>
        <w:snapToGrid w:val="0"/>
        <w:spacing w:line="288" w:lineRule="auto"/>
        <w:jc w:val="both"/>
        <w:rPr>
          <w:rFonts w:ascii="仿宋" w:hAnsi="仿宋" w:eastAsia="仿宋" w:cs="仿宋"/>
          <w:color w:val="auto"/>
          <w:kern w:val="2"/>
          <w:sz w:val="21"/>
          <w:szCs w:val="21"/>
          <w:highlight w:val="none"/>
        </w:rPr>
      </w:pPr>
      <w:bookmarkStart w:id="149" w:name="_Toc535392455"/>
      <w:bookmarkEnd w:id="149"/>
      <w:bookmarkStart w:id="150" w:name="_Toc947549"/>
      <w:r>
        <w:rPr>
          <w:rFonts w:hint="eastAsia" w:ascii="仿宋" w:hAnsi="仿宋" w:eastAsia="仿宋" w:cs="仿宋"/>
          <w:b/>
          <w:bCs/>
          <w:color w:val="auto"/>
          <w:kern w:val="2"/>
          <w:sz w:val="21"/>
          <w:szCs w:val="21"/>
          <w:highlight w:val="none"/>
        </w:rPr>
        <w:t>4.1.1</w:t>
      </w:r>
      <w:r>
        <w:rPr>
          <w:rFonts w:hint="eastAsia" w:ascii="仿宋" w:hAnsi="仿宋" w:eastAsia="仿宋" w:cs="仿宋"/>
          <w:color w:val="auto"/>
          <w:kern w:val="2"/>
          <w:sz w:val="21"/>
          <w:szCs w:val="21"/>
          <w:highlight w:val="none"/>
        </w:rPr>
        <w:t>项目进度计划</w:t>
      </w:r>
      <w:bookmarkEnd w:id="150"/>
    </w:p>
    <w:p w14:paraId="31A43FC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承包人负责编制项目进度计划，项目进度计划中的施工期限(含竣工试验)，应符合合同协议书的约定。关键路径及关键路径变化的确定原则、承包人提交项目进度计划的份数和时间，在专用条款约定。</w:t>
      </w:r>
    </w:p>
    <w:p w14:paraId="052EF1C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项目进度计划经发包人批准后实施，但发包人的批准并不能减轻或免除承包人的合同责任。</w:t>
      </w:r>
    </w:p>
    <w:p w14:paraId="74FE6C9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4.1.2</w:t>
      </w:r>
      <w:r>
        <w:rPr>
          <w:rFonts w:hint="eastAsia" w:ascii="仿宋" w:hAnsi="仿宋" w:eastAsia="仿宋" w:cs="仿宋"/>
          <w:color w:val="auto"/>
          <w:kern w:val="2"/>
          <w:sz w:val="21"/>
          <w:szCs w:val="21"/>
          <w:highlight w:val="none"/>
        </w:rPr>
        <w:t>自费赶上项目进度计划</w:t>
      </w:r>
    </w:p>
    <w:p w14:paraId="5F99662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因承包人原因使工程实际进度明显落后于项目进度计划时，承包人有义务、发包人也有权利要求承包人自费采取措施，赶上项目进度计划。</w:t>
      </w:r>
    </w:p>
    <w:p w14:paraId="1AF1AD88">
      <w:pPr>
        <w:pStyle w:val="1024"/>
        <w:adjustRightInd w:val="0"/>
        <w:snapToGrid w:val="0"/>
        <w:spacing w:line="288" w:lineRule="auto"/>
        <w:jc w:val="both"/>
        <w:rPr>
          <w:rFonts w:ascii="仿宋" w:hAnsi="仿宋" w:eastAsia="仿宋" w:cs="仿宋"/>
          <w:color w:val="auto"/>
          <w:kern w:val="2"/>
          <w:sz w:val="21"/>
          <w:szCs w:val="21"/>
          <w:highlight w:val="none"/>
        </w:rPr>
      </w:pPr>
      <w:bookmarkStart w:id="151" w:name="_Toc535392456"/>
      <w:bookmarkEnd w:id="151"/>
      <w:bookmarkStart w:id="152" w:name="_Toc947550"/>
      <w:r>
        <w:rPr>
          <w:rFonts w:hint="eastAsia" w:ascii="仿宋" w:hAnsi="仿宋" w:eastAsia="仿宋" w:cs="仿宋"/>
          <w:b/>
          <w:bCs/>
          <w:color w:val="auto"/>
          <w:kern w:val="2"/>
          <w:sz w:val="21"/>
          <w:szCs w:val="21"/>
          <w:highlight w:val="none"/>
        </w:rPr>
        <w:t>4.1.3</w:t>
      </w:r>
      <w:r>
        <w:rPr>
          <w:rFonts w:hint="eastAsia" w:ascii="仿宋" w:hAnsi="仿宋" w:eastAsia="仿宋" w:cs="仿宋"/>
          <w:color w:val="auto"/>
          <w:kern w:val="2"/>
          <w:sz w:val="21"/>
          <w:szCs w:val="21"/>
          <w:highlight w:val="none"/>
        </w:rPr>
        <w:t>项目进度计划的调整</w:t>
      </w:r>
      <w:bookmarkEnd w:id="152"/>
    </w:p>
    <w:p w14:paraId="449B046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出现下列情况，竣工日期相应顺延，并对项目进度计划进行调整：</w:t>
      </w:r>
    </w:p>
    <w:p w14:paraId="0A0601D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14:paraId="2381AE6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(2)根据4.2.4款第(2)项的约定，因发包人原因，导致某个设计阶段审核会议时间的延误。</w:t>
      </w:r>
    </w:p>
    <w:p w14:paraId="410CBE0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(3)根据4.2.4款第(3)项的约定，相关设计审查部门批准时间较合同约定的时间延长的。</w:t>
      </w:r>
    </w:p>
    <w:p w14:paraId="20E3AC4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(4)合同约定的其它可延长竣工日期的情况。</w:t>
      </w:r>
    </w:p>
    <w:p w14:paraId="5954D21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4.1.4</w:t>
      </w:r>
      <w:r>
        <w:rPr>
          <w:rFonts w:hint="eastAsia" w:ascii="仿宋" w:hAnsi="仿宋" w:eastAsia="仿宋" w:cs="仿宋"/>
          <w:color w:val="auto"/>
          <w:kern w:val="2"/>
          <w:sz w:val="21"/>
          <w:szCs w:val="21"/>
          <w:highlight w:val="none"/>
        </w:rPr>
        <w:t>发包人的赶工要求</w:t>
      </w:r>
    </w:p>
    <w:p w14:paraId="260BD1C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合同实施过程中发包人书面提出加快设计、采购、施工、竣工试验的赶工要求，被承包人接受时，承包人应提交赶工方案，采取赶工措施。因赶工引起的费用增加，按13.2.4款的变更约定执行。</w:t>
      </w:r>
    </w:p>
    <w:p w14:paraId="2E7CC0C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53" w:name="_Toc535392457"/>
      <w:bookmarkEnd w:id="153"/>
      <w:bookmarkStart w:id="154" w:name="_Toc947551"/>
      <w:r>
        <w:rPr>
          <w:rFonts w:hint="eastAsia" w:ascii="仿宋" w:hAnsi="仿宋" w:eastAsia="仿宋" w:cs="仿宋"/>
          <w:b/>
          <w:bCs/>
          <w:color w:val="auto"/>
          <w:kern w:val="2"/>
          <w:sz w:val="21"/>
          <w:szCs w:val="21"/>
          <w:highlight w:val="none"/>
        </w:rPr>
        <w:t>4.2 设计进度计划</w:t>
      </w:r>
      <w:bookmarkEnd w:id="154"/>
    </w:p>
    <w:p w14:paraId="02FD40B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4.2.1</w:t>
      </w:r>
      <w:r>
        <w:rPr>
          <w:rFonts w:hint="eastAsia" w:ascii="仿宋" w:hAnsi="仿宋" w:eastAsia="仿宋" w:cs="仿宋"/>
          <w:color w:val="auto"/>
          <w:kern w:val="2"/>
          <w:sz w:val="21"/>
          <w:szCs w:val="21"/>
          <w:highlight w:val="none"/>
        </w:rPr>
        <w:t>设计进度计划</w:t>
      </w:r>
    </w:p>
    <w:p w14:paraId="48A8172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根据批准的项目进度计划和5.3.1款约定的设计审查阶段及发包人组织的设计阶段审查会议的时间安排，编制设计进度计划。设计进度计划经发包人认可后执行。发包人的认可并不能减轻或免除承包人的合同责任。</w:t>
      </w:r>
    </w:p>
    <w:p w14:paraId="738C096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4.2.2</w:t>
      </w:r>
      <w:r>
        <w:rPr>
          <w:rFonts w:hint="eastAsia" w:ascii="仿宋" w:hAnsi="仿宋" w:eastAsia="仿宋" w:cs="仿宋"/>
          <w:color w:val="auto"/>
          <w:kern w:val="2"/>
          <w:sz w:val="21"/>
          <w:szCs w:val="21"/>
          <w:highlight w:val="none"/>
        </w:rPr>
        <w:t>设计开工日期</w:t>
      </w:r>
    </w:p>
    <w:p w14:paraId="5E50CE8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承包人收到发包人按5.2.1款提供的项目基础资料、现场障碍资料，及14.4.1款的预付款收到后的5日内，作为</w:t>
      </w:r>
      <w:r>
        <w:rPr>
          <w:rFonts w:hint="eastAsia" w:ascii="仿宋" w:hAnsi="仿宋" w:eastAsia="仿宋" w:cs="仿宋"/>
          <w:color w:val="auto"/>
          <w:kern w:val="2"/>
          <w:sz w:val="21"/>
          <w:szCs w:val="21"/>
          <w:highlight w:val="none"/>
          <w:lang w:val="en-US" w:eastAsia="zh-CN"/>
        </w:rPr>
        <w:t>设计</w:t>
      </w:r>
      <w:r>
        <w:rPr>
          <w:rFonts w:hint="eastAsia" w:ascii="仿宋" w:hAnsi="仿宋" w:eastAsia="仿宋" w:cs="仿宋"/>
          <w:color w:val="auto"/>
          <w:kern w:val="2"/>
          <w:sz w:val="21"/>
          <w:szCs w:val="21"/>
          <w:highlight w:val="none"/>
        </w:rPr>
        <w:t>开工日期。</w:t>
      </w:r>
    </w:p>
    <w:p w14:paraId="5D0F769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4.2.3</w:t>
      </w:r>
      <w:r>
        <w:rPr>
          <w:rFonts w:hint="eastAsia" w:ascii="仿宋" w:hAnsi="仿宋" w:eastAsia="仿宋" w:cs="仿宋"/>
          <w:color w:val="auto"/>
          <w:kern w:val="2"/>
          <w:sz w:val="21"/>
          <w:szCs w:val="21"/>
          <w:highlight w:val="none"/>
        </w:rPr>
        <w:t>设计开工日期延误</w:t>
      </w:r>
    </w:p>
    <w:p w14:paraId="35457A7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未能按5.2.1款的约定提供设计基础资料、现场障碍资料等相关资料、或未按14.3.1款和14.3.2款约定的预付款金额和支付时间支付预付款，造成设计开工日期延误的，设计开工日期和工程竣工日期相应顺延；因承包人原因造成设计开工日期延误的，按4.1.2款的约定，自费赶上。囚发包人原因给承包人造成经济损失的，应支付相应费用。</w:t>
      </w:r>
    </w:p>
    <w:p w14:paraId="4578DC0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4.2.4</w:t>
      </w:r>
      <w:r>
        <w:rPr>
          <w:rFonts w:hint="eastAsia" w:ascii="仿宋" w:hAnsi="仿宋" w:eastAsia="仿宋" w:cs="仿宋"/>
          <w:color w:val="auto"/>
          <w:kern w:val="2"/>
          <w:sz w:val="21"/>
          <w:szCs w:val="21"/>
          <w:highlight w:val="none"/>
        </w:rPr>
        <w:t>设计阶段审查日期的延误</w:t>
      </w:r>
    </w:p>
    <w:p w14:paraId="489D275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因承包人原因，未能按照合同约定的设计审查阶段及其审查会议的时间安排提交相关阶段的设计文件、或提交的相关设计文件不符合相关审核阶段的设计深度要求时，造成设计审查会议延误的，由承包人依据4.1.2款的约定，自费采取措施赶上；造成关键路径延误，或给发包人造成损失(审核会议准备费用)的，由承包人承担。</w:t>
      </w:r>
    </w:p>
    <w:p w14:paraId="4FFA528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(2)因发包人原因，未能遵守合同约定的设计阶段审查会议的时间安排，造成某个设计阶段审查会议延误的，竣工日期相应顺延。因此给承包人带来的窝工损失，由发包人承担。</w:t>
      </w:r>
    </w:p>
    <w:p w14:paraId="513CC16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(3)政府相关设计审查部门批准时间较合同约定时间延长的，竣工日期相应顺延。因此给双方带来的费用增加，由双方各自承担。</w:t>
      </w:r>
    </w:p>
    <w:p w14:paraId="22D5A89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55" w:name="_Toc535392458"/>
      <w:bookmarkEnd w:id="155"/>
      <w:bookmarkStart w:id="156" w:name="_Toc947552"/>
      <w:r>
        <w:rPr>
          <w:rFonts w:hint="eastAsia" w:ascii="仿宋" w:hAnsi="仿宋" w:eastAsia="仿宋" w:cs="仿宋"/>
          <w:b/>
          <w:bCs/>
          <w:color w:val="auto"/>
          <w:kern w:val="2"/>
          <w:sz w:val="21"/>
          <w:szCs w:val="21"/>
          <w:highlight w:val="none"/>
        </w:rPr>
        <w:t>4.3 采购进度计划</w:t>
      </w:r>
      <w:bookmarkEnd w:id="156"/>
    </w:p>
    <w:p w14:paraId="79B1D74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4.3.1</w:t>
      </w:r>
      <w:r>
        <w:rPr>
          <w:rFonts w:hint="eastAsia" w:ascii="仿宋" w:hAnsi="仿宋" w:eastAsia="仿宋" w:cs="仿宋"/>
          <w:color w:val="auto"/>
          <w:kern w:val="2"/>
          <w:sz w:val="21"/>
          <w:szCs w:val="21"/>
          <w:highlight w:val="none"/>
        </w:rPr>
        <w:t>采购进度计划</w:t>
      </w:r>
    </w:p>
    <w:p w14:paraId="369D065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承包人的采购进度计划应符合项目进度计划的时间安排，并与设计、施工和(或)竣工试验及竣工后试验的进度计划相衔接。采购进度计划的提交份数和日期，在专用条款约定。</w:t>
      </w:r>
    </w:p>
    <w:p w14:paraId="4108934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4.3.2</w:t>
      </w:r>
      <w:r>
        <w:rPr>
          <w:rFonts w:hint="eastAsia" w:ascii="仿宋" w:hAnsi="仿宋" w:eastAsia="仿宋" w:cs="仿宋"/>
          <w:color w:val="auto"/>
          <w:kern w:val="2"/>
          <w:sz w:val="21"/>
          <w:szCs w:val="21"/>
          <w:highlight w:val="none"/>
        </w:rPr>
        <w:t>采购开始日期</w:t>
      </w:r>
    </w:p>
    <w:p w14:paraId="01066DE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采购开始日期在专用条款约定。</w:t>
      </w:r>
    </w:p>
    <w:p w14:paraId="6EB1D98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4.3.3</w:t>
      </w:r>
      <w:r>
        <w:rPr>
          <w:rFonts w:hint="eastAsia" w:ascii="仿宋" w:hAnsi="仿宋" w:eastAsia="仿宋" w:cs="仿宋"/>
          <w:color w:val="auto"/>
          <w:kern w:val="2"/>
          <w:sz w:val="21"/>
          <w:szCs w:val="21"/>
          <w:highlight w:val="none"/>
        </w:rPr>
        <w:t>采购进度延误</w:t>
      </w:r>
    </w:p>
    <w:p w14:paraId="37F20D5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因承包人的原因导致采购延误，造成的停工、窝工损失和竣工日期延误，由承包人负责。因发包人原因导致采购延误，给承包人造成的停工、窝工损失，由发包人承担，若造成关键路径延误，竣工日期相应顺延。</w:t>
      </w:r>
    </w:p>
    <w:p w14:paraId="5BF7BCE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57" w:name="_Toc535392459"/>
      <w:bookmarkEnd w:id="157"/>
      <w:bookmarkStart w:id="158" w:name="_Toc947553"/>
      <w:r>
        <w:rPr>
          <w:rFonts w:hint="eastAsia" w:ascii="仿宋" w:hAnsi="仿宋" w:eastAsia="仿宋" w:cs="仿宋"/>
          <w:b/>
          <w:bCs/>
          <w:color w:val="auto"/>
          <w:kern w:val="2"/>
          <w:sz w:val="21"/>
          <w:szCs w:val="21"/>
          <w:highlight w:val="none"/>
        </w:rPr>
        <w:t>4.4 施工进度计划</w:t>
      </w:r>
      <w:bookmarkEnd w:id="158"/>
    </w:p>
    <w:p w14:paraId="4A17612E">
      <w:pPr>
        <w:pStyle w:val="1024"/>
        <w:adjustRightInd w:val="0"/>
        <w:snapToGrid w:val="0"/>
        <w:spacing w:line="288" w:lineRule="auto"/>
        <w:jc w:val="both"/>
        <w:rPr>
          <w:rFonts w:ascii="仿宋" w:hAnsi="仿宋" w:eastAsia="仿宋" w:cs="仿宋"/>
          <w:color w:val="auto"/>
          <w:kern w:val="2"/>
          <w:sz w:val="21"/>
          <w:szCs w:val="21"/>
          <w:highlight w:val="none"/>
        </w:rPr>
      </w:pPr>
      <w:bookmarkStart w:id="159" w:name="_Toc535392460"/>
      <w:bookmarkEnd w:id="159"/>
      <w:bookmarkStart w:id="160" w:name="_Toc947554"/>
      <w:r>
        <w:rPr>
          <w:rFonts w:hint="eastAsia" w:ascii="仿宋" w:hAnsi="仿宋" w:eastAsia="仿宋" w:cs="仿宋"/>
          <w:b/>
          <w:bCs/>
          <w:color w:val="auto"/>
          <w:kern w:val="2"/>
          <w:sz w:val="21"/>
          <w:szCs w:val="21"/>
          <w:highlight w:val="none"/>
        </w:rPr>
        <w:t>4.4.1</w:t>
      </w:r>
      <w:r>
        <w:rPr>
          <w:rFonts w:hint="eastAsia" w:ascii="仿宋" w:hAnsi="仿宋" w:eastAsia="仿宋" w:cs="仿宋"/>
          <w:color w:val="auto"/>
          <w:kern w:val="2"/>
          <w:sz w:val="21"/>
          <w:szCs w:val="21"/>
          <w:highlight w:val="none"/>
        </w:rPr>
        <w:t>施工进度计划</w:t>
      </w:r>
      <w:bookmarkEnd w:id="160"/>
    </w:p>
    <w:p w14:paraId="7DF80B6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在现场施工开工15日前向发包人提交一份包括施工进度计划在内的总体施工组织设计。施工进度计划的开竣工时间，应符合合同协议书对施工开工和工程竣工日期的约定，并与项目进度计划的安排协调一致。发包人需承包人提交关键单项工程或(和)关键分部分项工程施工进度计划的，在专用条款中约定提交的份数和时间。</w:t>
      </w:r>
    </w:p>
    <w:p w14:paraId="2FDB867B">
      <w:pPr>
        <w:pStyle w:val="1024"/>
        <w:adjustRightInd w:val="0"/>
        <w:snapToGrid w:val="0"/>
        <w:spacing w:line="288" w:lineRule="auto"/>
        <w:jc w:val="both"/>
        <w:rPr>
          <w:rFonts w:ascii="仿宋" w:hAnsi="仿宋" w:eastAsia="仿宋" w:cs="仿宋"/>
          <w:color w:val="auto"/>
          <w:kern w:val="2"/>
          <w:sz w:val="21"/>
          <w:szCs w:val="21"/>
          <w:highlight w:val="none"/>
        </w:rPr>
      </w:pPr>
      <w:bookmarkStart w:id="161" w:name="_Toc535392461"/>
      <w:bookmarkEnd w:id="161"/>
      <w:bookmarkStart w:id="162" w:name="_Toc947555"/>
      <w:r>
        <w:rPr>
          <w:rFonts w:hint="eastAsia" w:ascii="仿宋" w:hAnsi="仿宋" w:eastAsia="仿宋" w:cs="仿宋"/>
          <w:b/>
          <w:bCs/>
          <w:color w:val="auto"/>
          <w:kern w:val="2"/>
          <w:sz w:val="21"/>
          <w:szCs w:val="21"/>
          <w:highlight w:val="none"/>
        </w:rPr>
        <w:t>4.4.2</w:t>
      </w:r>
      <w:r>
        <w:rPr>
          <w:rFonts w:hint="eastAsia" w:ascii="仿宋" w:hAnsi="仿宋" w:eastAsia="仿宋" w:cs="仿宋"/>
          <w:color w:val="auto"/>
          <w:kern w:val="2"/>
          <w:sz w:val="21"/>
          <w:szCs w:val="21"/>
          <w:highlight w:val="none"/>
        </w:rPr>
        <w:t>施工开工日期延误</w:t>
      </w:r>
      <w:bookmarkEnd w:id="162"/>
    </w:p>
    <w:p w14:paraId="13C2D88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施工开工日期延误的，根据下列约定确定延长竣工日期：</w:t>
      </w:r>
    </w:p>
    <w:p w14:paraId="34FA781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(1)因发包人原因造成承包人不能按时开工的，开竣工日期相应顺延。给承包人造成经济损失的应支付相应费用。</w:t>
      </w:r>
    </w:p>
    <w:p w14:paraId="07DD95D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(2)因承包人原因不能按时开工的，需说明正当理由，自费采取措施及早开工，竣工日期不予延长。</w:t>
      </w:r>
    </w:p>
    <w:p w14:paraId="5AC96B1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(3)因不可抗力造成施工开工日期延误的，竣工日期相应顺延。</w:t>
      </w:r>
    </w:p>
    <w:p w14:paraId="7C1EF87F">
      <w:pPr>
        <w:pStyle w:val="1024"/>
        <w:adjustRightInd w:val="0"/>
        <w:snapToGrid w:val="0"/>
        <w:spacing w:line="288" w:lineRule="auto"/>
        <w:jc w:val="both"/>
        <w:rPr>
          <w:rFonts w:ascii="仿宋" w:hAnsi="仿宋" w:eastAsia="仿宋" w:cs="仿宋"/>
          <w:color w:val="auto"/>
          <w:kern w:val="2"/>
          <w:sz w:val="21"/>
          <w:szCs w:val="21"/>
          <w:highlight w:val="none"/>
        </w:rPr>
      </w:pPr>
      <w:bookmarkStart w:id="163" w:name="_Toc535392462"/>
      <w:bookmarkEnd w:id="163"/>
      <w:bookmarkStart w:id="164" w:name="_Toc947556"/>
      <w:r>
        <w:rPr>
          <w:rFonts w:hint="eastAsia" w:ascii="仿宋" w:hAnsi="仿宋" w:eastAsia="仿宋" w:cs="仿宋"/>
          <w:b/>
          <w:bCs/>
          <w:color w:val="auto"/>
          <w:kern w:val="2"/>
          <w:sz w:val="21"/>
          <w:szCs w:val="21"/>
          <w:highlight w:val="none"/>
        </w:rPr>
        <w:t>4.4.3</w:t>
      </w:r>
      <w:r>
        <w:rPr>
          <w:rFonts w:hint="eastAsia" w:ascii="仿宋" w:hAnsi="仿宋" w:eastAsia="仿宋" w:cs="仿宋"/>
          <w:color w:val="auto"/>
          <w:kern w:val="2"/>
          <w:sz w:val="21"/>
          <w:szCs w:val="21"/>
          <w:highlight w:val="none"/>
        </w:rPr>
        <w:t>竣工日期</w:t>
      </w:r>
      <w:bookmarkEnd w:id="164"/>
    </w:p>
    <w:p w14:paraId="4B300C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(1)承包项目的实施阶段含竣工试验阶段时，按以下方式确定计划竣工日期和实际竣工日期：</w:t>
      </w:r>
    </w:p>
    <w:p w14:paraId="0D5BBDB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1)根据专用条款(9.1款工程接收)约定的单项工程竣工日期，为单项工程的计划竣工日期；工程中最后一个单项工程的计划竣工日期，为工程的计划竣工日期；</w:t>
      </w:r>
    </w:p>
    <w:p w14:paraId="13894EE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165" w:name="_Toc535392463"/>
      <w:bookmarkEnd w:id="165"/>
      <w:bookmarkStart w:id="166" w:name="_Toc947557"/>
      <w:r>
        <w:rPr>
          <w:rFonts w:hint="eastAsia" w:ascii="仿宋" w:hAnsi="仿宋" w:eastAsia="仿宋" w:cs="仿宋"/>
          <w:color w:val="auto"/>
          <w:kern w:val="2"/>
          <w:sz w:val="21"/>
          <w:szCs w:val="21"/>
          <w:highlight w:val="none"/>
        </w:rPr>
        <w:t>2)单项工程中最后一项竣工试验通过的日期，为该单项工程的实际竣工日期；</w:t>
      </w:r>
      <w:bookmarkEnd w:id="166"/>
    </w:p>
    <w:p w14:paraId="15A4A35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3)工程中最后一个单项工程通过竣工试验的日期，为工程的实际竣工日期。</w:t>
      </w:r>
    </w:p>
    <w:p w14:paraId="681B665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(2)承包项目的实施阶段不含竣工试验阶段时，按以下方式确定计划竣工日期和实际竣工日期：</w:t>
      </w:r>
    </w:p>
    <w:p w14:paraId="7E3236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1)根据专用条款(9.l款工程接收)中所约定的单项工程竣工日期，为单项工程的计划竣工日期；工程中最后一个单项工程的计划竣工日期，为工程的计划竣工日期；</w:t>
      </w:r>
    </w:p>
    <w:p w14:paraId="67517D9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2)承包人按合同约定，完成施工图纸规定的单项工程中的全部施工作业，且符合合同约定的质量标准的日期，为单项工程的实际竣工日期；</w:t>
      </w:r>
    </w:p>
    <w:p w14:paraId="3C4D2D6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3)承包人按合同约定，完成施工图纸规定的工程中最后一个单项工程的全部施工作业，且符合合同约定的质量标准的日期，为工程的实际竣工日期。</w:t>
      </w:r>
    </w:p>
    <w:p w14:paraId="77D2BC4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(3)承包人为竣工试验、或竣工后试验预留的施工部位、或发包人要求预留的施工部位、不影响发包人实质操作使用的未完扫尾工程和缺陷修复，不影响竣工日期的确定。</w:t>
      </w:r>
    </w:p>
    <w:p w14:paraId="6A8EBC8C">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167" w:name="_Toc535392464"/>
      <w:bookmarkEnd w:id="167"/>
      <w:bookmarkStart w:id="168" w:name="_Toc947558"/>
      <w:r>
        <w:rPr>
          <w:rFonts w:hint="eastAsia" w:ascii="仿宋" w:hAnsi="仿宋" w:eastAsia="仿宋" w:cs="仿宋"/>
          <w:b/>
          <w:bCs/>
          <w:color w:val="auto"/>
          <w:kern w:val="2"/>
          <w:sz w:val="21"/>
          <w:szCs w:val="21"/>
          <w:highlight w:val="none"/>
        </w:rPr>
        <w:t>4.5</w:t>
      </w:r>
      <w:r>
        <w:rPr>
          <w:rFonts w:hint="eastAsia" w:ascii="仿宋" w:hAnsi="仿宋" w:eastAsia="仿宋" w:cs="仿宋"/>
          <w:color w:val="auto"/>
          <w:kern w:val="2"/>
          <w:sz w:val="21"/>
          <w:szCs w:val="21"/>
          <w:highlight w:val="none"/>
        </w:rPr>
        <w:t xml:space="preserve"> 误期损害赔偿</w:t>
      </w:r>
      <w:bookmarkEnd w:id="168"/>
    </w:p>
    <w:p w14:paraId="00E43A5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造成工程竣工日期延误的，由承包人承担误期损害赔偿责任。每日延误的赔偿金额，及累计的最高赔偿金额在专用条款中约定。发包人有权从工程进度款、竣工结算款或约定提交的履约保函中扣除赔偿金额。</w:t>
      </w:r>
    </w:p>
    <w:p w14:paraId="4E9E5878">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169" w:name="_Toc535392465"/>
      <w:bookmarkEnd w:id="169"/>
      <w:bookmarkStart w:id="170" w:name="_Toc947559"/>
      <w:r>
        <w:rPr>
          <w:rFonts w:hint="eastAsia" w:ascii="仿宋" w:hAnsi="仿宋" w:eastAsia="仿宋" w:cs="仿宋"/>
          <w:b/>
          <w:bCs/>
          <w:color w:val="auto"/>
          <w:kern w:val="2"/>
          <w:sz w:val="21"/>
          <w:szCs w:val="21"/>
          <w:highlight w:val="none"/>
        </w:rPr>
        <w:t xml:space="preserve">4.6 </w:t>
      </w:r>
      <w:r>
        <w:rPr>
          <w:rFonts w:hint="eastAsia" w:ascii="仿宋" w:hAnsi="仿宋" w:eastAsia="仿宋" w:cs="仿宋"/>
          <w:color w:val="auto"/>
          <w:kern w:val="2"/>
          <w:sz w:val="21"/>
          <w:szCs w:val="21"/>
          <w:highlight w:val="none"/>
        </w:rPr>
        <w:t>暂停</w:t>
      </w:r>
      <w:bookmarkEnd w:id="170"/>
    </w:p>
    <w:p w14:paraId="2BB4D70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4.6.1</w:t>
      </w:r>
      <w:r>
        <w:rPr>
          <w:rFonts w:hint="eastAsia" w:ascii="仿宋" w:hAnsi="仿宋" w:eastAsia="仿宋" w:cs="仿宋"/>
          <w:color w:val="auto"/>
          <w:kern w:val="2"/>
          <w:sz w:val="21"/>
          <w:szCs w:val="21"/>
          <w:highlight w:val="none"/>
        </w:rPr>
        <w:t>因发包人原因的暂停</w:t>
      </w:r>
    </w:p>
    <w:p w14:paraId="53A9E7E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因发包人原因通知的暂停，应列明暂停的日期及预计暂停的期限。双方应遵守2.1.5款和3.1.4款的相关约定。</w:t>
      </w:r>
    </w:p>
    <w:p w14:paraId="38328A3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4.6.2</w:t>
      </w:r>
      <w:r>
        <w:rPr>
          <w:rFonts w:hint="eastAsia" w:ascii="仿宋" w:hAnsi="仿宋" w:eastAsia="仿宋" w:cs="仿宋"/>
          <w:color w:val="auto"/>
          <w:kern w:val="2"/>
          <w:sz w:val="21"/>
          <w:szCs w:val="21"/>
          <w:highlight w:val="none"/>
        </w:rPr>
        <w:t>因不可抗力造成的暂停</w:t>
      </w:r>
    </w:p>
    <w:p w14:paraId="05EE59F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因不可抗力造成工程暂停时，双方根据17.1款不可抗力发生时的义务和17.2款不可抗力的后果的条款的约定，安排各自的工作。</w:t>
      </w:r>
    </w:p>
    <w:p w14:paraId="23FF4D9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4.6.3</w:t>
      </w:r>
      <w:r>
        <w:rPr>
          <w:rFonts w:hint="eastAsia" w:ascii="仿宋" w:hAnsi="仿宋" w:eastAsia="仿宋" w:cs="仿宋"/>
          <w:color w:val="auto"/>
          <w:kern w:val="2"/>
          <w:sz w:val="21"/>
          <w:szCs w:val="21"/>
          <w:highlight w:val="none"/>
        </w:rPr>
        <w:t>暂停时承包人的工作</w:t>
      </w:r>
    </w:p>
    <w:p w14:paraId="144FD44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14:paraId="558E588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4.6.4</w:t>
      </w:r>
      <w:r>
        <w:rPr>
          <w:rFonts w:hint="eastAsia" w:ascii="仿宋" w:hAnsi="仿宋" w:eastAsia="仿宋" w:cs="仿宋"/>
          <w:color w:val="auto"/>
          <w:kern w:val="2"/>
          <w:sz w:val="21"/>
          <w:szCs w:val="21"/>
          <w:highlight w:val="none"/>
        </w:rPr>
        <w:t>承包人的复工要求</w:t>
      </w:r>
    </w:p>
    <w:p w14:paraId="50E7964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根据发包人通知暂停的，承包人有权在暂停45日后向发包人发出要求复工的通知。不能复工时，承包人有权根据13.2.5款调减部分工程的约定，以变更方式调减受暂停影响的部分工程。</w:t>
      </w:r>
    </w:p>
    <w:p w14:paraId="5F7DDE9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发包人的暂停超过45日且暂停影响到整个工程，或发包人的暂停超过180日，或因不可抗力的暂停致使合同无法履行，承包人有权根据18.2款由承包人解除合同的约定，发出解除合同的通知。</w:t>
      </w:r>
    </w:p>
    <w:p w14:paraId="7AD11FC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4.6.5</w:t>
      </w:r>
      <w:r>
        <w:rPr>
          <w:rFonts w:hint="eastAsia" w:ascii="仿宋" w:hAnsi="仿宋" w:eastAsia="仿宋" w:cs="仿宋"/>
          <w:color w:val="auto"/>
          <w:kern w:val="2"/>
          <w:sz w:val="21"/>
          <w:szCs w:val="21"/>
          <w:highlight w:val="none"/>
        </w:rPr>
        <w:t>发包人的复工</w:t>
      </w:r>
    </w:p>
    <w:p w14:paraId="43BD9FE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14:paraId="5CABAC1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4.6.6</w:t>
      </w:r>
      <w:r>
        <w:rPr>
          <w:rFonts w:hint="eastAsia" w:ascii="仿宋" w:hAnsi="仿宋" w:eastAsia="仿宋" w:cs="仿宋"/>
          <w:color w:val="auto"/>
          <w:kern w:val="2"/>
          <w:sz w:val="21"/>
          <w:szCs w:val="21"/>
          <w:highlight w:val="none"/>
        </w:rPr>
        <w:t>因承包人原因的暂停</w:t>
      </w:r>
    </w:p>
    <w:p w14:paraId="40F5EC6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因承包人原因造成部分工程或工程的暂停的，所发生的损失、损害及竣工日期延误，由承包人负责。</w:t>
      </w:r>
    </w:p>
    <w:p w14:paraId="357A595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4.6.7</w:t>
      </w:r>
      <w:r>
        <w:rPr>
          <w:rFonts w:hint="eastAsia" w:ascii="仿宋" w:hAnsi="仿宋" w:eastAsia="仿宋" w:cs="仿宋"/>
          <w:color w:val="auto"/>
          <w:kern w:val="2"/>
          <w:sz w:val="21"/>
          <w:szCs w:val="21"/>
          <w:highlight w:val="none"/>
        </w:rPr>
        <w:t>工程暂停时的付款</w:t>
      </w:r>
    </w:p>
    <w:p w14:paraId="31C36F5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因发包人原因暂停的复工后，未影响到整个工程实施时，双方应依据2.1.5款的约定商定因该暂停给承包人所增加的合理费用，承包人应将其款项纳入当期的付款申请，由发包人审查支付。</w:t>
      </w:r>
    </w:p>
    <w:p w14:paraId="3192868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14:paraId="5D3F34B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因发包人原因的暂停，致使合同无法履行时，且承包人根据4.6.4款第二段的约定发出解除合同的通知后，双方应根据18.2款由承包人解除合同的相关约定，办理结算和付款。</w:t>
      </w:r>
    </w:p>
    <w:p w14:paraId="5CD73F1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第5条 技术与设计</w:t>
      </w:r>
    </w:p>
    <w:p w14:paraId="489CBFB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71" w:name="_Toc535392466"/>
      <w:bookmarkEnd w:id="171"/>
      <w:bookmarkStart w:id="172" w:name="_Toc947560"/>
      <w:r>
        <w:rPr>
          <w:rFonts w:hint="eastAsia" w:ascii="仿宋" w:hAnsi="仿宋" w:eastAsia="仿宋" w:cs="仿宋"/>
          <w:b/>
          <w:bCs/>
          <w:color w:val="auto"/>
          <w:kern w:val="2"/>
          <w:sz w:val="21"/>
          <w:szCs w:val="21"/>
          <w:highlight w:val="none"/>
        </w:rPr>
        <w:t>5.1 生产工艺技术、建筑设计方案</w:t>
      </w:r>
      <w:bookmarkEnd w:id="172"/>
    </w:p>
    <w:p w14:paraId="4074495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5.1.1</w:t>
      </w:r>
      <w:r>
        <w:rPr>
          <w:rFonts w:hint="eastAsia" w:ascii="仿宋" w:hAnsi="仿宋" w:eastAsia="仿宋" w:cs="仿宋"/>
          <w:color w:val="auto"/>
          <w:kern w:val="2"/>
          <w:sz w:val="21"/>
          <w:szCs w:val="21"/>
          <w:highlight w:val="none"/>
        </w:rPr>
        <w:t>承包人提供的生产工艺技术和(或)建筑设计方案</w:t>
      </w:r>
    </w:p>
    <w:p w14:paraId="482F6C3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14:paraId="5E578EB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承包人应对专用条款约定的试运行考核保证值、和(或)使用功能保证的说明负责。该试运行考核保证值、和(或)使用功能保证的说明，作为发包人根据10.3.3款进行试运行考核的评价依据。</w:t>
      </w:r>
    </w:p>
    <w:p w14:paraId="600ACB4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5.1.2</w:t>
      </w:r>
      <w:r>
        <w:rPr>
          <w:rFonts w:hint="eastAsia" w:ascii="仿宋" w:hAnsi="仿宋" w:eastAsia="仿宋" w:cs="仿宋"/>
          <w:color w:val="auto"/>
          <w:kern w:val="2"/>
          <w:sz w:val="21"/>
          <w:szCs w:val="21"/>
          <w:highlight w:val="none"/>
        </w:rPr>
        <w:t>发包人提供的生产工艺技术和(或)建筑设计方案</w:t>
      </w:r>
    </w:p>
    <w:p w14:paraId="192684D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负责提供的生产工艺技术(含专利技术、专有技术、工艺包)和(或)建筑设计方案(含总体布局、功能分区、建筑造型、主体结构，或发包人委托第三方设计单位提供的建筑设计方案)时，应对所提供的工艺流程、工艺技术数据、工艺条件、软件、分析手册、操作指导书、设备制造指导书和其他承包人的文件资料、发包人的要求，和(或)总体布局、功能分区、建筑造型、主体结构等，或第三方设计单位提供的建筑设计方案负责。</w:t>
      </w:r>
    </w:p>
    <w:p w14:paraId="75C22E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14:paraId="356E7B2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73" w:name="_Toc535392467"/>
      <w:bookmarkEnd w:id="173"/>
      <w:bookmarkStart w:id="174" w:name="_Toc947561"/>
      <w:r>
        <w:rPr>
          <w:rFonts w:hint="eastAsia" w:ascii="仿宋" w:hAnsi="仿宋" w:eastAsia="仿宋" w:cs="仿宋"/>
          <w:b/>
          <w:bCs/>
          <w:color w:val="auto"/>
          <w:kern w:val="2"/>
          <w:sz w:val="21"/>
          <w:szCs w:val="21"/>
          <w:highlight w:val="none"/>
        </w:rPr>
        <w:t>5.2 设计</w:t>
      </w:r>
      <w:bookmarkEnd w:id="174"/>
    </w:p>
    <w:p w14:paraId="6A7832F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5.2.1</w:t>
      </w:r>
      <w:r>
        <w:rPr>
          <w:rFonts w:hint="eastAsia" w:ascii="仿宋" w:hAnsi="仿宋" w:eastAsia="仿宋" w:cs="仿宋"/>
          <w:color w:val="auto"/>
          <w:kern w:val="2"/>
          <w:sz w:val="21"/>
          <w:szCs w:val="21"/>
          <w:highlight w:val="none"/>
        </w:rPr>
        <w:t>发包人的义务</w:t>
      </w:r>
    </w:p>
    <w:p w14:paraId="2047B10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发包人应按约定的时间，有义务配合承包人在现场的实测复验。承包人因纠正坐标资料中的错误，造成费用增加或(和)工期延误，由发包人负责其相关费用增加，竣工日期给予合理延长。</w:t>
      </w:r>
    </w:p>
    <w:p w14:paraId="795F331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发包人提供的项目基础资料中有专利商提供的技术或工艺包，或是第三方设计单位提供的建筑造型等，发包人应组织专利商或第三方设计单位与承包人进行数据、条件和资料的交换、协调和交接。</w:t>
      </w:r>
    </w:p>
    <w:p w14:paraId="543788C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14:paraId="7187976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14:paraId="79C84B7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(3)承包人无法核实发包人所提供的项目基础资料中的数据、条件和资料的，发包人有义务给予进一步确认。</w:t>
      </w:r>
    </w:p>
    <w:p w14:paraId="1403262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5.2.2</w:t>
      </w:r>
      <w:r>
        <w:rPr>
          <w:rFonts w:hint="eastAsia" w:ascii="仿宋" w:hAnsi="仿宋" w:eastAsia="仿宋" w:cs="仿宋"/>
          <w:color w:val="auto"/>
          <w:kern w:val="2"/>
          <w:sz w:val="21"/>
          <w:szCs w:val="21"/>
          <w:highlight w:val="none"/>
        </w:rPr>
        <w:t>承包人的义务</w:t>
      </w:r>
    </w:p>
    <w:p w14:paraId="57DBD35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14:paraId="27470E9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14:paraId="6C077ED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5.2.3</w:t>
      </w:r>
      <w:r>
        <w:rPr>
          <w:rFonts w:hint="eastAsia" w:ascii="仿宋" w:hAnsi="仿宋" w:eastAsia="仿宋" w:cs="仿宋"/>
          <w:color w:val="auto"/>
          <w:kern w:val="2"/>
          <w:sz w:val="21"/>
          <w:szCs w:val="21"/>
          <w:highlight w:val="none"/>
        </w:rPr>
        <w:t>遵守标准、规范</w:t>
      </w:r>
    </w:p>
    <w:p w14:paraId="769AAD1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(1)1.5款约定的标准、规范，适用于发包人按单项工程接收和(或)整个工程接收。</w:t>
      </w:r>
    </w:p>
    <w:p w14:paraId="26F020A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14:paraId="65218EE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(3)依据适用法律和合同约定的标准、规范所完成的设计图纸、设计文件中的技术数据和技术条件，是工程物资采购质量、施工质量及竣工试验质量的依据。</w:t>
      </w:r>
    </w:p>
    <w:p w14:paraId="5373B41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5.2.4</w:t>
      </w:r>
      <w:r>
        <w:rPr>
          <w:rFonts w:hint="eastAsia" w:ascii="仿宋" w:hAnsi="仿宋" w:eastAsia="仿宋" w:cs="仿宋"/>
          <w:color w:val="auto"/>
          <w:kern w:val="2"/>
          <w:sz w:val="21"/>
          <w:szCs w:val="21"/>
          <w:highlight w:val="none"/>
        </w:rPr>
        <w:t>操作维修手册</w:t>
      </w:r>
    </w:p>
    <w:p w14:paraId="18CFD7F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承包人指导竣工后试验和试运行考核试验，并编制操作维修手册的，发包人应按5.2.1款第(1)项第二段的约定，责令其专利商或发包人的其他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14:paraId="789C751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5.2.5</w:t>
      </w:r>
      <w:r>
        <w:rPr>
          <w:rFonts w:hint="eastAsia" w:ascii="仿宋" w:hAnsi="仿宋" w:eastAsia="仿宋" w:cs="仿宋"/>
          <w:color w:val="auto"/>
          <w:kern w:val="2"/>
          <w:sz w:val="21"/>
          <w:szCs w:val="21"/>
          <w:highlight w:val="none"/>
        </w:rPr>
        <w:t>设计文件的份数和提交时间</w:t>
      </w:r>
    </w:p>
    <w:p w14:paraId="25440D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相关设计阶段的设计文件、资料和图纸的提交份数和时间在专用条款中约定。</w:t>
      </w:r>
    </w:p>
    <w:p w14:paraId="3ECD937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5.2.6</w:t>
      </w:r>
      <w:r>
        <w:rPr>
          <w:rFonts w:hint="eastAsia" w:ascii="仿宋" w:hAnsi="仿宋" w:eastAsia="仿宋" w:cs="仿宋"/>
          <w:color w:val="auto"/>
          <w:kern w:val="2"/>
          <w:sz w:val="21"/>
          <w:szCs w:val="21"/>
          <w:highlight w:val="none"/>
        </w:rPr>
        <w:t>设计缺陷的自费修复，自费赶上</w:t>
      </w:r>
    </w:p>
    <w:p w14:paraId="6F9F327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因承包人原因，造成设计文件存在遗漏、错误、缺陷和不足的，承包人应自费修复、弥补、纠正和完善。造成设计进度延误时，应自费采取措施赶上。</w:t>
      </w:r>
    </w:p>
    <w:p w14:paraId="495FF13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75" w:name="_Toc535392468"/>
      <w:bookmarkEnd w:id="175"/>
      <w:bookmarkStart w:id="176" w:name="_Toc947562"/>
      <w:r>
        <w:rPr>
          <w:rFonts w:hint="eastAsia" w:ascii="仿宋" w:hAnsi="仿宋" w:eastAsia="仿宋" w:cs="仿宋"/>
          <w:b/>
          <w:bCs/>
          <w:color w:val="auto"/>
          <w:kern w:val="2"/>
          <w:sz w:val="21"/>
          <w:szCs w:val="21"/>
          <w:highlight w:val="none"/>
        </w:rPr>
        <w:t>5.3 设计阶段审查</w:t>
      </w:r>
      <w:bookmarkEnd w:id="176"/>
    </w:p>
    <w:p w14:paraId="00B4EFA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5.3.1</w:t>
      </w:r>
      <w:r>
        <w:rPr>
          <w:rFonts w:hint="eastAsia" w:ascii="仿宋" w:hAnsi="仿宋" w:eastAsia="仿宋" w:cs="仿宋"/>
          <w:color w:val="auto"/>
          <w:kern w:val="2"/>
          <w:sz w:val="21"/>
          <w:szCs w:val="21"/>
          <w:highlight w:val="none"/>
        </w:rPr>
        <w:t>本工程的设计阶段、设计阶段审查会议的组织和时间安排，在专用条款约定。发包人负责组织设计阶段审查会议，并承担会议费用及发包人的上级单位、政府有关部门参加审查会议的费用。</w:t>
      </w:r>
    </w:p>
    <w:p w14:paraId="385A56A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5.3.2</w:t>
      </w:r>
      <w:r>
        <w:rPr>
          <w:rFonts w:hint="eastAsia" w:ascii="仿宋" w:hAnsi="仿宋" w:eastAsia="仿宋" w:cs="仿宋"/>
          <w:color w:val="auto"/>
          <w:kern w:val="2"/>
          <w:sz w:val="21"/>
          <w:szCs w:val="21"/>
          <w:highlight w:val="none"/>
        </w:rPr>
        <w:t>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14:paraId="7CBBD42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5.3.3</w:t>
      </w:r>
      <w:r>
        <w:rPr>
          <w:rFonts w:hint="eastAsia" w:ascii="仿宋" w:hAnsi="仿宋" w:eastAsia="仿宋" w:cs="仿宋"/>
          <w:color w:val="auto"/>
          <w:kern w:val="2"/>
          <w:sz w:val="21"/>
          <w:szCs w:val="21"/>
          <w:highlight w:val="none"/>
        </w:rPr>
        <w:t>发包人有义务向承包人提供设计审查会议的批准文件和纪要。承包人有义务按相关设计审查阶段批准的文件和纪要，并依据合同约定及相关设计规定，对相关设计进行修改、补充和完善。</w:t>
      </w:r>
    </w:p>
    <w:p w14:paraId="4CC604E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5.3.4</w:t>
      </w:r>
      <w:r>
        <w:rPr>
          <w:rFonts w:hint="eastAsia" w:ascii="仿宋" w:hAnsi="仿宋" w:eastAsia="仿宋" w:cs="仿宋"/>
          <w:color w:val="auto"/>
          <w:kern w:val="2"/>
          <w:sz w:val="21"/>
          <w:szCs w:val="21"/>
          <w:highlight w:val="none"/>
        </w:rPr>
        <w:t>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14:paraId="63B5EE3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5.3.5</w:t>
      </w:r>
      <w:r>
        <w:rPr>
          <w:rFonts w:hint="eastAsia" w:ascii="仿宋" w:hAnsi="仿宋" w:eastAsia="仿宋" w:cs="仿宋"/>
          <w:color w:val="auto"/>
          <w:kern w:val="2"/>
          <w:sz w:val="21"/>
          <w:szCs w:val="21"/>
          <w:highlight w:val="none"/>
        </w:rPr>
        <w:t>发包人有权在5.3.1款约定的各设计审查阶段之前，对相关设计阶段的设计文件、图纸和资料提出建议、进行预审和确认，发包人的任何建议、预审和确认，并不能减轻或免除承包人的合同责任和义务。</w:t>
      </w:r>
    </w:p>
    <w:p w14:paraId="557FF8C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77" w:name="_Toc535392469"/>
      <w:bookmarkEnd w:id="177"/>
      <w:bookmarkStart w:id="178" w:name="_Toc947563"/>
      <w:r>
        <w:rPr>
          <w:rFonts w:hint="eastAsia" w:ascii="仿宋" w:hAnsi="仿宋" w:eastAsia="仿宋" w:cs="仿宋"/>
          <w:b/>
          <w:bCs/>
          <w:color w:val="auto"/>
          <w:kern w:val="2"/>
          <w:sz w:val="21"/>
          <w:szCs w:val="21"/>
          <w:highlight w:val="none"/>
        </w:rPr>
        <w:t>5.4 操作维修人员的培训</w:t>
      </w:r>
      <w:bookmarkEnd w:id="178"/>
    </w:p>
    <w:p w14:paraId="2978243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发包人委托承包人对发包人的操作维修人员进行培训的，另行签订培训委托合同，作为本合同的附件。</w:t>
      </w:r>
    </w:p>
    <w:p w14:paraId="0111383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79" w:name="_Toc535392470"/>
      <w:bookmarkEnd w:id="179"/>
      <w:bookmarkStart w:id="180" w:name="_Toc947564"/>
      <w:r>
        <w:rPr>
          <w:rFonts w:hint="eastAsia" w:ascii="仿宋" w:hAnsi="仿宋" w:eastAsia="仿宋" w:cs="仿宋"/>
          <w:b/>
          <w:bCs/>
          <w:color w:val="auto"/>
          <w:kern w:val="2"/>
          <w:sz w:val="21"/>
          <w:szCs w:val="21"/>
          <w:highlight w:val="none"/>
        </w:rPr>
        <w:t>5.5 知识产权</w:t>
      </w:r>
      <w:bookmarkEnd w:id="180"/>
    </w:p>
    <w:p w14:paraId="0CA6ED6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14:paraId="7AEE443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第6条 工程物资</w:t>
      </w:r>
    </w:p>
    <w:p w14:paraId="21BBAF0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81" w:name="_Toc535392471"/>
      <w:bookmarkEnd w:id="181"/>
      <w:bookmarkStart w:id="182" w:name="_Toc947565"/>
      <w:r>
        <w:rPr>
          <w:rFonts w:hint="eastAsia" w:ascii="仿宋" w:hAnsi="仿宋" w:eastAsia="仿宋" w:cs="仿宋"/>
          <w:b/>
          <w:bCs/>
          <w:color w:val="auto"/>
          <w:kern w:val="2"/>
          <w:sz w:val="21"/>
          <w:szCs w:val="21"/>
          <w:highlight w:val="none"/>
        </w:rPr>
        <w:t>6.1 工程物资的提供</w:t>
      </w:r>
      <w:bookmarkEnd w:id="182"/>
    </w:p>
    <w:p w14:paraId="3835CAC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6.1.1</w:t>
      </w:r>
      <w:r>
        <w:rPr>
          <w:rFonts w:hint="eastAsia" w:ascii="仿宋" w:hAnsi="仿宋" w:eastAsia="仿宋" w:cs="仿宋"/>
          <w:color w:val="auto"/>
          <w:kern w:val="2"/>
          <w:sz w:val="21"/>
          <w:szCs w:val="21"/>
          <w:highlight w:val="none"/>
        </w:rPr>
        <w:t>发包人提供的工程物资</w:t>
      </w:r>
    </w:p>
    <w:p w14:paraId="02B1E39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应依据5.2.3款第(3)项设计文件规定的技术参数、技术条件、性能要求、使用要求和数量，负责组织工程物资(包括其备品备件、专用工具及厂商提交的技术文件)的采购，负责运抵现场，并对其需用量、质量检查结果和性能负责。</w:t>
      </w:r>
    </w:p>
    <w:p w14:paraId="7D756F9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由发包人负责提供的工程物资的类别、数量，在专用条款中列出。</w:t>
      </w:r>
    </w:p>
    <w:p w14:paraId="1D4632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因发包人采购提供的工程物资(包括建筑构件等)不符合国家强制性标准、规范的规定，存在质量缺陷、延误抵达现场，给承包人造成窝工、停工、或导致关键路径延误的，按13条变更和合同价款调整的约定执行。</w:t>
      </w:r>
    </w:p>
    <w:p w14:paraId="28FBBB0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在履行合同过程中，由于国家新颁布的强制性标准、规范，造成发包人负责提供的工程物资(包括建筑构件等)不符合新颁布的强制性标准时，由发包人负责修复或重新订货。如委托承包人修复，作为一项变更。</w:t>
      </w:r>
    </w:p>
    <w:p w14:paraId="5C42B0E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(3)发包人请承包人参加境外采购工作时，所发生的费用由发包人承担。</w:t>
      </w:r>
    </w:p>
    <w:p w14:paraId="0589014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6.1.2</w:t>
      </w:r>
      <w:r>
        <w:rPr>
          <w:rFonts w:hint="eastAsia" w:ascii="仿宋" w:hAnsi="仿宋" w:eastAsia="仿宋" w:cs="仿宋"/>
          <w:color w:val="auto"/>
          <w:kern w:val="2"/>
          <w:sz w:val="21"/>
          <w:szCs w:val="21"/>
          <w:highlight w:val="none"/>
        </w:rPr>
        <w:t>承包人提供的工程物资</w:t>
      </w:r>
    </w:p>
    <w:p w14:paraId="7402001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依据5.2.3款第(3)项设计文件规定的技术参数、技术条件、性能要求、使用要求和数量，负责组织工程物资采购(包括备品备件、专用工具及厂商提交的技术文件)，负责运抵现场，并对其需用量、质量检查结果和性能负责。</w:t>
      </w:r>
    </w:p>
    <w:p w14:paraId="0BC963C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由承包人负责提供的工程物资的类别、数量，在专用条款中列出。</w:t>
      </w:r>
    </w:p>
    <w:p w14:paraId="48053D1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(2)因承包人提供的工程物资(包括建筑构件等)不符合国家强制性标准、规范的规定或合同约定的标准、规范，所造成的质量缺陷，由承包人自费修复，竣工日期不予延长。</w:t>
      </w:r>
    </w:p>
    <w:p w14:paraId="0C05112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14:paraId="39705D7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(3)由承包人提供的竣工后试验的生产性材料，在专用条款中列出类别或(和)清单。</w:t>
      </w:r>
    </w:p>
    <w:p w14:paraId="26BF471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6.1.3</w:t>
      </w:r>
      <w:r>
        <w:rPr>
          <w:rFonts w:hint="eastAsia" w:ascii="仿宋" w:hAnsi="仿宋" w:eastAsia="仿宋" w:cs="仿宋"/>
          <w:color w:val="auto"/>
          <w:kern w:val="2"/>
          <w:sz w:val="21"/>
          <w:szCs w:val="21"/>
          <w:highlight w:val="none"/>
        </w:rPr>
        <w:t>承包人对供应商的选择</w:t>
      </w:r>
    </w:p>
    <w:p w14:paraId="131756E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承包人应通过招标等竞争性方式选择相关工程物资的供货商或制造厂。对于依法必须进行招标的工程建设项目，应按国家相关规定进行招标。</w:t>
      </w:r>
    </w:p>
    <w:p w14:paraId="016CFCE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承包人不得在设计文件中或以口头暗示方式指定供应商和制造厂，只有唯一厂家的除外。发包人不得以任何方式指定供应商和制造厂。</w:t>
      </w:r>
    </w:p>
    <w:p w14:paraId="4D2F443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6.1.4</w:t>
      </w:r>
      <w:r>
        <w:rPr>
          <w:rFonts w:hint="eastAsia" w:ascii="仿宋" w:hAnsi="仿宋" w:eastAsia="仿宋" w:cs="仿宋"/>
          <w:color w:val="auto"/>
          <w:kern w:val="2"/>
          <w:sz w:val="21"/>
          <w:szCs w:val="21"/>
          <w:highlight w:val="none"/>
        </w:rPr>
        <w:t>工程物资所有权</w:t>
      </w:r>
    </w:p>
    <w:p w14:paraId="29580BE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根据6.1.2款约定提供的工程物资，在运抵现场的交货地点并支付了采购进度款，其所有权转为发包人所有。在发包人接收工程前，承包人有义务对工程物资进行保管、维护和保养，未经发包人批准不得运出现场。</w:t>
      </w:r>
    </w:p>
    <w:p w14:paraId="31CE7FA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83" w:name="_Toc535392472"/>
      <w:bookmarkEnd w:id="183"/>
      <w:bookmarkStart w:id="184" w:name="_Toc947566"/>
      <w:r>
        <w:rPr>
          <w:rFonts w:hint="eastAsia" w:ascii="仿宋" w:hAnsi="仿宋" w:eastAsia="仿宋" w:cs="仿宋"/>
          <w:b/>
          <w:bCs/>
          <w:color w:val="auto"/>
          <w:kern w:val="2"/>
          <w:sz w:val="21"/>
          <w:szCs w:val="21"/>
          <w:highlight w:val="none"/>
        </w:rPr>
        <w:t>6.2 检验</w:t>
      </w:r>
      <w:bookmarkEnd w:id="184"/>
    </w:p>
    <w:p w14:paraId="5A0318F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6.2.1</w:t>
      </w:r>
      <w:r>
        <w:rPr>
          <w:rFonts w:hint="eastAsia" w:ascii="仿宋" w:hAnsi="仿宋" w:eastAsia="仿宋" w:cs="仿宋"/>
          <w:color w:val="auto"/>
          <w:kern w:val="2"/>
          <w:sz w:val="21"/>
          <w:szCs w:val="21"/>
          <w:highlight w:val="none"/>
        </w:rPr>
        <w:t>工程检验与报告</w:t>
      </w:r>
    </w:p>
    <w:p w14:paraId="43E238B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(1)承包人应遵守相关法律规定，负责6.1.2款约定的工程物资的强制性检查、检验、监测和试验，并向发包人提供相关报告。报告提供日期、报告内容和提交份数，在专用条款中约定。</w:t>
      </w:r>
    </w:p>
    <w:p w14:paraId="58A59A2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(2)承包人邀请发包人参检时，应在进行相关加工制造阶段的检查、检验、监测和试验之前，以书面形式通知发包人参检的内容、地点和时间。发包人在接到邀请后的5日内，以书面形式通知承包人参检或不参检。</w:t>
      </w:r>
    </w:p>
    <w:p w14:paraId="6418427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(3)发包人承担其参检人员在参检期间的工资、补贴、差旅费和住宿费等，承包人负责办理进入相关厂家的许可，并提供方便。</w:t>
      </w:r>
    </w:p>
    <w:p w14:paraId="11BB40E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(4)发包人委托有资格、有经验的第三方代表发包人自费参检时，应在接到承包人邀请函后5日内，以书面形式通知承包人，并写明受托单位及受托人员的名称、姓名及授予的职权。</w:t>
      </w:r>
    </w:p>
    <w:p w14:paraId="57B4A33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(5)发包人及其委托人的参检，并不能解除承包人对其采购的工程物资的质量责任。</w:t>
      </w:r>
    </w:p>
    <w:p w14:paraId="47E59C7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6.2.2</w:t>
      </w:r>
      <w:r>
        <w:rPr>
          <w:rFonts w:hint="eastAsia" w:ascii="仿宋" w:hAnsi="仿宋" w:eastAsia="仿宋" w:cs="仿宋"/>
          <w:color w:val="auto"/>
          <w:kern w:val="2"/>
          <w:sz w:val="21"/>
          <w:szCs w:val="21"/>
          <w:highlight w:val="none"/>
        </w:rPr>
        <w:t>覆盖和包装的后果</w:t>
      </w:r>
    </w:p>
    <w:p w14:paraId="4EB153C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己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由此发生的费用。造成工程关键路径延误的，竣工日期不予延长。</w:t>
      </w:r>
    </w:p>
    <w:p w14:paraId="03E705F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6.2.3</w:t>
      </w:r>
      <w:r>
        <w:rPr>
          <w:rFonts w:hint="eastAsia" w:ascii="仿宋" w:hAnsi="仿宋" w:eastAsia="仿宋" w:cs="仿宋"/>
          <w:color w:val="auto"/>
          <w:kern w:val="2"/>
          <w:sz w:val="21"/>
          <w:szCs w:val="21"/>
          <w:highlight w:val="none"/>
        </w:rPr>
        <w:t>未能按时参检</w:t>
      </w:r>
    </w:p>
    <w:p w14:paraId="50DD331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睦。</w:t>
      </w:r>
    </w:p>
    <w:p w14:paraId="50FEE3E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6.2.4</w:t>
      </w:r>
      <w:r>
        <w:rPr>
          <w:rFonts w:hint="eastAsia" w:ascii="仿宋" w:hAnsi="仿宋" w:eastAsia="仿宋" w:cs="仿宋"/>
          <w:color w:val="auto"/>
          <w:kern w:val="2"/>
          <w:sz w:val="21"/>
          <w:szCs w:val="21"/>
          <w:highlight w:val="none"/>
        </w:rPr>
        <w:t>现场清点与检查</w:t>
      </w:r>
    </w:p>
    <w:p w14:paraId="5D7B201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14:paraId="578AEB2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14:paraId="076BCDA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厂合格证、图纸、文件资料等，并进行外观检查。经检查清点后，双方人员签署开箱检验证明。</w:t>
      </w:r>
    </w:p>
    <w:p w14:paraId="4DBD1FA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经现场检查清点发现箱件短缺，箱件内的数量、图纸、资料短缺，或有外观缺陷的，承包人应负责补齐或自费修复，工程物资在缺陷未能修复之前不得用于工程。因此造成的费用增加、竣工日期延误，由承包人负责。</w:t>
      </w:r>
    </w:p>
    <w:p w14:paraId="6B7485B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6.2.5</w:t>
      </w:r>
      <w:r>
        <w:rPr>
          <w:rFonts w:hint="eastAsia" w:ascii="仿宋" w:hAnsi="仿宋" w:eastAsia="仿宋" w:cs="仿宋"/>
          <w:color w:val="auto"/>
          <w:kern w:val="2"/>
          <w:sz w:val="21"/>
          <w:szCs w:val="21"/>
          <w:highlight w:val="none"/>
        </w:rPr>
        <w:t>质量监督部门及消防、环保等部门的参检</w:t>
      </w:r>
    </w:p>
    <w:p w14:paraId="703B7A5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承包人随时接受质量监督部门、消防部门、环保部门、行业等专业检查人员对制造、安装及试验过程的现场检查，其费用由发包人承担。承包人为此提供方便。造成工程关键路径延误的，竣工日期相应顺延。</w:t>
      </w:r>
    </w:p>
    <w:p w14:paraId="34D1AE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14:paraId="6B2716E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85" w:name="_Toc535392473"/>
      <w:bookmarkEnd w:id="185"/>
      <w:bookmarkStart w:id="186" w:name="_Toc947567"/>
      <w:r>
        <w:rPr>
          <w:rFonts w:hint="eastAsia" w:ascii="仿宋" w:hAnsi="仿宋" w:eastAsia="仿宋" w:cs="仿宋"/>
          <w:b/>
          <w:bCs/>
          <w:color w:val="auto"/>
          <w:kern w:val="2"/>
          <w:sz w:val="21"/>
          <w:szCs w:val="21"/>
          <w:highlight w:val="none"/>
        </w:rPr>
        <w:t>6.3 进口工程物资的采购、报关、清关和商检</w:t>
      </w:r>
      <w:bookmarkEnd w:id="186"/>
    </w:p>
    <w:p w14:paraId="55A6D05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6.3.1</w:t>
      </w:r>
      <w:r>
        <w:rPr>
          <w:rFonts w:hint="eastAsia" w:ascii="仿宋" w:hAnsi="仿宋" w:eastAsia="仿宋" w:cs="仿宋"/>
          <w:color w:val="auto"/>
          <w:kern w:val="2"/>
          <w:sz w:val="21"/>
          <w:szCs w:val="21"/>
          <w:highlight w:val="none"/>
        </w:rPr>
        <w:t>工程物资的进口采购责任方，及采购方式，在专用条款中约定。采购责任方负责报关、清关和商检，另一方有义务协助。</w:t>
      </w:r>
    </w:p>
    <w:p w14:paraId="7B93A8CA">
      <w:pPr>
        <w:pStyle w:val="1024"/>
        <w:adjustRightInd w:val="0"/>
        <w:snapToGrid w:val="0"/>
        <w:spacing w:line="288" w:lineRule="auto"/>
        <w:jc w:val="both"/>
        <w:rPr>
          <w:rFonts w:ascii="仿宋" w:hAnsi="仿宋" w:eastAsia="仿宋" w:cs="仿宋"/>
          <w:color w:val="auto"/>
          <w:kern w:val="2"/>
          <w:sz w:val="21"/>
          <w:szCs w:val="21"/>
          <w:highlight w:val="none"/>
        </w:rPr>
      </w:pPr>
      <w:bookmarkStart w:id="187" w:name="_Toc535392474"/>
      <w:bookmarkEnd w:id="187"/>
      <w:bookmarkStart w:id="188" w:name="_Toc947568"/>
      <w:r>
        <w:rPr>
          <w:rFonts w:hint="eastAsia" w:ascii="仿宋" w:hAnsi="仿宋" w:eastAsia="仿宋" w:cs="仿宋"/>
          <w:b/>
          <w:bCs/>
          <w:color w:val="auto"/>
          <w:kern w:val="2"/>
          <w:sz w:val="21"/>
          <w:szCs w:val="21"/>
          <w:highlight w:val="none"/>
        </w:rPr>
        <w:t>6.3.2</w:t>
      </w:r>
      <w:r>
        <w:rPr>
          <w:rFonts w:hint="eastAsia" w:ascii="仿宋" w:hAnsi="仿宋" w:eastAsia="仿宋" w:cs="仿宋"/>
          <w:color w:val="auto"/>
          <w:kern w:val="2"/>
          <w:sz w:val="21"/>
          <w:szCs w:val="21"/>
          <w:highlight w:val="none"/>
        </w:rPr>
        <w:t>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bookmarkEnd w:id="188"/>
    </w:p>
    <w:p w14:paraId="6ABF520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6.4 运输与超限物资运输</w:t>
      </w:r>
    </w:p>
    <w:p w14:paraId="48B9DDA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14:paraId="1D7A5CF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89" w:name="_Toc535392475"/>
      <w:bookmarkEnd w:id="189"/>
      <w:bookmarkStart w:id="190" w:name="_Toc947569"/>
      <w:r>
        <w:rPr>
          <w:rFonts w:hint="eastAsia" w:ascii="仿宋" w:hAnsi="仿宋" w:eastAsia="仿宋" w:cs="仿宋"/>
          <w:b/>
          <w:bCs/>
          <w:color w:val="auto"/>
          <w:kern w:val="2"/>
          <w:sz w:val="21"/>
          <w:szCs w:val="21"/>
          <w:highlight w:val="none"/>
        </w:rPr>
        <w:t>6.5 重新订货及后果</w:t>
      </w:r>
      <w:bookmarkEnd w:id="190"/>
    </w:p>
    <w:p w14:paraId="7A4C3F4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6.5.1</w:t>
      </w:r>
      <w:r>
        <w:rPr>
          <w:rFonts w:hint="eastAsia" w:ascii="仿宋" w:hAnsi="仿宋" w:eastAsia="仿宋" w:cs="仿宋"/>
          <w:color w:val="auto"/>
          <w:kern w:val="2"/>
          <w:sz w:val="21"/>
          <w:szCs w:val="21"/>
          <w:highlight w:val="none"/>
        </w:rPr>
        <w:t>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14:paraId="5A24435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6.5.2</w:t>
      </w:r>
      <w:r>
        <w:rPr>
          <w:rFonts w:hint="eastAsia" w:ascii="仿宋" w:hAnsi="仿宋" w:eastAsia="仿宋" w:cs="仿宋"/>
          <w:color w:val="auto"/>
          <w:kern w:val="2"/>
          <w:sz w:val="21"/>
          <w:szCs w:val="21"/>
          <w:highlight w:val="none"/>
        </w:rPr>
        <w:t>依据6.1.2款及6.3.1款的约定，由承包人负责提供的工程物资存在缺陷时，经承包人修复仍不合格的，由承包人负责重新订货并运抵现场。因此造成的费用增加、竣工日期延误，由承包人承担。</w:t>
      </w:r>
    </w:p>
    <w:p w14:paraId="3C380B1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91" w:name="_Toc535392476"/>
      <w:bookmarkEnd w:id="191"/>
      <w:bookmarkStart w:id="192" w:name="_Toc947570"/>
      <w:r>
        <w:rPr>
          <w:rFonts w:hint="eastAsia" w:ascii="仿宋" w:hAnsi="仿宋" w:eastAsia="仿宋" w:cs="仿宋"/>
          <w:b/>
          <w:bCs/>
          <w:color w:val="auto"/>
          <w:kern w:val="2"/>
          <w:sz w:val="21"/>
          <w:szCs w:val="21"/>
          <w:highlight w:val="none"/>
        </w:rPr>
        <w:t>6.6 工程物资保管与剩余</w:t>
      </w:r>
      <w:bookmarkEnd w:id="192"/>
    </w:p>
    <w:p w14:paraId="4D0E4AD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6.6.1</w:t>
      </w:r>
      <w:r>
        <w:rPr>
          <w:rFonts w:hint="eastAsia" w:ascii="仿宋" w:hAnsi="仿宋" w:eastAsia="仿宋" w:cs="仿宋"/>
          <w:color w:val="auto"/>
          <w:kern w:val="2"/>
          <w:sz w:val="21"/>
          <w:szCs w:val="21"/>
          <w:highlight w:val="none"/>
        </w:rPr>
        <w:t>工程物资保管</w:t>
      </w:r>
    </w:p>
    <w:p w14:paraId="38592F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根据6.6.1款由发包人负责提供的工程物资、6.1.2款由承包人负责提供的工程物资的约定并委托承包人保管的，工程物资的类别和数量在专用条款中约定。</w:t>
      </w:r>
    </w:p>
    <w:p w14:paraId="507F6FA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14:paraId="43EC329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 xml:space="preserve">6.6.2 </w:t>
      </w:r>
      <w:r>
        <w:rPr>
          <w:rFonts w:hint="eastAsia" w:ascii="仿宋" w:hAnsi="仿宋" w:eastAsia="仿宋" w:cs="仿宋"/>
          <w:color w:val="auto"/>
          <w:kern w:val="2"/>
          <w:sz w:val="21"/>
          <w:szCs w:val="21"/>
          <w:highlight w:val="none"/>
        </w:rPr>
        <w:t xml:space="preserve"> 剩余工程物资的移交</w:t>
      </w:r>
    </w:p>
    <w:p w14:paraId="575C9BA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承包人保管的工程物资(含承包人负责采购提供的工程物资并收到了采购进度款，及发包人委托保管的工程物资)，在竣工试验完成后，剩余部分由承包人无偿移交给发包人，专用条款另有约定时除外。</w:t>
      </w:r>
    </w:p>
    <w:p w14:paraId="16CCFBC4">
      <w:pPr>
        <w:pStyle w:val="1024"/>
        <w:adjustRightInd w:val="0"/>
        <w:snapToGrid w:val="0"/>
        <w:spacing w:line="288" w:lineRule="auto"/>
        <w:jc w:val="both"/>
        <w:outlineLvl w:val="0"/>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第7条 施工</w:t>
      </w:r>
    </w:p>
    <w:p w14:paraId="50E33F5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93" w:name="_Toc535392477"/>
      <w:bookmarkEnd w:id="193"/>
      <w:bookmarkStart w:id="194" w:name="_Toc947571"/>
      <w:r>
        <w:rPr>
          <w:rFonts w:hint="eastAsia" w:ascii="仿宋" w:hAnsi="仿宋" w:eastAsia="仿宋" w:cs="仿宋"/>
          <w:b/>
          <w:bCs/>
          <w:color w:val="auto"/>
          <w:kern w:val="2"/>
          <w:sz w:val="21"/>
          <w:szCs w:val="21"/>
          <w:highlight w:val="none"/>
        </w:rPr>
        <w:t>7.1 发包人的义务</w:t>
      </w:r>
      <w:bookmarkEnd w:id="194"/>
    </w:p>
    <w:p w14:paraId="390265E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7.1.1</w:t>
      </w:r>
      <w:r>
        <w:rPr>
          <w:rFonts w:hint="eastAsia" w:ascii="仿宋" w:hAnsi="仿宋" w:eastAsia="仿宋" w:cs="仿宋"/>
          <w:color w:val="auto"/>
          <w:kern w:val="2"/>
          <w:sz w:val="21"/>
          <w:szCs w:val="21"/>
          <w:highlight w:val="none"/>
        </w:rPr>
        <w:t>基准坐标资料</w:t>
      </w:r>
    </w:p>
    <w:p w14:paraId="2C0BC1E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承包人因放线需请发包人与相关单位联系的事项，发包人有义务协助。</w:t>
      </w:r>
    </w:p>
    <w:p w14:paraId="5A19BDB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7.1.2</w:t>
      </w:r>
      <w:r>
        <w:rPr>
          <w:rFonts w:hint="eastAsia" w:ascii="仿宋" w:hAnsi="仿宋" w:eastAsia="仿宋" w:cs="仿宋"/>
          <w:color w:val="auto"/>
          <w:kern w:val="2"/>
          <w:sz w:val="21"/>
          <w:szCs w:val="21"/>
          <w:highlight w:val="none"/>
        </w:rPr>
        <w:t>审查总体施工组织设计</w:t>
      </w:r>
    </w:p>
    <w:p w14:paraId="288FDB5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14:paraId="31DD70F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7.1.3</w:t>
      </w:r>
      <w:r>
        <w:rPr>
          <w:rFonts w:hint="eastAsia" w:ascii="仿宋" w:hAnsi="仿宋" w:eastAsia="仿宋" w:cs="仿宋"/>
          <w:color w:val="auto"/>
          <w:kern w:val="2"/>
          <w:sz w:val="21"/>
          <w:szCs w:val="21"/>
          <w:highlight w:val="none"/>
        </w:rPr>
        <w:t>进场条件和进场日期</w:t>
      </w:r>
    </w:p>
    <w:p w14:paraId="17448D7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中约定。</w:t>
      </w:r>
    </w:p>
    <w:p w14:paraId="3BF3521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因发包人原因造成承包人进场时间延误的，竣工日期相应顺延。发包人承担承包人因此发生的相关窝工费用。</w:t>
      </w:r>
    </w:p>
    <w:p w14:paraId="00A00F2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7.1.4</w:t>
      </w:r>
      <w:r>
        <w:rPr>
          <w:rFonts w:hint="eastAsia" w:ascii="仿宋" w:hAnsi="仿宋" w:eastAsia="仿宋" w:cs="仿宋"/>
          <w:color w:val="auto"/>
          <w:kern w:val="2"/>
          <w:sz w:val="21"/>
          <w:szCs w:val="21"/>
          <w:highlight w:val="none"/>
        </w:rPr>
        <w:t>提供临时用水、用电等和节点铺设</w:t>
      </w:r>
    </w:p>
    <w:p w14:paraId="1770F3E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14:paraId="63499E0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1A3FCE2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7.1.5</w:t>
      </w:r>
      <w:r>
        <w:rPr>
          <w:rFonts w:hint="eastAsia" w:ascii="仿宋" w:hAnsi="仿宋" w:eastAsia="仿宋" w:cs="仿宋"/>
          <w:color w:val="auto"/>
          <w:kern w:val="2"/>
          <w:sz w:val="21"/>
          <w:szCs w:val="21"/>
          <w:highlight w:val="none"/>
        </w:rPr>
        <w:t>办理开工等批准手续</w:t>
      </w:r>
    </w:p>
    <w:p w14:paraId="1CD5072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发包人应在施工开工日期前，取得开工批准文件或施工许可证等许可、证件或批文，完成工程质量监督、安全监督等手续的办理。</w:t>
      </w:r>
    </w:p>
    <w:p w14:paraId="33808AE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7.1.6</w:t>
      </w:r>
      <w:r>
        <w:rPr>
          <w:rFonts w:hint="eastAsia" w:ascii="仿宋" w:hAnsi="仿宋" w:eastAsia="仿宋" w:cs="仿宋"/>
          <w:color w:val="auto"/>
          <w:kern w:val="2"/>
          <w:sz w:val="21"/>
          <w:szCs w:val="21"/>
          <w:highlight w:val="none"/>
        </w:rPr>
        <w:t>施工过程中须由发包人办理的批准</w:t>
      </w:r>
    </w:p>
    <w:p w14:paraId="655EC0E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承包人在施工过程中根据7.2.6款的约定，通知需由发包人办理的各项批准手续，由发包人申请办理。</w:t>
      </w:r>
    </w:p>
    <w:p w14:paraId="7F1B1BB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因发包人未能按时办妥上述批准手续，给承包人造成的窝工损失，由发包人承担。导致工程关键路径延误的，竣工日期相应顺延。</w:t>
      </w:r>
    </w:p>
    <w:p w14:paraId="4E03CF8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7.1.7</w:t>
      </w:r>
      <w:r>
        <w:rPr>
          <w:rFonts w:hint="eastAsia" w:ascii="仿宋" w:hAnsi="仿宋" w:eastAsia="仿宋" w:cs="仿宋"/>
          <w:color w:val="auto"/>
          <w:kern w:val="2"/>
          <w:sz w:val="21"/>
          <w:szCs w:val="21"/>
          <w:highlight w:val="none"/>
        </w:rPr>
        <w:t>提供施工障碍资料</w:t>
      </w:r>
    </w:p>
    <w:p w14:paraId="033CDB1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按合同约定的内容和时间提供与施工场地相关的地下和地上的建筑物、构筑物和其他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14:paraId="50ADB68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7.1.8</w:t>
      </w:r>
      <w:r>
        <w:rPr>
          <w:rFonts w:hint="eastAsia" w:ascii="仿宋" w:hAnsi="仿宋" w:eastAsia="仿宋" w:cs="仿宋"/>
          <w:color w:val="auto"/>
          <w:kern w:val="2"/>
          <w:sz w:val="21"/>
          <w:szCs w:val="21"/>
          <w:highlight w:val="none"/>
        </w:rPr>
        <w:t>承包人新发现的施工障碍</w:t>
      </w:r>
    </w:p>
    <w:p w14:paraId="33413E1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14:paraId="68F7639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对于新发现的施工障碍，承包人可依据13.2.3款施工变更范围第(3)项的约定提交变更申请，对于承包人的合理请求发包人应予以批准。施工障碍导致工程关键路径延误的，竣工日期相应顺延。</w:t>
      </w:r>
    </w:p>
    <w:p w14:paraId="75B4D8B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7.1.9</w:t>
      </w:r>
      <w:r>
        <w:rPr>
          <w:rFonts w:hint="eastAsia" w:ascii="仿宋" w:hAnsi="仿宋" w:eastAsia="仿宋" w:cs="仿宋"/>
          <w:color w:val="auto"/>
          <w:kern w:val="2"/>
          <w:sz w:val="21"/>
          <w:szCs w:val="21"/>
          <w:highlight w:val="none"/>
        </w:rPr>
        <w:t>职业健康、安全、环境保护管理计划确认</w:t>
      </w:r>
    </w:p>
    <w:p w14:paraId="35EAF98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收到承包人根据7.8款约定提交的“职业健康、安全和环境保护”管理计划后20日内对之进行确认。发包人有权检查其实施情况并对检查中发现的问题提出整改建议，承包人应按照发包人合理建议自费整改。</w:t>
      </w:r>
    </w:p>
    <w:p w14:paraId="1272FB5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7.1.10</w:t>
      </w:r>
      <w:r>
        <w:rPr>
          <w:rFonts w:hint="eastAsia" w:ascii="仿宋" w:hAnsi="仿宋" w:eastAsia="仿宋" w:cs="仿宋"/>
          <w:color w:val="auto"/>
          <w:kern w:val="2"/>
          <w:sz w:val="21"/>
          <w:szCs w:val="21"/>
          <w:highlight w:val="none"/>
        </w:rPr>
        <w:t>其它义务</w:t>
      </w:r>
    </w:p>
    <w:p w14:paraId="60222AC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发包人应履行专用条款中约定的由发包人履行的其它义务。</w:t>
      </w:r>
    </w:p>
    <w:p w14:paraId="19CEED4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195" w:name="_Toc535392478"/>
      <w:bookmarkEnd w:id="195"/>
      <w:bookmarkStart w:id="196" w:name="_Toc947572"/>
      <w:r>
        <w:rPr>
          <w:rFonts w:hint="eastAsia" w:ascii="仿宋" w:hAnsi="仿宋" w:eastAsia="仿宋" w:cs="仿宋"/>
          <w:b/>
          <w:bCs/>
          <w:color w:val="auto"/>
          <w:kern w:val="2"/>
          <w:sz w:val="21"/>
          <w:szCs w:val="21"/>
          <w:highlight w:val="none"/>
        </w:rPr>
        <w:t>7.2 承包人的义务</w:t>
      </w:r>
      <w:bookmarkEnd w:id="196"/>
    </w:p>
    <w:p w14:paraId="32719B5B">
      <w:pPr>
        <w:pStyle w:val="1024"/>
        <w:adjustRightInd w:val="0"/>
        <w:snapToGrid w:val="0"/>
        <w:spacing w:line="288" w:lineRule="auto"/>
        <w:jc w:val="both"/>
        <w:rPr>
          <w:rFonts w:ascii="仿宋" w:hAnsi="仿宋" w:eastAsia="仿宋" w:cs="仿宋"/>
          <w:color w:val="auto"/>
          <w:kern w:val="2"/>
          <w:sz w:val="21"/>
          <w:szCs w:val="21"/>
          <w:highlight w:val="none"/>
        </w:rPr>
      </w:pPr>
      <w:bookmarkStart w:id="197" w:name="_Toc535392479"/>
      <w:bookmarkEnd w:id="197"/>
      <w:bookmarkStart w:id="198" w:name="_Toc947573"/>
      <w:r>
        <w:rPr>
          <w:rFonts w:hint="eastAsia" w:ascii="仿宋" w:hAnsi="仿宋" w:eastAsia="仿宋" w:cs="仿宋"/>
          <w:b/>
          <w:bCs/>
          <w:color w:val="auto"/>
          <w:kern w:val="2"/>
          <w:sz w:val="21"/>
          <w:szCs w:val="21"/>
          <w:highlight w:val="none"/>
        </w:rPr>
        <w:t>7.2.1</w:t>
      </w:r>
      <w:r>
        <w:rPr>
          <w:rFonts w:hint="eastAsia" w:ascii="仿宋" w:hAnsi="仿宋" w:eastAsia="仿宋" w:cs="仿宋"/>
          <w:color w:val="auto"/>
          <w:kern w:val="2"/>
          <w:sz w:val="21"/>
          <w:szCs w:val="21"/>
          <w:highlight w:val="none"/>
        </w:rPr>
        <w:t>放线</w:t>
      </w:r>
      <w:bookmarkEnd w:id="198"/>
    </w:p>
    <w:p w14:paraId="4B61AE6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承包人负责对工程、单项工程、施工部位的放线，并对放线的准确性负责。</w:t>
      </w:r>
    </w:p>
    <w:p w14:paraId="7D6B7B2D">
      <w:pPr>
        <w:pStyle w:val="1024"/>
        <w:adjustRightInd w:val="0"/>
        <w:snapToGrid w:val="0"/>
        <w:spacing w:line="288" w:lineRule="auto"/>
        <w:jc w:val="both"/>
        <w:rPr>
          <w:rFonts w:ascii="仿宋" w:hAnsi="仿宋" w:eastAsia="仿宋" w:cs="仿宋"/>
          <w:color w:val="auto"/>
          <w:kern w:val="2"/>
          <w:sz w:val="21"/>
          <w:szCs w:val="21"/>
          <w:highlight w:val="none"/>
        </w:rPr>
      </w:pPr>
      <w:bookmarkStart w:id="199" w:name="_Toc535392480"/>
      <w:bookmarkEnd w:id="199"/>
      <w:bookmarkStart w:id="200" w:name="_Toc947574"/>
      <w:r>
        <w:rPr>
          <w:rFonts w:hint="eastAsia" w:ascii="仿宋" w:hAnsi="仿宋" w:eastAsia="仿宋" w:cs="仿宋"/>
          <w:b/>
          <w:bCs/>
          <w:color w:val="auto"/>
          <w:kern w:val="2"/>
          <w:sz w:val="21"/>
          <w:szCs w:val="21"/>
          <w:highlight w:val="none"/>
        </w:rPr>
        <w:t>7.2.2</w:t>
      </w:r>
      <w:r>
        <w:rPr>
          <w:rFonts w:hint="eastAsia" w:ascii="仿宋" w:hAnsi="仿宋" w:eastAsia="仿宋" w:cs="仿宋"/>
          <w:color w:val="auto"/>
          <w:kern w:val="2"/>
          <w:sz w:val="21"/>
          <w:szCs w:val="21"/>
          <w:highlight w:val="none"/>
        </w:rPr>
        <w:t>施工组织设计</w:t>
      </w:r>
      <w:bookmarkEnd w:id="200"/>
    </w:p>
    <w:p w14:paraId="1F61798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14:paraId="7980774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总体施工组织设计提交的份数和时间，及需提交施工组织设计的主要单项工程和主要分部分项工程的名称、份数和时间，在专用条款中约定。</w:t>
      </w:r>
    </w:p>
    <w:p w14:paraId="506CB7F5">
      <w:pPr>
        <w:pStyle w:val="1024"/>
        <w:adjustRightInd w:val="0"/>
        <w:snapToGrid w:val="0"/>
        <w:spacing w:line="288" w:lineRule="auto"/>
        <w:jc w:val="both"/>
        <w:rPr>
          <w:rFonts w:ascii="仿宋" w:hAnsi="仿宋" w:eastAsia="仿宋" w:cs="仿宋"/>
          <w:color w:val="auto"/>
          <w:kern w:val="2"/>
          <w:sz w:val="21"/>
          <w:szCs w:val="21"/>
          <w:highlight w:val="none"/>
        </w:rPr>
      </w:pPr>
      <w:bookmarkStart w:id="201" w:name="_Toc535392481"/>
      <w:bookmarkEnd w:id="201"/>
      <w:bookmarkStart w:id="202" w:name="_Toc947575"/>
      <w:r>
        <w:rPr>
          <w:rFonts w:hint="eastAsia" w:ascii="仿宋" w:hAnsi="仿宋" w:eastAsia="仿宋" w:cs="仿宋"/>
          <w:b/>
          <w:bCs/>
          <w:color w:val="auto"/>
          <w:kern w:val="2"/>
          <w:sz w:val="21"/>
          <w:szCs w:val="21"/>
          <w:highlight w:val="none"/>
        </w:rPr>
        <w:t>7.2.3</w:t>
      </w:r>
      <w:r>
        <w:rPr>
          <w:rFonts w:hint="eastAsia" w:ascii="仿宋" w:hAnsi="仿宋" w:eastAsia="仿宋" w:cs="仿宋"/>
          <w:color w:val="auto"/>
          <w:kern w:val="2"/>
          <w:sz w:val="21"/>
          <w:szCs w:val="21"/>
          <w:highlight w:val="none"/>
        </w:rPr>
        <w:t>提交临时占地资料</w:t>
      </w:r>
      <w:bookmarkEnd w:id="202"/>
    </w:p>
    <w:p w14:paraId="75DA11D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承包人应按专用条款约定的时间向发包人提交以下临时占地资料：</w:t>
      </w:r>
    </w:p>
    <w:p w14:paraId="49EB24C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(1)根据6.6.1款保管工程物资所需的库房、堆场、道路用地的坐标位置、面积、占用时间、用途说明，并须单列需要由发包人租地的坐标位置、面积、占用时间和用途说明：</w:t>
      </w:r>
    </w:p>
    <w:p w14:paraId="5CEF68D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(2)施工用地的坐标位置、面积、占用时间、用途说明，并须单列要求发包人租地的坐标位置、面积、占用时间和用途说明；</w:t>
      </w:r>
    </w:p>
    <w:p w14:paraId="679706C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(3)进入施工现场道路的入口坐标位置，并须指明要求发包人铺设与城乡公共道路相连接的道路走向、长度、路宽、等级、桥涵承重、转弯半径和时间要求。</w:t>
      </w:r>
    </w:p>
    <w:p w14:paraId="27EC035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因承包人未能按时提交上述资料，导致7.1.3款约定的进场日期延误的，由此增加的费用和(或)竣工日期延误，由承包人负责。</w:t>
      </w:r>
    </w:p>
    <w:p w14:paraId="244914E5">
      <w:pPr>
        <w:pStyle w:val="1024"/>
        <w:adjustRightInd w:val="0"/>
        <w:snapToGrid w:val="0"/>
        <w:spacing w:line="288" w:lineRule="auto"/>
        <w:jc w:val="both"/>
        <w:rPr>
          <w:rFonts w:ascii="仿宋" w:hAnsi="仿宋" w:eastAsia="仿宋" w:cs="仿宋"/>
          <w:color w:val="auto"/>
          <w:kern w:val="2"/>
          <w:sz w:val="21"/>
          <w:szCs w:val="21"/>
          <w:highlight w:val="none"/>
        </w:rPr>
      </w:pPr>
      <w:bookmarkStart w:id="203" w:name="_Toc535392482"/>
      <w:bookmarkEnd w:id="203"/>
      <w:bookmarkStart w:id="204" w:name="_Toc947576"/>
      <w:r>
        <w:rPr>
          <w:rFonts w:hint="eastAsia" w:ascii="仿宋" w:hAnsi="仿宋" w:eastAsia="仿宋" w:cs="仿宋"/>
          <w:b/>
          <w:bCs/>
          <w:color w:val="auto"/>
          <w:kern w:val="2"/>
          <w:sz w:val="21"/>
          <w:szCs w:val="21"/>
          <w:highlight w:val="none"/>
        </w:rPr>
        <w:t>7.2.4</w:t>
      </w:r>
      <w:r>
        <w:rPr>
          <w:rFonts w:hint="eastAsia" w:ascii="仿宋" w:hAnsi="仿宋" w:eastAsia="仿宋" w:cs="仿宋"/>
          <w:color w:val="auto"/>
          <w:kern w:val="2"/>
          <w:sz w:val="21"/>
          <w:szCs w:val="21"/>
          <w:highlight w:val="none"/>
        </w:rPr>
        <w:t>临时用水、用电等</w:t>
      </w:r>
      <w:bookmarkEnd w:id="204"/>
    </w:p>
    <w:p w14:paraId="22B36B7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14:paraId="582D5DC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因承包人未能按合同约定提交上述资料，造成发包人费用增加和竣工日期延误时，由承包人负责。</w:t>
      </w:r>
    </w:p>
    <w:p w14:paraId="5F73C767">
      <w:pPr>
        <w:pStyle w:val="1024"/>
        <w:adjustRightInd w:val="0"/>
        <w:snapToGrid w:val="0"/>
        <w:spacing w:line="288" w:lineRule="auto"/>
        <w:jc w:val="both"/>
        <w:rPr>
          <w:rFonts w:ascii="仿宋" w:hAnsi="仿宋" w:eastAsia="仿宋" w:cs="仿宋"/>
          <w:color w:val="auto"/>
          <w:kern w:val="2"/>
          <w:sz w:val="21"/>
          <w:szCs w:val="21"/>
          <w:highlight w:val="none"/>
        </w:rPr>
      </w:pPr>
      <w:bookmarkStart w:id="205" w:name="_Toc535392483"/>
      <w:bookmarkEnd w:id="205"/>
      <w:bookmarkStart w:id="206" w:name="_Toc947577"/>
      <w:r>
        <w:rPr>
          <w:rFonts w:hint="eastAsia" w:ascii="仿宋" w:hAnsi="仿宋" w:eastAsia="仿宋" w:cs="仿宋"/>
          <w:b/>
          <w:bCs/>
          <w:color w:val="auto"/>
          <w:kern w:val="2"/>
          <w:sz w:val="21"/>
          <w:szCs w:val="21"/>
          <w:highlight w:val="none"/>
        </w:rPr>
        <w:t>7.2.5</w:t>
      </w:r>
      <w:r>
        <w:rPr>
          <w:rFonts w:hint="eastAsia" w:ascii="仿宋" w:hAnsi="仿宋" w:eastAsia="仿宋" w:cs="仿宋"/>
          <w:color w:val="auto"/>
          <w:kern w:val="2"/>
          <w:sz w:val="21"/>
          <w:szCs w:val="21"/>
          <w:highlight w:val="none"/>
        </w:rPr>
        <w:t>协助发包人办理开工等批准手续</w:t>
      </w:r>
      <w:bookmarkEnd w:id="206"/>
    </w:p>
    <w:p w14:paraId="77B59D0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在工程开工20日前，通知发包人向有关部门办理须由发包人办理的开工批准或施工许可证、工程质量监督手续及其他许可、证件、批件等。发包人需要时，承包人有义务提供协助。发包人委托承包人代办并被承包人接受时，双方可另行签订协议，作为本合同的附件。</w:t>
      </w:r>
    </w:p>
    <w:p w14:paraId="0D55CA85">
      <w:pPr>
        <w:pStyle w:val="1024"/>
        <w:adjustRightInd w:val="0"/>
        <w:snapToGrid w:val="0"/>
        <w:spacing w:line="288" w:lineRule="auto"/>
        <w:jc w:val="both"/>
        <w:rPr>
          <w:rFonts w:ascii="仿宋" w:hAnsi="仿宋" w:eastAsia="仿宋" w:cs="仿宋"/>
          <w:color w:val="auto"/>
          <w:kern w:val="2"/>
          <w:sz w:val="21"/>
          <w:szCs w:val="21"/>
          <w:highlight w:val="none"/>
        </w:rPr>
      </w:pPr>
      <w:bookmarkStart w:id="207" w:name="_Toc535392484"/>
      <w:bookmarkEnd w:id="207"/>
      <w:bookmarkStart w:id="208" w:name="_Toc947578"/>
      <w:r>
        <w:rPr>
          <w:rFonts w:hint="eastAsia" w:ascii="仿宋" w:hAnsi="仿宋" w:eastAsia="仿宋" w:cs="仿宋"/>
          <w:b/>
          <w:bCs/>
          <w:color w:val="auto"/>
          <w:kern w:val="2"/>
          <w:sz w:val="21"/>
          <w:szCs w:val="21"/>
          <w:highlight w:val="none"/>
        </w:rPr>
        <w:t>7.2.6</w:t>
      </w:r>
      <w:r>
        <w:rPr>
          <w:rFonts w:hint="eastAsia" w:ascii="仿宋" w:hAnsi="仿宋" w:eastAsia="仿宋" w:cs="仿宋"/>
          <w:color w:val="auto"/>
          <w:kern w:val="2"/>
          <w:sz w:val="21"/>
          <w:szCs w:val="21"/>
          <w:highlight w:val="none"/>
        </w:rPr>
        <w:t>施工过程中需通知办理的批准</w:t>
      </w:r>
      <w:bookmarkEnd w:id="208"/>
    </w:p>
    <w:p w14:paraId="2F4713F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14:paraId="54D638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因承包人未能在10日前通知发包人或未能按时提供由发包人办理申请所需的承包人的相关文件、资料和证件等，造成承包人窝工、停工和竣工日期延误的，由承包人负责。</w:t>
      </w:r>
    </w:p>
    <w:p w14:paraId="3941BEA5">
      <w:pPr>
        <w:pStyle w:val="1024"/>
        <w:adjustRightInd w:val="0"/>
        <w:snapToGrid w:val="0"/>
        <w:spacing w:line="288" w:lineRule="auto"/>
        <w:jc w:val="both"/>
        <w:rPr>
          <w:rFonts w:ascii="仿宋" w:hAnsi="仿宋" w:eastAsia="仿宋" w:cs="仿宋"/>
          <w:color w:val="auto"/>
          <w:kern w:val="2"/>
          <w:sz w:val="21"/>
          <w:szCs w:val="21"/>
          <w:highlight w:val="none"/>
        </w:rPr>
      </w:pPr>
      <w:bookmarkStart w:id="209" w:name="_Toc535392485"/>
      <w:bookmarkEnd w:id="209"/>
      <w:bookmarkStart w:id="210" w:name="_Toc947579"/>
      <w:r>
        <w:rPr>
          <w:rFonts w:hint="eastAsia" w:ascii="仿宋" w:hAnsi="仿宋" w:eastAsia="仿宋" w:cs="仿宋"/>
          <w:b/>
          <w:bCs/>
          <w:color w:val="auto"/>
          <w:kern w:val="2"/>
          <w:sz w:val="21"/>
          <w:szCs w:val="21"/>
          <w:highlight w:val="none"/>
        </w:rPr>
        <w:t>7.2.7</w:t>
      </w:r>
      <w:r>
        <w:rPr>
          <w:rFonts w:hint="eastAsia" w:ascii="仿宋" w:hAnsi="仿宋" w:eastAsia="仿宋" w:cs="仿宋"/>
          <w:color w:val="auto"/>
          <w:kern w:val="2"/>
          <w:sz w:val="21"/>
          <w:szCs w:val="21"/>
          <w:highlight w:val="none"/>
        </w:rPr>
        <w:t>提供施工障碍资料</w:t>
      </w:r>
      <w:bookmarkEnd w:id="210"/>
    </w:p>
    <w:p w14:paraId="2A3B925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合同约定，在每项地下或地上施工部位开工20目前，向发包人提交施工场地的具体范围及其坐标位置，发包人须就上述范围内提供相关的地下和地上的建筑物、构筑物和其它设施的坐标位置(不包括发包人根据5.2.1款第(1)项、第(2)项中已提供的现场障碍资料)。发包人在合同约定时间之后提出现场障碍资料的，按照13.2.3款的施工变更的约定办理。</w:t>
      </w:r>
    </w:p>
    <w:p w14:paraId="4A6ACC2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发包人已提供上述相关资料，因承包人未能履行保护义务，造成的损失、损害和责任，由承包人负责。因此造成工程关键路径延误的，承包人按4.1.2款的约定，自费赶上。</w:t>
      </w:r>
    </w:p>
    <w:p w14:paraId="7E25FFBA">
      <w:pPr>
        <w:pStyle w:val="1024"/>
        <w:adjustRightInd w:val="0"/>
        <w:snapToGrid w:val="0"/>
        <w:spacing w:line="288" w:lineRule="auto"/>
        <w:jc w:val="both"/>
        <w:rPr>
          <w:rFonts w:ascii="仿宋" w:hAnsi="仿宋" w:eastAsia="仿宋" w:cs="仿宋"/>
          <w:color w:val="auto"/>
          <w:kern w:val="2"/>
          <w:sz w:val="21"/>
          <w:szCs w:val="21"/>
          <w:highlight w:val="none"/>
        </w:rPr>
      </w:pPr>
      <w:bookmarkStart w:id="211" w:name="_Toc535392486"/>
      <w:bookmarkEnd w:id="211"/>
      <w:bookmarkStart w:id="212" w:name="_Toc947580"/>
      <w:r>
        <w:rPr>
          <w:rFonts w:hint="eastAsia" w:ascii="仿宋" w:hAnsi="仿宋" w:eastAsia="仿宋" w:cs="仿宋"/>
          <w:b/>
          <w:bCs/>
          <w:color w:val="auto"/>
          <w:kern w:val="2"/>
          <w:sz w:val="21"/>
          <w:szCs w:val="21"/>
          <w:highlight w:val="none"/>
        </w:rPr>
        <w:t>7.2.8</w:t>
      </w:r>
      <w:r>
        <w:rPr>
          <w:rFonts w:hint="eastAsia" w:ascii="仿宋" w:hAnsi="仿宋" w:eastAsia="仿宋" w:cs="仿宋"/>
          <w:color w:val="auto"/>
          <w:kern w:val="2"/>
          <w:sz w:val="21"/>
          <w:szCs w:val="21"/>
          <w:highlight w:val="none"/>
        </w:rPr>
        <w:t>新发现的施工障碍</w:t>
      </w:r>
      <w:bookmarkEnd w:id="212"/>
    </w:p>
    <w:p w14:paraId="12D0787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对在施工过程中新发现的场地周围及临近影响施工的建筑物、构筑物、文物建筑、古树、名水，以及地下管线、线缆、构筑物、文物、化石和坟墓等，立即采取保护措施，并及时通知发包人。新发现的施工障碍，按照13.2.3款的施工变更约定办理。</w:t>
      </w:r>
    </w:p>
    <w:p w14:paraId="62A90986">
      <w:pPr>
        <w:pStyle w:val="1024"/>
        <w:adjustRightInd w:val="0"/>
        <w:snapToGrid w:val="0"/>
        <w:spacing w:line="288" w:lineRule="auto"/>
        <w:jc w:val="both"/>
        <w:rPr>
          <w:rFonts w:ascii="仿宋" w:hAnsi="仿宋" w:eastAsia="仿宋" w:cs="仿宋"/>
          <w:color w:val="auto"/>
          <w:kern w:val="2"/>
          <w:sz w:val="21"/>
          <w:szCs w:val="21"/>
          <w:highlight w:val="none"/>
        </w:rPr>
      </w:pPr>
      <w:bookmarkStart w:id="213" w:name="_Toc535392487"/>
      <w:bookmarkEnd w:id="213"/>
      <w:bookmarkStart w:id="214" w:name="_Toc947581"/>
      <w:r>
        <w:rPr>
          <w:rFonts w:hint="eastAsia" w:ascii="仿宋" w:hAnsi="仿宋" w:eastAsia="仿宋" w:cs="仿宋"/>
          <w:b/>
          <w:bCs/>
          <w:color w:val="auto"/>
          <w:kern w:val="2"/>
          <w:sz w:val="21"/>
          <w:szCs w:val="21"/>
          <w:highlight w:val="none"/>
        </w:rPr>
        <w:t>7.2.9</w:t>
      </w:r>
      <w:r>
        <w:rPr>
          <w:rFonts w:hint="eastAsia" w:ascii="仿宋" w:hAnsi="仿宋" w:eastAsia="仿宋" w:cs="仿宋"/>
          <w:color w:val="auto"/>
          <w:kern w:val="2"/>
          <w:sz w:val="21"/>
          <w:szCs w:val="21"/>
          <w:highlight w:val="none"/>
        </w:rPr>
        <w:t>施工资源</w:t>
      </w:r>
      <w:bookmarkEnd w:id="214"/>
    </w:p>
    <w:p w14:paraId="09DF334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承包人应保证其人力、机具、设备、设施、措施材料、消耗材料、周转材料及其它施工资源，满足实施工程的需求。</w:t>
      </w:r>
    </w:p>
    <w:p w14:paraId="52BFA760">
      <w:pPr>
        <w:pStyle w:val="1024"/>
        <w:adjustRightInd w:val="0"/>
        <w:snapToGrid w:val="0"/>
        <w:spacing w:line="288" w:lineRule="auto"/>
        <w:jc w:val="both"/>
        <w:rPr>
          <w:rFonts w:ascii="仿宋" w:hAnsi="仿宋" w:eastAsia="仿宋" w:cs="仿宋"/>
          <w:color w:val="auto"/>
          <w:kern w:val="2"/>
          <w:sz w:val="21"/>
          <w:szCs w:val="21"/>
          <w:highlight w:val="none"/>
        </w:rPr>
      </w:pPr>
      <w:bookmarkStart w:id="215" w:name="_Toc535392488"/>
      <w:bookmarkEnd w:id="215"/>
      <w:bookmarkStart w:id="216" w:name="_Toc947582"/>
      <w:r>
        <w:rPr>
          <w:rFonts w:hint="eastAsia" w:ascii="仿宋" w:hAnsi="仿宋" w:eastAsia="仿宋" w:cs="仿宋"/>
          <w:b/>
          <w:bCs/>
          <w:color w:val="auto"/>
          <w:kern w:val="2"/>
          <w:sz w:val="21"/>
          <w:szCs w:val="21"/>
          <w:highlight w:val="none"/>
        </w:rPr>
        <w:t>7.2.10</w:t>
      </w:r>
      <w:r>
        <w:rPr>
          <w:rFonts w:hint="eastAsia" w:ascii="仿宋" w:hAnsi="仿宋" w:eastAsia="仿宋" w:cs="仿宋"/>
          <w:color w:val="auto"/>
          <w:kern w:val="2"/>
          <w:sz w:val="21"/>
          <w:szCs w:val="21"/>
          <w:highlight w:val="none"/>
        </w:rPr>
        <w:t>设计文件的说明和解释</w:t>
      </w:r>
      <w:bookmarkEnd w:id="216"/>
    </w:p>
    <w:p w14:paraId="1D84F3A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承包人应在施工开工前向施工分包人和监理人说明设计文件的意图，解释设计文件，及时解决施工过程中出现的有关问题。</w:t>
      </w:r>
    </w:p>
    <w:p w14:paraId="10833498">
      <w:pPr>
        <w:pStyle w:val="1024"/>
        <w:adjustRightInd w:val="0"/>
        <w:snapToGrid w:val="0"/>
        <w:spacing w:line="288" w:lineRule="auto"/>
        <w:jc w:val="both"/>
        <w:rPr>
          <w:rFonts w:ascii="仿宋" w:hAnsi="仿宋" w:eastAsia="仿宋" w:cs="仿宋"/>
          <w:color w:val="auto"/>
          <w:kern w:val="2"/>
          <w:sz w:val="21"/>
          <w:szCs w:val="21"/>
          <w:highlight w:val="none"/>
        </w:rPr>
      </w:pPr>
      <w:bookmarkStart w:id="217" w:name="_Toc535392489"/>
      <w:bookmarkEnd w:id="217"/>
      <w:bookmarkStart w:id="218" w:name="_Toc947583"/>
      <w:r>
        <w:rPr>
          <w:rFonts w:hint="eastAsia" w:ascii="仿宋" w:hAnsi="仿宋" w:eastAsia="仿宋" w:cs="仿宋"/>
          <w:b/>
          <w:bCs/>
          <w:color w:val="auto"/>
          <w:kern w:val="2"/>
          <w:sz w:val="21"/>
          <w:szCs w:val="21"/>
          <w:highlight w:val="none"/>
        </w:rPr>
        <w:t>7.2.11</w:t>
      </w:r>
      <w:r>
        <w:rPr>
          <w:rFonts w:hint="eastAsia" w:ascii="仿宋" w:hAnsi="仿宋" w:eastAsia="仿宋" w:cs="仿宋"/>
          <w:color w:val="auto"/>
          <w:kern w:val="2"/>
          <w:sz w:val="21"/>
          <w:szCs w:val="21"/>
          <w:highlight w:val="none"/>
        </w:rPr>
        <w:t>工程的保护与维护</w:t>
      </w:r>
      <w:bookmarkEnd w:id="218"/>
    </w:p>
    <w:p w14:paraId="14855B2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承包人应从开工之日起至发包人接收工程或单项工程之日止，负责工程或单项工程的照管、保护、维护和保安责任，保证工程或单项工程除不可抗力外，不受到任何损失、损害。</w:t>
      </w:r>
    </w:p>
    <w:p w14:paraId="5B078A6A">
      <w:pPr>
        <w:pStyle w:val="1024"/>
        <w:adjustRightInd w:val="0"/>
        <w:snapToGrid w:val="0"/>
        <w:spacing w:line="288" w:lineRule="auto"/>
        <w:jc w:val="both"/>
        <w:rPr>
          <w:rFonts w:ascii="仿宋" w:hAnsi="仿宋" w:eastAsia="仿宋" w:cs="仿宋"/>
          <w:color w:val="auto"/>
          <w:kern w:val="2"/>
          <w:sz w:val="21"/>
          <w:szCs w:val="21"/>
          <w:highlight w:val="none"/>
        </w:rPr>
      </w:pPr>
      <w:bookmarkStart w:id="219" w:name="_Toc535392490"/>
      <w:bookmarkEnd w:id="219"/>
      <w:bookmarkStart w:id="220" w:name="_Toc947584"/>
      <w:r>
        <w:rPr>
          <w:rFonts w:hint="eastAsia" w:ascii="仿宋" w:hAnsi="仿宋" w:eastAsia="仿宋" w:cs="仿宋"/>
          <w:b/>
          <w:bCs/>
          <w:color w:val="auto"/>
          <w:kern w:val="2"/>
          <w:sz w:val="21"/>
          <w:szCs w:val="21"/>
          <w:highlight w:val="none"/>
        </w:rPr>
        <w:t>7.2.12</w:t>
      </w:r>
      <w:r>
        <w:rPr>
          <w:rFonts w:hint="eastAsia" w:ascii="仿宋" w:hAnsi="仿宋" w:eastAsia="仿宋" w:cs="仿宋"/>
          <w:color w:val="auto"/>
          <w:kern w:val="2"/>
          <w:sz w:val="21"/>
          <w:szCs w:val="21"/>
          <w:highlight w:val="none"/>
        </w:rPr>
        <w:t>清理现场</w:t>
      </w:r>
      <w:bookmarkEnd w:id="220"/>
    </w:p>
    <w:p w14:paraId="4B55DFC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在施工过程中及完工后对现场进行清理、分类堆放，将残余物、废弃物、垃圾等运往发包人、或当地有关部门指定的地点。清理现场的费用在专用条款中写明。承包人应将不再使用的机具、设备、设施和临时工程等撤离现场，或运到发包人指定的场地。</w:t>
      </w:r>
    </w:p>
    <w:p w14:paraId="38766B8C">
      <w:pPr>
        <w:pStyle w:val="1024"/>
        <w:adjustRightInd w:val="0"/>
        <w:snapToGrid w:val="0"/>
        <w:spacing w:line="288" w:lineRule="auto"/>
        <w:jc w:val="both"/>
        <w:rPr>
          <w:rFonts w:ascii="仿宋" w:hAnsi="仿宋" w:eastAsia="仿宋" w:cs="仿宋"/>
          <w:color w:val="auto"/>
          <w:kern w:val="2"/>
          <w:sz w:val="21"/>
          <w:szCs w:val="21"/>
          <w:highlight w:val="none"/>
        </w:rPr>
      </w:pPr>
      <w:bookmarkStart w:id="221" w:name="_Toc535392491"/>
      <w:bookmarkEnd w:id="221"/>
      <w:bookmarkStart w:id="222" w:name="_Toc947585"/>
      <w:r>
        <w:rPr>
          <w:rFonts w:hint="eastAsia" w:ascii="仿宋" w:hAnsi="仿宋" w:eastAsia="仿宋" w:cs="仿宋"/>
          <w:b/>
          <w:bCs/>
          <w:color w:val="auto"/>
          <w:kern w:val="2"/>
          <w:sz w:val="21"/>
          <w:szCs w:val="21"/>
          <w:highlight w:val="none"/>
        </w:rPr>
        <w:t>7.2.13</w:t>
      </w:r>
      <w:r>
        <w:rPr>
          <w:rFonts w:hint="eastAsia" w:ascii="仿宋" w:hAnsi="仿宋" w:eastAsia="仿宋" w:cs="仿宋"/>
          <w:color w:val="auto"/>
          <w:kern w:val="2"/>
          <w:sz w:val="21"/>
          <w:szCs w:val="21"/>
          <w:highlight w:val="none"/>
        </w:rPr>
        <w:t>其它义务</w:t>
      </w:r>
      <w:bookmarkEnd w:id="222"/>
    </w:p>
    <w:p w14:paraId="3208B1A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承包人应履行专用条款中约定的应由承包人履行的其它相关义务。</w:t>
      </w:r>
    </w:p>
    <w:p w14:paraId="12950F3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23" w:name="_Toc535392492"/>
      <w:bookmarkEnd w:id="223"/>
      <w:bookmarkStart w:id="224" w:name="_Toc947586"/>
      <w:r>
        <w:rPr>
          <w:rFonts w:hint="eastAsia" w:ascii="仿宋" w:hAnsi="仿宋" w:eastAsia="仿宋" w:cs="仿宋"/>
          <w:b/>
          <w:bCs/>
          <w:color w:val="auto"/>
          <w:kern w:val="2"/>
          <w:sz w:val="21"/>
          <w:szCs w:val="21"/>
          <w:highlight w:val="none"/>
        </w:rPr>
        <w:t>7.3 施工技术方法</w:t>
      </w:r>
      <w:bookmarkEnd w:id="224"/>
    </w:p>
    <w:p w14:paraId="7B74A05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承包人的施工技术方法应符合有关操作规程、安全规程及质量标准。</w:t>
      </w:r>
    </w:p>
    <w:p w14:paraId="4439209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发包人应在收到承包人提交的该方法后的5日内予以确认或提出建议，发包人的任何此类确认和建议，并不能减轻或免除承包人的合同责任。</w:t>
      </w:r>
    </w:p>
    <w:p w14:paraId="5EA551F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25" w:name="_Toc535392493"/>
      <w:bookmarkEnd w:id="225"/>
      <w:bookmarkStart w:id="226" w:name="_Toc947587"/>
      <w:r>
        <w:rPr>
          <w:rFonts w:hint="eastAsia" w:ascii="仿宋" w:hAnsi="仿宋" w:eastAsia="仿宋" w:cs="仿宋"/>
          <w:b/>
          <w:bCs/>
          <w:color w:val="auto"/>
          <w:kern w:val="2"/>
          <w:sz w:val="21"/>
          <w:szCs w:val="21"/>
          <w:highlight w:val="none"/>
        </w:rPr>
        <w:t>7.4 人力和机具资源</w:t>
      </w:r>
      <w:bookmarkEnd w:id="226"/>
    </w:p>
    <w:p w14:paraId="0745971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7.4.1</w:t>
      </w:r>
      <w:r>
        <w:rPr>
          <w:rFonts w:hint="eastAsia" w:ascii="仿宋" w:hAnsi="仿宋" w:eastAsia="仿宋" w:cs="仿宋"/>
          <w:color w:val="auto"/>
          <w:kern w:val="2"/>
          <w:sz w:val="21"/>
          <w:szCs w:val="21"/>
          <w:highlight w:val="none"/>
        </w:rPr>
        <w:t>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14:paraId="13C32A7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14:paraId="41403B5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7.4.2</w:t>
      </w:r>
      <w:r>
        <w:rPr>
          <w:rFonts w:hint="eastAsia" w:ascii="仿宋" w:hAnsi="仿宋" w:eastAsia="仿宋" w:cs="仿宋"/>
          <w:color w:val="auto"/>
          <w:kern w:val="2"/>
          <w:sz w:val="21"/>
          <w:szCs w:val="21"/>
          <w:highlight w:val="none"/>
        </w:rPr>
        <w:t>承包人应按专用条款约定的格式、内容、份数和提交时间，向发包人提交主要施工机具资源计划一览表。施工机具资源计划应符合施工进度计划的需要；并按专用条款约定的报表格式、内容、份数和报告期，向发包人提供实际进场的主要施工机具信息。</w:t>
      </w:r>
    </w:p>
    <w:p w14:paraId="58326A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14:paraId="21390D2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27" w:name="_Toc535392494"/>
      <w:bookmarkEnd w:id="227"/>
      <w:bookmarkStart w:id="228" w:name="_Toc947588"/>
      <w:r>
        <w:rPr>
          <w:rFonts w:hint="eastAsia" w:ascii="仿宋" w:hAnsi="仿宋" w:eastAsia="仿宋" w:cs="仿宋"/>
          <w:b/>
          <w:bCs/>
          <w:color w:val="auto"/>
          <w:kern w:val="2"/>
          <w:sz w:val="21"/>
          <w:szCs w:val="21"/>
          <w:highlight w:val="none"/>
        </w:rPr>
        <w:t>7.5 质量与检验</w:t>
      </w:r>
      <w:bookmarkEnd w:id="228"/>
    </w:p>
    <w:p w14:paraId="24BA453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7.5.1</w:t>
      </w:r>
      <w:r>
        <w:rPr>
          <w:rFonts w:hint="eastAsia" w:ascii="仿宋" w:hAnsi="仿宋" w:eastAsia="仿宋" w:cs="仿宋"/>
          <w:color w:val="auto"/>
          <w:kern w:val="2"/>
          <w:sz w:val="21"/>
          <w:szCs w:val="21"/>
          <w:highlight w:val="none"/>
        </w:rPr>
        <w:t>质量与检验</w:t>
      </w:r>
    </w:p>
    <w:p w14:paraId="18FF3E9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(1)承包人及其分包人应随时接受发包人、监理人所进行的安全、质量的监督和检查。承包人应为此类监督、检查提供方便。</w:t>
      </w:r>
    </w:p>
    <w:p w14:paraId="1310928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(2)发包人委托第三方对施工质量进行检查、检验、检测和试验时，应以书面形式通知承包人。第三方的验收结果视为发包人的验收结果。</w:t>
      </w:r>
    </w:p>
    <w:p w14:paraId="7DD2FC7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(3)承包人应遵守施工质量管理的有关规定，负有对其操作人员进行培训、考核、图纸交底、技术交底、操作规程交底、安全程序交底和质量标准交底，及消除事故隐患的责任。</w:t>
      </w:r>
    </w:p>
    <w:p w14:paraId="222B775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14:paraId="788EC51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的施工应符合合同约定的质量标准。施工质量评定以合同中约定的质量检验评定标准为依据。对不符合质量标准的施工部位，承包人应自费修复、返工、更换等。因此造成竣工日期延误的，由承包人负责。</w:t>
      </w:r>
    </w:p>
    <w:p w14:paraId="182BAD7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7.5.2</w:t>
      </w:r>
      <w:r>
        <w:rPr>
          <w:rFonts w:hint="eastAsia" w:ascii="仿宋" w:hAnsi="仿宋" w:eastAsia="仿宋" w:cs="仿宋"/>
          <w:color w:val="auto"/>
          <w:kern w:val="2"/>
          <w:sz w:val="21"/>
          <w:szCs w:val="21"/>
          <w:highlight w:val="none"/>
        </w:rPr>
        <w:t>质检部位与参检方。质检部位分为：发包人、监理人与承包人三方参检的部位；监理人与承包人两方参检的部位；第三方或(和)承包人一方参检的部位。对施工质量进行检查的部位、检查标准及验收的表格格式在专用条款中约定。承包人应将按上述约定，经其一方检查合格的部位报发包人或监理人备案。发包人和工程总监有权随时对备案的部位进行抽查或全面检查。</w:t>
      </w:r>
    </w:p>
    <w:p w14:paraId="5EAA8B5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7.5.3</w:t>
      </w:r>
      <w:r>
        <w:rPr>
          <w:rFonts w:hint="eastAsia" w:ascii="仿宋" w:hAnsi="仿宋" w:eastAsia="仿宋" w:cs="仿宋"/>
          <w:color w:val="auto"/>
          <w:kern w:val="2"/>
          <w:sz w:val="21"/>
          <w:szCs w:val="21"/>
          <w:highlight w:val="none"/>
        </w:rPr>
        <w:t>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监理人已确认该质检结果的通知</w:t>
      </w:r>
    </w:p>
    <w:p w14:paraId="4FB1668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7.5.4</w:t>
      </w:r>
      <w:r>
        <w:rPr>
          <w:rFonts w:hint="eastAsia" w:ascii="仿宋" w:hAnsi="仿宋" w:eastAsia="仿宋" w:cs="仿宋"/>
          <w:color w:val="auto"/>
          <w:kern w:val="2"/>
          <w:sz w:val="21"/>
          <w:szCs w:val="21"/>
          <w:highlight w:val="none"/>
        </w:rPr>
        <w:t>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长。</w:t>
      </w:r>
    </w:p>
    <w:p w14:paraId="63B6E03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7.5.5</w:t>
      </w:r>
      <w:r>
        <w:rPr>
          <w:rFonts w:hint="eastAsia" w:ascii="仿宋" w:hAnsi="仿宋" w:eastAsia="仿宋" w:cs="仿宋"/>
          <w:color w:val="auto"/>
          <w:kern w:val="2"/>
          <w:sz w:val="21"/>
          <w:szCs w:val="21"/>
          <w:highlight w:val="none"/>
        </w:rPr>
        <w:t>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14:paraId="79C3BCD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7.5.6</w:t>
      </w:r>
      <w:r>
        <w:rPr>
          <w:rFonts w:hint="eastAsia" w:ascii="仿宋" w:hAnsi="仿宋" w:eastAsia="仿宋" w:cs="仿宋"/>
          <w:color w:val="auto"/>
          <w:kern w:val="2"/>
          <w:sz w:val="21"/>
          <w:szCs w:val="21"/>
          <w:highlight w:val="none"/>
        </w:rPr>
        <w:t xml:space="preserve">因发包人代表和(或)监理人的指令失误，或其他非承包人原因发生的追加施工费用，由发包人承担。造成工程关键路径延误的，竣工日期相应顺延。  </w:t>
      </w:r>
    </w:p>
    <w:p w14:paraId="6531A7A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29" w:name="_Toc535392495"/>
      <w:bookmarkEnd w:id="229"/>
      <w:bookmarkStart w:id="230" w:name="_Toc947589"/>
      <w:r>
        <w:rPr>
          <w:rFonts w:hint="eastAsia" w:ascii="仿宋" w:hAnsi="仿宋" w:eastAsia="仿宋" w:cs="仿宋"/>
          <w:b/>
          <w:bCs/>
          <w:color w:val="auto"/>
          <w:kern w:val="2"/>
          <w:sz w:val="21"/>
          <w:szCs w:val="21"/>
          <w:highlight w:val="none"/>
        </w:rPr>
        <w:t>7.6 隐蔽工程和中间验收</w:t>
      </w:r>
      <w:bookmarkEnd w:id="230"/>
    </w:p>
    <w:p w14:paraId="3CF8A5A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7.6.1</w:t>
      </w:r>
      <w:r>
        <w:rPr>
          <w:rFonts w:hint="eastAsia" w:ascii="仿宋" w:hAnsi="仿宋" w:eastAsia="仿宋" w:cs="仿宋"/>
          <w:color w:val="auto"/>
          <w:kern w:val="2"/>
          <w:sz w:val="21"/>
          <w:szCs w:val="21"/>
          <w:highlight w:val="none"/>
        </w:rPr>
        <w:t>隐蔽工程和中间验收。需要质检的隐蔽工程和中间验收部位的分类、部位、质检内容、质检标准、质检表格和参检方在专用条款中约定。</w:t>
      </w:r>
    </w:p>
    <w:p w14:paraId="29F6D8A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7.6.2</w:t>
      </w:r>
      <w:r>
        <w:rPr>
          <w:rFonts w:hint="eastAsia" w:ascii="仿宋" w:hAnsi="仿宋" w:eastAsia="仿宋" w:cs="仿宋"/>
          <w:color w:val="auto"/>
          <w:kern w:val="2"/>
          <w:sz w:val="21"/>
          <w:szCs w:val="21"/>
          <w:highlight w:val="none"/>
        </w:rPr>
        <w:t>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14:paraId="7DE3076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复，重新通知发包人和(或)监理人验收。</w:t>
      </w:r>
    </w:p>
    <w:p w14:paraId="099F570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7.6.3</w:t>
      </w:r>
      <w:r>
        <w:rPr>
          <w:rFonts w:hint="eastAsia" w:ascii="仿宋" w:hAnsi="仿宋" w:eastAsia="仿宋" w:cs="仿宋"/>
          <w:color w:val="auto"/>
          <w:kern w:val="2"/>
          <w:sz w:val="21"/>
          <w:szCs w:val="21"/>
          <w:highlight w:val="none"/>
        </w:rPr>
        <w:t>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14:paraId="40DB71C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因应发包人和(或)监理人要求所进行延期验收造成关键路径延误的，竣工日期相应顺延；给承包人造成的停工、窝工损失，由发包人承担。</w:t>
      </w:r>
    </w:p>
    <w:p w14:paraId="3DA7BF6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7.6.4</w:t>
      </w:r>
      <w:r>
        <w:rPr>
          <w:rFonts w:hint="eastAsia" w:ascii="仿宋" w:hAnsi="仿宋" w:eastAsia="仿宋" w:cs="仿宋"/>
          <w:color w:val="auto"/>
          <w:kern w:val="2"/>
          <w:sz w:val="21"/>
          <w:szCs w:val="21"/>
          <w:highlight w:val="none"/>
        </w:rPr>
        <w:t>再检验。发包人和(或)监理人在任何时间内，均有权要求对已经验收的隐蔽工程重新检验，承包人应按要求拆除覆盖、剥离或开孔，并在检验后重新覆盖或修复。隐蔽工程经重新检验不合格的，由此发生的费用由承包人承担，竣工日期不予延长；经检验合格的，承包人因此增加的费用由发包人承担，工程关键路径延误的，竣工日期相应顺延。</w:t>
      </w:r>
    </w:p>
    <w:p w14:paraId="67666E1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31" w:name="_Toc535392496"/>
      <w:bookmarkEnd w:id="231"/>
      <w:bookmarkStart w:id="232" w:name="_Toc947590"/>
      <w:r>
        <w:rPr>
          <w:rFonts w:hint="eastAsia" w:ascii="仿宋" w:hAnsi="仿宋" w:eastAsia="仿宋" w:cs="仿宋"/>
          <w:b/>
          <w:bCs/>
          <w:color w:val="auto"/>
          <w:kern w:val="2"/>
          <w:sz w:val="21"/>
          <w:szCs w:val="21"/>
          <w:highlight w:val="none"/>
        </w:rPr>
        <w:t>7.7 对施工质量结果的争议</w:t>
      </w:r>
      <w:bookmarkEnd w:id="232"/>
    </w:p>
    <w:p w14:paraId="5F995CFD">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7.7.1</w:t>
      </w:r>
      <w:r>
        <w:rPr>
          <w:rFonts w:hint="eastAsia" w:ascii="仿宋" w:hAnsi="仿宋" w:eastAsia="仿宋" w:cs="仿宋"/>
          <w:color w:val="auto"/>
          <w:kern w:val="2"/>
          <w:sz w:val="21"/>
          <w:szCs w:val="21"/>
          <w:highlight w:val="none"/>
        </w:rPr>
        <w:t>双方对施工质量结果有争议时，应首先协商解决。经协商未达成一致意见的，委托双方一致同意的具有相应资质的工程质量检测机构进行检测。</w:t>
      </w:r>
    </w:p>
    <w:p w14:paraId="1991357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检测机构的鉴定结果，责任方为承包人时，因此造成的费用增加或竣工日期延误，由承包人负责；责任方为发包人时，因此造成的费用增加由发包人承担，工程关键路径因争议受到延误的，竣工日期相应顺延。</w:t>
      </w:r>
    </w:p>
    <w:p w14:paraId="72BC209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7.7.2</w:t>
      </w:r>
      <w:r>
        <w:rPr>
          <w:rFonts w:hint="eastAsia" w:ascii="仿宋" w:hAnsi="仿宋" w:eastAsia="仿宋" w:cs="仿宋"/>
          <w:color w:val="auto"/>
          <w:kern w:val="2"/>
          <w:sz w:val="21"/>
          <w:szCs w:val="21"/>
          <w:highlight w:val="none"/>
        </w:rPr>
        <w:t>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14:paraId="363B3A5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33" w:name="_Toc535392497"/>
      <w:bookmarkEnd w:id="233"/>
      <w:bookmarkStart w:id="234" w:name="_Toc947591"/>
      <w:r>
        <w:rPr>
          <w:rFonts w:hint="eastAsia" w:ascii="仿宋" w:hAnsi="仿宋" w:eastAsia="仿宋" w:cs="仿宋"/>
          <w:b/>
          <w:bCs/>
          <w:color w:val="auto"/>
          <w:kern w:val="2"/>
          <w:sz w:val="21"/>
          <w:szCs w:val="21"/>
          <w:highlight w:val="none"/>
        </w:rPr>
        <w:t>7.8 职业健康、安全、环境保护</w:t>
      </w:r>
      <w:bookmarkEnd w:id="234"/>
    </w:p>
    <w:p w14:paraId="1938F9D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7.8.1</w:t>
      </w:r>
      <w:r>
        <w:rPr>
          <w:rFonts w:hint="eastAsia" w:ascii="仿宋" w:hAnsi="仿宋" w:eastAsia="仿宋" w:cs="仿宋"/>
          <w:color w:val="auto"/>
          <w:kern w:val="2"/>
          <w:sz w:val="21"/>
          <w:szCs w:val="21"/>
          <w:highlight w:val="none"/>
        </w:rPr>
        <w:t>职业健康、安全、环境保护管理</w:t>
      </w:r>
    </w:p>
    <w:p w14:paraId="39D55A5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(1)遵守有关健康、安全、环境保护的各项法律规定，是双方的义务。</w:t>
      </w:r>
    </w:p>
    <w:p w14:paraId="48F8708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予以确认。承包人应根据发包人的建议自费修正。职业健康、安全、环境保护管理实施计划的提交份数和提交时间，在专用条款中约定。</w:t>
      </w:r>
    </w:p>
    <w:p w14:paraId="7E020DE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(3)在承包人实施职业健康、安全、环境保护管理实施计划的过程中，发包人需要在该计划之外采取特殊措施的，按13条变更和合同价格调整的约定，作为变更处理。</w:t>
      </w:r>
    </w:p>
    <w:p w14:paraId="2FDD85A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(4)承包人应确保其在现场的所有雇员及其分包人的雇员都经过了足够的培训并具有经验，能够胜任职业健康、安全、环境保护管理工作。</w:t>
      </w:r>
    </w:p>
    <w:p w14:paraId="605E47C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(5)承包人应遵守所有与实施本工程和使用施工设备相关的现场职业健康、安全和环境保护的法律规定，并按规定各自办理相关手续。</w:t>
      </w:r>
    </w:p>
    <w:p w14:paraId="1BF4F99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14:paraId="2017A3D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(7)承包人应配备专职工程师或管理人员，负责管理、监督、指导职工职业健康、安全防护和环境保护工作。承包人应对其分包人的行为负责。</w:t>
      </w:r>
    </w:p>
    <w:p w14:paraId="45F6543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(8)承包人应随时接受政府有关行政部门、行业机构、发包人、监理人的职业健康、安全、环境保护检查人员的监督和检查，并为此提供方便。</w:t>
      </w:r>
    </w:p>
    <w:p w14:paraId="1609904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7.8.2</w:t>
      </w:r>
      <w:r>
        <w:rPr>
          <w:rFonts w:hint="eastAsia" w:ascii="仿宋" w:hAnsi="仿宋" w:eastAsia="仿宋" w:cs="仿宋"/>
          <w:color w:val="auto"/>
          <w:kern w:val="2"/>
          <w:sz w:val="21"/>
          <w:szCs w:val="21"/>
          <w:highlight w:val="none"/>
        </w:rPr>
        <w:t>现场职业健康管理</w:t>
      </w:r>
    </w:p>
    <w:p w14:paraId="07F0ECE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(1)承包人应遵守适用的职业健康的法律和合同约定(包括对雇用、职业健康、安全、福利等方面的规定)，负责现场实施过程中其人员的职业健康和保护。</w:t>
      </w:r>
    </w:p>
    <w:p w14:paraId="40BC3B9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(2)承包人应遵守适用的劳动法规，保护其雇员的合法休假权等合法权益，并为其现场人员提供劳动保护用品、防护器具、防暑降温用品、必要的现场食宿条件和安全生产设施。</w:t>
      </w:r>
    </w:p>
    <w:p w14:paraId="1047177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(3)承包人应对其施工人员进行相关作业的职业健康知识培训、危险及危害因素交底、安全操作规程交底、采取有效措施，按有关规定提供防止人身伤害的保护用具。</w:t>
      </w:r>
    </w:p>
    <w:p w14:paraId="125C745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(4)承包人应在有毒有害作业区域设置警示标志和说明。发包人及其委托人员未经承包人允许、未配备相关保护器具，进入该作业区域所造成的伤害，由发包人承担责任和费用。</w:t>
      </w:r>
    </w:p>
    <w:p w14:paraId="7FE72ED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(5)承包人应对有毒有害岗位进行防治检查，对不合格的防护设施、器具、措设等及时整改，消除危害职业健康的隐患。</w:t>
      </w:r>
    </w:p>
    <w:p w14:paraId="62FC47F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(6)承包人应采取卫生防疫措施，配备医务人员、急救设施，保持食堂的饮食卫生，保持住地及其周围的环境卫生，维护施工人员的职业健康。</w:t>
      </w:r>
    </w:p>
    <w:p w14:paraId="0361BD8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7.8.3</w:t>
      </w:r>
      <w:r>
        <w:rPr>
          <w:rFonts w:hint="eastAsia" w:ascii="仿宋" w:hAnsi="仿宋" w:eastAsia="仿宋" w:cs="仿宋"/>
          <w:color w:val="auto"/>
          <w:kern w:val="2"/>
          <w:sz w:val="21"/>
          <w:szCs w:val="21"/>
          <w:highlight w:val="none"/>
        </w:rPr>
        <w:t>现场安全管理</w:t>
      </w:r>
    </w:p>
    <w:p w14:paraId="57B1968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14:paraId="52E782E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因承包人原因，违反安全施工、安全操作、竣工试验和(或)竣工后试验的有关安全规定，导致人身伤害和财产损失及工程关键路径延误时，由承包人负责。</w:t>
      </w:r>
    </w:p>
    <w:p w14:paraId="16954F3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(2)双方人员应遵守有关禁止通行的须知，包括禁止进入工作场地以及临近工作场地的特定区域。未能遵守此约定，造成伤害、损坏和损失的，由未能遵守此项约定的一方负责。</w:t>
      </w:r>
    </w:p>
    <w:p w14:paraId="790D3B3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14:paraId="0BA569F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包括承包人的分包人、供应商及其运输单位)应对其现场内及进出现场途中的道路、桥梁、地下设施等，采取防范措施使其免遭损坏，专用条款另有约定时除外。因未按约定采取防范措施所造成的损坏和(或)竣工日期延误，由承包人负责。</w:t>
      </w:r>
    </w:p>
    <w:p w14:paraId="63DF49E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(5)承包人应对其施工人员进行安全操作培训，安全操作规程交底，采取安全防护措施，设置安全警示标志和说明，进行安全检查，消除事故隐患。</w:t>
      </w:r>
    </w:p>
    <w:p w14:paraId="0822F19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14:paraId="3F9B236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并不能减轻或免除承包人的责任。</w:t>
      </w:r>
    </w:p>
    <w:p w14:paraId="3DAA99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14:paraId="54CF0D2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7.8.4</w:t>
      </w:r>
      <w:r>
        <w:rPr>
          <w:rFonts w:hint="eastAsia" w:ascii="仿宋" w:hAnsi="仿宋" w:eastAsia="仿宋" w:cs="仿宋"/>
          <w:color w:val="auto"/>
          <w:kern w:val="2"/>
          <w:sz w:val="21"/>
          <w:szCs w:val="21"/>
          <w:highlight w:val="none"/>
        </w:rPr>
        <w:t>现场的环境保护管理</w:t>
      </w:r>
    </w:p>
    <w:p w14:paraId="26395D1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14:paraId="01B57B8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(2)承包人应采取措施，并负责控制和(或)处理现场的粉尘、废气、废水、固体废物和噪声对环境的污染和危害。因此发生的伤害、赔偿、罚款等费用增加，和(或)竣工日期延误，由承包人负责。</w:t>
      </w:r>
    </w:p>
    <w:p w14:paraId="2A51802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14:paraId="13AF21C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7.8.5</w:t>
      </w:r>
      <w:r>
        <w:rPr>
          <w:rFonts w:hint="eastAsia" w:ascii="仿宋" w:hAnsi="仿宋" w:eastAsia="仿宋" w:cs="仿宋"/>
          <w:color w:val="auto"/>
          <w:kern w:val="2"/>
          <w:sz w:val="21"/>
          <w:szCs w:val="21"/>
          <w:highlight w:val="none"/>
        </w:rPr>
        <w:t>事故处理</w:t>
      </w:r>
    </w:p>
    <w:p w14:paraId="40AFC18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14:paraId="31A164D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(2)对重大伤亡、重大财产、环境损害及其它安全事故，承包人应按有关规定立即上报有关部门，并立即通知发包人代表和监理人。同时，按政府有关部门的要求处理。</w:t>
      </w:r>
    </w:p>
    <w:p w14:paraId="17A74AE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(3)合同双方对事故责任有争议时，依据16.3款争议和裁决的约定程序解决。</w:t>
      </w:r>
    </w:p>
    <w:p w14:paraId="07F23B5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(4)因承包人的原因致使建设工程在合理使用期限、设备保证期内造成人身和财产损害的，由承包人承担损害赔偿责任。</w:t>
      </w:r>
    </w:p>
    <w:p w14:paraId="72DC53B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(5)因承包人原因发生员工食物中毒及职业健康事件的，承包人应承担相关责任。</w:t>
      </w:r>
    </w:p>
    <w:p w14:paraId="0985B4FC">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第8条 竣工试验</w:t>
      </w:r>
    </w:p>
    <w:p w14:paraId="697CDEE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本合同工程包含竣工试验的，遵守本条约定。</w:t>
      </w:r>
    </w:p>
    <w:p w14:paraId="7680C020">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235" w:name="_Toc535392498"/>
      <w:bookmarkEnd w:id="235"/>
      <w:bookmarkStart w:id="236" w:name="_Toc947592"/>
      <w:r>
        <w:rPr>
          <w:rFonts w:hint="eastAsia" w:ascii="仿宋" w:hAnsi="仿宋" w:eastAsia="仿宋" w:cs="仿宋"/>
          <w:b/>
          <w:bCs/>
          <w:color w:val="auto"/>
          <w:kern w:val="2"/>
          <w:sz w:val="21"/>
          <w:szCs w:val="21"/>
          <w:highlight w:val="none"/>
        </w:rPr>
        <w:t>8.1</w:t>
      </w:r>
      <w:r>
        <w:rPr>
          <w:rFonts w:hint="eastAsia" w:ascii="仿宋" w:hAnsi="仿宋" w:eastAsia="仿宋" w:cs="仿宋"/>
          <w:color w:val="auto"/>
          <w:kern w:val="2"/>
          <w:sz w:val="21"/>
          <w:szCs w:val="21"/>
          <w:highlight w:val="none"/>
        </w:rPr>
        <w:t xml:space="preserve"> 竣工试验的义务</w:t>
      </w:r>
      <w:bookmarkEnd w:id="236"/>
    </w:p>
    <w:p w14:paraId="445774E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8.1.1</w:t>
      </w:r>
      <w:r>
        <w:rPr>
          <w:rFonts w:hint="eastAsia" w:ascii="仿宋" w:hAnsi="仿宋" w:eastAsia="仿宋" w:cs="仿宋"/>
          <w:color w:val="auto"/>
          <w:kern w:val="2"/>
          <w:sz w:val="21"/>
          <w:szCs w:val="21"/>
          <w:highlight w:val="none"/>
        </w:rPr>
        <w:t>承包人的义务</w:t>
      </w:r>
    </w:p>
    <w:p w14:paraId="6A2C7D5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14:paraId="47D127A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(2)承包人应在竣工试验开始前，根据7.6款隐蔽工程和中间验收部位的约定，向发包人提交相关的质检资料及其竣工资料。</w:t>
      </w:r>
    </w:p>
    <w:p w14:paraId="3DEB229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(3)根据第10条竣工后试验的约定，由承包人指导发包人进行竣工后试验的，承包人应完成5.4款约定的操作维修人员培训，并在竣工试验前提交5.2.4款约定的操作维修手册。</w:t>
      </w:r>
    </w:p>
    <w:p w14:paraId="009AA41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应在达到竣工试验条件20目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14:paraId="4794F64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1)竣工试验方案编制的依据和原则；</w:t>
      </w:r>
    </w:p>
    <w:p w14:paraId="38B8839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2)组织机构设置、责任分工；</w:t>
      </w:r>
    </w:p>
    <w:p w14:paraId="199D2AF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3)单项工程竣工试验的试验程序、试验条件；</w:t>
      </w:r>
    </w:p>
    <w:p w14:paraId="3D855FC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4)单件、单体、联动试验的试验程序、试验条件；</w:t>
      </w:r>
    </w:p>
    <w:p w14:paraId="40B740C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5)竣工试验的设备、材料和部件的类别、性能标准、试验及验收格式；</w:t>
      </w:r>
    </w:p>
    <w:p w14:paraId="513D386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6)水、电、动力等条件的品质和用量要求；</w:t>
      </w:r>
    </w:p>
    <w:p w14:paraId="34A9E25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7)安全程序、安全措施及防护设施；</w:t>
      </w:r>
    </w:p>
    <w:p w14:paraId="745E224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8)竣工试验的进度计划、措施方案、人力及机具计划安排；</w:t>
      </w:r>
    </w:p>
    <w:p w14:paraId="5A5556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9)其它。</w:t>
      </w:r>
    </w:p>
    <w:p w14:paraId="16EB323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竣工试验方案提交的份数和提交时间，在专用条款中约定。</w:t>
      </w:r>
    </w:p>
    <w:p w14:paraId="57F356F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(5)承包人的竣工试验包括根据6.1.2款约定的由承包人提供的工程物资的竣工试验，及根据8.1.2款第(3)项发包人委托给承包人进行工程物资的竣工试验。</w:t>
      </w:r>
    </w:p>
    <w:p w14:paraId="2D5CA89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(6)承包人应按照试验条件、试验程序，及5.2.3款第(3)项约定的标准、规范和数据，完成竣工试验。</w:t>
      </w:r>
    </w:p>
    <w:p w14:paraId="56BC4E5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8.1.2</w:t>
      </w:r>
      <w:r>
        <w:rPr>
          <w:rFonts w:hint="eastAsia" w:ascii="仿宋" w:hAnsi="仿宋" w:eastAsia="仿宋" w:cs="仿宋"/>
          <w:color w:val="auto"/>
          <w:kern w:val="2"/>
          <w:sz w:val="21"/>
          <w:szCs w:val="21"/>
          <w:highlight w:val="none"/>
        </w:rPr>
        <w:t>发包人的义务</w:t>
      </w:r>
    </w:p>
    <w:p w14:paraId="111572B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(1)发包人应按经发包人确认后的竣工试验方案，提供电力、水、动力及由发包人提供的消耗材料等。提供的电力、水、动力及相关消耗材料等应满足竣工试验对其品质、用量及时间的要求。</w:t>
      </w:r>
    </w:p>
    <w:p w14:paraId="7EDF730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当合同约定应由承包人提供的竣工试验的消耗材料和备品各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14:paraId="5D4DDB5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14:paraId="0EE4912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(4)承包人应按发包人提供的试验条件、试验程序对发包人根据本款第(3)项委托给承包人工程物资进行竣工试验，其试验结果须符合5.2.3款第(3)项约定的标准、规范和数据，发包人对该部分的试验结果负责。</w:t>
      </w:r>
    </w:p>
    <w:p w14:paraId="71A1DC0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8.1.3</w:t>
      </w:r>
      <w:r>
        <w:rPr>
          <w:rFonts w:hint="eastAsia" w:ascii="仿宋" w:hAnsi="仿宋" w:eastAsia="仿宋" w:cs="仿宋"/>
          <w:color w:val="auto"/>
          <w:kern w:val="2"/>
          <w:sz w:val="21"/>
          <w:szCs w:val="21"/>
          <w:highlight w:val="none"/>
        </w:rPr>
        <w:t>竣工试验领导机构。竣工试验领导机构负责竣工试验的领导、组织和协调。承包人提供竣工试验所需的人力、机具并负责完成试验。发包人负责组织、协调、提供竣工试验方案中约定的相关条件及竣工试验的验收。</w:t>
      </w:r>
    </w:p>
    <w:p w14:paraId="6984298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37" w:name="_Toc535392499"/>
      <w:bookmarkEnd w:id="237"/>
      <w:bookmarkStart w:id="238" w:name="_Toc947593"/>
      <w:r>
        <w:rPr>
          <w:rFonts w:hint="eastAsia" w:ascii="仿宋" w:hAnsi="仿宋" w:eastAsia="仿宋" w:cs="仿宋"/>
          <w:b/>
          <w:bCs/>
          <w:color w:val="auto"/>
          <w:kern w:val="2"/>
          <w:sz w:val="21"/>
          <w:szCs w:val="21"/>
          <w:highlight w:val="none"/>
        </w:rPr>
        <w:t>8.2 竣工试验的检验和验收</w:t>
      </w:r>
      <w:bookmarkEnd w:id="238"/>
    </w:p>
    <w:p w14:paraId="0E3AFB0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8.2.1</w:t>
      </w:r>
      <w:r>
        <w:rPr>
          <w:rFonts w:hint="eastAsia" w:ascii="仿宋" w:hAnsi="仿宋" w:eastAsia="仿宋" w:cs="仿宋"/>
          <w:color w:val="auto"/>
          <w:kern w:val="2"/>
          <w:sz w:val="21"/>
          <w:szCs w:val="21"/>
          <w:highlight w:val="none"/>
        </w:rPr>
        <w:t>承包人应根据5.2.3款第(3)项约定的标准、规范、数据，及8.1.1款第(4)项竣工试验方案的第5)子项的约定进行检验和验收。</w:t>
      </w:r>
    </w:p>
    <w:p w14:paraId="07BD68E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8.2.2</w:t>
      </w:r>
      <w:r>
        <w:rPr>
          <w:rFonts w:hint="eastAsia" w:ascii="仿宋" w:hAnsi="仿宋" w:eastAsia="仿宋" w:cs="仿宋"/>
          <w:color w:val="auto"/>
          <w:kern w:val="2"/>
          <w:sz w:val="21"/>
          <w:szCs w:val="21"/>
          <w:highlight w:val="none"/>
        </w:rPr>
        <w:t>承包人应在竣工试验开始前，依据8.1.1款的约定，对各方提供的试验条件进行检查落实，条件满足的，双方人员应签字确认。因发包人提供的竣工试验条件延误，给承包人带来的窝工损失，由发包人负责。导致竣工试验进度延误的，竣工日期相应顺延；因承包人原因未能按时落实竣工试验条件，使竣工试验进度延误时，承包人应按4.1.2款的约定自费赶上。</w:t>
      </w:r>
    </w:p>
    <w:p w14:paraId="086F321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8.2.3</w:t>
      </w:r>
      <w:r>
        <w:rPr>
          <w:rFonts w:hint="eastAsia" w:ascii="仿宋" w:hAnsi="仿宋" w:eastAsia="仿宋" w:cs="仿宋"/>
          <w:color w:val="auto"/>
          <w:kern w:val="2"/>
          <w:sz w:val="21"/>
          <w:szCs w:val="21"/>
          <w:highlight w:val="none"/>
        </w:rPr>
        <w:t>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14:paraId="2CE0E4E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发包人和(或)监理人在验收合格的24小时后，不在试验记录和验收表格上签字，视为发包人和(或)监理人已经认可此项验收，承包人可进行隐蔽和(或)紧后作业。</w:t>
      </w:r>
    </w:p>
    <w:p w14:paraId="4ABA889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验收不合格的，承包人应在发包人和(或)监理人指定的时间内修正，并通知发包人和(或)监理人重新验收。</w:t>
      </w:r>
    </w:p>
    <w:p w14:paraId="71173A2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8.2.4</w:t>
      </w:r>
      <w:r>
        <w:rPr>
          <w:rFonts w:hint="eastAsia" w:ascii="仿宋" w:hAnsi="仿宋" w:eastAsia="仿宋" w:cs="仿宋"/>
          <w:color w:val="auto"/>
          <w:kern w:val="2"/>
          <w:sz w:val="21"/>
          <w:szCs w:val="21"/>
          <w:highlight w:val="none"/>
        </w:rPr>
        <w:t>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14:paraId="231E216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8.2.5</w:t>
      </w:r>
      <w:r>
        <w:rPr>
          <w:rFonts w:hint="eastAsia" w:ascii="仿宋" w:hAnsi="仿宋" w:eastAsia="仿宋" w:cs="仿宋"/>
          <w:color w:val="auto"/>
          <w:kern w:val="2"/>
          <w:sz w:val="21"/>
          <w:szCs w:val="21"/>
          <w:highlight w:val="none"/>
        </w:rPr>
        <w:t>不论发包人和(或)监理人是否参加竣工试验和验收，发包人均有权责令重新试验。如因承包人的原因重新试验不合格，承包人应承担由此所增加的费用，造成竣工试验进度延误时，竣工日期不予延氏；如重新试验合格，承包人增加的费用，和(或)竣工日期的延长，按照13条变更和合同价格调整的约定，作为变更处理。</w:t>
      </w:r>
    </w:p>
    <w:p w14:paraId="55F4AB1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8.2.6</w:t>
      </w:r>
      <w:r>
        <w:rPr>
          <w:rFonts w:hint="eastAsia" w:ascii="仿宋" w:hAnsi="仿宋" w:eastAsia="仿宋" w:cs="仿宋"/>
          <w:color w:val="auto"/>
          <w:kern w:val="2"/>
          <w:sz w:val="21"/>
          <w:szCs w:val="21"/>
          <w:highlight w:val="none"/>
        </w:rPr>
        <w:t>竣工试验验收日期的约定</w:t>
      </w:r>
    </w:p>
    <w:p w14:paraId="2655359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(1)某项竣工试验的验收日期和时间：按该项竣工试验通过的日期和时间，作为该项竣工试验验收的日期和时间；</w:t>
      </w:r>
    </w:p>
    <w:p w14:paraId="2DF5318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(2)单项工程竣工试验的验收日期和时间：按其中最后一项竣工试验通过的日期和时间，作为该单项工程竣工试验验收的日期和时间；</w:t>
      </w:r>
    </w:p>
    <w:p w14:paraId="3279DBD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(3)工程的竣工试验日期和时间：按最后一个单项工程通过竣工试验的日期和时间，作为整个工程竣工试验验收的日期和时间。</w:t>
      </w:r>
    </w:p>
    <w:p w14:paraId="07F2974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39" w:name="_Toc535392500"/>
      <w:bookmarkEnd w:id="239"/>
      <w:bookmarkStart w:id="240" w:name="_Toc947594"/>
      <w:r>
        <w:rPr>
          <w:rFonts w:hint="eastAsia" w:ascii="仿宋" w:hAnsi="仿宋" w:eastAsia="仿宋" w:cs="仿宋"/>
          <w:b/>
          <w:bCs/>
          <w:color w:val="auto"/>
          <w:kern w:val="2"/>
          <w:sz w:val="21"/>
          <w:szCs w:val="21"/>
          <w:highlight w:val="none"/>
        </w:rPr>
        <w:t>8.3 竣工试验的安全和检查</w:t>
      </w:r>
      <w:bookmarkEnd w:id="240"/>
    </w:p>
    <w:p w14:paraId="00A1402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8.3.1</w:t>
      </w:r>
      <w:r>
        <w:rPr>
          <w:rFonts w:hint="eastAsia" w:ascii="仿宋" w:hAnsi="仿宋" w:eastAsia="仿宋" w:cs="仿宋"/>
          <w:color w:val="auto"/>
          <w:kern w:val="2"/>
          <w:sz w:val="21"/>
          <w:szCs w:val="21"/>
          <w:highlight w:val="none"/>
        </w:rPr>
        <w:t>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14:paraId="4527D49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8.3.2</w:t>
      </w:r>
      <w:r>
        <w:rPr>
          <w:rFonts w:hint="eastAsia" w:ascii="仿宋" w:hAnsi="仿宋" w:eastAsia="仿宋" w:cs="仿宋"/>
          <w:color w:val="auto"/>
          <w:kern w:val="2"/>
          <w:sz w:val="21"/>
          <w:szCs w:val="21"/>
          <w:highlight w:val="none"/>
        </w:rPr>
        <w:t>承包人应对其人员进行竣工试验的安全培训，并对竣工试验的安全操作程序、场地环境、操作制度、应急处理措施等进行交底。</w:t>
      </w:r>
    </w:p>
    <w:p w14:paraId="2413815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8.3.3</w:t>
      </w:r>
      <w:r>
        <w:rPr>
          <w:rFonts w:hint="eastAsia" w:ascii="仿宋" w:hAnsi="仿宋" w:eastAsia="仿宋" w:cs="仿宋"/>
          <w:color w:val="auto"/>
          <w:kern w:val="2"/>
          <w:sz w:val="21"/>
          <w:szCs w:val="21"/>
          <w:highlight w:val="none"/>
        </w:rPr>
        <w:t>发包人和(或)监理人有义务按照经确认的竣工试验安全方案中的安全规程、安全制度、安全措施等，对其管理人员和操作维修人员进行竣工试验的安全教育，自费提供参加监督、检查人员的防护设施。</w:t>
      </w:r>
    </w:p>
    <w:p w14:paraId="1B54EB4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8.3.4</w:t>
      </w:r>
      <w:r>
        <w:rPr>
          <w:rFonts w:hint="eastAsia" w:ascii="仿宋" w:hAnsi="仿宋" w:eastAsia="仿宋" w:cs="仿宋"/>
          <w:color w:val="auto"/>
          <w:kern w:val="2"/>
          <w:sz w:val="21"/>
          <w:szCs w:val="21"/>
          <w:highlight w:val="none"/>
        </w:rPr>
        <w:t>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14:paraId="23D2B70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8.3.5</w:t>
      </w:r>
      <w:r>
        <w:rPr>
          <w:rFonts w:hint="eastAsia" w:ascii="仿宋" w:hAnsi="仿宋" w:eastAsia="仿宋" w:cs="仿宋"/>
          <w:color w:val="auto"/>
          <w:kern w:val="2"/>
          <w:sz w:val="21"/>
          <w:szCs w:val="21"/>
          <w:highlight w:val="none"/>
        </w:rPr>
        <w:t>按8.1.3款竣工试验领导机构的决定，双方密切配合开展竣工试验的组织、协调和实施工作，防止人身伤害和事故发生。</w:t>
      </w:r>
    </w:p>
    <w:p w14:paraId="65C4057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因发包人的原因造成的事故，由发包人承担相应责任、费用和赔偿。造成工程竣工试验进度计划延误时，竣工日期相应顺延。</w:t>
      </w:r>
    </w:p>
    <w:p w14:paraId="2C11BCF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因承包人的原因造成的事故，由承包人承担相应责任、费用和赔偿。造成工程竣工试验进度计划延误时，承包人应按4.1.2款的约定自费赶上。</w:t>
      </w:r>
    </w:p>
    <w:p w14:paraId="3F8AD4F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41" w:name="_Toc535392501"/>
      <w:bookmarkEnd w:id="241"/>
      <w:bookmarkStart w:id="242" w:name="_Toc947595"/>
      <w:r>
        <w:rPr>
          <w:rFonts w:hint="eastAsia" w:ascii="仿宋" w:hAnsi="仿宋" w:eastAsia="仿宋" w:cs="仿宋"/>
          <w:b/>
          <w:bCs/>
          <w:color w:val="auto"/>
          <w:kern w:val="2"/>
          <w:sz w:val="21"/>
          <w:szCs w:val="21"/>
          <w:highlight w:val="none"/>
        </w:rPr>
        <w:t>8.4 延误的竣工试验</w:t>
      </w:r>
      <w:bookmarkEnd w:id="242"/>
    </w:p>
    <w:p w14:paraId="4C1949B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8.4.1</w:t>
      </w:r>
      <w:r>
        <w:rPr>
          <w:rFonts w:hint="eastAsia" w:ascii="仿宋" w:hAnsi="仿宋" w:eastAsia="仿宋" w:cs="仿宋"/>
          <w:color w:val="auto"/>
          <w:kern w:val="2"/>
          <w:sz w:val="21"/>
          <w:szCs w:val="21"/>
          <w:highlight w:val="none"/>
        </w:rPr>
        <w:t>因承包人的原因使某项、某单项工程落后于竣工试验进度计划的，承包人应按4.1.2款的约定自费采取措施，赶上竣工试验进度计划。</w:t>
      </w:r>
    </w:p>
    <w:p w14:paraId="012DFBF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8.4.2</w:t>
      </w:r>
      <w:r>
        <w:rPr>
          <w:rFonts w:hint="eastAsia" w:ascii="仿宋" w:hAnsi="仿宋" w:eastAsia="仿宋" w:cs="仿宋"/>
          <w:color w:val="auto"/>
          <w:kern w:val="2"/>
          <w:sz w:val="21"/>
          <w:szCs w:val="21"/>
          <w:highlight w:val="none"/>
        </w:rPr>
        <w:t>因承包人的原因造成竣工试验延误，致使合同约定的工程竣工日期延误时，承包人应根据4.5款误期损害赔偿的约定，承担误期赔偿责任。</w:t>
      </w:r>
    </w:p>
    <w:p w14:paraId="5C27668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8.4.3</w:t>
      </w:r>
      <w:r>
        <w:rPr>
          <w:rFonts w:hint="eastAsia" w:ascii="仿宋" w:hAnsi="仿宋" w:eastAsia="仿宋" w:cs="仿宋"/>
          <w:color w:val="auto"/>
          <w:kern w:val="2"/>
          <w:sz w:val="21"/>
          <w:szCs w:val="21"/>
          <w:highlight w:val="none"/>
        </w:rPr>
        <w:t>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14:paraId="6E952D4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8.4.4</w:t>
      </w:r>
      <w:r>
        <w:rPr>
          <w:rFonts w:hint="eastAsia" w:ascii="仿宋" w:hAnsi="仿宋" w:eastAsia="仿宋" w:cs="仿宋"/>
          <w:color w:val="auto"/>
          <w:kern w:val="2"/>
          <w:sz w:val="21"/>
          <w:szCs w:val="21"/>
          <w:highlight w:val="none"/>
        </w:rPr>
        <w:t>发包人未能根据8.1.2款的约定履行其义务，导致承包人竣工试验延误，发包人应承担承包人因此发生的合理费用，竣工试验进度计划延误时，竣工日期相应顺延。</w:t>
      </w:r>
    </w:p>
    <w:p w14:paraId="6BF7A342">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243" w:name="_Toc535392502"/>
      <w:bookmarkEnd w:id="243"/>
      <w:bookmarkStart w:id="244" w:name="_Toc947596"/>
      <w:r>
        <w:rPr>
          <w:rFonts w:hint="eastAsia" w:ascii="仿宋" w:hAnsi="仿宋" w:eastAsia="仿宋" w:cs="仿宋"/>
          <w:b/>
          <w:bCs/>
          <w:color w:val="auto"/>
          <w:kern w:val="2"/>
          <w:sz w:val="21"/>
          <w:szCs w:val="21"/>
          <w:highlight w:val="none"/>
        </w:rPr>
        <w:t>8.5 重新试验和验收</w:t>
      </w:r>
      <w:bookmarkEnd w:id="244"/>
    </w:p>
    <w:p w14:paraId="163F157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8.5.1</w:t>
      </w:r>
      <w:r>
        <w:rPr>
          <w:rFonts w:hint="eastAsia" w:ascii="仿宋" w:hAnsi="仿宋" w:eastAsia="仿宋" w:cs="仿宋"/>
          <w:color w:val="auto"/>
          <w:kern w:val="2"/>
          <w:sz w:val="21"/>
          <w:szCs w:val="21"/>
          <w:highlight w:val="none"/>
        </w:rPr>
        <w:t>承包人未能通过相关的竣工试验的，可依据8.1.1款第(6)项的约定重新进行此项试验，并按8.2款的约定进行检验和验收。</w:t>
      </w:r>
    </w:p>
    <w:p w14:paraId="0D280F4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8.5.2</w:t>
      </w:r>
      <w:r>
        <w:rPr>
          <w:rFonts w:hint="eastAsia" w:ascii="仿宋" w:hAnsi="仿宋" w:eastAsia="仿宋" w:cs="仿宋"/>
          <w:color w:val="auto"/>
          <w:kern w:val="2"/>
          <w:sz w:val="21"/>
          <w:szCs w:val="21"/>
          <w:highlight w:val="none"/>
        </w:rPr>
        <w:t>不论发包人和(或)监理人是否参加竣工试验和验收，承包人未能通过竣工试验时，发包人均有权通知承包人再次按8.1.1款第(6)项的约定进行此项竣工试验，并按8.2款的约定进行检验和验收。</w:t>
      </w:r>
    </w:p>
    <w:p w14:paraId="54DF4A2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45" w:name="_Toc535392503"/>
      <w:bookmarkEnd w:id="245"/>
      <w:bookmarkStart w:id="246" w:name="_Toc947597"/>
      <w:r>
        <w:rPr>
          <w:rFonts w:hint="eastAsia" w:ascii="仿宋" w:hAnsi="仿宋" w:eastAsia="仿宋" w:cs="仿宋"/>
          <w:b/>
          <w:bCs/>
          <w:color w:val="auto"/>
          <w:kern w:val="2"/>
          <w:sz w:val="21"/>
          <w:szCs w:val="21"/>
          <w:highlight w:val="none"/>
        </w:rPr>
        <w:t>8.6 未能通过竣工试验</w:t>
      </w:r>
      <w:bookmarkEnd w:id="246"/>
    </w:p>
    <w:p w14:paraId="152D4DF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8.6.1</w:t>
      </w:r>
      <w:r>
        <w:rPr>
          <w:rFonts w:hint="eastAsia" w:ascii="仿宋" w:hAnsi="仿宋" w:eastAsia="仿宋" w:cs="仿宋"/>
          <w:color w:val="auto"/>
          <w:kern w:val="2"/>
          <w:sz w:val="21"/>
          <w:szCs w:val="21"/>
          <w:highlight w:val="none"/>
        </w:rPr>
        <w:t>因发包人的下述原因导致竣工试验未能通过的，承包人进行竣工试验的费用由发包人承担，竣工试验进度计划延误的，竣工日期相应延长：</w:t>
      </w:r>
    </w:p>
    <w:p w14:paraId="0615616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(1)发包人未能按确认的竣工试验方案中的技术参数、时间及数量提供电力、动力、水等试验条件，导致竣工试验未能通过；</w:t>
      </w:r>
    </w:p>
    <w:p w14:paraId="7D46E11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(2)发包人指令承包人按发包人的竣工试验条件、试验程序和试验方法进行试验和竣工试验，导致该项竣工试验未能通过；</w:t>
      </w:r>
    </w:p>
    <w:p w14:paraId="233546E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(3)发包人对承包人竣工试验的干扰，导致竣工试验未能通过；</w:t>
      </w:r>
    </w:p>
    <w:p w14:paraId="4DEE045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(4)因发包人的其它原因，导致竣工试验未能通过。</w:t>
      </w:r>
    </w:p>
    <w:p w14:paraId="3F28E06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8.6.2</w:t>
      </w:r>
      <w:r>
        <w:rPr>
          <w:rFonts w:hint="eastAsia" w:ascii="仿宋" w:hAnsi="仿宋" w:eastAsia="仿宋" w:cs="仿宋"/>
          <w:color w:val="auto"/>
          <w:kern w:val="2"/>
          <w:sz w:val="21"/>
          <w:szCs w:val="21"/>
          <w:highlight w:val="none"/>
        </w:rPr>
        <w:t>因承包人原因未能通过竣工试验，该项竣工试验允许再进行，但再进行最多为两次，两次试验后仍不符合验收条件的，相关费用、竣工日期及相关事项，按下述约定处理：</w:t>
      </w:r>
    </w:p>
    <w:p w14:paraId="1E34EF9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(1)该项竣工试验未能通过，对该项操作或使用不存在实质影响，承包人自费修复。无法修复时，发包人有权扣减该部分的相应付款，视为通过。</w:t>
      </w:r>
    </w:p>
    <w:p w14:paraId="6FD81B1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(2)该项竣工试验未能通过，对该单项工程未产生实质性操作和使用影响，发包人相应扣减该单项工程的合同价款的，可视为通过；若使竣工日期延误的，承包人承担误期损害赔偿责任。    </w:t>
      </w:r>
    </w:p>
    <w:p w14:paraId="50952EA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(3)该项竣工试验未能通过，对操作或使用有实质性影响，发包人有权指令承包人更换相关部分，并进行竣工试验。发包人因此增加的费用，由承包人承担。使竣工日期延误的，承包人承担误期损害赔偿责任。</w:t>
      </w:r>
    </w:p>
    <w:p w14:paraId="062AC38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未能通过竣工试验，使单项工程的任何主要部分丧失了生产、使用功能时，发包人有权指令承包人更换相关部分，承包人自行承担因此增加的费用；竣工日期延误的，并应承担误期损害赔偿责任。发包人因此增加费用的，由承包人负责赔偿。</w:t>
      </w:r>
    </w:p>
    <w:p w14:paraId="319B371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未能通过竣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w:t>
      </w:r>
    </w:p>
    <w:p w14:paraId="2A9CE6D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47" w:name="_Toc535392504"/>
      <w:bookmarkEnd w:id="247"/>
      <w:bookmarkStart w:id="248" w:name="_Toc947598"/>
      <w:r>
        <w:rPr>
          <w:rFonts w:hint="eastAsia" w:ascii="仿宋" w:hAnsi="仿宋" w:eastAsia="仿宋" w:cs="仿宋"/>
          <w:b/>
          <w:bCs/>
          <w:color w:val="auto"/>
          <w:kern w:val="2"/>
          <w:sz w:val="21"/>
          <w:szCs w:val="21"/>
          <w:highlight w:val="none"/>
        </w:rPr>
        <w:t>8.7 竣工试验结果的争议</w:t>
      </w:r>
      <w:bookmarkEnd w:id="248"/>
    </w:p>
    <w:p w14:paraId="6050812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8.7.1</w:t>
      </w:r>
      <w:r>
        <w:rPr>
          <w:rFonts w:hint="eastAsia" w:ascii="仿宋" w:hAnsi="仿宋" w:eastAsia="仿宋" w:cs="仿宋"/>
          <w:color w:val="auto"/>
          <w:kern w:val="2"/>
          <w:sz w:val="21"/>
          <w:szCs w:val="21"/>
          <w:highlight w:val="none"/>
        </w:rPr>
        <w:t>协商解决。双方对竣工试验结果有争议的，应首先通过协商解决。</w:t>
      </w:r>
    </w:p>
    <w:p w14:paraId="0B776DB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8.7.2</w:t>
      </w:r>
      <w:r>
        <w:rPr>
          <w:rFonts w:hint="eastAsia" w:ascii="仿宋" w:hAnsi="仿宋" w:eastAsia="仿宋" w:cs="仿宋"/>
          <w:color w:val="auto"/>
          <w:kern w:val="2"/>
          <w:sz w:val="21"/>
          <w:szCs w:val="21"/>
          <w:highlight w:val="none"/>
        </w:rPr>
        <w:t>委托鉴定机构。双方经协商，对竣工试验结果仍有争议的，共同委托一个具有相应资质的检测机构进行检测。经检测鉴定后，按下述约定处理：</w:t>
      </w:r>
    </w:p>
    <w:p w14:paraId="7FB9CAD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(1)责任方为承包人时，所需的鉴定费用及因此造成发包人增加的合理费用由承包人承担，竣工日期不予延长；</w:t>
      </w:r>
    </w:p>
    <w:p w14:paraId="15A6A7F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(2)责任方为发包人时，所需的鉴定费用及因此造成承包人增加的合理费用由发包人承担，竣工日期相应顺延。</w:t>
      </w:r>
    </w:p>
    <w:p w14:paraId="35877CB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(3)双方均有责任时，根据责任大小防商分担费用，并按竣工试验计划的延误情况协商竣工日期的延长时间。</w:t>
      </w:r>
    </w:p>
    <w:p w14:paraId="29C7355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 xml:space="preserve">8.7.3 </w:t>
      </w:r>
      <w:r>
        <w:rPr>
          <w:rFonts w:hint="eastAsia" w:ascii="仿宋" w:hAnsi="仿宋" w:eastAsia="仿宋" w:cs="仿宋"/>
          <w:color w:val="auto"/>
          <w:kern w:val="2"/>
          <w:sz w:val="21"/>
          <w:szCs w:val="21"/>
          <w:highlight w:val="none"/>
        </w:rPr>
        <w:t xml:space="preserve"> 如双方对检测机构的鉴定结果有争议，依据16.3款争议和裁决的约</w:t>
      </w:r>
    </w:p>
    <w:p w14:paraId="5A57314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定解决。</w:t>
      </w:r>
    </w:p>
    <w:p w14:paraId="5E0AAB1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第9条 工程接收</w:t>
      </w:r>
    </w:p>
    <w:p w14:paraId="5A51741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49" w:name="_Toc535392505"/>
      <w:bookmarkEnd w:id="249"/>
      <w:bookmarkStart w:id="250" w:name="_Toc947599"/>
      <w:r>
        <w:rPr>
          <w:rFonts w:hint="eastAsia" w:ascii="仿宋" w:hAnsi="仿宋" w:eastAsia="仿宋" w:cs="仿宋"/>
          <w:b/>
          <w:bCs/>
          <w:color w:val="auto"/>
          <w:kern w:val="2"/>
          <w:sz w:val="21"/>
          <w:szCs w:val="21"/>
          <w:highlight w:val="none"/>
        </w:rPr>
        <w:t>9.1 工程接收</w:t>
      </w:r>
      <w:bookmarkEnd w:id="250"/>
    </w:p>
    <w:p w14:paraId="01DF195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9.1.1</w:t>
      </w:r>
      <w:r>
        <w:rPr>
          <w:rFonts w:hint="eastAsia" w:ascii="仿宋" w:hAnsi="仿宋" w:eastAsia="仿宋" w:cs="仿宋"/>
          <w:color w:val="auto"/>
          <w:kern w:val="2"/>
          <w:sz w:val="21"/>
          <w:szCs w:val="21"/>
          <w:highlight w:val="none"/>
        </w:rPr>
        <w:t>按单项工程和(或)按工程接收。根据工程项目的具体情况和特点，在专用条款约定按单项工程和(或)按工程进行接收。</w:t>
      </w:r>
    </w:p>
    <w:p w14:paraId="66DC75B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(1)根据第10条竣工后试验的约定，由承包人负责指导发包人进行单项工程和(或)工程竣工后试验，并承担试运行考核责任的，在专用条款中约定接收单项工程的先后顺序及时间安排，或接收工程的时间安排。</w:t>
      </w:r>
    </w:p>
    <w:p w14:paraId="329D26D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由发包人负责单项工程和(或)工程竣工后试验及其试运行考核责任的，在专用条款中约定接收工程的日期或接收单项工程的先后顺序及时问安排。    </w:t>
      </w:r>
    </w:p>
    <w:p w14:paraId="51E8789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(2)对不存在竣工试验或竣工后试验的单项工程和(或)工程，承包人完成扫尾工程和缺陷修复，并符合合同约定的验收标准的，根据合同约定按单项工程和(或)工程办理工程接收和竣工验收。</w:t>
      </w:r>
    </w:p>
    <w:p w14:paraId="5E66712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9.1.2</w:t>
      </w:r>
      <w:r>
        <w:rPr>
          <w:rFonts w:hint="eastAsia" w:ascii="仿宋" w:hAnsi="仿宋" w:eastAsia="仿宋" w:cs="仿宋"/>
          <w:color w:val="auto"/>
          <w:kern w:val="2"/>
          <w:sz w:val="21"/>
          <w:szCs w:val="21"/>
          <w:highlight w:val="none"/>
        </w:rPr>
        <w:t>接收工程时承包人提交的资料。除按8.1.1款(1)至(3)项约定已经提交的资料外，需提交竣工试验完成的验收资料的类别、内容、份数和提交时间，在专用条款中约定。</w:t>
      </w:r>
    </w:p>
    <w:p w14:paraId="1B0F9F2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51" w:name="_Toc535392506"/>
      <w:bookmarkEnd w:id="251"/>
      <w:bookmarkStart w:id="252" w:name="_Toc947600"/>
      <w:r>
        <w:rPr>
          <w:rFonts w:hint="eastAsia" w:ascii="仿宋" w:hAnsi="仿宋" w:eastAsia="仿宋" w:cs="仿宋"/>
          <w:b/>
          <w:bCs/>
          <w:color w:val="auto"/>
          <w:kern w:val="2"/>
          <w:sz w:val="21"/>
          <w:szCs w:val="21"/>
          <w:highlight w:val="none"/>
        </w:rPr>
        <w:t>9.2 接收证书</w:t>
      </w:r>
      <w:bookmarkEnd w:id="252"/>
    </w:p>
    <w:p w14:paraId="4159D85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9.2.1</w:t>
      </w:r>
      <w:r>
        <w:rPr>
          <w:rFonts w:hint="eastAsia" w:ascii="仿宋" w:hAnsi="仿宋" w:eastAsia="仿宋" w:cs="仿宋"/>
          <w:color w:val="auto"/>
          <w:kern w:val="2"/>
          <w:sz w:val="21"/>
          <w:szCs w:val="21"/>
          <w:highlight w:val="none"/>
        </w:rPr>
        <w:t>承包人应在工程和(或)单项工程具备接收条件后的10日内，向发包人提交接收证书申请，发包人应在接到申请后的10日内组织接收，并签发工程和(或)单项工程接收证书。</w:t>
      </w:r>
    </w:p>
    <w:p w14:paraId="2ECE33E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单项工程的接收以8.2.6款第(2)项约定的日期，作为接收日期。</w:t>
      </w:r>
    </w:p>
    <w:p w14:paraId="37AA607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工程的接收以8.2.6款第(3)项约定的日期，作为接收日期。</w:t>
      </w:r>
    </w:p>
    <w:p w14:paraId="1E43818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9.2.2</w:t>
      </w:r>
      <w:r>
        <w:rPr>
          <w:rFonts w:hint="eastAsia" w:ascii="仿宋" w:hAnsi="仿宋" w:eastAsia="仿宋" w:cs="仿宋"/>
          <w:color w:val="auto"/>
          <w:kern w:val="2"/>
          <w:sz w:val="21"/>
          <w:szCs w:val="21"/>
          <w:highlight w:val="none"/>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14:paraId="1ECC2E9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9.3 接收工程的责任</w:t>
      </w:r>
    </w:p>
    <w:p w14:paraId="1A254DC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9.3.1</w:t>
      </w:r>
      <w:r>
        <w:rPr>
          <w:rFonts w:hint="eastAsia" w:ascii="仿宋" w:hAnsi="仿宋" w:eastAsia="仿宋" w:cs="仿宋"/>
          <w:color w:val="auto"/>
          <w:kern w:val="2"/>
          <w:sz w:val="21"/>
          <w:szCs w:val="21"/>
          <w:highlight w:val="none"/>
        </w:rPr>
        <w:t>保安责任。自单项工程和(或)工程接收之日起，发包人承担其保安责任。</w:t>
      </w:r>
    </w:p>
    <w:p w14:paraId="2426624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9.3.2</w:t>
      </w:r>
      <w:r>
        <w:rPr>
          <w:rFonts w:hint="eastAsia" w:ascii="仿宋" w:hAnsi="仿宋" w:eastAsia="仿宋" w:cs="仿宋"/>
          <w:color w:val="auto"/>
          <w:kern w:val="2"/>
          <w:sz w:val="21"/>
          <w:szCs w:val="21"/>
          <w:highlight w:val="none"/>
        </w:rPr>
        <w:t>照管责任。自单项工程和(或)工程接收之日起，发包人承担其照管责任。发包人负责单项工程和(或)工程的维护、保养、维修，但不包括需由承包人完成的缺陷修复和零星扫尾的工程部位及其区域。</w:t>
      </w:r>
    </w:p>
    <w:p w14:paraId="6F94149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9.3.3</w:t>
      </w:r>
      <w:r>
        <w:rPr>
          <w:rFonts w:hint="eastAsia" w:ascii="仿宋" w:hAnsi="仿宋" w:eastAsia="仿宋" w:cs="仿宋"/>
          <w:color w:val="auto"/>
          <w:kern w:val="2"/>
          <w:sz w:val="21"/>
          <w:szCs w:val="21"/>
          <w:highlight w:val="none"/>
        </w:rPr>
        <w:t>投保责任。如合同约定施工期间工程的应投保方是承包人时，承包人应负责对工程进行投保并将保险期限保持到9.2.1款约定的发包人接收工程的日期。该日期之后由发包人负责对工程投保。</w:t>
      </w:r>
    </w:p>
    <w:p w14:paraId="1EE7529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9.4 未能接收工程</w:t>
      </w:r>
    </w:p>
    <w:p w14:paraId="2B58C52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9.4.1</w:t>
      </w:r>
      <w:r>
        <w:rPr>
          <w:rFonts w:hint="eastAsia" w:ascii="仿宋" w:hAnsi="仿宋" w:eastAsia="仿宋" w:cs="仿宋"/>
          <w:color w:val="auto"/>
          <w:kern w:val="2"/>
          <w:sz w:val="21"/>
          <w:szCs w:val="21"/>
          <w:highlight w:val="none"/>
        </w:rPr>
        <w:t>不接收工程。如发包人收到承包人送交的单项工程和(或)工程接收证书申请后的15日内不组织接收，视为单项工程、和(或)工程的接收证书申请已被发包人认可。从第16日起，发包人应根据9.3款的约定承担相关责任。</w:t>
      </w:r>
    </w:p>
    <w:p w14:paraId="078F14A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9.4.2</w:t>
      </w:r>
      <w:r>
        <w:rPr>
          <w:rFonts w:hint="eastAsia" w:ascii="仿宋" w:hAnsi="仿宋" w:eastAsia="仿宋" w:cs="仿宋"/>
          <w:color w:val="auto"/>
          <w:kern w:val="2"/>
          <w:sz w:val="21"/>
          <w:szCs w:val="21"/>
          <w:highlight w:val="none"/>
        </w:rPr>
        <w:t>未按约定接收工程。承包人未按约定提交单项工程和(或)工程接收证书申请的、或未符合单项工程或工程接收条件的，发包人有权拒绝接收单项工程和(或)工程。</w:t>
      </w:r>
    </w:p>
    <w:p w14:paraId="1718DF3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遵守本款约定，使用或强令接收不符合接收条件的单项工程和(或)工程的，将承担9.3款接收工程约定的相关责任，以及已被使用或强令接收的单项工程和(或)工程后进行操作、使用等所造成的损失、损坏、损害和(或)赔偿责任。</w:t>
      </w:r>
    </w:p>
    <w:p w14:paraId="30389E9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第10条 竣工后试验</w:t>
      </w:r>
    </w:p>
    <w:p w14:paraId="0729F87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本合同工程包含竣工后试验的，遵守本条约定。</w:t>
      </w:r>
    </w:p>
    <w:p w14:paraId="702E3B6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53" w:name="_Toc535392507"/>
      <w:bookmarkEnd w:id="253"/>
      <w:bookmarkStart w:id="254" w:name="_Toc947601"/>
      <w:r>
        <w:rPr>
          <w:rFonts w:hint="eastAsia" w:ascii="仿宋" w:hAnsi="仿宋" w:eastAsia="仿宋" w:cs="仿宋"/>
          <w:b/>
          <w:bCs/>
          <w:color w:val="auto"/>
          <w:kern w:val="2"/>
          <w:sz w:val="21"/>
          <w:szCs w:val="21"/>
          <w:highlight w:val="none"/>
        </w:rPr>
        <w:t>10.1 权利与义务</w:t>
      </w:r>
      <w:bookmarkEnd w:id="254"/>
    </w:p>
    <w:p w14:paraId="38AAE65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10.1.1</w:t>
      </w:r>
      <w:r>
        <w:rPr>
          <w:rFonts w:hint="eastAsia" w:ascii="仿宋" w:hAnsi="仿宋" w:eastAsia="仿宋" w:cs="仿宋"/>
          <w:color w:val="auto"/>
          <w:kern w:val="2"/>
          <w:sz w:val="21"/>
          <w:szCs w:val="21"/>
          <w:highlight w:val="none"/>
        </w:rPr>
        <w:t>发包人的权利与义务</w:t>
      </w:r>
    </w:p>
    <w:p w14:paraId="0F54844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(1)发包人有权对第10.1.2款第(2)项约定的由承包人协助发包人编制的竣工后试验方案进行审查并批准，发包人的批准并不能减轻或免除承包人的合同责任。</w:t>
      </w:r>
    </w:p>
    <w:p w14:paraId="386399B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14:paraId="600D005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(3)发包人对承包人根据10.1.2款第(4)项提出的建议，有权向承包人发出不接受或接受的通知。</w:t>
      </w:r>
    </w:p>
    <w:p w14:paraId="6DD2AA9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发包人未能接受承包人的上述建议，承包人有义务仍按本款第(2)项的组织安排执行。承包人因执行发包人的此项安排而发生事故、人身伤害和工程损害时，由发包人承担其责任。</w:t>
      </w:r>
    </w:p>
    <w:p w14:paraId="45E6A03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(4)发包人在竣工后试验阶段向承包人发出的组织安排、指令和通知，应以书面形式送达承包人的项目负责人，由项目负责人在回执上签署收到日期、时间和签名。</w:t>
      </w:r>
    </w:p>
    <w:p w14:paraId="3B9E587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形式送达承包人的项目负责人。</w:t>
      </w:r>
    </w:p>
    <w:p w14:paraId="44B3D2C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(6)发包人在竣工后试验阶段的其它义务和工作，在专用条款中约定。</w:t>
      </w:r>
    </w:p>
    <w:p w14:paraId="41AABD97">
      <w:pPr>
        <w:pStyle w:val="1024"/>
        <w:adjustRightInd w:val="0"/>
        <w:snapToGrid w:val="0"/>
        <w:spacing w:line="288" w:lineRule="auto"/>
        <w:jc w:val="both"/>
        <w:rPr>
          <w:rFonts w:ascii="仿宋" w:hAnsi="仿宋" w:eastAsia="仿宋" w:cs="仿宋"/>
          <w:color w:val="auto"/>
          <w:kern w:val="2"/>
          <w:sz w:val="21"/>
          <w:szCs w:val="21"/>
          <w:highlight w:val="none"/>
        </w:rPr>
      </w:pPr>
      <w:bookmarkStart w:id="255" w:name="_Toc535392508"/>
      <w:bookmarkEnd w:id="255"/>
      <w:bookmarkStart w:id="256" w:name="_Toc947602"/>
      <w:r>
        <w:rPr>
          <w:rFonts w:hint="eastAsia" w:ascii="仿宋" w:hAnsi="仿宋" w:eastAsia="仿宋" w:cs="仿宋"/>
          <w:b/>
          <w:bCs/>
          <w:color w:val="auto"/>
          <w:kern w:val="2"/>
          <w:sz w:val="21"/>
          <w:szCs w:val="21"/>
          <w:highlight w:val="none"/>
        </w:rPr>
        <w:t>10.1.2</w:t>
      </w:r>
      <w:r>
        <w:rPr>
          <w:rFonts w:hint="eastAsia" w:ascii="仿宋" w:hAnsi="仿宋" w:eastAsia="仿宋" w:cs="仿宋"/>
          <w:color w:val="auto"/>
          <w:kern w:val="2"/>
          <w:sz w:val="21"/>
          <w:szCs w:val="21"/>
          <w:highlight w:val="none"/>
        </w:rPr>
        <w:t>承包人的责任和义务</w:t>
      </w:r>
      <w:bookmarkEnd w:id="256"/>
    </w:p>
    <w:p w14:paraId="4E382FC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在发包人组建的竣工后试验联合协调领导机构的统一安排下，派出具有相应资格和经验的人员指导竣工后试验。承包人派出的开车经理或指导人员在竣工后试验期间离开现场，必须事先得到发包人批准。</w:t>
      </w:r>
    </w:p>
    <w:p w14:paraId="5C8D008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14:paraId="2859960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(3)因承包人未能执行发包人的安排、指令和通知，而发生的事故、人身伤害和工程损害，由承包人承担其责任。</w:t>
      </w:r>
    </w:p>
    <w:p w14:paraId="0FDD6EB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(4)承包人有义务对发包人的组织安排、指令和通知提出建议，并说明因由。</w:t>
      </w:r>
    </w:p>
    <w:p w14:paraId="3CED836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(5)在紧急情况下，发包人有权口头指令承包人进行操作、工作及作业，承包人应立即执行。承包人应对此项指令做好记录，并做好实施的记录。发包人应在12小时内，将上述口头指令再以书面形式送达承包人。</w:t>
      </w:r>
    </w:p>
    <w:p w14:paraId="7ED7CCB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在12小时内将此项口头指令以书面形式送达承包人时，承包人及其项目负责人有权在接到口头指令后的24小时内，以书面形式将该口头指令交发包人，发包人须在回执上签字确认，并签署接到的日期和时间。当发包人未能在24小时内在回执上签字确认，视为已被发包人确认。</w:t>
      </w:r>
    </w:p>
    <w:p w14:paraId="37D5FD7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承包人因执行发包人的口头指令而发生事故责任、人身伤害、工程损害和费用增加时，由发包人承担。但承包人错误执行上述口头指令而发生事故责任、人身伤害、工程损害和费用增加时，由承包人负责。</w:t>
      </w:r>
    </w:p>
    <w:p w14:paraId="276AC9C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费用增加时，由发包人负责。</w:t>
      </w:r>
    </w:p>
    <w:p w14:paraId="46CBAC9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(7)承包人根据合同约定和(或)行业规定，在竣工后试验阶段的其它义务和工作，在专用条款中约定。</w:t>
      </w:r>
    </w:p>
    <w:p w14:paraId="0EA7DEE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10.2 竣工后试验程序</w:t>
      </w:r>
    </w:p>
    <w:p w14:paraId="591F7F3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10.2.1</w:t>
      </w:r>
      <w:r>
        <w:rPr>
          <w:rFonts w:hint="eastAsia" w:ascii="仿宋" w:hAnsi="仿宋" w:eastAsia="仿宋" w:cs="仿宋"/>
          <w:color w:val="auto"/>
          <w:kern w:val="2"/>
          <w:sz w:val="21"/>
          <w:szCs w:val="21"/>
          <w:highlight w:val="none"/>
        </w:rPr>
        <w:t>发包人应根据联合协调领导机构批准的竣工后试验方案，提供全部电力、水、燃料、动力、原材料、辅助材料、消耗材料以及其它试验条件，并组织安排其管理人员、操作维修人员和其它各项准各工作。</w:t>
      </w:r>
    </w:p>
    <w:p w14:paraId="286124E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10.2.2</w:t>
      </w:r>
      <w:r>
        <w:rPr>
          <w:rFonts w:hint="eastAsia" w:ascii="仿宋" w:hAnsi="仿宋" w:eastAsia="仿宋" w:cs="仿宋"/>
          <w:color w:val="auto"/>
          <w:kern w:val="2"/>
          <w:sz w:val="21"/>
          <w:szCs w:val="21"/>
          <w:highlight w:val="none"/>
        </w:rPr>
        <w:t>承包人应根据经批准的竣工后试验方案，提供竣工后试验所需要的其它临时辅助设备、设施、工具和器具，及应由承包人完成的其它准备工作。</w:t>
      </w:r>
    </w:p>
    <w:p w14:paraId="31D147F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10.2.3</w:t>
      </w:r>
      <w:r>
        <w:rPr>
          <w:rFonts w:hint="eastAsia" w:ascii="仿宋" w:hAnsi="仿宋" w:eastAsia="仿宋" w:cs="仿宋"/>
          <w:color w:val="auto"/>
          <w:kern w:val="2"/>
          <w:sz w:val="21"/>
          <w:szCs w:val="21"/>
          <w:highlight w:val="none"/>
        </w:rPr>
        <w:t>发包人应根据批准的竣工后试验方案，按照单项工程内的任何部分、单项工程、单项工程之间、或(和)工程的竣工后试验程序和试验条件，组织竣工后试验。</w:t>
      </w:r>
    </w:p>
    <w:p w14:paraId="44C1F83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10.2.4</w:t>
      </w:r>
      <w:r>
        <w:rPr>
          <w:rFonts w:hint="eastAsia" w:ascii="仿宋" w:hAnsi="仿宋" w:eastAsia="仿宋" w:cs="仿宋"/>
          <w:color w:val="auto"/>
          <w:kern w:val="2"/>
          <w:sz w:val="21"/>
          <w:szCs w:val="21"/>
          <w:highlight w:val="none"/>
        </w:rPr>
        <w:t>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14:paraId="605B2B2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10.2.5</w:t>
      </w:r>
      <w:r>
        <w:rPr>
          <w:rFonts w:hint="eastAsia" w:ascii="仿宋" w:hAnsi="仿宋" w:eastAsia="仿宋" w:cs="仿宋"/>
          <w:color w:val="auto"/>
          <w:kern w:val="2"/>
          <w:sz w:val="21"/>
          <w:szCs w:val="21"/>
          <w:highlight w:val="none"/>
        </w:rPr>
        <w:t>竣工后试验日期的通知。发包人应在接收单项工程或(和)接收工程日期后的15日内通知承包人开始竣工后试验的日期，专用条款另有约定时除外。</w:t>
      </w:r>
    </w:p>
    <w:p w14:paraId="2492FEE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14:paraId="36491924">
      <w:pPr>
        <w:pStyle w:val="1024"/>
        <w:adjustRightInd w:val="0"/>
        <w:snapToGrid w:val="0"/>
        <w:spacing w:line="288" w:lineRule="auto"/>
        <w:jc w:val="both"/>
        <w:outlineLvl w:val="0"/>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10.3 竣工后试验及试运行考核</w:t>
      </w:r>
    </w:p>
    <w:p w14:paraId="2D56494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10.3.1</w:t>
      </w:r>
      <w:r>
        <w:rPr>
          <w:rFonts w:hint="eastAsia" w:ascii="仿宋" w:hAnsi="仿宋" w:eastAsia="仿宋" w:cs="仿宋"/>
          <w:color w:val="auto"/>
          <w:kern w:val="2"/>
          <w:sz w:val="21"/>
          <w:szCs w:val="21"/>
          <w:highlight w:val="none"/>
        </w:rPr>
        <w:t>按照批准的竣工后试验方案的试验程序、试验条件、操作程序进行试验，达到合同约定的工程和(或)单项工程的生产功能和(或)使用功能。</w:t>
      </w:r>
    </w:p>
    <w:p w14:paraId="6246026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10.3.2</w:t>
      </w:r>
      <w:r>
        <w:rPr>
          <w:rFonts w:hint="eastAsia" w:ascii="仿宋" w:hAnsi="仿宋" w:eastAsia="仿宋" w:cs="仿宋"/>
          <w:color w:val="auto"/>
          <w:kern w:val="2"/>
          <w:sz w:val="21"/>
          <w:szCs w:val="21"/>
          <w:highlight w:val="none"/>
        </w:rPr>
        <w:t>发包人的操作人员和承包人的指导人员，在竣工后试验过程中的同一个岗位上的试验条件记录、试验记录及表格上．应如实填写数据、条件、情况、时间、姓名及约定的其它内容。</w:t>
      </w:r>
    </w:p>
    <w:p w14:paraId="32D732E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10.3.3</w:t>
      </w:r>
      <w:r>
        <w:rPr>
          <w:rFonts w:hint="eastAsia" w:ascii="仿宋" w:hAnsi="仿宋" w:eastAsia="仿宋" w:cs="仿宋"/>
          <w:color w:val="auto"/>
          <w:kern w:val="2"/>
          <w:sz w:val="21"/>
          <w:szCs w:val="21"/>
          <w:highlight w:val="none"/>
        </w:rPr>
        <w:t>试运行考核</w:t>
      </w:r>
    </w:p>
    <w:p w14:paraId="04C8FA6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(1)根据5.1.1款约定，由承包人提供生产工艺技术和(或)建筑设计方案的，承包人应保证工程在试运行考核周期内，达到5.1.1款专用条款中约定的考核保证值和(或)使用功能。</w:t>
      </w:r>
    </w:p>
    <w:p w14:paraId="2D3AE82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(2)根据5.1.2款约定，由发包人提供生产工艺技术和(或)建筑设计方案的，承包人应保证在试运行考核周期内达到5.1.2款专用条款中约定的，应由承包人承担的工程相关部分的考核保证值和(或)使用功能。</w:t>
      </w:r>
    </w:p>
    <w:p w14:paraId="47E91CD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(3)试运行考核的时间周期由双方根据相关行业对试运行考核周期的规定，在专用条款中约定。</w:t>
      </w:r>
    </w:p>
    <w:p w14:paraId="5504944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试运行考核通过后或使用功能通过后，双方应共同整理竣工后试验及其试运行考核结果，并编写评价报告。报告一式两份，经合同双方签字或盖章后各持一份，作为本合同组成部分。发包人并应根据10.7款的约定颁发考核验收证书。</w:t>
      </w:r>
    </w:p>
    <w:p w14:paraId="2BB8A99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10.3.4</w:t>
      </w:r>
      <w:r>
        <w:rPr>
          <w:rFonts w:hint="eastAsia" w:ascii="仿宋" w:hAnsi="仿宋" w:eastAsia="仿宋" w:cs="仿宋"/>
          <w:color w:val="auto"/>
          <w:kern w:val="2"/>
          <w:sz w:val="21"/>
          <w:szCs w:val="21"/>
          <w:highlight w:val="none"/>
        </w:rPr>
        <w:t>产品和(或)服务收益的所有权。单项工程和(或)工程竣工后试验及试运行考核期间的任何产品收益和(或)服务收益，均属发包人所有。</w:t>
      </w:r>
    </w:p>
    <w:p w14:paraId="664F5BE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10.4 竣工后试验的延误</w:t>
      </w:r>
    </w:p>
    <w:p w14:paraId="0D866AE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10.4.1</w:t>
      </w:r>
      <w:r>
        <w:rPr>
          <w:rFonts w:hint="eastAsia" w:ascii="仿宋" w:hAnsi="仿宋" w:eastAsia="仿宋" w:cs="仿宋"/>
          <w:color w:val="auto"/>
          <w:kern w:val="2"/>
          <w:sz w:val="21"/>
          <w:szCs w:val="21"/>
          <w:highlight w:val="none"/>
        </w:rPr>
        <w:t>根据10.2.5款竣工后试验日期通知的约定，非因承包人原因，发包人未能在发出竣工后试验通知后的90日内开始竣工后试验的，工程和(或)单项工程视为通过了竣工后试验和试运行考核。除非专用条款另有约定。</w:t>
      </w:r>
    </w:p>
    <w:p w14:paraId="78C0685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10.4.2</w:t>
      </w:r>
      <w:r>
        <w:rPr>
          <w:rFonts w:hint="eastAsia" w:ascii="仿宋" w:hAnsi="仿宋" w:eastAsia="仿宋" w:cs="仿宋"/>
          <w:color w:val="auto"/>
          <w:kern w:val="2"/>
          <w:sz w:val="21"/>
          <w:szCs w:val="21"/>
          <w:highlight w:val="none"/>
        </w:rPr>
        <w:t>因承包人的原因造成竣工后试验延误时，承包人应采取措施，尽快组织，配合发包人开始并通过竣工后试验。当延误造成发包人的费用增加时，发包人有权根据16.2.1款的约定向承包人提出索赔。</w:t>
      </w:r>
    </w:p>
    <w:p w14:paraId="08701A4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10.4.3</w:t>
      </w:r>
      <w:r>
        <w:rPr>
          <w:rFonts w:hint="eastAsia" w:ascii="仿宋" w:hAnsi="仿宋" w:eastAsia="仿宋" w:cs="仿宋"/>
          <w:color w:val="auto"/>
          <w:kern w:val="2"/>
          <w:sz w:val="21"/>
          <w:szCs w:val="21"/>
          <w:highlight w:val="none"/>
        </w:rPr>
        <w:t>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14:paraId="4FAC66F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10.5 重新进行竣工后试验</w:t>
      </w:r>
    </w:p>
    <w:p w14:paraId="23F6D76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10.5.1</w:t>
      </w:r>
      <w:r>
        <w:rPr>
          <w:rFonts w:hint="eastAsia" w:ascii="仿宋" w:hAnsi="仿宋" w:eastAsia="仿宋" w:cs="仿宋"/>
          <w:color w:val="auto"/>
          <w:kern w:val="2"/>
          <w:sz w:val="21"/>
          <w:szCs w:val="21"/>
          <w:highlight w:val="none"/>
        </w:rPr>
        <w:t>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14:paraId="4FB2D48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10.5.2</w:t>
      </w:r>
      <w:r>
        <w:rPr>
          <w:rFonts w:hint="eastAsia" w:ascii="仿宋" w:hAnsi="仿宋" w:eastAsia="仿宋" w:cs="仿宋"/>
          <w:color w:val="auto"/>
          <w:kern w:val="2"/>
          <w:sz w:val="21"/>
          <w:szCs w:val="21"/>
          <w:highlight w:val="none"/>
        </w:rPr>
        <w:t>承包人根据10.5.1款重新进行试验，仍未能通过该项试验时，承包人应自费继续修补缺陷，并在发包人的组织领导下，按10.2.3款约定的试验程序、试验条件，再次指导发包人进行此项试验。</w:t>
      </w:r>
    </w:p>
    <w:p w14:paraId="1A8F07E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10.5.3</w:t>
      </w:r>
      <w:r>
        <w:rPr>
          <w:rFonts w:hint="eastAsia" w:ascii="仿宋" w:hAnsi="仿宋" w:eastAsia="仿宋" w:cs="仿宋"/>
          <w:color w:val="auto"/>
          <w:kern w:val="2"/>
          <w:sz w:val="21"/>
          <w:szCs w:val="21"/>
          <w:highlight w:val="none"/>
        </w:rPr>
        <w:t>因承包人原因，重新进行竣工后试验，给发包人增加了额外费用时，发包人有权根据16.2.1款的约定向承包人提出索赔。</w:t>
      </w:r>
    </w:p>
    <w:p w14:paraId="7C2F9EE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57" w:name="_Toc535392509"/>
      <w:bookmarkEnd w:id="257"/>
      <w:bookmarkStart w:id="258" w:name="_Toc947603"/>
      <w:r>
        <w:rPr>
          <w:rFonts w:hint="eastAsia" w:ascii="仿宋" w:hAnsi="仿宋" w:eastAsia="仿宋" w:cs="仿宋"/>
          <w:b/>
          <w:bCs/>
          <w:color w:val="auto"/>
          <w:kern w:val="2"/>
          <w:sz w:val="21"/>
          <w:szCs w:val="21"/>
          <w:highlight w:val="none"/>
        </w:rPr>
        <w:t>10.6 未能通过考核</w:t>
      </w:r>
      <w:bookmarkEnd w:id="258"/>
    </w:p>
    <w:p w14:paraId="49F010A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因承包人原因使工程和(或)单项工程未能通过考核，但尚具有生产功能、使用功能时，按以下约定处理：</w:t>
      </w:r>
    </w:p>
    <w:p w14:paraId="19BAF57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(1)未能通过试运行考核的赔偿</w:t>
      </w:r>
    </w:p>
    <w:p w14:paraId="34687FB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1)承包人提供的生产工艺技术或建筑设计方案未能通过试运行考核</w:t>
      </w:r>
    </w:p>
    <w:p w14:paraId="27F7ADD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14:paraId="63D5440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2)发包人提供的生产工艺技术或建筑设计方案未能通过试运行考核</w:t>
      </w:r>
    </w:p>
    <w:p w14:paraId="079FDDD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14:paraId="1B0D7EE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对未能通过试运行考核的工程和(或)单项工程，若提出自费调查、调整和修正并被发包人接受时，双方可商定相应的调查、修正和试验期限，发包人应为此提供方便。在通过该项考核之前，发包人可暂不按10.6款第(1)项约定提出赔偿。</w:t>
      </w:r>
    </w:p>
    <w:p w14:paraId="6FC9636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(3)发包人接受了本款第(2)项约定，但在商定的期限内发包人未能给承包人提供方便，致使承包人无法在约定期限内进行调查、调整和修正的，视为该项试运行考核己被通过。</w:t>
      </w:r>
    </w:p>
    <w:p w14:paraId="1BF7C60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59" w:name="_Toc535392510"/>
      <w:bookmarkEnd w:id="259"/>
      <w:bookmarkStart w:id="260" w:name="_Toc947604"/>
      <w:r>
        <w:rPr>
          <w:rFonts w:hint="eastAsia" w:ascii="仿宋" w:hAnsi="仿宋" w:eastAsia="仿宋" w:cs="仿宋"/>
          <w:b/>
          <w:bCs/>
          <w:color w:val="auto"/>
          <w:kern w:val="2"/>
          <w:sz w:val="21"/>
          <w:szCs w:val="21"/>
          <w:highlight w:val="none"/>
        </w:rPr>
        <w:t>10.7 竣工后试验及考核验收证书</w:t>
      </w:r>
      <w:bookmarkEnd w:id="260"/>
    </w:p>
    <w:p w14:paraId="0B73EEC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10.7.1</w:t>
      </w:r>
      <w:r>
        <w:rPr>
          <w:rFonts w:hint="eastAsia" w:ascii="仿宋" w:hAnsi="仿宋" w:eastAsia="仿宋" w:cs="仿宋"/>
          <w:color w:val="auto"/>
          <w:kern w:val="2"/>
          <w:sz w:val="21"/>
          <w:szCs w:val="21"/>
          <w:highlight w:val="none"/>
        </w:rPr>
        <w:t>在专用条款中约定按工程和(或)按单项工程颁发竣工后试验及考核验收证书。</w:t>
      </w:r>
    </w:p>
    <w:p w14:paraId="799D1186">
      <w:pPr>
        <w:pStyle w:val="1024"/>
        <w:adjustRightInd w:val="0"/>
        <w:snapToGrid w:val="0"/>
        <w:spacing w:line="288" w:lineRule="auto"/>
        <w:jc w:val="both"/>
        <w:rPr>
          <w:rFonts w:ascii="仿宋" w:hAnsi="仿宋" w:eastAsia="仿宋" w:cs="仿宋"/>
          <w:color w:val="auto"/>
          <w:kern w:val="2"/>
          <w:sz w:val="21"/>
          <w:szCs w:val="21"/>
          <w:highlight w:val="none"/>
        </w:rPr>
      </w:pPr>
      <w:bookmarkStart w:id="261" w:name="_Toc535392511"/>
      <w:bookmarkEnd w:id="261"/>
      <w:bookmarkStart w:id="262" w:name="_Toc947605"/>
      <w:r>
        <w:rPr>
          <w:rFonts w:hint="eastAsia" w:ascii="仿宋" w:hAnsi="仿宋" w:eastAsia="仿宋" w:cs="仿宋"/>
          <w:b/>
          <w:bCs/>
          <w:color w:val="auto"/>
          <w:kern w:val="2"/>
          <w:sz w:val="21"/>
          <w:szCs w:val="21"/>
          <w:highlight w:val="none"/>
        </w:rPr>
        <w:t>10.7.2</w:t>
      </w:r>
      <w:r>
        <w:rPr>
          <w:rFonts w:hint="eastAsia" w:ascii="仿宋" w:hAnsi="仿宋" w:eastAsia="仿宋" w:cs="仿宋"/>
          <w:color w:val="auto"/>
          <w:kern w:val="2"/>
          <w:sz w:val="21"/>
          <w:szCs w:val="21"/>
          <w:highlight w:val="none"/>
        </w:rPr>
        <w:t>发包人根据10.3款、10.4款、10.5.1款、10.5.2款及10.6款的约定</w:t>
      </w:r>
      <w:bookmarkEnd w:id="262"/>
      <w:r>
        <w:rPr>
          <w:rFonts w:hint="eastAsia" w:ascii="仿宋" w:hAnsi="仿宋" w:eastAsia="仿宋" w:cs="仿宋"/>
          <w:color w:val="auto"/>
          <w:kern w:val="2"/>
          <w:sz w:val="21"/>
          <w:szCs w:val="21"/>
          <w:highlight w:val="none"/>
        </w:rPr>
        <w:t>对通过或视为通过竣工后试验和(或)试运行考核的，应按10.7.1款颁发竣工后试验及考核验收证书。该证书中写明的试运行考核通过的日期和时间，为实际完成考核或视为通过试运行考核的日期和时间。</w:t>
      </w:r>
    </w:p>
    <w:p w14:paraId="19B646D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63" w:name="_Toc535392512"/>
      <w:bookmarkEnd w:id="263"/>
      <w:bookmarkStart w:id="264" w:name="_Toc947606"/>
      <w:r>
        <w:rPr>
          <w:rFonts w:hint="eastAsia" w:ascii="仿宋" w:hAnsi="仿宋" w:eastAsia="仿宋" w:cs="仿宋"/>
          <w:b/>
          <w:bCs/>
          <w:color w:val="auto"/>
          <w:kern w:val="2"/>
          <w:sz w:val="21"/>
          <w:szCs w:val="21"/>
          <w:highlight w:val="none"/>
        </w:rPr>
        <w:t>10.8 丧失了生产价值和使用价值</w:t>
      </w:r>
      <w:bookmarkEnd w:id="264"/>
    </w:p>
    <w:p w14:paraId="00C8045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的原因，工程和(或)单项工程未能通过竣工后试验，并使整个工程丧失了生产价值或使用价值时，发包人有权提出未能履约的索赔，并扣罚己提交的履约保函。但发包人不得将本合同以外的连带合同损失包括在未履约索赔之中。</w:t>
      </w:r>
    </w:p>
    <w:p w14:paraId="145A4DF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连带合同损失指市场销售合同损失、市场预计盈利、生产流动资金贷款利息、竣工后试验及试运行考核周期以外所签订的原材料、辅助材料、电力、水、燃料等供应合同损失，以及运输合同等损失，适用法律另有规定时除外。</w:t>
      </w:r>
    </w:p>
    <w:p w14:paraId="676E2C4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第ll条 质量保修责任</w:t>
      </w:r>
    </w:p>
    <w:p w14:paraId="08A5E84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65" w:name="_Toc535392513"/>
      <w:bookmarkEnd w:id="265"/>
      <w:bookmarkStart w:id="266" w:name="_Toc947607"/>
      <w:r>
        <w:rPr>
          <w:rFonts w:hint="eastAsia" w:ascii="仿宋" w:hAnsi="仿宋" w:eastAsia="仿宋" w:cs="仿宋"/>
          <w:b/>
          <w:bCs/>
          <w:color w:val="auto"/>
          <w:kern w:val="2"/>
          <w:sz w:val="21"/>
          <w:szCs w:val="21"/>
          <w:highlight w:val="none"/>
        </w:rPr>
        <w:t>11.1 质量保修责任书</w:t>
      </w:r>
      <w:bookmarkEnd w:id="266"/>
    </w:p>
    <w:p w14:paraId="5FCC3E89">
      <w:pPr>
        <w:pStyle w:val="1024"/>
        <w:adjustRightInd w:val="0"/>
        <w:snapToGrid w:val="0"/>
        <w:spacing w:line="288" w:lineRule="auto"/>
        <w:jc w:val="both"/>
        <w:rPr>
          <w:rFonts w:ascii="仿宋" w:hAnsi="仿宋" w:eastAsia="仿宋" w:cs="仿宋"/>
          <w:color w:val="auto"/>
          <w:kern w:val="2"/>
          <w:sz w:val="21"/>
          <w:szCs w:val="21"/>
          <w:highlight w:val="none"/>
        </w:rPr>
      </w:pPr>
      <w:bookmarkStart w:id="267" w:name="_Toc535392514"/>
      <w:bookmarkEnd w:id="267"/>
      <w:bookmarkStart w:id="268" w:name="_Toc947608"/>
      <w:r>
        <w:rPr>
          <w:rFonts w:hint="eastAsia" w:ascii="仿宋" w:hAnsi="仿宋" w:eastAsia="仿宋" w:cs="仿宋"/>
          <w:b/>
          <w:bCs/>
          <w:color w:val="auto"/>
          <w:kern w:val="2"/>
          <w:sz w:val="21"/>
          <w:szCs w:val="21"/>
          <w:highlight w:val="none"/>
        </w:rPr>
        <w:t>11.1.1</w:t>
      </w:r>
      <w:r>
        <w:rPr>
          <w:rFonts w:hint="eastAsia" w:ascii="仿宋" w:hAnsi="仿宋" w:eastAsia="仿宋" w:cs="仿宋"/>
          <w:color w:val="auto"/>
          <w:kern w:val="2"/>
          <w:sz w:val="21"/>
          <w:szCs w:val="21"/>
          <w:highlight w:val="none"/>
        </w:rPr>
        <w:t>质量保修责任书</w:t>
      </w:r>
      <w:bookmarkEnd w:id="268"/>
    </w:p>
    <w:p w14:paraId="3987F2B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14:paraId="2F768A34">
      <w:pPr>
        <w:pStyle w:val="1024"/>
        <w:adjustRightInd w:val="0"/>
        <w:snapToGrid w:val="0"/>
        <w:spacing w:line="288" w:lineRule="auto"/>
        <w:jc w:val="both"/>
        <w:rPr>
          <w:rFonts w:ascii="仿宋" w:hAnsi="仿宋" w:eastAsia="仿宋" w:cs="仿宋"/>
          <w:color w:val="auto"/>
          <w:kern w:val="2"/>
          <w:sz w:val="21"/>
          <w:szCs w:val="21"/>
          <w:highlight w:val="none"/>
        </w:rPr>
      </w:pPr>
      <w:bookmarkStart w:id="269" w:name="_Toc535392515"/>
      <w:bookmarkEnd w:id="269"/>
      <w:bookmarkStart w:id="270" w:name="_Toc947609"/>
      <w:r>
        <w:rPr>
          <w:rFonts w:hint="eastAsia" w:ascii="仿宋" w:hAnsi="仿宋" w:eastAsia="仿宋" w:cs="仿宋"/>
          <w:b/>
          <w:bCs/>
          <w:color w:val="auto"/>
          <w:kern w:val="2"/>
          <w:sz w:val="21"/>
          <w:szCs w:val="21"/>
          <w:highlight w:val="none"/>
        </w:rPr>
        <w:t>11.1.2</w:t>
      </w:r>
      <w:r>
        <w:rPr>
          <w:rFonts w:hint="eastAsia" w:ascii="仿宋" w:hAnsi="仿宋" w:eastAsia="仿宋" w:cs="仿宋"/>
          <w:color w:val="auto"/>
          <w:kern w:val="2"/>
          <w:sz w:val="21"/>
          <w:szCs w:val="21"/>
          <w:highlight w:val="none"/>
        </w:rPr>
        <w:t>未提交质量保修责任书</w:t>
      </w:r>
      <w:bookmarkEnd w:id="270"/>
    </w:p>
    <w:p w14:paraId="71A0CA2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承包人未能提交质量保修责任书、无正当理由不与发包人签订质量保修责任书，发包人可不与承包人办理竣工结算，不承担尚未支付的竣工结算款项的相应利息，即使合同已约定延期支付利息。</w:t>
      </w:r>
    </w:p>
    <w:p w14:paraId="4078FFA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14:paraId="7CF4ABA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71" w:name="_Toc535392516"/>
      <w:bookmarkEnd w:id="271"/>
      <w:bookmarkStart w:id="272" w:name="_Toc947610"/>
      <w:r>
        <w:rPr>
          <w:rFonts w:hint="eastAsia" w:ascii="仿宋" w:hAnsi="仿宋" w:eastAsia="仿宋" w:cs="仿宋"/>
          <w:b/>
          <w:bCs/>
          <w:color w:val="auto"/>
          <w:kern w:val="2"/>
          <w:sz w:val="21"/>
          <w:szCs w:val="21"/>
          <w:highlight w:val="none"/>
        </w:rPr>
        <w:t>11.2 缺陷责任保修金</w:t>
      </w:r>
      <w:bookmarkEnd w:id="272"/>
    </w:p>
    <w:p w14:paraId="516A9E94">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11.2.1</w:t>
      </w:r>
      <w:r>
        <w:rPr>
          <w:rFonts w:hint="eastAsia" w:ascii="仿宋" w:hAnsi="仿宋" w:eastAsia="仿宋" w:cs="仿宋"/>
          <w:color w:val="auto"/>
          <w:kern w:val="2"/>
          <w:sz w:val="21"/>
          <w:szCs w:val="21"/>
          <w:highlight w:val="none"/>
        </w:rPr>
        <w:t>缺陷责任保修金金额</w:t>
      </w:r>
    </w:p>
    <w:p w14:paraId="02527D7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缺陷责任保修金的金额，在专用条款中约定。</w:t>
      </w:r>
    </w:p>
    <w:p w14:paraId="31A50991">
      <w:pPr>
        <w:pStyle w:val="1024"/>
        <w:adjustRightInd w:val="0"/>
        <w:snapToGrid w:val="0"/>
        <w:spacing w:line="288" w:lineRule="auto"/>
        <w:jc w:val="both"/>
        <w:rPr>
          <w:rFonts w:ascii="仿宋" w:hAnsi="仿宋" w:eastAsia="仿宋" w:cs="仿宋"/>
          <w:color w:val="auto"/>
          <w:kern w:val="2"/>
          <w:sz w:val="21"/>
          <w:szCs w:val="21"/>
          <w:highlight w:val="none"/>
        </w:rPr>
      </w:pPr>
      <w:bookmarkStart w:id="273" w:name="_Toc535392517"/>
      <w:bookmarkEnd w:id="273"/>
      <w:bookmarkStart w:id="274" w:name="_Toc947611"/>
      <w:r>
        <w:rPr>
          <w:rFonts w:hint="eastAsia" w:ascii="仿宋" w:hAnsi="仿宋" w:eastAsia="仿宋" w:cs="仿宋"/>
          <w:b/>
          <w:bCs/>
          <w:color w:val="auto"/>
          <w:kern w:val="2"/>
          <w:sz w:val="21"/>
          <w:szCs w:val="21"/>
          <w:highlight w:val="none"/>
        </w:rPr>
        <w:t>11.2.2</w:t>
      </w:r>
      <w:r>
        <w:rPr>
          <w:rFonts w:hint="eastAsia" w:ascii="仿宋" w:hAnsi="仿宋" w:eastAsia="仿宋" w:cs="仿宋"/>
          <w:color w:val="auto"/>
          <w:kern w:val="2"/>
          <w:sz w:val="21"/>
          <w:szCs w:val="21"/>
          <w:highlight w:val="none"/>
        </w:rPr>
        <w:t>缺陷责任保修金的暂扣</w:t>
      </w:r>
      <w:bookmarkEnd w:id="274"/>
    </w:p>
    <w:p w14:paraId="236CBB6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缺陷责任保修金的暂扣方式，在专用条款中约定。</w:t>
      </w:r>
    </w:p>
    <w:p w14:paraId="1D5DF99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11.2.3</w:t>
      </w:r>
      <w:r>
        <w:rPr>
          <w:rFonts w:hint="eastAsia" w:ascii="仿宋" w:hAnsi="仿宋" w:eastAsia="仿宋" w:cs="仿宋"/>
          <w:color w:val="auto"/>
          <w:kern w:val="2"/>
          <w:sz w:val="21"/>
          <w:szCs w:val="21"/>
          <w:highlight w:val="none"/>
        </w:rPr>
        <w:t>缺陷责任保修金的支付</w:t>
      </w:r>
    </w:p>
    <w:p w14:paraId="393DF9C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发包人应依据第14.5.2款缺陷责任保修金支付的约定，支付被暂扣的缺陷责任保修金。</w:t>
      </w:r>
    </w:p>
    <w:p w14:paraId="19A3A61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第12条 工程竣工验收</w:t>
      </w:r>
    </w:p>
    <w:p w14:paraId="3627FB6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75" w:name="_Toc535392518"/>
      <w:bookmarkEnd w:id="275"/>
      <w:bookmarkStart w:id="276" w:name="_Toc947612"/>
      <w:r>
        <w:rPr>
          <w:rFonts w:hint="eastAsia" w:ascii="仿宋" w:hAnsi="仿宋" w:eastAsia="仿宋" w:cs="仿宋"/>
          <w:b/>
          <w:bCs/>
          <w:color w:val="auto"/>
          <w:kern w:val="2"/>
          <w:sz w:val="21"/>
          <w:szCs w:val="21"/>
          <w:highlight w:val="none"/>
        </w:rPr>
        <w:t>12.1 竣工验收报告及完整的竣工赘料</w:t>
      </w:r>
      <w:bookmarkEnd w:id="276"/>
    </w:p>
    <w:p w14:paraId="36E37A1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12.1.1</w:t>
      </w:r>
      <w:r>
        <w:rPr>
          <w:rFonts w:hint="eastAsia" w:ascii="仿宋" w:hAnsi="仿宋" w:eastAsia="仿宋" w:cs="仿宋"/>
          <w:color w:val="auto"/>
          <w:kern w:val="2"/>
          <w:sz w:val="21"/>
          <w:szCs w:val="21"/>
          <w:highlight w:val="none"/>
        </w:rPr>
        <w:t>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14:paraId="4FD0045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12.1.2</w:t>
      </w:r>
      <w:r>
        <w:rPr>
          <w:rFonts w:hint="eastAsia" w:ascii="仿宋" w:hAnsi="仿宋" w:eastAsia="仿宋" w:cs="仿宋"/>
          <w:color w:val="auto"/>
          <w:kern w:val="2"/>
          <w:sz w:val="21"/>
          <w:szCs w:val="21"/>
          <w:highlight w:val="none"/>
        </w:rPr>
        <w:t>发包人应在接到竣工验收报告和完整的竣工资料后25日内提出修改意见或予以确认，承包人应按照发包人的意见自费对竣工验收报告和竣工资料进行修改。25日内发包人未提山修改意见，视为竣工资料和竣工验收报告己被确认。</w:t>
      </w:r>
    </w:p>
    <w:p w14:paraId="7A42A590">
      <w:pPr>
        <w:pStyle w:val="1024"/>
        <w:adjustRightInd w:val="0"/>
        <w:snapToGrid w:val="0"/>
        <w:spacing w:line="288" w:lineRule="auto"/>
        <w:jc w:val="both"/>
        <w:rPr>
          <w:rFonts w:ascii="仿宋" w:hAnsi="仿宋" w:eastAsia="仿宋" w:cs="仿宋"/>
          <w:color w:val="auto"/>
          <w:kern w:val="2"/>
          <w:sz w:val="21"/>
          <w:szCs w:val="21"/>
          <w:highlight w:val="none"/>
        </w:rPr>
      </w:pPr>
      <w:bookmarkStart w:id="277" w:name="_Toc535392519"/>
      <w:bookmarkEnd w:id="277"/>
      <w:bookmarkStart w:id="278" w:name="_Toc947613"/>
      <w:r>
        <w:rPr>
          <w:rFonts w:hint="eastAsia" w:ascii="仿宋" w:hAnsi="仿宋" w:eastAsia="仿宋" w:cs="仿宋"/>
          <w:b/>
          <w:bCs/>
          <w:color w:val="auto"/>
          <w:kern w:val="2"/>
          <w:sz w:val="21"/>
          <w:szCs w:val="21"/>
          <w:highlight w:val="none"/>
        </w:rPr>
        <w:t>12.1.3</w:t>
      </w:r>
      <w:r>
        <w:rPr>
          <w:rFonts w:hint="eastAsia" w:ascii="仿宋" w:hAnsi="仿宋" w:eastAsia="仿宋" w:cs="仿宋"/>
          <w:color w:val="auto"/>
          <w:kern w:val="2"/>
          <w:sz w:val="21"/>
          <w:szCs w:val="21"/>
          <w:highlight w:val="none"/>
        </w:rPr>
        <w:t>分期建设、分期投产或分期使用的工程，按12.1.1款及12.1.2款的</w:t>
      </w:r>
      <w:bookmarkEnd w:id="278"/>
      <w:r>
        <w:rPr>
          <w:rFonts w:hint="eastAsia" w:ascii="仿宋" w:hAnsi="仿宋" w:eastAsia="仿宋" w:cs="仿宋"/>
          <w:color w:val="auto"/>
          <w:kern w:val="2"/>
          <w:sz w:val="21"/>
          <w:szCs w:val="21"/>
          <w:highlight w:val="none"/>
        </w:rPr>
        <w:t>约定办理。</w:t>
      </w:r>
    </w:p>
    <w:p w14:paraId="69D6751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79" w:name="_Toc535392520"/>
      <w:bookmarkEnd w:id="279"/>
      <w:bookmarkStart w:id="280" w:name="_Toc947614"/>
      <w:r>
        <w:rPr>
          <w:rFonts w:hint="eastAsia" w:ascii="仿宋" w:hAnsi="仿宋" w:eastAsia="仿宋" w:cs="仿宋"/>
          <w:b/>
          <w:bCs/>
          <w:color w:val="auto"/>
          <w:kern w:val="2"/>
          <w:sz w:val="21"/>
          <w:szCs w:val="21"/>
          <w:highlight w:val="none"/>
        </w:rPr>
        <w:t>12.2 竣工验收</w:t>
      </w:r>
      <w:bookmarkEnd w:id="280"/>
    </w:p>
    <w:p w14:paraId="635766F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12.2.1</w:t>
      </w:r>
      <w:r>
        <w:rPr>
          <w:rFonts w:hint="eastAsia" w:ascii="仿宋" w:hAnsi="仿宋" w:eastAsia="仿宋" w:cs="仿宋"/>
          <w:color w:val="auto"/>
          <w:kern w:val="2"/>
          <w:sz w:val="21"/>
          <w:szCs w:val="21"/>
          <w:highlight w:val="none"/>
        </w:rPr>
        <w:t>组织竣工验收</w:t>
      </w:r>
    </w:p>
    <w:p w14:paraId="2B153F7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发包人应在接到竣工验收报告和完整的竣工资料，并根据12.1.2款的约定被确认后的30日内，组织竣工验收。</w:t>
      </w:r>
    </w:p>
    <w:p w14:paraId="69305AC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12.2.2</w:t>
      </w:r>
      <w:r>
        <w:rPr>
          <w:rFonts w:hint="eastAsia" w:ascii="仿宋" w:hAnsi="仿宋" w:eastAsia="仿宋" w:cs="仿宋"/>
          <w:color w:val="auto"/>
          <w:kern w:val="2"/>
          <w:sz w:val="21"/>
          <w:szCs w:val="21"/>
          <w:highlight w:val="none"/>
        </w:rPr>
        <w:t>延后组织的竣工验收</w:t>
      </w:r>
    </w:p>
    <w:p w14:paraId="7F172DA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发包人未能根据12.2.1款的约定，在30日内组织竣工验收时，应按照14.12. 1至14.12.3款的约定，结清竣工结算的款项。</w:t>
      </w:r>
    </w:p>
    <w:p w14:paraId="373F43B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在12.2.1款约定的时间之后，发包人进行竣工验收时，承包人有义务参加。发包人在验收后的25日内，对承包人的竣工验收报告或竣工资料提出的进一步修改意见的，承包人应按照发包人的意见自费修改。</w:t>
      </w:r>
    </w:p>
    <w:p w14:paraId="1114F063">
      <w:pPr>
        <w:pStyle w:val="1024"/>
        <w:adjustRightInd w:val="0"/>
        <w:snapToGrid w:val="0"/>
        <w:spacing w:line="288" w:lineRule="auto"/>
        <w:jc w:val="both"/>
        <w:rPr>
          <w:rFonts w:ascii="仿宋" w:hAnsi="仿宋" w:eastAsia="仿宋" w:cs="仿宋"/>
          <w:color w:val="auto"/>
          <w:kern w:val="2"/>
          <w:sz w:val="21"/>
          <w:szCs w:val="21"/>
          <w:highlight w:val="none"/>
        </w:rPr>
      </w:pPr>
      <w:bookmarkStart w:id="281" w:name="_Toc535392521"/>
      <w:bookmarkEnd w:id="281"/>
      <w:bookmarkStart w:id="282" w:name="_Toc947615"/>
      <w:r>
        <w:rPr>
          <w:rFonts w:hint="eastAsia" w:ascii="仿宋" w:hAnsi="仿宋" w:eastAsia="仿宋" w:cs="仿宋"/>
          <w:b/>
          <w:bCs/>
          <w:color w:val="auto"/>
          <w:kern w:val="2"/>
          <w:sz w:val="21"/>
          <w:szCs w:val="21"/>
          <w:highlight w:val="none"/>
        </w:rPr>
        <w:t>12.2.3</w:t>
      </w:r>
      <w:r>
        <w:rPr>
          <w:rFonts w:hint="eastAsia" w:ascii="仿宋" w:hAnsi="仿宋" w:eastAsia="仿宋" w:cs="仿宋"/>
          <w:color w:val="auto"/>
          <w:kern w:val="2"/>
          <w:sz w:val="21"/>
          <w:szCs w:val="21"/>
          <w:highlight w:val="none"/>
        </w:rPr>
        <w:t>分期竣工验收</w:t>
      </w:r>
      <w:bookmarkEnd w:id="282"/>
    </w:p>
    <w:p w14:paraId="6B56CEF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分期建设、分期投产或分期使用的合同工程的竣工验收，按12.1.3款、12.2.1款的约定，分期组织竣工验收。</w:t>
      </w:r>
    </w:p>
    <w:p w14:paraId="7C4DF09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第13条 变更和合同价格调整</w:t>
      </w:r>
    </w:p>
    <w:p w14:paraId="55144A4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83" w:name="_Toc535392522"/>
      <w:bookmarkEnd w:id="283"/>
      <w:bookmarkStart w:id="284" w:name="_Toc947616"/>
      <w:r>
        <w:rPr>
          <w:rFonts w:hint="eastAsia" w:ascii="仿宋" w:hAnsi="仿宋" w:eastAsia="仿宋" w:cs="仿宋"/>
          <w:b/>
          <w:bCs/>
          <w:color w:val="auto"/>
          <w:kern w:val="2"/>
          <w:sz w:val="21"/>
          <w:szCs w:val="21"/>
          <w:highlight w:val="none"/>
        </w:rPr>
        <w:t>13.1 变更权</w:t>
      </w:r>
      <w:bookmarkEnd w:id="284"/>
    </w:p>
    <w:p w14:paraId="0672ECF3">
      <w:pPr>
        <w:pStyle w:val="1024"/>
        <w:adjustRightInd w:val="0"/>
        <w:snapToGrid w:val="0"/>
        <w:spacing w:line="288" w:lineRule="auto"/>
        <w:jc w:val="both"/>
        <w:rPr>
          <w:rFonts w:ascii="仿宋" w:hAnsi="仿宋" w:eastAsia="仿宋" w:cs="仿宋"/>
          <w:color w:val="auto"/>
          <w:kern w:val="2"/>
          <w:sz w:val="21"/>
          <w:szCs w:val="21"/>
          <w:highlight w:val="none"/>
        </w:rPr>
      </w:pPr>
      <w:bookmarkStart w:id="285" w:name="_Toc535392523"/>
      <w:bookmarkEnd w:id="285"/>
      <w:bookmarkStart w:id="286" w:name="_Toc947617"/>
      <w:r>
        <w:rPr>
          <w:rFonts w:hint="eastAsia" w:ascii="仿宋" w:hAnsi="仿宋" w:eastAsia="仿宋" w:cs="仿宋"/>
          <w:b/>
          <w:bCs/>
          <w:color w:val="auto"/>
          <w:kern w:val="2"/>
          <w:sz w:val="21"/>
          <w:szCs w:val="21"/>
          <w:highlight w:val="none"/>
        </w:rPr>
        <w:t>13.1.1</w:t>
      </w:r>
      <w:r>
        <w:rPr>
          <w:rFonts w:hint="eastAsia" w:ascii="仿宋" w:hAnsi="仿宋" w:eastAsia="仿宋" w:cs="仿宋"/>
          <w:color w:val="auto"/>
          <w:kern w:val="2"/>
          <w:sz w:val="21"/>
          <w:szCs w:val="21"/>
          <w:highlight w:val="none"/>
        </w:rPr>
        <w:t>变更权</w:t>
      </w:r>
      <w:bookmarkEnd w:id="286"/>
    </w:p>
    <w:p w14:paraId="01F8E79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发包人拥有批准变更的权限。自合同生效后至工程竣工验收前的任何时间内，发包人有权依据监理人的建议、承包人的建议，及13．2款约定的变更范围，下达变更指令。变更指令以书面形式发出。</w:t>
      </w:r>
    </w:p>
    <w:p w14:paraId="44DA5AD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13.1.2</w:t>
      </w:r>
      <w:r>
        <w:rPr>
          <w:rFonts w:hint="eastAsia" w:ascii="仿宋" w:hAnsi="仿宋" w:eastAsia="仿宋" w:cs="仿宋"/>
          <w:color w:val="auto"/>
          <w:kern w:val="2"/>
          <w:sz w:val="21"/>
          <w:szCs w:val="21"/>
          <w:highlight w:val="none"/>
        </w:rPr>
        <w:t>变更</w:t>
      </w:r>
    </w:p>
    <w:p w14:paraId="07DC883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由发包人批准并发出的书面变更指令，属于变更。包括发包人直接下达的变更指令、或经发包人批准的由监理人下达的变更指令。</w:t>
      </w:r>
    </w:p>
    <w:p w14:paraId="326150E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由于承包人对自身的设计、采购、施工、竣工试验、竣工后试验存在的缺陷，应自费修正、调整和完善，不属于变更。</w:t>
      </w:r>
    </w:p>
    <w:p w14:paraId="5A68D7D3">
      <w:pPr>
        <w:pStyle w:val="1024"/>
        <w:adjustRightInd w:val="0"/>
        <w:snapToGrid w:val="0"/>
        <w:spacing w:line="288" w:lineRule="auto"/>
        <w:jc w:val="both"/>
        <w:rPr>
          <w:rFonts w:ascii="仿宋" w:hAnsi="仿宋" w:eastAsia="仿宋" w:cs="仿宋"/>
          <w:color w:val="auto"/>
          <w:kern w:val="2"/>
          <w:sz w:val="21"/>
          <w:szCs w:val="21"/>
          <w:highlight w:val="none"/>
        </w:rPr>
      </w:pPr>
      <w:bookmarkStart w:id="287" w:name="_Toc535392524"/>
      <w:bookmarkEnd w:id="287"/>
      <w:bookmarkStart w:id="288" w:name="_Toc947618"/>
      <w:r>
        <w:rPr>
          <w:rFonts w:hint="eastAsia" w:ascii="仿宋" w:hAnsi="仿宋" w:eastAsia="仿宋" w:cs="仿宋"/>
          <w:b/>
          <w:bCs/>
          <w:color w:val="auto"/>
          <w:kern w:val="2"/>
          <w:sz w:val="21"/>
          <w:szCs w:val="21"/>
          <w:highlight w:val="none"/>
        </w:rPr>
        <w:t>13.1.3</w:t>
      </w:r>
      <w:r>
        <w:rPr>
          <w:rFonts w:hint="eastAsia" w:ascii="仿宋" w:hAnsi="仿宋" w:eastAsia="仿宋" w:cs="仿宋"/>
          <w:color w:val="auto"/>
          <w:kern w:val="2"/>
          <w:sz w:val="21"/>
          <w:szCs w:val="21"/>
          <w:highlight w:val="none"/>
        </w:rPr>
        <w:t>变更建议权</w:t>
      </w:r>
      <w:bookmarkEnd w:id="288"/>
    </w:p>
    <w:p w14:paraId="032C9EC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14:paraId="61D526E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89" w:name="_Toc535392525"/>
      <w:bookmarkEnd w:id="289"/>
      <w:bookmarkStart w:id="290" w:name="_Toc947619"/>
      <w:r>
        <w:rPr>
          <w:rFonts w:hint="eastAsia" w:ascii="仿宋" w:hAnsi="仿宋" w:eastAsia="仿宋" w:cs="仿宋"/>
          <w:b/>
          <w:bCs/>
          <w:color w:val="auto"/>
          <w:kern w:val="2"/>
          <w:sz w:val="21"/>
          <w:szCs w:val="21"/>
          <w:highlight w:val="none"/>
        </w:rPr>
        <w:t>13.2 变更范围</w:t>
      </w:r>
      <w:bookmarkEnd w:id="290"/>
    </w:p>
    <w:p w14:paraId="4942D64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13.2.1</w:t>
      </w:r>
      <w:r>
        <w:rPr>
          <w:rFonts w:hint="eastAsia" w:ascii="仿宋" w:hAnsi="仿宋" w:eastAsia="仿宋" w:cs="仿宋"/>
          <w:color w:val="auto"/>
          <w:kern w:val="2"/>
          <w:sz w:val="21"/>
          <w:szCs w:val="21"/>
          <w:highlight w:val="none"/>
        </w:rPr>
        <w:t>设计变更范围</w:t>
      </w:r>
    </w:p>
    <w:p w14:paraId="2423F2A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(1)对生产工艺流程的调整，但未扩大或缩小初步设计批准的生产路线和规模、或未扩大或缩小合同约定的生产路线和规模；</w:t>
      </w:r>
    </w:p>
    <w:p w14:paraId="1221EB9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(2)对平面布置、竖面布置、局部使用功能的调整，但未扩大初步设计批准的建筑规模，未改变初步设计批准的使用功能；或未扩大合同约定的建设规模，未改变合同约定的使用功能；</w:t>
      </w:r>
    </w:p>
    <w:p w14:paraId="3A577BF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(3)对配套工程系统的工艺调整、使用功能调整；</w:t>
      </w:r>
    </w:p>
    <w:p w14:paraId="493B551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(4)对区域内基准控制点、基准标高和基准线的调整；</w:t>
      </w:r>
    </w:p>
    <w:p w14:paraId="043D6E6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(5)对设备、材料、部件的性能、规格和数量的调整；    </w:t>
      </w:r>
    </w:p>
    <w:p w14:paraId="43C19E6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(6)因执行基准日期之后新颁布的法律、标准、规范引起的变更；</w:t>
      </w:r>
    </w:p>
    <w:p w14:paraId="75E7346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(7)其它超出合同约定的设计事项；</w:t>
      </w:r>
    </w:p>
    <w:p w14:paraId="41D242D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(8)上述变更所需的附加工作。</w:t>
      </w:r>
    </w:p>
    <w:p w14:paraId="3A5AE97A">
      <w:pPr>
        <w:pStyle w:val="1024"/>
        <w:adjustRightInd w:val="0"/>
        <w:snapToGrid w:val="0"/>
        <w:spacing w:line="288" w:lineRule="auto"/>
        <w:jc w:val="both"/>
        <w:rPr>
          <w:rFonts w:ascii="仿宋" w:hAnsi="仿宋" w:eastAsia="仿宋" w:cs="仿宋"/>
          <w:color w:val="auto"/>
          <w:kern w:val="2"/>
          <w:sz w:val="21"/>
          <w:szCs w:val="21"/>
          <w:highlight w:val="none"/>
        </w:rPr>
      </w:pPr>
      <w:bookmarkStart w:id="291" w:name="_Toc535392526"/>
      <w:bookmarkEnd w:id="291"/>
      <w:bookmarkStart w:id="292" w:name="_Toc947620"/>
      <w:r>
        <w:rPr>
          <w:rFonts w:hint="eastAsia" w:ascii="仿宋" w:hAnsi="仿宋" w:eastAsia="仿宋" w:cs="仿宋"/>
          <w:b/>
          <w:bCs/>
          <w:color w:val="auto"/>
          <w:kern w:val="2"/>
          <w:sz w:val="21"/>
          <w:szCs w:val="21"/>
          <w:highlight w:val="none"/>
        </w:rPr>
        <w:t>13.2.2</w:t>
      </w:r>
      <w:r>
        <w:rPr>
          <w:rFonts w:hint="eastAsia" w:ascii="仿宋" w:hAnsi="仿宋" w:eastAsia="仿宋" w:cs="仿宋"/>
          <w:color w:val="auto"/>
          <w:kern w:val="2"/>
          <w:sz w:val="21"/>
          <w:szCs w:val="21"/>
          <w:highlight w:val="none"/>
        </w:rPr>
        <w:t>采购变更范围</w:t>
      </w:r>
      <w:bookmarkEnd w:id="292"/>
    </w:p>
    <w:p w14:paraId="4CBBD0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(1)承包人已按合同约定的程序，与相关供货商签订采购合同或已开始加工制造、供货、运输等，发包人通知承包人选择另一家供货商；</w:t>
      </w:r>
    </w:p>
    <w:p w14:paraId="5C2A522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(2)因执行基准日期之后新颁布的法律、标准、规范引起的变更；</w:t>
      </w:r>
    </w:p>
    <w:p w14:paraId="5E9F6A0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(3)发包人要求改变检查、检验、检测、试验的地点和增加的附加试验；</w:t>
      </w:r>
    </w:p>
    <w:p w14:paraId="24B46F8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(4)发包人要求增减合同中约定的各品备件、专用工具、竣工后试验物资的采购数量；</w:t>
      </w:r>
    </w:p>
    <w:p w14:paraId="3927831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(5)上二述变更所需的附加工作。</w:t>
      </w:r>
    </w:p>
    <w:p w14:paraId="3BDC8BD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13.2.3</w:t>
      </w:r>
      <w:r>
        <w:rPr>
          <w:rFonts w:hint="eastAsia" w:ascii="仿宋" w:hAnsi="仿宋" w:eastAsia="仿宋" w:cs="仿宋"/>
          <w:color w:val="auto"/>
          <w:kern w:val="2"/>
          <w:sz w:val="21"/>
          <w:szCs w:val="21"/>
          <w:highlight w:val="none"/>
        </w:rPr>
        <w:t>施工变更范围</w:t>
      </w:r>
    </w:p>
    <w:p w14:paraId="16ED1DA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(1)根据13.2.1款的设计变更，造成施工方法改变、设备、材料、部件、人工和工程量的增减；</w:t>
      </w:r>
    </w:p>
    <w:p w14:paraId="21968C9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(2)发包人要求增加的附加试验、改变试验地点；</w:t>
      </w:r>
    </w:p>
    <w:p w14:paraId="279D6F2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(3)除5.2.1款第(1)项、第(2)项之外，新增加的施工障碍处理；</w:t>
      </w:r>
    </w:p>
    <w:p w14:paraId="5DBDF84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(4)发包人对竣工试验经验收或视为验收合格的项目，通知重新进行竣工试验；</w:t>
      </w:r>
    </w:p>
    <w:p w14:paraId="5BEA456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(5)因执行基准日期之后新颁布的法律、标准、规范引起的变更；</w:t>
      </w:r>
    </w:p>
    <w:p w14:paraId="4574A40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(6)现场其它签证；</w:t>
      </w:r>
    </w:p>
    <w:p w14:paraId="26C5A22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(7)上述变更所需的附加工作。</w:t>
      </w:r>
    </w:p>
    <w:p w14:paraId="06EB2E9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13.2.4</w:t>
      </w:r>
      <w:r>
        <w:rPr>
          <w:rFonts w:hint="eastAsia" w:ascii="仿宋" w:hAnsi="仿宋" w:eastAsia="仿宋" w:cs="仿宋"/>
          <w:color w:val="auto"/>
          <w:kern w:val="2"/>
          <w:sz w:val="21"/>
          <w:szCs w:val="21"/>
          <w:highlight w:val="none"/>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一项变更。发包人未能批准此项变更的，承包人有权按合同约定的相关阶段的进度计划执行。</w:t>
      </w:r>
    </w:p>
    <w:p w14:paraId="0767A1C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因承包人原因，实际进度明显落后于上述批准的项目进度计划时，承包人应按4.1.2款的约定，自费赶上；竣工日期延误时，按4.5款的约定承担误期赔偿责任。</w:t>
      </w:r>
    </w:p>
    <w:p w14:paraId="2DB58B2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13.2.5</w:t>
      </w:r>
      <w:r>
        <w:rPr>
          <w:rFonts w:hint="eastAsia" w:ascii="仿宋" w:hAnsi="仿宋" w:eastAsia="仿宋" w:cs="仿宋"/>
          <w:color w:val="auto"/>
          <w:kern w:val="2"/>
          <w:sz w:val="21"/>
          <w:szCs w:val="21"/>
          <w:highlight w:val="none"/>
        </w:rPr>
        <w:t>调减部分工程。发包人的暂停超过45日，承包人请求复工时仍不能</w:t>
      </w:r>
    </w:p>
    <w:p w14:paraId="28A95FA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复工，或因不可抗力持续而无法继续施工的，双方可按合同约定以变更方式调减受暂停影响的部分工程。</w:t>
      </w:r>
    </w:p>
    <w:p w14:paraId="04C7010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13.2.6</w:t>
      </w:r>
      <w:r>
        <w:rPr>
          <w:rFonts w:hint="eastAsia" w:ascii="仿宋" w:hAnsi="仿宋" w:eastAsia="仿宋" w:cs="仿宋"/>
          <w:color w:val="auto"/>
          <w:kern w:val="2"/>
          <w:sz w:val="21"/>
          <w:szCs w:val="21"/>
          <w:highlight w:val="none"/>
        </w:rPr>
        <w:t>其它变更。根据工程的具体特点，在专用条款中约定。</w:t>
      </w:r>
    </w:p>
    <w:p w14:paraId="61802DD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93" w:name="_Toc535392527"/>
      <w:bookmarkEnd w:id="293"/>
      <w:bookmarkStart w:id="294" w:name="_Toc947621"/>
      <w:r>
        <w:rPr>
          <w:rFonts w:hint="eastAsia" w:ascii="仿宋" w:hAnsi="仿宋" w:eastAsia="仿宋" w:cs="仿宋"/>
          <w:b/>
          <w:bCs/>
          <w:color w:val="auto"/>
          <w:kern w:val="2"/>
          <w:sz w:val="21"/>
          <w:szCs w:val="21"/>
          <w:highlight w:val="none"/>
        </w:rPr>
        <w:t>13.3 变更程序</w:t>
      </w:r>
      <w:bookmarkEnd w:id="294"/>
    </w:p>
    <w:p w14:paraId="0D6B239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13.3.1</w:t>
      </w:r>
      <w:r>
        <w:rPr>
          <w:rFonts w:hint="eastAsia" w:ascii="仿宋" w:hAnsi="仿宋" w:eastAsia="仿宋" w:cs="仿宋"/>
          <w:color w:val="auto"/>
          <w:kern w:val="2"/>
          <w:sz w:val="21"/>
          <w:szCs w:val="21"/>
          <w:highlight w:val="none"/>
        </w:rPr>
        <w:t xml:space="preserve">变更通知。发包人的变更应事先以书面形式通知承包人。    </w:t>
      </w:r>
    </w:p>
    <w:p w14:paraId="624212B4">
      <w:pPr>
        <w:pStyle w:val="1024"/>
        <w:adjustRightInd w:val="0"/>
        <w:snapToGrid w:val="0"/>
        <w:spacing w:line="288" w:lineRule="auto"/>
        <w:jc w:val="both"/>
        <w:rPr>
          <w:rFonts w:ascii="仿宋" w:hAnsi="仿宋" w:eastAsia="仿宋" w:cs="仿宋"/>
          <w:color w:val="auto"/>
          <w:kern w:val="2"/>
          <w:sz w:val="21"/>
          <w:szCs w:val="21"/>
          <w:highlight w:val="none"/>
        </w:rPr>
      </w:pPr>
      <w:bookmarkStart w:id="295" w:name="_Toc535392528"/>
      <w:bookmarkEnd w:id="295"/>
      <w:bookmarkStart w:id="296" w:name="_Toc947622"/>
      <w:r>
        <w:rPr>
          <w:rFonts w:hint="eastAsia" w:ascii="仿宋" w:hAnsi="仿宋" w:eastAsia="仿宋" w:cs="仿宋"/>
          <w:b/>
          <w:bCs/>
          <w:color w:val="auto"/>
          <w:kern w:val="2"/>
          <w:sz w:val="21"/>
          <w:szCs w:val="21"/>
          <w:highlight w:val="none"/>
        </w:rPr>
        <w:t>13.3.2</w:t>
      </w:r>
      <w:r>
        <w:rPr>
          <w:rFonts w:hint="eastAsia" w:ascii="仿宋" w:hAnsi="仿宋" w:eastAsia="仿宋" w:cs="仿宋"/>
          <w:color w:val="auto"/>
          <w:kern w:val="2"/>
          <w:sz w:val="21"/>
          <w:szCs w:val="21"/>
          <w:highlight w:val="none"/>
        </w:rPr>
        <w:t>变更通知的建议报告。承包人接到发包人的变更通知后，有义务在10日内向发包人提交书面建议报告：</w:t>
      </w:r>
      <w:bookmarkEnd w:id="296"/>
    </w:p>
    <w:p w14:paraId="1BD466F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项变更相关的进度计划。</w:t>
      </w:r>
    </w:p>
    <w:p w14:paraId="3E7F214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承包人未提交增加费用的估算及竣工日期延长，视为该项变更不涉及合同价格调整和竣工日期延长，发包人不再承担此项变更的任何费用及竣工日期延长的责任。</w:t>
      </w:r>
    </w:p>
    <w:p w14:paraId="2E2D14F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(2)如承包人不接受发包人变更通知中的变更时，建议报告中应包括不支持此项变更的理由，理由包括：</w:t>
      </w:r>
    </w:p>
    <w:p w14:paraId="128AE01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1)此变更不符合法律、法规等有关规定；</w:t>
      </w:r>
    </w:p>
    <w:p w14:paraId="74C486D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2)承包人难以取得变更所需的特殊设备、材料、部件；</w:t>
      </w:r>
    </w:p>
    <w:p w14:paraId="3275927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3)承包人难以取得变更所需的工艺、技术；</w:t>
      </w:r>
    </w:p>
    <w:p w14:paraId="6380A71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4)变更将降低工程的安全性、稳定性、适用性；</w:t>
      </w:r>
    </w:p>
    <w:p w14:paraId="5996D83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5)对生产性能保证值、使用功能保证的实现产生不利影响等。</w:t>
      </w:r>
    </w:p>
    <w:p w14:paraId="0AF2E04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13.3.3</w:t>
      </w:r>
      <w:r>
        <w:rPr>
          <w:rFonts w:hint="eastAsia" w:ascii="仿宋" w:hAnsi="仿宋" w:eastAsia="仿宋" w:cs="仿宋"/>
          <w:color w:val="auto"/>
          <w:kern w:val="2"/>
          <w:sz w:val="21"/>
          <w:szCs w:val="21"/>
          <w:highlight w:val="none"/>
        </w:rPr>
        <w:t>发包人的审查和批准。发包人应在接到承包人根据13.3.2款约定提交的书面建议报告后10日内对此项建议给予审查，并发出批准、撤销、改变、提出进一步要求的书面通知。承包人在等待发包人同复的时间内，不能停止或延误任何工作。</w:t>
      </w:r>
    </w:p>
    <w:p w14:paraId="2291B84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(1)发包人接到承包人根据13.3.2款第(1)项的约定提交的建议报告，对其理由、估算、和(或)竣工日期延长经审查批准后，应以书面形式下达变更指令。</w:t>
      </w:r>
    </w:p>
    <w:p w14:paraId="4B57BBD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14:paraId="7FCDC91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(2)发包人对承包人根据13.3.2款第(2)项提交的不接受此项变更的理由进行审查后，发出继续执行、改变、提出进一步补充资料的书面通知，承包人应予以执行。</w:t>
      </w:r>
    </w:p>
    <w:p w14:paraId="14A995F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13.3.4</w:t>
      </w:r>
      <w:r>
        <w:rPr>
          <w:rFonts w:hint="eastAsia" w:ascii="仿宋" w:hAnsi="仿宋" w:eastAsia="仿宋" w:cs="仿宋"/>
          <w:color w:val="auto"/>
          <w:kern w:val="2"/>
          <w:sz w:val="21"/>
          <w:szCs w:val="21"/>
          <w:highlight w:val="none"/>
        </w:rPr>
        <w:t>承人根据13.1.3款的约定提交变更建议书的，其变更程序按照本变更程序的约定办理。</w:t>
      </w:r>
    </w:p>
    <w:p w14:paraId="48E9CC6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97" w:name="_Toc535392529"/>
      <w:bookmarkEnd w:id="297"/>
      <w:bookmarkStart w:id="298" w:name="_Toc947623"/>
      <w:r>
        <w:rPr>
          <w:rFonts w:hint="eastAsia" w:ascii="仿宋" w:hAnsi="仿宋" w:eastAsia="仿宋" w:cs="仿宋"/>
          <w:b/>
          <w:bCs/>
          <w:color w:val="auto"/>
          <w:kern w:val="2"/>
          <w:sz w:val="21"/>
          <w:szCs w:val="21"/>
          <w:highlight w:val="none"/>
        </w:rPr>
        <w:t>13.4 紧急性变更程序</w:t>
      </w:r>
      <w:bookmarkEnd w:id="298"/>
    </w:p>
    <w:p w14:paraId="4C53C92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13.4.1</w:t>
      </w:r>
      <w:r>
        <w:rPr>
          <w:rFonts w:hint="eastAsia" w:ascii="仿宋" w:hAnsi="仿宋" w:eastAsia="仿宋" w:cs="仿宋"/>
          <w:color w:val="auto"/>
          <w:kern w:val="2"/>
          <w:sz w:val="21"/>
          <w:szCs w:val="21"/>
          <w:highlight w:val="none"/>
        </w:rPr>
        <w:t>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负责人。</w:t>
      </w:r>
    </w:p>
    <w:p w14:paraId="45581A4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13.4.2</w:t>
      </w:r>
      <w:r>
        <w:rPr>
          <w:rFonts w:hint="eastAsia" w:ascii="仿宋" w:hAnsi="仿宋" w:eastAsia="仿宋" w:cs="仿宋"/>
          <w:color w:val="auto"/>
          <w:kern w:val="2"/>
          <w:sz w:val="21"/>
          <w:szCs w:val="21"/>
          <w:highlight w:val="none"/>
        </w:rPr>
        <w:t>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14:paraId="5FF427F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承包人未能在此项变更完成后的10日内提交实际消耗的估算、和(或)延长竣工日期的书面资料，视为该项变更不涉及合同价格调整和竣工日期延长，发包人不再承担此项变更的任何责任。</w:t>
      </w:r>
    </w:p>
    <w:p w14:paraId="34AD642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13.4.3</w:t>
      </w:r>
      <w:r>
        <w:rPr>
          <w:rFonts w:hint="eastAsia" w:ascii="仿宋" w:hAnsi="仿宋" w:eastAsia="仿宋" w:cs="仿宋"/>
          <w:color w:val="auto"/>
          <w:kern w:val="2"/>
          <w:sz w:val="21"/>
          <w:szCs w:val="21"/>
          <w:highlight w:val="none"/>
        </w:rPr>
        <w:t>发包人应在接到承包人根据13.4.2款提交的书面资料后的10日内，以书面形式通知承包人被批准的合理估算，和(或)给予竣工日期的合理延长。</w:t>
      </w:r>
    </w:p>
    <w:p w14:paraId="7AE8F67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发包人在接到承包人的此项书面报告后的10日内，未能批准承包人的估算和(或)竣工日期延长亦未说明理由的，自接到该报告的第11日后，视为承包人提交的估算、和(或)竣工日期延长已被发包人批准。</w:t>
      </w:r>
    </w:p>
    <w:p w14:paraId="56438D6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承包人对发包人批准的变更费用、竣工日期的延长存有争议时，双方应友好协商解决，协商不成时，依据16.3款争议和裁决的程序解决。</w:t>
      </w:r>
    </w:p>
    <w:p w14:paraId="789419A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13.5 变更价款确定</w:t>
      </w:r>
    </w:p>
    <w:p w14:paraId="64A9242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变更价款按以下方法确定：</w:t>
      </w:r>
    </w:p>
    <w:p w14:paraId="47DE1D7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13.5.1</w:t>
      </w:r>
      <w:r>
        <w:rPr>
          <w:rFonts w:hint="eastAsia" w:ascii="仿宋" w:hAnsi="仿宋" w:eastAsia="仿宋" w:cs="仿宋"/>
          <w:color w:val="auto"/>
          <w:kern w:val="2"/>
          <w:sz w:val="21"/>
          <w:szCs w:val="21"/>
          <w:highlight w:val="none"/>
        </w:rPr>
        <w:t>合同中已有相应人工、机具、工程量等单价(含取费)的，按合同中已有的相应人工、机具、工程量等单价(含取费)确定变更价款；</w:t>
      </w:r>
    </w:p>
    <w:p w14:paraId="2F1DBB9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13.5.2</w:t>
      </w:r>
      <w:r>
        <w:rPr>
          <w:rFonts w:hint="eastAsia" w:ascii="仿宋" w:hAnsi="仿宋" w:eastAsia="仿宋" w:cs="仿宋"/>
          <w:color w:val="auto"/>
          <w:kern w:val="2"/>
          <w:sz w:val="21"/>
          <w:szCs w:val="21"/>
          <w:highlight w:val="none"/>
        </w:rPr>
        <w:t>合同中无相应人工、机具、工程量等单价(含取费)的，按类似于变更工程的价格确定变更价款；</w:t>
      </w:r>
    </w:p>
    <w:p w14:paraId="22B1993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13.5.3</w:t>
      </w:r>
      <w:r>
        <w:rPr>
          <w:rFonts w:hint="eastAsia" w:ascii="仿宋" w:hAnsi="仿宋" w:eastAsia="仿宋" w:cs="仿宋"/>
          <w:color w:val="auto"/>
          <w:kern w:val="2"/>
          <w:sz w:val="21"/>
          <w:szCs w:val="21"/>
          <w:highlight w:val="none"/>
        </w:rPr>
        <w:t>合同中无相应人工、机具、工程量等单价(含取费)，亦无类似于变更工程的价格的，双方通过协商确定变更价款。</w:t>
      </w:r>
    </w:p>
    <w:p w14:paraId="1250CB2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13.5.4</w:t>
      </w:r>
      <w:r>
        <w:rPr>
          <w:rFonts w:hint="eastAsia" w:ascii="仿宋" w:hAnsi="仿宋" w:eastAsia="仿宋" w:cs="仿宋"/>
          <w:color w:val="auto"/>
          <w:kern w:val="2"/>
          <w:sz w:val="21"/>
          <w:szCs w:val="21"/>
          <w:highlight w:val="none"/>
        </w:rPr>
        <w:t>专用条款中约定的其它方法。</w:t>
      </w:r>
    </w:p>
    <w:p w14:paraId="408D37C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13.6 建议变更的利益分享</w:t>
      </w:r>
    </w:p>
    <w:p w14:paraId="04A2C7F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发包人批准采用承包人根据13.1.3款提出的变更建议，使工程的投资减少、工期缩短、发包人获得长期运营效益或其它利益的，双方可按专用条款的约定进行利益分享，必要时双方可另行签订利益分享补充协议，作为合同附件。</w:t>
      </w:r>
    </w:p>
    <w:p w14:paraId="73DEC27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13.7 合同价格调整</w:t>
      </w:r>
    </w:p>
    <w:p w14:paraId="43D771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14:paraId="3B19CCE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(1)合同签订后，因法律、国家政策和需遵守的行业规定发生变化，影响到合同价格增减的；</w:t>
      </w:r>
    </w:p>
    <w:p w14:paraId="67D796E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(2)合同执行过程中，工程造价管理部门公布的价格调整，涉及承包人投入成本增减的；</w:t>
      </w:r>
    </w:p>
    <w:p w14:paraId="54C62BC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(3)一周内非承包人原因的停水、停电、停气、道路中断等，造成工程现场停工累计超过8小时的(承包人须提交报告并提供可证实的证明和估算)；</w:t>
      </w:r>
    </w:p>
    <w:p w14:paraId="518B8DF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(4)发包人根据13.3款至13.5款变更程序中批准的变更估算的增减；</w:t>
      </w:r>
    </w:p>
    <w:p w14:paraId="71D35BC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(5)本合同约定的其它增减的款项调整。</w:t>
      </w:r>
    </w:p>
    <w:p w14:paraId="5473FF7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对于合同中未约定的增减款项，发包人不承担调整合同价格的责任，适用法律另有规定时除外。合同价格的调整不包括合同变更。</w:t>
      </w:r>
    </w:p>
    <w:p w14:paraId="011B3D2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13.8 合同价格调整的争议</w:t>
      </w:r>
    </w:p>
    <w:p w14:paraId="0D052C3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经协商，双方未能对工程变更的费用、合同价格的调整或竣工日期的延长达成一致时，根据16.3款关于争议和裁决的约定解决。</w:t>
      </w:r>
    </w:p>
    <w:p w14:paraId="1A7D7B1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第14条 合同总价和付款</w:t>
      </w:r>
    </w:p>
    <w:p w14:paraId="5AE9040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299" w:name="_Toc535392530"/>
      <w:bookmarkEnd w:id="299"/>
      <w:bookmarkStart w:id="300" w:name="_Toc947624"/>
      <w:r>
        <w:rPr>
          <w:rFonts w:hint="eastAsia" w:ascii="仿宋" w:hAnsi="仿宋" w:eastAsia="仿宋" w:cs="仿宋"/>
          <w:b/>
          <w:bCs/>
          <w:color w:val="auto"/>
          <w:kern w:val="2"/>
          <w:sz w:val="21"/>
          <w:szCs w:val="21"/>
          <w:highlight w:val="none"/>
        </w:rPr>
        <w:t>14.1 合同总价和付款</w:t>
      </w:r>
      <w:bookmarkEnd w:id="300"/>
    </w:p>
    <w:p w14:paraId="384C65B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14.1.1</w:t>
      </w:r>
      <w:r>
        <w:rPr>
          <w:rFonts w:hint="eastAsia" w:ascii="仿宋" w:hAnsi="仿宋" w:eastAsia="仿宋" w:cs="仿宋"/>
          <w:color w:val="auto"/>
          <w:kern w:val="2"/>
          <w:sz w:val="21"/>
          <w:szCs w:val="21"/>
          <w:highlight w:val="none"/>
        </w:rPr>
        <w:t>合同总价</w:t>
      </w:r>
    </w:p>
    <w:p w14:paraId="65E7AFB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本合同为总价合同，除根据第13条变更和合同价格的调整，以及合同中其它相关增减金额的约定进行调整外，合同价格不做调整。</w:t>
      </w:r>
    </w:p>
    <w:p w14:paraId="044CF83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w:t>
      </w:r>
      <w:r>
        <w:rPr>
          <w:rFonts w:hint="eastAsia" w:ascii="仿宋" w:hAnsi="仿宋" w:eastAsia="仿宋" w:cs="仿宋"/>
          <w:color w:val="auto"/>
          <w:kern w:val="2"/>
          <w:sz w:val="21"/>
          <w:szCs w:val="21"/>
          <w:highlight w:val="none"/>
        </w:rPr>
        <w:t>付款</w:t>
      </w:r>
    </w:p>
    <w:p w14:paraId="17DA3B2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(1)合同价款的货币币种为人民币，由发包人在中国境内支付给承包人。</w:t>
      </w:r>
    </w:p>
    <w:p w14:paraId="2A1D233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(2)发包人应依据合同约定的应付款类别和付款时间安排，向承包人支付合同价款。承包人指定的银行账户，在专用条款中约定。</w:t>
      </w:r>
    </w:p>
    <w:p w14:paraId="3ADC9DB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14.2 担保</w:t>
      </w:r>
    </w:p>
    <w:p w14:paraId="3C9C54A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14.2.1</w:t>
      </w:r>
      <w:r>
        <w:rPr>
          <w:rFonts w:hint="eastAsia" w:ascii="仿宋" w:hAnsi="仿宋" w:eastAsia="仿宋" w:cs="仿宋"/>
          <w:color w:val="auto"/>
          <w:kern w:val="2"/>
          <w:sz w:val="21"/>
          <w:szCs w:val="21"/>
          <w:highlight w:val="none"/>
        </w:rPr>
        <w:t>履约保函</w:t>
      </w:r>
    </w:p>
    <w:p w14:paraId="54690B5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合同约定由承包人向发包人提交履约保函时，履约保函的格式、金额和提交时间，在专用条款中约定。</w:t>
      </w:r>
    </w:p>
    <w:p w14:paraId="5CE620E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14.2.2</w:t>
      </w:r>
      <w:r>
        <w:rPr>
          <w:rFonts w:hint="eastAsia" w:ascii="仿宋" w:hAnsi="仿宋" w:eastAsia="仿宋" w:cs="仿宋"/>
          <w:color w:val="auto"/>
          <w:kern w:val="2"/>
          <w:sz w:val="21"/>
          <w:szCs w:val="21"/>
          <w:highlight w:val="none"/>
        </w:rPr>
        <w:t>支付保函</w:t>
      </w:r>
    </w:p>
    <w:p w14:paraId="03889B7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合同约定由承包人向发包人提交履约保函时，发包人应向承包人提交支付保函。支付保函的格式、内容和提交时间在专用条款中约定。</w:t>
      </w:r>
    </w:p>
    <w:p w14:paraId="2AC075B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14.2.3</w:t>
      </w:r>
      <w:r>
        <w:rPr>
          <w:rFonts w:hint="eastAsia" w:ascii="仿宋" w:hAnsi="仿宋" w:eastAsia="仿宋" w:cs="仿宋"/>
          <w:color w:val="auto"/>
          <w:kern w:val="2"/>
          <w:sz w:val="21"/>
          <w:szCs w:val="21"/>
          <w:highlight w:val="none"/>
        </w:rPr>
        <w:t>预付款保函</w:t>
      </w:r>
    </w:p>
    <w:p w14:paraId="3470359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合同约定由承包人向发包人提交预付款保函时，预付款保函的格式、金额和提交时间在专用条款中约定。</w:t>
      </w:r>
    </w:p>
    <w:p w14:paraId="4FC4820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14.3 预付款</w:t>
      </w:r>
    </w:p>
    <w:p w14:paraId="40BC10E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14.3.1</w:t>
      </w:r>
      <w:r>
        <w:rPr>
          <w:rFonts w:hint="eastAsia" w:ascii="仿宋" w:hAnsi="仿宋" w:eastAsia="仿宋" w:cs="仿宋"/>
          <w:color w:val="auto"/>
          <w:kern w:val="2"/>
          <w:sz w:val="21"/>
          <w:szCs w:val="21"/>
          <w:highlight w:val="none"/>
        </w:rPr>
        <w:t>预付款金额</w:t>
      </w:r>
    </w:p>
    <w:p w14:paraId="09E1D5D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发包人同意将按合同价格的一定比例作为预付款金额，具体金额在专用条款中约定。</w:t>
      </w:r>
    </w:p>
    <w:p w14:paraId="37D4B9F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14.3.2</w:t>
      </w:r>
      <w:r>
        <w:rPr>
          <w:rFonts w:hint="eastAsia" w:ascii="仿宋" w:hAnsi="仿宋" w:eastAsia="仿宋" w:cs="仿宋"/>
          <w:color w:val="auto"/>
          <w:kern w:val="2"/>
          <w:sz w:val="21"/>
          <w:szCs w:val="21"/>
          <w:highlight w:val="none"/>
        </w:rPr>
        <w:t>预付款支付</w:t>
      </w:r>
    </w:p>
    <w:p w14:paraId="76EE5EE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约定了预付款保函时，发包人应在合同生效及收到承包人提交的预付款保函后10日内，根据14.3.1款约定的预付款金额，一次支付给承包人；未约定预付款保函时，发包人应在合同生效后10日内，根据14.3.1款约定的预付款金额，一次支付给承包人。</w:t>
      </w:r>
    </w:p>
    <w:p w14:paraId="31BB32D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14.3.3</w:t>
      </w:r>
      <w:r>
        <w:rPr>
          <w:rFonts w:hint="eastAsia" w:ascii="仿宋" w:hAnsi="仿宋" w:eastAsia="仿宋" w:cs="仿宋"/>
          <w:color w:val="auto"/>
          <w:kern w:val="2"/>
          <w:sz w:val="21"/>
          <w:szCs w:val="21"/>
          <w:highlight w:val="none"/>
        </w:rPr>
        <w:t>预付款抵扣</w:t>
      </w:r>
    </w:p>
    <w:p w14:paraId="759A05B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(1)预付款的抵扣方式、抵扣比例和抵扣时间安排，在专用条款中约定。</w:t>
      </w:r>
    </w:p>
    <w:p w14:paraId="30D9623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(2)在发包人签发工程接收证书或合同解除时，预付款尚未抵扣完的，发包人有权要求承包人支付尚未抵扣完的预付款。承包人未能支付的，发包人有权按如下程序扣回预付款的余额：</w:t>
      </w:r>
    </w:p>
    <w:p w14:paraId="1E99CF3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1)从应付给承包人的款项中或属于承包人的款项中一次或多次扣除；</w:t>
      </w:r>
    </w:p>
    <w:p w14:paraId="0DAE644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2)应付给承包人的款项或属于承包人的款项不足以抵扣时，发包人有权从预付款保函(如约定提交)中扣除尚未抵扣完的预付款；</w:t>
      </w:r>
    </w:p>
    <w:p w14:paraId="764959E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3)应付给承包人或属于承包人的款项不足以抵扣且合同未约定承包人提交预付款保函时，承包人应与发包人签订支付尚未抵扣完的预付款支付时间安排协议书；</w:t>
      </w:r>
    </w:p>
    <w:p w14:paraId="770A942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4)承包人未能按上述协议书执行，发包人有权从履约保函(如有)中抵扣尚未扣完的预付款。</w:t>
      </w:r>
    </w:p>
    <w:p w14:paraId="6BE3C1C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14.4 工程进度款</w:t>
      </w:r>
    </w:p>
    <w:p w14:paraId="1B8E3FD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14.4.1</w:t>
      </w:r>
      <w:r>
        <w:rPr>
          <w:rFonts w:hint="eastAsia" w:ascii="仿宋" w:hAnsi="仿宋" w:eastAsia="仿宋" w:cs="仿宋"/>
          <w:color w:val="auto"/>
          <w:kern w:val="2"/>
          <w:sz w:val="21"/>
          <w:szCs w:val="21"/>
          <w:highlight w:val="none"/>
        </w:rPr>
        <w:t>工程进度款。工程进度款支付方式、支付条件和支付时间等，在专用条款中约定。</w:t>
      </w:r>
    </w:p>
    <w:p w14:paraId="3B33223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14.4.2</w:t>
      </w:r>
      <w:r>
        <w:rPr>
          <w:rFonts w:hint="eastAsia" w:ascii="仿宋" w:hAnsi="仿宋" w:eastAsia="仿宋" w:cs="仿宋"/>
          <w:color w:val="auto"/>
          <w:kern w:val="2"/>
          <w:sz w:val="21"/>
          <w:szCs w:val="21"/>
          <w:highlight w:val="none"/>
        </w:rPr>
        <w:t>根据工程具体情况，应付的其它进度款，在专用条款约定。</w:t>
      </w:r>
    </w:p>
    <w:p w14:paraId="33B5A54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14.5 缺陷责任保修金的暂扣与支付</w:t>
      </w:r>
    </w:p>
    <w:p w14:paraId="5A916456">
      <w:pPr>
        <w:pStyle w:val="1024"/>
        <w:adjustRightInd w:val="0"/>
        <w:snapToGrid w:val="0"/>
        <w:spacing w:line="288" w:lineRule="auto"/>
        <w:jc w:val="both"/>
        <w:rPr>
          <w:rFonts w:ascii="仿宋" w:hAnsi="仿宋" w:eastAsia="仿宋" w:cs="仿宋"/>
          <w:color w:val="auto"/>
          <w:kern w:val="2"/>
          <w:sz w:val="21"/>
          <w:szCs w:val="21"/>
          <w:highlight w:val="none"/>
        </w:rPr>
      </w:pPr>
      <w:bookmarkStart w:id="301" w:name="_Toc535392531"/>
      <w:bookmarkEnd w:id="301"/>
      <w:bookmarkStart w:id="302" w:name="_Toc947625"/>
      <w:r>
        <w:rPr>
          <w:rFonts w:hint="eastAsia" w:ascii="仿宋" w:hAnsi="仿宋" w:eastAsia="仿宋" w:cs="仿宋"/>
          <w:b/>
          <w:bCs/>
          <w:color w:val="auto"/>
          <w:kern w:val="2"/>
          <w:sz w:val="21"/>
          <w:szCs w:val="21"/>
          <w:highlight w:val="none"/>
        </w:rPr>
        <w:t>14.5.1</w:t>
      </w:r>
      <w:r>
        <w:rPr>
          <w:rFonts w:hint="eastAsia" w:ascii="仿宋" w:hAnsi="仿宋" w:eastAsia="仿宋" w:cs="仿宋"/>
          <w:color w:val="auto"/>
          <w:kern w:val="2"/>
          <w:sz w:val="21"/>
          <w:szCs w:val="21"/>
          <w:highlight w:val="none"/>
        </w:rPr>
        <w:t>缺陷责任保修金的暂时扣减。发包人可根据11.2.1款约定的缺陷责任保修金金额和11.2.2款缺陷责任保修金暂扣的约定暂时扣减缺陷责任保修金。</w:t>
      </w:r>
      <w:bookmarkEnd w:id="302"/>
    </w:p>
    <w:p w14:paraId="16C31A2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14.5.2</w:t>
      </w:r>
      <w:r>
        <w:rPr>
          <w:rFonts w:hint="eastAsia" w:ascii="仿宋" w:hAnsi="仿宋" w:eastAsia="仿宋" w:cs="仿宋"/>
          <w:color w:val="auto"/>
          <w:kern w:val="2"/>
          <w:sz w:val="21"/>
          <w:szCs w:val="21"/>
          <w:highlight w:val="none"/>
        </w:rPr>
        <w:t>缺陷责任保修金的支付</w:t>
      </w:r>
    </w:p>
    <w:p w14:paraId="55CEF4A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14:paraId="7F8C842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14:paraId="4CB5E18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14.6 按月工程进度申请付款</w:t>
      </w:r>
    </w:p>
    <w:p w14:paraId="789A7F9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14.6.1</w:t>
      </w:r>
      <w:r>
        <w:rPr>
          <w:rFonts w:hint="eastAsia" w:ascii="仿宋" w:hAnsi="仿宋" w:eastAsia="仿宋" w:cs="仿宋"/>
          <w:color w:val="auto"/>
          <w:kern w:val="2"/>
          <w:sz w:val="21"/>
          <w:szCs w:val="21"/>
          <w:highlight w:val="none"/>
        </w:rPr>
        <w:t>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14:paraId="5A1CB0F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按月付款申请报告中的款项包括：</w:t>
      </w:r>
    </w:p>
    <w:p w14:paraId="19BEFFE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(1)按14.4款工程进度款约定的款项类别；</w:t>
      </w:r>
    </w:p>
    <w:p w14:paraId="4F6B1B0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(2)按13.7款合同价格调整约定的增减款项；</w:t>
      </w:r>
    </w:p>
    <w:p w14:paraId="5AF8AF8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(3)按14.3款预付款约定的支付及扣减的款项；</w:t>
      </w:r>
    </w:p>
    <w:p w14:paraId="11730C5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(4)按14.5款缺陷责任保修金约定暂扣及支付的款项；</w:t>
      </w:r>
    </w:p>
    <w:p w14:paraId="05AE0D5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(5)根据16.2款索赔结果增减的款项；</w:t>
      </w:r>
    </w:p>
    <w:p w14:paraId="0142E6B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(6)根据另行签订的本合同补充协议增减的款项。</w:t>
      </w:r>
    </w:p>
    <w:p w14:paraId="7E9932E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14.6.2</w:t>
      </w:r>
      <w:r>
        <w:rPr>
          <w:rFonts w:hint="eastAsia" w:ascii="仿宋" w:hAnsi="仿宋" w:eastAsia="仿宋" w:cs="仿宋"/>
          <w:color w:val="auto"/>
          <w:kern w:val="2"/>
          <w:sz w:val="21"/>
          <w:szCs w:val="21"/>
          <w:highlight w:val="none"/>
        </w:rPr>
        <w:t>如双方约定了14.6.1款按月工程进度申请付款的方式时，则不能再约定按14.7款按付款计划表申请付款的方式。</w:t>
      </w:r>
    </w:p>
    <w:p w14:paraId="5643760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14.7 按付款计划表申请付款</w:t>
      </w:r>
    </w:p>
    <w:p w14:paraId="7513DE4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14.7.1</w:t>
      </w:r>
      <w:r>
        <w:rPr>
          <w:rFonts w:hint="eastAsia" w:ascii="仿宋" w:hAnsi="仿宋" w:eastAsia="仿宋" w:cs="仿宋"/>
          <w:color w:val="auto"/>
          <w:kern w:val="2"/>
          <w:sz w:val="21"/>
          <w:szCs w:val="21"/>
          <w:highlight w:val="none"/>
        </w:rPr>
        <w:t>按付款计划表申请付款</w:t>
      </w:r>
    </w:p>
    <w:p w14:paraId="1644488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14:paraId="549F35F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每期付款中请报告中的款项包括：</w:t>
      </w:r>
    </w:p>
    <w:p w14:paraId="7AE707A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(1)按专用条款中约定的当期计划申请付款的金额；</w:t>
      </w:r>
    </w:p>
    <w:p w14:paraId="0C1E266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(2)按13.7款合同价款调整约定的增减款项；</w:t>
      </w:r>
    </w:p>
    <w:p w14:paraId="7BB3296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(3)按14.3款预付款约定的，支付及扣减的款项；</w:t>
      </w:r>
    </w:p>
    <w:p w14:paraId="23496B2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(4)按14.5款缺陷责任保修金约定暂扣及支付的款项；</w:t>
      </w:r>
    </w:p>
    <w:p w14:paraId="529FA8B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(5)根据16.2款索赔结果增减的款项；</w:t>
      </w:r>
    </w:p>
    <w:p w14:paraId="5218DC4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(6)根据另行签订的本合同的补充协议增减的款项。</w:t>
      </w:r>
    </w:p>
    <w:p w14:paraId="1EC89C6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14.7.2</w:t>
      </w:r>
      <w:r>
        <w:rPr>
          <w:rFonts w:hint="eastAsia" w:ascii="仿宋" w:hAnsi="仿宋" w:eastAsia="仿宋" w:cs="仿宋"/>
          <w:color w:val="auto"/>
          <w:kern w:val="2"/>
          <w:sz w:val="21"/>
          <w:szCs w:val="21"/>
          <w:highlight w:val="none"/>
        </w:rPr>
        <w:t>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14:paraId="11246C1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14.7.3</w:t>
      </w:r>
      <w:r>
        <w:rPr>
          <w:rFonts w:hint="eastAsia" w:ascii="仿宋" w:hAnsi="仿宋" w:eastAsia="仿宋" w:cs="仿宋"/>
          <w:color w:val="auto"/>
          <w:kern w:val="2"/>
          <w:sz w:val="21"/>
          <w:szCs w:val="21"/>
          <w:highlight w:val="none"/>
        </w:rPr>
        <w:t>如双方约定了按14.7款付款计划表的方式申请付款时，不能再约定按14.6款按月工程进度付款申请的方式。</w:t>
      </w:r>
    </w:p>
    <w:p w14:paraId="3D52837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14.8 付款条件与时间安排</w:t>
      </w:r>
    </w:p>
    <w:p w14:paraId="218979E4">
      <w:pPr>
        <w:pStyle w:val="1024"/>
        <w:adjustRightInd w:val="0"/>
        <w:snapToGrid w:val="0"/>
        <w:spacing w:line="288" w:lineRule="auto"/>
        <w:jc w:val="both"/>
        <w:rPr>
          <w:rFonts w:ascii="仿宋" w:hAnsi="仿宋" w:eastAsia="仿宋" w:cs="仿宋"/>
          <w:color w:val="auto"/>
          <w:kern w:val="2"/>
          <w:sz w:val="21"/>
          <w:szCs w:val="21"/>
          <w:highlight w:val="none"/>
        </w:rPr>
      </w:pPr>
      <w:bookmarkStart w:id="303" w:name="_Toc535392532"/>
      <w:bookmarkEnd w:id="303"/>
      <w:bookmarkStart w:id="304" w:name="_Toc947626"/>
      <w:r>
        <w:rPr>
          <w:rFonts w:hint="eastAsia" w:ascii="仿宋" w:hAnsi="仿宋" w:eastAsia="仿宋" w:cs="仿宋"/>
          <w:b/>
          <w:bCs/>
          <w:color w:val="auto"/>
          <w:kern w:val="2"/>
          <w:sz w:val="21"/>
          <w:szCs w:val="21"/>
          <w:highlight w:val="none"/>
        </w:rPr>
        <w:t>14.8.1</w:t>
      </w:r>
      <w:r>
        <w:rPr>
          <w:rFonts w:hint="eastAsia" w:ascii="仿宋" w:hAnsi="仿宋" w:eastAsia="仿宋" w:cs="仿宋"/>
          <w:color w:val="auto"/>
          <w:kern w:val="2"/>
          <w:sz w:val="21"/>
          <w:szCs w:val="21"/>
          <w:highlight w:val="none"/>
        </w:rPr>
        <w:t>付款条件</w:t>
      </w:r>
      <w:bookmarkEnd w:id="304"/>
    </w:p>
    <w:p w14:paraId="3215F2A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双方约定由承包人提交履约保函时，履约保函的提交应为发包人支付各项款项的前提条件；未约定履约保函时，发包人按约定支付各项款项。</w:t>
      </w:r>
    </w:p>
    <w:p w14:paraId="0F09B2F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14.8.2</w:t>
      </w:r>
      <w:r>
        <w:rPr>
          <w:rFonts w:hint="eastAsia" w:ascii="仿宋" w:hAnsi="仿宋" w:eastAsia="仿宋" w:cs="仿宋"/>
          <w:color w:val="auto"/>
          <w:kern w:val="2"/>
          <w:sz w:val="21"/>
          <w:szCs w:val="21"/>
          <w:highlight w:val="none"/>
        </w:rPr>
        <w:t>预付款的支付</w:t>
      </w:r>
    </w:p>
    <w:p w14:paraId="0222F16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工程预付款的支付依据14.3.2款预付款支付的约定执行。预付款抵扣完后，发包人应及时向承包人退还预付款保函。</w:t>
      </w:r>
    </w:p>
    <w:p w14:paraId="119440E2">
      <w:pPr>
        <w:pStyle w:val="1024"/>
        <w:adjustRightInd w:val="0"/>
        <w:snapToGrid w:val="0"/>
        <w:spacing w:line="288" w:lineRule="auto"/>
        <w:jc w:val="both"/>
        <w:rPr>
          <w:rFonts w:ascii="仿宋" w:hAnsi="仿宋" w:eastAsia="仿宋" w:cs="仿宋"/>
          <w:color w:val="auto"/>
          <w:kern w:val="2"/>
          <w:sz w:val="21"/>
          <w:szCs w:val="21"/>
          <w:highlight w:val="none"/>
        </w:rPr>
      </w:pPr>
      <w:bookmarkStart w:id="305" w:name="_Toc535392533"/>
      <w:bookmarkEnd w:id="305"/>
      <w:bookmarkStart w:id="306" w:name="_Toc947627"/>
      <w:r>
        <w:rPr>
          <w:rFonts w:hint="eastAsia" w:ascii="仿宋" w:hAnsi="仿宋" w:eastAsia="仿宋" w:cs="仿宋"/>
          <w:b/>
          <w:bCs/>
          <w:color w:val="auto"/>
          <w:kern w:val="2"/>
          <w:sz w:val="21"/>
          <w:szCs w:val="21"/>
          <w:highlight w:val="none"/>
        </w:rPr>
        <w:t>14.8.3</w:t>
      </w:r>
      <w:r>
        <w:rPr>
          <w:rFonts w:hint="eastAsia" w:ascii="仿宋" w:hAnsi="仿宋" w:eastAsia="仿宋" w:cs="仿宋"/>
          <w:color w:val="auto"/>
          <w:kern w:val="2"/>
          <w:sz w:val="21"/>
          <w:szCs w:val="21"/>
          <w:highlight w:val="none"/>
        </w:rPr>
        <w:t>工程进度款</w:t>
      </w:r>
      <w:bookmarkEnd w:id="306"/>
    </w:p>
    <w:p w14:paraId="7F89DB9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(1)按月工程进度申请与付款。依据14.6.1款按月工程进度申请付款和付款时，发包人应在收到承包人按14.6.1款提交的每月付款申请报告之日起的25日内审查并支付。</w:t>
      </w:r>
    </w:p>
    <w:p w14:paraId="66BB321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(2)按付款计划表申请与付款。依据14.7.1款按付款计划表申请付款和付款时，发包人应在收到承包人按14.7.1款提交的每期付款申请报告之日起的25日内审查并支付。</w:t>
      </w:r>
    </w:p>
    <w:p w14:paraId="367E43C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07" w:name="_Toc535392534"/>
      <w:bookmarkEnd w:id="307"/>
      <w:bookmarkStart w:id="308" w:name="_Toc947628"/>
      <w:r>
        <w:rPr>
          <w:rFonts w:hint="eastAsia" w:ascii="仿宋" w:hAnsi="仿宋" w:eastAsia="仿宋" w:cs="仿宋"/>
          <w:b/>
          <w:bCs/>
          <w:color w:val="auto"/>
          <w:kern w:val="2"/>
          <w:sz w:val="21"/>
          <w:szCs w:val="21"/>
          <w:highlight w:val="none"/>
        </w:rPr>
        <w:t>14.9 付款时间延误</w:t>
      </w:r>
      <w:bookmarkEnd w:id="308"/>
    </w:p>
    <w:p w14:paraId="24FBCAF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14.9.1</w:t>
      </w:r>
      <w:r>
        <w:rPr>
          <w:rFonts w:hint="eastAsia" w:ascii="仿宋" w:hAnsi="仿宋" w:eastAsia="仿宋" w:cs="仿宋"/>
          <w:color w:val="auto"/>
          <w:kern w:val="2"/>
          <w:sz w:val="21"/>
          <w:szCs w:val="21"/>
          <w:highlight w:val="none"/>
        </w:rPr>
        <w:t>因发包人的原因未能按14.8.3款约定的时间向承包人支付工程进度款的，应从发包人收到付款申请报告后的第26日开始，以中国人民银行颁布的同期同类贷款利率向承包人支付延期付款的利息，作为延期付款的违约金额。</w:t>
      </w:r>
    </w:p>
    <w:p w14:paraId="6AA6481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14.9.2</w:t>
      </w:r>
      <w:r>
        <w:rPr>
          <w:rFonts w:hint="eastAsia" w:ascii="仿宋" w:hAnsi="仿宋" w:eastAsia="仿宋" w:cs="仿宋"/>
          <w:color w:val="auto"/>
          <w:kern w:val="2"/>
          <w:sz w:val="21"/>
          <w:szCs w:val="21"/>
          <w:highlight w:val="none"/>
        </w:rPr>
        <w:t>发包人延误付款15日以上，承包人有权向发包人发出要求付款的通知，发包人收到通知后仍不能付款的，承包人可暂停部分工作，视为发包人导致的暂停，并遵照4.6.1款发包人的暂停的约定执行。</w:t>
      </w:r>
    </w:p>
    <w:p w14:paraId="082946F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协商签订延期付款协议书的，发包人应按延期付款协议书中约定的期数、时间、金额和利息付款；如双方未能达成延期付款协议，导致工程无法实施，承包人可停止部分或全部工程，发包人应承担违约责任，导致工程关键路径延误时，竣工日期顺延。</w:t>
      </w:r>
    </w:p>
    <w:p w14:paraId="3294680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14.9.3</w:t>
      </w:r>
      <w:r>
        <w:rPr>
          <w:rFonts w:hint="eastAsia" w:ascii="仿宋" w:hAnsi="仿宋" w:eastAsia="仿宋" w:cs="仿宋"/>
          <w:color w:val="auto"/>
          <w:kern w:val="2"/>
          <w:sz w:val="21"/>
          <w:szCs w:val="21"/>
          <w:highlight w:val="none"/>
        </w:rPr>
        <w:t>发包人的延误付款达60日以上，并影响到整个工程实施的，承包人有权根据18.2款的约定向发包人发出解除合同的通知，并有权就因此增加的相关费用向发包人提出索赔。</w:t>
      </w:r>
    </w:p>
    <w:p w14:paraId="0268409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14.10 税务与关税</w:t>
      </w:r>
    </w:p>
    <w:p w14:paraId="7481DAF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14.10.1</w:t>
      </w:r>
      <w:r>
        <w:rPr>
          <w:rFonts w:hint="eastAsia" w:ascii="仿宋" w:hAnsi="仿宋" w:eastAsia="仿宋" w:cs="仿宋"/>
          <w:color w:val="auto"/>
          <w:kern w:val="2"/>
          <w:sz w:val="21"/>
          <w:szCs w:val="21"/>
          <w:highlight w:val="none"/>
        </w:rPr>
        <w:t>发包人与承包人按国家有关纳税规定，各自履行各自的纳税义务，含与进口工程物资相关的各项纳税义务。</w:t>
      </w:r>
    </w:p>
    <w:p w14:paraId="34B9D282">
      <w:pPr>
        <w:pStyle w:val="1024"/>
        <w:adjustRightInd w:val="0"/>
        <w:snapToGrid w:val="0"/>
        <w:spacing w:line="288" w:lineRule="auto"/>
        <w:jc w:val="both"/>
        <w:rPr>
          <w:rFonts w:ascii="仿宋" w:hAnsi="仿宋" w:eastAsia="仿宋" w:cs="仿宋"/>
          <w:color w:val="auto"/>
          <w:kern w:val="2"/>
          <w:sz w:val="21"/>
          <w:szCs w:val="21"/>
          <w:highlight w:val="none"/>
        </w:rPr>
      </w:pPr>
      <w:bookmarkStart w:id="309" w:name="_Toc535392535"/>
      <w:bookmarkEnd w:id="309"/>
      <w:bookmarkStart w:id="310" w:name="_Toc947629"/>
      <w:r>
        <w:rPr>
          <w:rFonts w:hint="eastAsia" w:ascii="仿宋" w:hAnsi="仿宋" w:eastAsia="仿宋" w:cs="仿宋"/>
          <w:b/>
          <w:bCs/>
          <w:color w:val="auto"/>
          <w:kern w:val="2"/>
          <w:sz w:val="21"/>
          <w:szCs w:val="21"/>
          <w:highlight w:val="none"/>
        </w:rPr>
        <w:t>14.10.2</w:t>
      </w:r>
      <w:r>
        <w:rPr>
          <w:rFonts w:hint="eastAsia" w:ascii="仿宋" w:hAnsi="仿宋" w:eastAsia="仿宋" w:cs="仿宋"/>
          <w:color w:val="auto"/>
          <w:kern w:val="2"/>
          <w:sz w:val="21"/>
          <w:szCs w:val="21"/>
          <w:highlight w:val="none"/>
        </w:rPr>
        <w:t>合同一方享有本合同进口工程设备、材料、设备配件等进口增值税和关税减免时，另一方有义务就办理减免税手续给予协助和配合。</w:t>
      </w:r>
      <w:bookmarkEnd w:id="310"/>
    </w:p>
    <w:p w14:paraId="57CD863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14.11 索赔款项的支付</w:t>
      </w:r>
    </w:p>
    <w:p w14:paraId="02A1CBC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14.11.1</w:t>
      </w:r>
      <w:r>
        <w:rPr>
          <w:rFonts w:hint="eastAsia" w:ascii="仿宋" w:hAnsi="仿宋" w:eastAsia="仿宋" w:cs="仿宋"/>
          <w:color w:val="auto"/>
          <w:kern w:val="2"/>
          <w:sz w:val="21"/>
          <w:szCs w:val="21"/>
          <w:highlight w:val="none"/>
        </w:rPr>
        <w:t>经协商或调解确定的、或经仲裁裁决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14:paraId="1413AA8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14.11.2</w:t>
      </w:r>
      <w:r>
        <w:rPr>
          <w:rFonts w:hint="eastAsia" w:ascii="仿宋" w:hAnsi="仿宋" w:eastAsia="仿宋" w:cs="仿宋"/>
          <w:color w:val="auto"/>
          <w:kern w:val="2"/>
          <w:sz w:val="21"/>
          <w:szCs w:val="21"/>
          <w:highlight w:val="none"/>
        </w:rPr>
        <w:t>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14:paraId="51819B9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14.12 竣工结算</w:t>
      </w:r>
    </w:p>
    <w:p w14:paraId="743BCB1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14.12.1</w:t>
      </w:r>
      <w:r>
        <w:rPr>
          <w:rFonts w:hint="eastAsia" w:ascii="仿宋" w:hAnsi="仿宋" w:eastAsia="仿宋" w:cs="仿宋"/>
          <w:color w:val="auto"/>
          <w:kern w:val="2"/>
          <w:sz w:val="21"/>
          <w:szCs w:val="21"/>
          <w:highlight w:val="none"/>
        </w:rPr>
        <w:t>提交竣工结算资料</w:t>
      </w:r>
    </w:p>
    <w:p w14:paraId="34EA671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承包人应在根据12.1款的约定提交的竣工验收报告和完整的竣工资料被发包人确认后的30日内，向发包人递交竣工结算报告和完整的竣工结算资料。竣工结算资料的格式、内容和份数，在专用条款中约定。</w:t>
      </w:r>
    </w:p>
    <w:p w14:paraId="1F822A23">
      <w:pPr>
        <w:pStyle w:val="1024"/>
        <w:adjustRightInd w:val="0"/>
        <w:snapToGrid w:val="0"/>
        <w:spacing w:line="288" w:lineRule="auto"/>
        <w:jc w:val="both"/>
        <w:rPr>
          <w:rFonts w:ascii="仿宋" w:hAnsi="仿宋" w:eastAsia="仿宋" w:cs="仿宋"/>
          <w:color w:val="auto"/>
          <w:kern w:val="2"/>
          <w:sz w:val="21"/>
          <w:szCs w:val="21"/>
          <w:highlight w:val="none"/>
        </w:rPr>
      </w:pPr>
      <w:bookmarkStart w:id="311" w:name="_Toc535392536"/>
      <w:bookmarkEnd w:id="311"/>
      <w:bookmarkStart w:id="312" w:name="_Toc947630"/>
      <w:r>
        <w:rPr>
          <w:rFonts w:hint="eastAsia" w:ascii="仿宋" w:hAnsi="仿宋" w:eastAsia="仿宋" w:cs="仿宋"/>
          <w:b/>
          <w:bCs/>
          <w:color w:val="auto"/>
          <w:kern w:val="2"/>
          <w:sz w:val="21"/>
          <w:szCs w:val="21"/>
          <w:highlight w:val="none"/>
        </w:rPr>
        <w:t>14.12.2</w:t>
      </w:r>
      <w:r>
        <w:rPr>
          <w:rFonts w:hint="eastAsia" w:ascii="仿宋" w:hAnsi="仿宋" w:eastAsia="仿宋" w:cs="仿宋"/>
          <w:color w:val="auto"/>
          <w:kern w:val="2"/>
          <w:sz w:val="21"/>
          <w:szCs w:val="21"/>
          <w:highlight w:val="none"/>
        </w:rPr>
        <w:t>最终竣工结算资料</w:t>
      </w:r>
      <w:bookmarkEnd w:id="312"/>
    </w:p>
    <w:p w14:paraId="5F97447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14:paraId="4929D16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14.12.3</w:t>
      </w:r>
      <w:r>
        <w:rPr>
          <w:rFonts w:hint="eastAsia" w:ascii="仿宋" w:hAnsi="仿宋" w:eastAsia="仿宋" w:cs="仿宋"/>
          <w:color w:val="auto"/>
          <w:kern w:val="2"/>
          <w:sz w:val="21"/>
          <w:szCs w:val="21"/>
          <w:highlight w:val="none"/>
        </w:rPr>
        <w:t>结清竣工结算的款项</w:t>
      </w:r>
    </w:p>
    <w:p w14:paraId="6453769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14:paraId="70FA848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14.12.4</w:t>
      </w:r>
      <w:r>
        <w:rPr>
          <w:rFonts w:hint="eastAsia" w:ascii="仿宋" w:hAnsi="仿宋" w:eastAsia="仿宋" w:cs="仿宋"/>
          <w:color w:val="auto"/>
          <w:kern w:val="2"/>
          <w:sz w:val="21"/>
          <w:szCs w:val="21"/>
          <w:highlight w:val="none"/>
        </w:rPr>
        <w:t>未能答复竣工结算报告</w:t>
      </w:r>
    </w:p>
    <w:p w14:paraId="55BC30C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14:paraId="2FA7F91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14.12.5</w:t>
      </w:r>
      <w:r>
        <w:rPr>
          <w:rFonts w:hint="eastAsia" w:ascii="仿宋" w:hAnsi="仿宋" w:eastAsia="仿宋" w:cs="仿宋"/>
          <w:color w:val="auto"/>
          <w:kern w:val="2"/>
          <w:sz w:val="21"/>
          <w:szCs w:val="21"/>
          <w:highlight w:val="none"/>
        </w:rPr>
        <w:t>发包人未能结清竣工结算的款项</w:t>
      </w:r>
    </w:p>
    <w:p w14:paraId="5A0AD28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(1)发包人未能按14.12.3款的约定，结清应付给承包人的竣工结算的款项余额的，承包人有权从发包人根据14.2.2款约定提交的支付保函中扣减该款项的余额。</w:t>
      </w:r>
    </w:p>
    <w:p w14:paraId="6C3C28B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14:paraId="5AF3B95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贷款利率支付相应利息。</w:t>
      </w:r>
    </w:p>
    <w:p w14:paraId="531B3BC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发包人在承包人提交最终竣工结算资料的90日内，仍未结清竣工结算款项的，承包人可依据第16.3款争议和裁决的约定解决。</w:t>
      </w:r>
    </w:p>
    <w:p w14:paraId="56D0A84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14.12.6</w:t>
      </w:r>
      <w:r>
        <w:rPr>
          <w:rFonts w:hint="eastAsia" w:ascii="仿宋" w:hAnsi="仿宋" w:eastAsia="仿宋" w:cs="仿宋"/>
          <w:color w:val="auto"/>
          <w:kern w:val="2"/>
          <w:sz w:val="21"/>
          <w:szCs w:val="21"/>
          <w:highlight w:val="none"/>
        </w:rPr>
        <w:t>未能按时提交竣工结算报告及完整的结算资料</w:t>
      </w:r>
    </w:p>
    <w:p w14:paraId="1DD41F4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14:paraId="6DC0DA2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14.12.7</w:t>
      </w:r>
      <w:r>
        <w:rPr>
          <w:rFonts w:hint="eastAsia" w:ascii="仿宋" w:hAnsi="仿宋" w:eastAsia="仿宋" w:cs="仿宋"/>
          <w:color w:val="auto"/>
          <w:kern w:val="2"/>
          <w:sz w:val="21"/>
          <w:szCs w:val="21"/>
          <w:highlight w:val="none"/>
        </w:rPr>
        <w:t>承包人未能支付竣工结算的款项</w:t>
      </w:r>
    </w:p>
    <w:p w14:paraId="1A7F0C6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(1)承包人未能按14.12.3款的约定，结清应付给发包人的竣工结算中的款项余额时，发包人有权从承包人根据14.2.1款约定提交的履约保函中扣减该款项的余额。</w:t>
      </w:r>
    </w:p>
    <w:p w14:paraId="170C72D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14:paraId="539F43C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14:paraId="1FF80BA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14.12.8</w:t>
      </w:r>
      <w:r>
        <w:rPr>
          <w:rFonts w:hint="eastAsia" w:ascii="仿宋" w:hAnsi="仿宋" w:eastAsia="仿宋" w:cs="仿宋"/>
          <w:color w:val="auto"/>
          <w:kern w:val="2"/>
          <w:sz w:val="21"/>
          <w:szCs w:val="21"/>
          <w:highlight w:val="none"/>
        </w:rPr>
        <w:t>竣工结算的争议</w:t>
      </w:r>
    </w:p>
    <w:p w14:paraId="09E4B24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14:paraId="2598441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第15条 保险</w:t>
      </w:r>
    </w:p>
    <w:p w14:paraId="5D79926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15.1 承包人的投保</w:t>
      </w:r>
    </w:p>
    <w:p w14:paraId="1BF1738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15.1.1</w:t>
      </w:r>
      <w:r>
        <w:rPr>
          <w:rFonts w:hint="eastAsia" w:ascii="仿宋" w:hAnsi="仿宋" w:eastAsia="仿宋" w:cs="仿宋"/>
          <w:color w:val="auto"/>
          <w:kern w:val="2"/>
          <w:sz w:val="21"/>
          <w:szCs w:val="21"/>
          <w:highlight w:val="none"/>
        </w:rPr>
        <w:t>按适用法律和专用条款约定的投保类别，由承包人投保的保险种类，其投保费用包含在合同价格中。由承包人投保的保险种类、保险范围、投保金额、保险期限和持续有效的时间等在专用条款中约定。</w:t>
      </w:r>
    </w:p>
    <w:p w14:paraId="18E99ED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(1)适用法律规定及专用条款约定的，由承包人负责投保的，承包人应依据工程实施阶段的需要按期投保；</w:t>
      </w:r>
    </w:p>
    <w:p w14:paraId="557E882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(2)在合同执行过程中，新颁布的适用法律规定由承包人投保的强制性保险，根据13条变更和合同价格调整的约定调整合同价格。</w:t>
      </w:r>
    </w:p>
    <w:p w14:paraId="723AEE6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15.1.2</w:t>
      </w:r>
      <w:r>
        <w:rPr>
          <w:rFonts w:hint="eastAsia" w:ascii="仿宋" w:hAnsi="仿宋" w:eastAsia="仿宋" w:cs="仿宋"/>
          <w:color w:val="auto"/>
          <w:kern w:val="2"/>
          <w:sz w:val="21"/>
          <w:szCs w:val="21"/>
          <w:highlight w:val="none"/>
        </w:rPr>
        <w:t>保险单对联合被保险人提供保险时，保险赔偿对每个联合被保险人分别施用。承包人应代表自己的被保险人，保证其被保险人遵守保险单约定的条件及其赔偿金额。</w:t>
      </w:r>
    </w:p>
    <w:p w14:paraId="59D9C1C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15.1.3</w:t>
      </w:r>
      <w:r>
        <w:rPr>
          <w:rFonts w:hint="eastAsia" w:ascii="仿宋" w:hAnsi="仿宋" w:eastAsia="仿宋" w:cs="仿宋"/>
          <w:color w:val="auto"/>
          <w:kern w:val="2"/>
          <w:sz w:val="21"/>
          <w:szCs w:val="21"/>
          <w:highlight w:val="none"/>
        </w:rPr>
        <w:t>承包人从保险人收到的理赔款项，应用于保单约定的损失、损害、伤害的修复、购置、重建和赔偿。</w:t>
      </w:r>
    </w:p>
    <w:p w14:paraId="11EB1A8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15.1.4</w:t>
      </w:r>
      <w:r>
        <w:rPr>
          <w:rFonts w:hint="eastAsia" w:ascii="仿宋" w:hAnsi="仿宋" w:eastAsia="仿宋" w:cs="仿宋"/>
          <w:color w:val="auto"/>
          <w:kern w:val="2"/>
          <w:sz w:val="21"/>
          <w:szCs w:val="21"/>
          <w:highlight w:val="none"/>
        </w:rPr>
        <w:t>承包人应在投保项目及其投保期限内，向发包人提供保险单副本、保费支付单据复印件和保险单生效的证明。</w:t>
      </w:r>
    </w:p>
    <w:p w14:paraId="03665C5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承包人未提交上述证明文件的，视为未按合同约定投保，发包人可以自己名义投保相应保险，由此引起的费用及理赔损失，由承包人承担。  </w:t>
      </w:r>
    </w:p>
    <w:p w14:paraId="08F1CD5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13" w:name="_Toc535392537"/>
      <w:bookmarkEnd w:id="313"/>
      <w:bookmarkStart w:id="314" w:name="_Toc947631"/>
      <w:r>
        <w:rPr>
          <w:rFonts w:hint="eastAsia" w:ascii="仿宋" w:hAnsi="仿宋" w:eastAsia="仿宋" w:cs="仿宋"/>
          <w:b/>
          <w:bCs/>
          <w:color w:val="auto"/>
          <w:kern w:val="2"/>
          <w:sz w:val="21"/>
          <w:szCs w:val="21"/>
          <w:highlight w:val="none"/>
        </w:rPr>
        <w:t>15.2 一切险和第三方责任险</w:t>
      </w:r>
      <w:bookmarkEnd w:id="314"/>
    </w:p>
    <w:p w14:paraId="3F5EC0D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14:paraId="3117FFB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15.3 保险的其它规定</w:t>
      </w:r>
    </w:p>
    <w:p w14:paraId="00B92D7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15.3.1</w:t>
      </w:r>
      <w:r>
        <w:rPr>
          <w:rFonts w:hint="eastAsia" w:ascii="仿宋" w:hAnsi="仿宋" w:eastAsia="仿宋" w:cs="仿宋"/>
          <w:color w:val="auto"/>
          <w:kern w:val="2"/>
          <w:sz w:val="21"/>
          <w:szCs w:val="21"/>
          <w:highlight w:val="none"/>
        </w:rPr>
        <w:t>由承包人负责采购运输的设备、材料、部件的运输险，由承包人投保。此项保险费用己包含在合同价格中，专用条款中另有约定时除外。</w:t>
      </w:r>
    </w:p>
    <w:p w14:paraId="5B1264A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15.3.2</w:t>
      </w:r>
      <w:r>
        <w:rPr>
          <w:rFonts w:hint="eastAsia" w:ascii="仿宋" w:hAnsi="仿宋" w:eastAsia="仿宋" w:cs="仿宋"/>
          <w:color w:val="auto"/>
          <w:kern w:val="2"/>
          <w:sz w:val="21"/>
          <w:szCs w:val="21"/>
          <w:highlight w:val="none"/>
        </w:rPr>
        <w:t>保险事项的意外事件发生时，在场的各方均有责任努力采取必要措施，防止损失、损害的扩大。</w:t>
      </w:r>
    </w:p>
    <w:p w14:paraId="6BAD4C5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15.3.3</w:t>
      </w:r>
      <w:r>
        <w:rPr>
          <w:rFonts w:hint="eastAsia" w:ascii="仿宋" w:hAnsi="仿宋" w:eastAsia="仿宋" w:cs="仿宋"/>
          <w:color w:val="auto"/>
          <w:kern w:val="2"/>
          <w:sz w:val="21"/>
          <w:szCs w:val="21"/>
          <w:highlight w:val="none"/>
        </w:rPr>
        <w:t>本合同约定以外的险种，根据各自的需要自行投保，保险费用由各自承担。</w:t>
      </w:r>
    </w:p>
    <w:p w14:paraId="7257795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第16条 违约、索赔和争议</w:t>
      </w:r>
    </w:p>
    <w:p w14:paraId="20D67AF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16.1 违约责任</w:t>
      </w:r>
    </w:p>
    <w:p w14:paraId="5F37008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16.1.1</w:t>
      </w:r>
      <w:r>
        <w:rPr>
          <w:rFonts w:hint="eastAsia" w:ascii="仿宋" w:hAnsi="仿宋" w:eastAsia="仿宋" w:cs="仿宋"/>
          <w:color w:val="auto"/>
          <w:kern w:val="2"/>
          <w:sz w:val="21"/>
          <w:szCs w:val="21"/>
          <w:highlight w:val="none"/>
        </w:rPr>
        <w:t>发包人的违约责任</w:t>
      </w:r>
    </w:p>
    <w:p w14:paraId="5C1D50B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当发生下列情况时：</w:t>
      </w:r>
    </w:p>
    <w:p w14:paraId="6BADF2A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(1)发包人未能履行5.1.2款、5.2.1款第(1)、(2)项的约定，未能按时提供真实、准确、齐全的工艺技术和(或)建筑设计方案、项目基础资料和现场障碍资料；</w:t>
      </w:r>
    </w:p>
    <w:p w14:paraId="0B43457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(2)发包人未能按13条的约定调整合同价格，未能按14条有关预付款、工程进度款、竣工结算约定的款项类别、金额、承包人指定的账户和时间支付相应款项；</w:t>
      </w:r>
    </w:p>
    <w:p w14:paraId="2ECCBAA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(3)发包人未能履行合同中约定的其它责任和义务。</w:t>
      </w:r>
    </w:p>
    <w:p w14:paraId="7F224D8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14:paraId="6204DCE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16.1.2</w:t>
      </w:r>
      <w:r>
        <w:rPr>
          <w:rFonts w:hint="eastAsia" w:ascii="仿宋" w:hAnsi="仿宋" w:eastAsia="仿宋" w:cs="仿宋"/>
          <w:color w:val="auto"/>
          <w:kern w:val="2"/>
          <w:sz w:val="21"/>
          <w:szCs w:val="21"/>
          <w:highlight w:val="none"/>
        </w:rPr>
        <w:t>承包人的违约责任</w:t>
      </w:r>
    </w:p>
    <w:p w14:paraId="6F9A7D6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当发生下列情况时：</w:t>
      </w:r>
    </w:p>
    <w:p w14:paraId="14CAA8B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(1)承包人未能履行第6.2款对其提供的工程物资进行检验的约定、7.5款施工质量与检验的约定，未能修复缺陷；</w:t>
      </w:r>
    </w:p>
    <w:p w14:paraId="3DB6964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(2)承包人经三次试验仍未能通过竣工试验、或经三次试验仍未能通过竣工后试验，导致的工程任何主要部分或整个工程丧失了使用价值、生产价值、使用利益；    </w:t>
      </w:r>
    </w:p>
    <w:p w14:paraId="20B0AF1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(3)承包人未经发包人同意、或未经必要的许可、或适用法律不允许分包的，将工程分包给他人；</w:t>
      </w:r>
    </w:p>
    <w:p w14:paraId="3539B1C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(4)承包人未能履行合同约定的其它责任和义务。</w:t>
      </w:r>
    </w:p>
    <w:p w14:paraId="0166613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承包人应采取补救措施，并赔偿因上述违约行为给发包人造成的损失。承包人承担违约责任，并不能减轻或免除合同中约定的由承包人继续履行的其它责任和义务。</w:t>
      </w:r>
    </w:p>
    <w:p w14:paraId="4FAC0B6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15" w:name="_Toc535392538"/>
      <w:bookmarkEnd w:id="315"/>
      <w:bookmarkStart w:id="316" w:name="_Toc947632"/>
      <w:r>
        <w:rPr>
          <w:rFonts w:hint="eastAsia" w:ascii="仿宋" w:hAnsi="仿宋" w:eastAsia="仿宋" w:cs="仿宋"/>
          <w:b/>
          <w:bCs/>
          <w:color w:val="auto"/>
          <w:kern w:val="2"/>
          <w:sz w:val="21"/>
          <w:szCs w:val="21"/>
          <w:highlight w:val="none"/>
        </w:rPr>
        <w:t>16.2 索赔</w:t>
      </w:r>
      <w:bookmarkEnd w:id="316"/>
    </w:p>
    <w:p w14:paraId="163DCCB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16.2.1</w:t>
      </w:r>
      <w:r>
        <w:rPr>
          <w:rFonts w:hint="eastAsia" w:ascii="仿宋" w:hAnsi="仿宋" w:eastAsia="仿宋" w:cs="仿宋"/>
          <w:color w:val="auto"/>
          <w:kern w:val="2"/>
          <w:sz w:val="21"/>
          <w:szCs w:val="21"/>
          <w:highlight w:val="none"/>
        </w:rPr>
        <w:t>发包人的索赔</w:t>
      </w:r>
    </w:p>
    <w:p w14:paraId="5BE2DE5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14:paraId="2979B93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(1)发包人应在索赔事件发生后的30日内，向承包人送交索赔通知。未能在索赔事件发生后的30日内发出索赔通知，承包人不再承担任何责任，法律另有规定的除外；</w:t>
      </w:r>
    </w:p>
    <w:p w14:paraId="3DC2DFC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(2)发包人应在发出索赔通知后的30日内，以书面形式向承包人提供说明索赔事件的正当理由、条款根据、有效的可证实的证据和索赔估算等相关资料；</w:t>
      </w:r>
    </w:p>
    <w:p w14:paraId="7810822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(3)承包人应在收到发包人送交的索赔资料后30日内与发包人协商解决，或给予答复，或要求发包人进一步补充提供索赔的理由和证据；</w:t>
      </w:r>
    </w:p>
    <w:p w14:paraId="2C5D10D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(4)承包人在收到发包人送交的索赔资料后30日内未与发包人协商、未予答复、或未向发包人提出进一步要求，视为该项索赔已被承包人认可；</w:t>
      </w:r>
    </w:p>
    <w:p w14:paraId="095BF4D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14:paraId="27CC31F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16.2.2</w:t>
      </w:r>
      <w:r>
        <w:rPr>
          <w:rFonts w:hint="eastAsia" w:ascii="仿宋" w:hAnsi="仿宋" w:eastAsia="仿宋" w:cs="仿宋"/>
          <w:color w:val="auto"/>
          <w:kern w:val="2"/>
          <w:sz w:val="21"/>
          <w:szCs w:val="21"/>
          <w:highlight w:val="none"/>
        </w:rPr>
        <w:t>承包人的索赔</w:t>
      </w:r>
    </w:p>
    <w:p w14:paraId="5FA6DA5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眭竣工日期时，承包人有权向发包人提出索赔。索赔依据法律和合同约定，并遵循如下程序进行：</w:t>
      </w:r>
    </w:p>
    <w:p w14:paraId="1F12A86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(1)承包人应在索赔事件发生后30日内，向发包人发出索赔通知。未在索赔事件发生后的30日内发出索赔通知，发包人不再承担任何责任，法律另有规定除外；</w:t>
      </w:r>
    </w:p>
    <w:p w14:paraId="29D4244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(2)承包人应在发出索赔事件通知后的30日内，以书面形式向发包人提交说明索赔事件的正当理由、条款根据、有效的可证实的证据和索赔估算资料的报告；</w:t>
      </w:r>
    </w:p>
    <w:p w14:paraId="4A7FB67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(3)发包人应在收到承包人送交的有关索赔资料的报告后30日内与承包人协商解决，或给予答复，或要求承包人进一步补充索赔理由和证据；</w:t>
      </w:r>
    </w:p>
    <w:p w14:paraId="2087DFC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(4)发包人在收到承包人按本款第(3)项提交的报告和补充资料后的30日内未与承包人协商、或未予答复、或未向承包人提出进一步补充要求，视为该项索赔已被发包人认可；</w:t>
      </w:r>
    </w:p>
    <w:p w14:paraId="17A19CE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14:paraId="2E0C42A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16.3 争议和裁决</w:t>
      </w:r>
    </w:p>
    <w:p w14:paraId="27669FA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16.3.1</w:t>
      </w:r>
      <w:r>
        <w:rPr>
          <w:rFonts w:hint="eastAsia" w:ascii="仿宋" w:hAnsi="仿宋" w:eastAsia="仿宋" w:cs="仿宋"/>
          <w:color w:val="auto"/>
          <w:kern w:val="2"/>
          <w:sz w:val="21"/>
          <w:szCs w:val="21"/>
          <w:highlight w:val="none"/>
        </w:rPr>
        <w:t>争议的解决程序</w:t>
      </w:r>
    </w:p>
    <w:p w14:paraId="27074AA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项。</w:t>
      </w:r>
    </w:p>
    <w:p w14:paraId="5DC75D4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16.3.2</w:t>
      </w:r>
      <w:r>
        <w:rPr>
          <w:rFonts w:hint="eastAsia" w:ascii="仿宋" w:hAnsi="仿宋" w:eastAsia="仿宋" w:cs="仿宋"/>
          <w:color w:val="auto"/>
          <w:kern w:val="2"/>
          <w:sz w:val="21"/>
          <w:szCs w:val="21"/>
          <w:highlight w:val="none"/>
        </w:rPr>
        <w:t>争议不应影响履约</w:t>
      </w:r>
    </w:p>
    <w:p w14:paraId="4452559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发生争议后，须继续履行其合同约定的责任和义务，保持工程继续实施。除非出现下列情况，任何一方不得停止工程或部分工程的实施，</w:t>
      </w:r>
    </w:p>
    <w:p w14:paraId="25AB6CA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(1)当事人一方违约导致合同确已无法履行，经合同双方协议停止实施；</w:t>
      </w:r>
    </w:p>
    <w:p w14:paraId="3C74563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(2)仲裁机构或法院责令停止实施。</w:t>
      </w:r>
    </w:p>
    <w:p w14:paraId="561BD55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16.3.3</w:t>
      </w:r>
      <w:r>
        <w:rPr>
          <w:rFonts w:hint="eastAsia" w:ascii="仿宋" w:hAnsi="仿宋" w:eastAsia="仿宋" w:cs="仿宋"/>
          <w:color w:val="auto"/>
          <w:kern w:val="2"/>
          <w:sz w:val="21"/>
          <w:szCs w:val="21"/>
          <w:highlight w:val="none"/>
        </w:rPr>
        <w:t>停止实施的工程保护</w:t>
      </w:r>
    </w:p>
    <w:p w14:paraId="04D368C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根据16.3.2款约定，停止实施工程或部分工程时，双方应按合同约定的职责、责任和义务，保护好与合同工程有关的各种文件、资料、图纸、已完工程，以及尚未使用的工程物资。</w:t>
      </w:r>
    </w:p>
    <w:p w14:paraId="3D66964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第17条 不可抗力</w:t>
      </w:r>
    </w:p>
    <w:p w14:paraId="239FACF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17" w:name="_Toc535392539"/>
      <w:bookmarkEnd w:id="317"/>
      <w:bookmarkStart w:id="318" w:name="_Toc947633"/>
      <w:r>
        <w:rPr>
          <w:rFonts w:hint="eastAsia" w:ascii="仿宋" w:hAnsi="仿宋" w:eastAsia="仿宋" w:cs="仿宋"/>
          <w:b/>
          <w:bCs/>
          <w:color w:val="auto"/>
          <w:kern w:val="2"/>
          <w:sz w:val="21"/>
          <w:szCs w:val="21"/>
          <w:highlight w:val="none"/>
        </w:rPr>
        <w:t>17.1 不可抗力发生时的义务</w:t>
      </w:r>
      <w:bookmarkEnd w:id="318"/>
    </w:p>
    <w:p w14:paraId="3FBB0F51">
      <w:pPr>
        <w:pStyle w:val="1024"/>
        <w:adjustRightInd w:val="0"/>
        <w:snapToGrid w:val="0"/>
        <w:spacing w:line="288" w:lineRule="auto"/>
        <w:jc w:val="both"/>
        <w:rPr>
          <w:rFonts w:ascii="仿宋" w:hAnsi="仿宋" w:eastAsia="仿宋" w:cs="仿宋"/>
          <w:color w:val="auto"/>
          <w:kern w:val="2"/>
          <w:sz w:val="21"/>
          <w:szCs w:val="21"/>
          <w:highlight w:val="none"/>
        </w:rPr>
      </w:pPr>
      <w:bookmarkStart w:id="319" w:name="_Toc535392540"/>
      <w:bookmarkEnd w:id="319"/>
      <w:bookmarkStart w:id="320" w:name="_Toc947634"/>
      <w:r>
        <w:rPr>
          <w:rFonts w:hint="eastAsia" w:ascii="仿宋" w:hAnsi="仿宋" w:eastAsia="仿宋" w:cs="仿宋"/>
          <w:b/>
          <w:bCs/>
          <w:color w:val="auto"/>
          <w:kern w:val="2"/>
          <w:sz w:val="21"/>
          <w:szCs w:val="21"/>
          <w:highlight w:val="none"/>
        </w:rPr>
        <w:t>17.1.1</w:t>
      </w:r>
      <w:r>
        <w:rPr>
          <w:rFonts w:hint="eastAsia" w:ascii="仿宋" w:hAnsi="仿宋" w:eastAsia="仿宋" w:cs="仿宋"/>
          <w:color w:val="auto"/>
          <w:kern w:val="2"/>
          <w:sz w:val="21"/>
          <w:szCs w:val="21"/>
          <w:highlight w:val="none"/>
        </w:rPr>
        <w:t>通知义务</w:t>
      </w:r>
      <w:bookmarkEnd w:id="320"/>
    </w:p>
    <w:p w14:paraId="064767E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14:paraId="7C68C0D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17.1.2</w:t>
      </w:r>
      <w:r>
        <w:rPr>
          <w:rFonts w:hint="eastAsia" w:ascii="仿宋" w:hAnsi="仿宋" w:eastAsia="仿宋" w:cs="仿宋"/>
          <w:color w:val="auto"/>
          <w:kern w:val="2"/>
          <w:sz w:val="21"/>
          <w:szCs w:val="21"/>
          <w:highlight w:val="none"/>
        </w:rPr>
        <w:t>通报义务</w:t>
      </w:r>
    </w:p>
    <w:p w14:paraId="59BB928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14:paraId="0BF0764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21" w:name="_Toc535392541"/>
      <w:bookmarkEnd w:id="321"/>
      <w:bookmarkStart w:id="322" w:name="_Toc947635"/>
      <w:r>
        <w:rPr>
          <w:rFonts w:hint="eastAsia" w:ascii="仿宋" w:hAnsi="仿宋" w:eastAsia="仿宋" w:cs="仿宋"/>
          <w:b/>
          <w:bCs/>
          <w:color w:val="auto"/>
          <w:kern w:val="2"/>
          <w:sz w:val="21"/>
          <w:szCs w:val="21"/>
          <w:highlight w:val="none"/>
        </w:rPr>
        <w:t>17.2 不可抗力的后果</w:t>
      </w:r>
      <w:bookmarkEnd w:id="322"/>
    </w:p>
    <w:p w14:paraId="22F6F8C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因不可抗力事件导致的损失、损害、伤害所发生的费用及延误的竣工日期，按如下约定处理：</w:t>
      </w:r>
    </w:p>
    <w:p w14:paraId="77B1F85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(1)永久性工程和工程物资等的损失、损害，由发包人承担；</w:t>
      </w:r>
    </w:p>
    <w:p w14:paraId="01907DC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(2)受雇人员的伤害，分别按照各自的雇用合同关系负责处理；</w:t>
      </w:r>
    </w:p>
    <w:p w14:paraId="1F368F1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(3)承包人的机具、设备、财产和临时工程的损失、损害，由承包人承担；</w:t>
      </w:r>
    </w:p>
    <w:p w14:paraId="0B1D38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(4)承包人的停工损失，由承包人承担；</w:t>
      </w:r>
    </w:p>
    <w:p w14:paraId="7B0CB01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(5)不可抗力事件发生后，因一方迟延履行合同约定的保护义务导致的延续损失、损害，由迟延履行义务的一方承担相应责任及其损失；</w:t>
      </w:r>
    </w:p>
    <w:p w14:paraId="30CB7B8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323" w:name="_Toc535392542"/>
      <w:bookmarkEnd w:id="323"/>
      <w:bookmarkStart w:id="324" w:name="_Toc947636"/>
      <w:r>
        <w:rPr>
          <w:rFonts w:hint="eastAsia" w:ascii="仿宋" w:hAnsi="仿宋" w:eastAsia="仿宋" w:cs="仿宋"/>
          <w:color w:val="auto"/>
          <w:kern w:val="2"/>
          <w:sz w:val="21"/>
          <w:szCs w:val="21"/>
          <w:highlight w:val="none"/>
        </w:rPr>
        <w:t>(6)发包人通知恢复建设时，承包人应在接到通知后的20日内、或双方根</w:t>
      </w:r>
      <w:bookmarkEnd w:id="324"/>
      <w:r>
        <w:rPr>
          <w:rFonts w:hint="eastAsia" w:ascii="仿宋" w:hAnsi="仿宋" w:eastAsia="仿宋" w:cs="仿宋"/>
          <w:color w:val="auto"/>
          <w:kern w:val="2"/>
          <w:sz w:val="21"/>
          <w:szCs w:val="21"/>
          <w:highlight w:val="none"/>
        </w:rPr>
        <w:t>据具体情况约定的时间内，提交清理、修复的方案及其估算，以及进度计划安排的资料和报告，经发包人确认后，所需的清理、修复费用由发包人承担。恢复建设的竣工日期合理顺延。</w:t>
      </w:r>
    </w:p>
    <w:p w14:paraId="094E587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第18条 合同解除</w:t>
      </w:r>
    </w:p>
    <w:p w14:paraId="1DA3803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18.1 由发包人解除合同</w:t>
      </w:r>
    </w:p>
    <w:p w14:paraId="247B0C1C">
      <w:pPr>
        <w:pStyle w:val="1024"/>
        <w:adjustRightInd w:val="0"/>
        <w:snapToGrid w:val="0"/>
        <w:spacing w:line="288" w:lineRule="auto"/>
        <w:jc w:val="both"/>
        <w:rPr>
          <w:rFonts w:ascii="仿宋" w:hAnsi="仿宋" w:eastAsia="仿宋" w:cs="仿宋"/>
          <w:color w:val="auto"/>
          <w:kern w:val="2"/>
          <w:sz w:val="21"/>
          <w:szCs w:val="21"/>
          <w:highlight w:val="none"/>
        </w:rPr>
      </w:pPr>
      <w:bookmarkStart w:id="325" w:name="_Toc535392543"/>
      <w:bookmarkEnd w:id="325"/>
      <w:bookmarkStart w:id="326" w:name="_Toc947637"/>
      <w:r>
        <w:rPr>
          <w:rFonts w:hint="eastAsia" w:ascii="仿宋" w:hAnsi="仿宋" w:eastAsia="仿宋" w:cs="仿宋"/>
          <w:b/>
          <w:bCs/>
          <w:color w:val="auto"/>
          <w:kern w:val="2"/>
          <w:sz w:val="21"/>
          <w:szCs w:val="21"/>
          <w:highlight w:val="none"/>
        </w:rPr>
        <w:t>18.1.1</w:t>
      </w:r>
      <w:r>
        <w:rPr>
          <w:rFonts w:hint="eastAsia" w:ascii="仿宋" w:hAnsi="仿宋" w:eastAsia="仿宋" w:cs="仿宋"/>
          <w:color w:val="auto"/>
          <w:kern w:val="2"/>
          <w:sz w:val="21"/>
          <w:szCs w:val="21"/>
          <w:highlight w:val="none"/>
        </w:rPr>
        <w:t>通知改正</w:t>
      </w:r>
      <w:bookmarkEnd w:id="326"/>
    </w:p>
    <w:p w14:paraId="1F8C5C4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承包人未能按合同履行其职责、责任和义务，发包人可通知承包人，在合理的时间内纠正并补救其违约行为。</w:t>
      </w:r>
    </w:p>
    <w:p w14:paraId="66BBC11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18.1.2</w:t>
      </w:r>
      <w:r>
        <w:rPr>
          <w:rFonts w:hint="eastAsia" w:ascii="仿宋" w:hAnsi="仿宋" w:eastAsia="仿宋" w:cs="仿宋"/>
          <w:color w:val="auto"/>
          <w:kern w:val="2"/>
          <w:sz w:val="21"/>
          <w:szCs w:val="21"/>
          <w:highlight w:val="none"/>
        </w:rPr>
        <w:t>由发包人解除合同</w:t>
      </w:r>
    </w:p>
    <w:p w14:paraId="4BEA7D6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发包人有权基于下列原因，以书面形式通知解除合同或解除合同的部分工作。发包人应在发出解除合同通知15日前告知承包人。发包人解除合同并不影响其根据合同约定享有的其它权利。</w:t>
      </w:r>
    </w:p>
    <w:p w14:paraId="7DD96BD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(1)承包人未能遵守14.2.1款履约保函的约定；</w:t>
      </w:r>
    </w:p>
    <w:p w14:paraId="190A593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(2)承包人未能执行18.1.1款通知改正的约定；</w:t>
      </w:r>
    </w:p>
    <w:p w14:paraId="3D0D6B9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(3)承包人未能遵守3.8.1款至3.8.4款的有关分包和转包的约定；</w:t>
      </w:r>
    </w:p>
    <w:p w14:paraId="46E6880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(4)承包人实际进度明显落后于进度计划，发包人指令其采取措施并修正进度计划时，承包人无作为；</w:t>
      </w:r>
    </w:p>
    <w:p w14:paraId="14FD698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(5)工程质量有严重缺陷，承包人无正当理由使修复开始日期拖延达30日以上；</w:t>
      </w:r>
    </w:p>
    <w:p w14:paraId="58C5687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(6)承包人明确表示或以自己的行为明显表明不履行合同、或经发包人以书面形式通知其履约后仍未能依约履行合同、或以明显不适当的方式履行合同；</w:t>
      </w:r>
    </w:p>
    <w:p w14:paraId="28452E3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(7)根据8.6.2款第(5)项(或)和10.8款的约定，未能通过的竣工试验、未能通过的竣工后试验，使工程的任何部分和(或)整个工程丧失了主要使用功能、生产功能；</w:t>
      </w:r>
    </w:p>
    <w:p w14:paraId="010BBCE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(8)承包人破产、停业清理或进入清算程序，或情况表明承包人将进入破产和(或)清算程序。</w:t>
      </w:r>
    </w:p>
    <w:p w14:paraId="3A5B464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发包人不能为另行安排其他承包人实施工程而解除合同或解除合同的部分工作。发包人违反该约定时，承包人有权依据本项约定，提出仲裁或诉讼。</w:t>
      </w:r>
    </w:p>
    <w:p w14:paraId="5AA419DD">
      <w:pPr>
        <w:pStyle w:val="1024"/>
        <w:adjustRightInd w:val="0"/>
        <w:snapToGrid w:val="0"/>
        <w:spacing w:line="288" w:lineRule="auto"/>
        <w:jc w:val="both"/>
        <w:rPr>
          <w:rFonts w:ascii="仿宋" w:hAnsi="仿宋" w:eastAsia="仿宋" w:cs="仿宋"/>
          <w:color w:val="auto"/>
          <w:kern w:val="2"/>
          <w:sz w:val="21"/>
          <w:szCs w:val="21"/>
          <w:highlight w:val="none"/>
        </w:rPr>
      </w:pPr>
      <w:bookmarkStart w:id="327" w:name="_Toc535392544"/>
      <w:bookmarkEnd w:id="327"/>
      <w:bookmarkStart w:id="328" w:name="_Toc947638"/>
      <w:r>
        <w:rPr>
          <w:rFonts w:hint="eastAsia" w:ascii="仿宋" w:hAnsi="仿宋" w:eastAsia="仿宋" w:cs="仿宋"/>
          <w:b/>
          <w:bCs/>
          <w:color w:val="auto"/>
          <w:kern w:val="2"/>
          <w:sz w:val="21"/>
          <w:szCs w:val="21"/>
          <w:highlight w:val="none"/>
        </w:rPr>
        <w:t>18.1.3</w:t>
      </w:r>
      <w:r>
        <w:rPr>
          <w:rFonts w:hint="eastAsia" w:ascii="仿宋" w:hAnsi="仿宋" w:eastAsia="仿宋" w:cs="仿宋"/>
          <w:color w:val="auto"/>
          <w:kern w:val="2"/>
          <w:sz w:val="21"/>
          <w:szCs w:val="21"/>
          <w:highlight w:val="none"/>
        </w:rPr>
        <w:t>解除合同后停止和进行的工作</w:t>
      </w:r>
      <w:bookmarkEnd w:id="328"/>
    </w:p>
    <w:p w14:paraId="6481133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承包人收到解除合同通知后的工作。承包人应在解除合同30日内或双方约定的时间内，完成以下工作：</w:t>
      </w:r>
    </w:p>
    <w:p w14:paraId="46CA2BD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(1)除了为保护生命、财产或工程安全、清理和必须执行的工作外，停止执行所有被通知解除的工作；</w:t>
      </w:r>
    </w:p>
    <w:p w14:paraId="54FFFC2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(2)将发包人提供的所有信息及承包人为本工程编制的设计文件、技术资料及其它文件移交给发包人。在承包人留有的资料文件中，销毁与发包人提供的所有信息相关的数据及资料的备份；</w:t>
      </w:r>
    </w:p>
    <w:p w14:paraId="7B78DDA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(3)移交己完成的永久性工程及负责已运抵现场的工程物资。在移交前，妥善做好已完工程和已运抵现场的工程物资的保管、维护和保养；</w:t>
      </w:r>
    </w:p>
    <w:p w14:paraId="66DC0AB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(4)移交相应实施阶段已经付款的并己完成的和尚待完成的设计文件、图纸、资料、操作维修手册、施工组织设计、质检资料、竣工资料等；</w:t>
      </w:r>
    </w:p>
    <w:p w14:paraId="2293C70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14:paraId="1A481CE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14:paraId="5B88D7C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(7)承包人应按照合同约定，继续履行其未被解除的合同部分工作：</w:t>
      </w:r>
    </w:p>
    <w:p w14:paraId="2BCBBB2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(8)在解除合同的结算尚未结清之前，承包人不得将其机具、设备、设施、周转材料、措施材料撤离现场和(或)拆除，除非得到发包人同意。</w:t>
      </w:r>
    </w:p>
    <w:p w14:paraId="41D86FCF">
      <w:pPr>
        <w:pStyle w:val="1024"/>
        <w:adjustRightInd w:val="0"/>
        <w:snapToGrid w:val="0"/>
        <w:spacing w:line="288" w:lineRule="auto"/>
        <w:jc w:val="both"/>
        <w:rPr>
          <w:rFonts w:ascii="仿宋" w:hAnsi="仿宋" w:eastAsia="仿宋" w:cs="仿宋"/>
          <w:color w:val="auto"/>
          <w:kern w:val="2"/>
          <w:sz w:val="21"/>
          <w:szCs w:val="21"/>
          <w:highlight w:val="none"/>
        </w:rPr>
      </w:pPr>
      <w:bookmarkStart w:id="329" w:name="_Toc535392545"/>
      <w:bookmarkEnd w:id="329"/>
      <w:bookmarkStart w:id="330" w:name="_Toc947639"/>
      <w:r>
        <w:rPr>
          <w:rFonts w:hint="eastAsia" w:ascii="仿宋" w:hAnsi="仿宋" w:eastAsia="仿宋" w:cs="仿宋"/>
          <w:b/>
          <w:bCs/>
          <w:color w:val="auto"/>
          <w:kern w:val="2"/>
          <w:sz w:val="21"/>
          <w:szCs w:val="21"/>
          <w:highlight w:val="none"/>
        </w:rPr>
        <w:t>18.1.4</w:t>
      </w:r>
      <w:r>
        <w:rPr>
          <w:rFonts w:hint="eastAsia" w:ascii="仿宋" w:hAnsi="仿宋" w:eastAsia="仿宋" w:cs="仿宋"/>
          <w:color w:val="auto"/>
          <w:kern w:val="2"/>
          <w:sz w:val="21"/>
          <w:szCs w:val="21"/>
          <w:highlight w:val="none"/>
        </w:rPr>
        <w:t>解除日期的结算</w:t>
      </w:r>
      <w:bookmarkEnd w:id="330"/>
    </w:p>
    <w:p w14:paraId="2746367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依据18.1.2款的约定，承包人收到解除合同或解除合同部分工作的通知后，发包人应立即与承包人商定己发生的合同款项，包括14.3款的预付款、14.4款的工程进度款、13.7款的合同价格调整的款项、14.5款的缺陷责任保修金暂扣的款项、16.2款的索赔款项、本合同补充协议的款项，投合同约定的任何应增减的款项。经双方协商一致的合同款项，作为解除日期的结算依据。</w:t>
      </w:r>
    </w:p>
    <w:p w14:paraId="4BA413A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18.1.5</w:t>
      </w:r>
      <w:r>
        <w:rPr>
          <w:rFonts w:hint="eastAsia" w:ascii="仿宋" w:hAnsi="仿宋" w:eastAsia="仿宋" w:cs="仿宋"/>
          <w:color w:val="auto"/>
          <w:kern w:val="2"/>
          <w:sz w:val="21"/>
          <w:szCs w:val="21"/>
          <w:highlight w:val="none"/>
        </w:rPr>
        <w:t>解除合同后的结算</w:t>
      </w:r>
    </w:p>
    <w:p w14:paraId="7093A04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14:paraId="6A7881C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(2)如合同解除时仍有未被扣减完的预付款，发包人应根据14.3.3预付款抵扣的约定扣除，并在此后将约定提交的预付款保函返还给承包人。</w:t>
      </w:r>
    </w:p>
    <w:p w14:paraId="2C16D1B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(3)发包人尚有其它未能扣减完的应收款余额时，有权从14.2.1款约定的承包人提交的履约保函中扣减，并在此后将履约保函返还给承包人。</w:t>
      </w:r>
    </w:p>
    <w:p w14:paraId="0277EB9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按上述约定扣减后，仍有未能收叫的款项时：或合同未能约定提交履约保函和预付款保函时，仍有未能扣减应收款项的余额时，可扣留与应收款价值相当的承包人的机具、设备、设施、周转材料等作为抵偿。</w:t>
      </w:r>
    </w:p>
    <w:p w14:paraId="4D96BE3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18.1.6</w:t>
      </w:r>
      <w:r>
        <w:rPr>
          <w:rFonts w:hint="eastAsia" w:ascii="仿宋" w:hAnsi="仿宋" w:eastAsia="仿宋" w:cs="仿宋"/>
          <w:color w:val="auto"/>
          <w:kern w:val="2"/>
          <w:sz w:val="21"/>
          <w:szCs w:val="21"/>
          <w:highlight w:val="none"/>
        </w:rPr>
        <w:t>承包人的撤离</w:t>
      </w:r>
    </w:p>
    <w:p w14:paraId="2B0C88E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(1)全部合同解除的撤离。承包人有权按18.1.5款第(4)项的约定，将未被因抵偿扣留的机具、设备、设施等自行撤离现场，并承担撤离和拆除临时设施的费用。发包人应为此提供必要条件。</w:t>
      </w:r>
    </w:p>
    <w:p w14:paraId="1AEC912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(2)部分合同解除的撤离。承包人应在接到发包人发出撤离现场的通知后，将其多余的机具、设各、设施等自费拆除并自费撤离现场(不包括根据18.1.5款第(4)项约定被抵偿的机具等)。发包人应为此提供必要条件。</w:t>
      </w:r>
    </w:p>
    <w:p w14:paraId="00898ED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18.1.7</w:t>
      </w:r>
      <w:r>
        <w:rPr>
          <w:rFonts w:hint="eastAsia" w:ascii="仿宋" w:hAnsi="仿宋" w:eastAsia="仿宋" w:cs="仿宋"/>
          <w:color w:val="auto"/>
          <w:kern w:val="2"/>
          <w:sz w:val="21"/>
          <w:szCs w:val="21"/>
          <w:highlight w:val="none"/>
        </w:rPr>
        <w:t>解除合同后继续实施工程的权利。发包人可继续完成工程或委托其他承包人继续完成工程。发包人有权与其他承包人使用已移交的永久性工程的物资，及承包人为本工程编制的设计文件、实施文件及资料，以及使用根据18.1.5款第(4)项约定扣留抵偿的设施、机具和设备。</w:t>
      </w:r>
    </w:p>
    <w:p w14:paraId="38388EE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18.2 由承包人解除合同</w:t>
      </w:r>
    </w:p>
    <w:p w14:paraId="6CCE85B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18.2.1</w:t>
      </w:r>
      <w:r>
        <w:rPr>
          <w:rFonts w:hint="eastAsia" w:ascii="仿宋" w:hAnsi="仿宋" w:eastAsia="仿宋" w:cs="仿宋"/>
          <w:color w:val="auto"/>
          <w:kern w:val="2"/>
          <w:sz w:val="21"/>
          <w:szCs w:val="21"/>
          <w:highlight w:val="none"/>
        </w:rPr>
        <w:t>由承包人解除合同。基于下列原因，承包人有权以书面形式通知发包人解除合同，但应在发出解除合同通知15日前告知发包人：</w:t>
      </w:r>
    </w:p>
    <w:p w14:paraId="49EB937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(1)发包人延误付款达60日以上，或根据4.6.4款承包人要求复工，但发包人在180日内仍未通知复工的；</w:t>
      </w:r>
    </w:p>
    <w:p w14:paraId="6D85370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(2)发包人实质上未能根据合同约定履行其义务，影响承包人实施工作停止30日以上；</w:t>
      </w:r>
    </w:p>
    <w:p w14:paraId="2A9D494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(3)发包人未能按14.2.2款的约定提交支付保函；    </w:t>
      </w:r>
    </w:p>
    <w:p w14:paraId="6F122B0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(4)出现第17条约定的不可抗力事件，导致继续履行合同主要义务已成为不可能或不必要；</w:t>
      </w:r>
    </w:p>
    <w:p w14:paraId="270A52E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(5)发包人破产、停业清理或进入清算程序、或情况表明发包人将进入破产或(和)清算程序，或发包人无力支付合同款项。</w:t>
      </w:r>
    </w:p>
    <w:p w14:paraId="521B8F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14:paraId="0663FAA7">
      <w:pPr>
        <w:pStyle w:val="1024"/>
        <w:adjustRightInd w:val="0"/>
        <w:snapToGrid w:val="0"/>
        <w:spacing w:line="288" w:lineRule="auto"/>
        <w:jc w:val="both"/>
        <w:rPr>
          <w:rFonts w:ascii="仿宋" w:hAnsi="仿宋" w:eastAsia="仿宋" w:cs="仿宋"/>
          <w:color w:val="auto"/>
          <w:kern w:val="2"/>
          <w:sz w:val="21"/>
          <w:szCs w:val="21"/>
          <w:highlight w:val="none"/>
        </w:rPr>
      </w:pPr>
      <w:bookmarkStart w:id="331" w:name="_Toc535392546"/>
      <w:bookmarkEnd w:id="331"/>
      <w:bookmarkStart w:id="332" w:name="_Toc947640"/>
      <w:r>
        <w:rPr>
          <w:rFonts w:hint="eastAsia" w:ascii="仿宋" w:hAnsi="仿宋" w:eastAsia="仿宋" w:cs="仿宋"/>
          <w:b/>
          <w:bCs/>
          <w:color w:val="auto"/>
          <w:kern w:val="2"/>
          <w:sz w:val="21"/>
          <w:szCs w:val="21"/>
          <w:highlight w:val="none"/>
        </w:rPr>
        <w:t>18.2.2</w:t>
      </w:r>
      <w:r>
        <w:rPr>
          <w:rFonts w:hint="eastAsia" w:ascii="仿宋" w:hAnsi="仿宋" w:eastAsia="仿宋" w:cs="仿宋"/>
          <w:color w:val="auto"/>
          <w:kern w:val="2"/>
          <w:sz w:val="21"/>
          <w:szCs w:val="21"/>
          <w:highlight w:val="none"/>
        </w:rPr>
        <w:t>承包人发出解除合同的通知后，有权停止和必须进行的工作如下：</w:t>
      </w:r>
      <w:bookmarkEnd w:id="332"/>
    </w:p>
    <w:p w14:paraId="449396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(1)除为保护生命、财产、工程安全、清理和必须执行的工作外，停止所有进一步的工作；</w:t>
      </w:r>
    </w:p>
    <w:p w14:paraId="6D00E74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移交己完成的水久性工程及承包人提供的工程物资(包括现场保管的、已经订货的、正在加工制造的、正在运输途中的、现场尚未交接的)。在未移交之前，承包人有义务妥善做好已完工程和已购工程物资的保管、维护和保养；</w:t>
      </w:r>
    </w:p>
    <w:p w14:paraId="56B4FBD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14:paraId="782E1C6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(4)向发包人提交全部分包合同及执行情况说明，由发包人承担其费用；</w:t>
      </w:r>
    </w:p>
    <w:p w14:paraId="1C0394B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(5)应发包人的要求，将分包合同转给发包人或(和)发包人指定方的名下，包括永久性工程及其物资，以及相关工作；</w:t>
      </w:r>
    </w:p>
    <w:p w14:paraId="506C5A6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(6)在承包人自留文件资料中，销毁发包人提供的所有信息及其相关的数据及资料的备份。</w:t>
      </w:r>
    </w:p>
    <w:p w14:paraId="67D46D1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18.2.3</w:t>
      </w:r>
      <w:r>
        <w:rPr>
          <w:rFonts w:hint="eastAsia" w:ascii="仿宋" w:hAnsi="仿宋" w:eastAsia="仿宋" w:cs="仿宋"/>
          <w:color w:val="auto"/>
          <w:kern w:val="2"/>
          <w:sz w:val="21"/>
          <w:szCs w:val="21"/>
          <w:highlight w:val="none"/>
        </w:rPr>
        <w:t>解除合同日期的结算依据</w:t>
      </w:r>
    </w:p>
    <w:p w14:paraId="5B6AF9F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18.2.1款的约定，发包人收到解除合同的通知后，应与承包人商定已发生的合同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 1款第(4)项不可抗力的情况，撤离费用由承包人承担)。经双方协商一致的合同款项，作为解除日期的结算依据。</w:t>
      </w:r>
    </w:p>
    <w:p w14:paraId="3204E31B">
      <w:pPr>
        <w:pStyle w:val="1024"/>
        <w:adjustRightInd w:val="0"/>
        <w:snapToGrid w:val="0"/>
        <w:spacing w:line="288" w:lineRule="auto"/>
        <w:jc w:val="both"/>
        <w:rPr>
          <w:rFonts w:ascii="仿宋" w:hAnsi="仿宋" w:eastAsia="仿宋" w:cs="仿宋"/>
          <w:color w:val="auto"/>
          <w:kern w:val="2"/>
          <w:sz w:val="21"/>
          <w:szCs w:val="21"/>
          <w:highlight w:val="none"/>
        </w:rPr>
      </w:pPr>
      <w:bookmarkStart w:id="333" w:name="_Toc535392547"/>
      <w:bookmarkEnd w:id="333"/>
      <w:bookmarkStart w:id="334" w:name="_Toc947641"/>
      <w:r>
        <w:rPr>
          <w:rFonts w:hint="eastAsia" w:ascii="仿宋" w:hAnsi="仿宋" w:eastAsia="仿宋" w:cs="仿宋"/>
          <w:b/>
          <w:bCs/>
          <w:color w:val="auto"/>
          <w:kern w:val="2"/>
          <w:sz w:val="21"/>
          <w:szCs w:val="21"/>
          <w:highlight w:val="none"/>
        </w:rPr>
        <w:t>18.2.4</w:t>
      </w:r>
      <w:r>
        <w:rPr>
          <w:rFonts w:hint="eastAsia" w:ascii="仿宋" w:hAnsi="仿宋" w:eastAsia="仿宋" w:cs="仿宋"/>
          <w:color w:val="auto"/>
          <w:kern w:val="2"/>
          <w:sz w:val="21"/>
          <w:szCs w:val="21"/>
          <w:highlight w:val="none"/>
        </w:rPr>
        <w:t>解除合同后的结算</w:t>
      </w:r>
      <w:bookmarkEnd w:id="334"/>
    </w:p>
    <w:p w14:paraId="0089633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14:paraId="31B1129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(2)如合同解除时发包人仍有未被扣减完的预付款，发包人可根据14.3.3款预付款抵扣的约定扣除，此后，应将预付款保函返还给承包人。</w:t>
      </w:r>
    </w:p>
    <w:p w14:paraId="71233F9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(3)如合同解除时承包人尚有其它未能收回的应收款余额，承包人可从14.2.2款约定的发包人提交的支付保函中扣减，此后，应将支付保函返还给发包人。</w:t>
      </w:r>
    </w:p>
    <w:p w14:paraId="704B582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如合同解除时承包人尚有其它未能收回的应收款余额，而合同未约定发包人按14.2.2款提交支付保函时，发包人应根据18.2.3款的约定，经协商一致的解除合同日期结算资料后的第1日起，按中国人民银行同期同类贷款利率，支付拖欠款项的利息。发包人在此后的60日内仍未支付的，承包人有权根据第16.3款争议和裁决的约定解决。</w:t>
      </w:r>
    </w:p>
    <w:p w14:paraId="158300E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(5)如合同解除时承包人尚有未能付给发包人的付款余额，发包人有权根据18.1.5款约定的解除合同后的结算中的第(2)项至第(4)项进行结算。</w:t>
      </w:r>
    </w:p>
    <w:p w14:paraId="5DC590AD">
      <w:pPr>
        <w:pStyle w:val="1024"/>
        <w:adjustRightInd w:val="0"/>
        <w:snapToGrid w:val="0"/>
        <w:spacing w:line="288" w:lineRule="auto"/>
        <w:jc w:val="both"/>
        <w:rPr>
          <w:rFonts w:ascii="仿宋" w:hAnsi="仿宋" w:eastAsia="仿宋" w:cs="仿宋"/>
          <w:color w:val="auto"/>
          <w:kern w:val="2"/>
          <w:sz w:val="21"/>
          <w:szCs w:val="21"/>
          <w:highlight w:val="none"/>
        </w:rPr>
      </w:pPr>
      <w:bookmarkStart w:id="335" w:name="_Toc535392548"/>
      <w:bookmarkEnd w:id="335"/>
      <w:bookmarkStart w:id="336" w:name="_Toc947642"/>
      <w:r>
        <w:rPr>
          <w:rFonts w:hint="eastAsia" w:ascii="仿宋" w:hAnsi="仿宋" w:eastAsia="仿宋" w:cs="仿宋"/>
          <w:b/>
          <w:bCs/>
          <w:color w:val="auto"/>
          <w:kern w:val="2"/>
          <w:sz w:val="21"/>
          <w:szCs w:val="21"/>
          <w:highlight w:val="none"/>
        </w:rPr>
        <w:t>18.2.5</w:t>
      </w:r>
      <w:r>
        <w:rPr>
          <w:rFonts w:hint="eastAsia" w:ascii="仿宋" w:hAnsi="仿宋" w:eastAsia="仿宋" w:cs="仿宋"/>
          <w:color w:val="auto"/>
          <w:kern w:val="2"/>
          <w:sz w:val="21"/>
          <w:szCs w:val="21"/>
          <w:highlight w:val="none"/>
        </w:rPr>
        <w:t>承包人的撤离。在合同解除后，承包人应将除为安全需要以外的所有其它物资、机具、设备和设施，全部撤离现场。</w:t>
      </w:r>
      <w:bookmarkEnd w:id="336"/>
    </w:p>
    <w:p w14:paraId="7F4C2DF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18.3 合同解除后的事项</w:t>
      </w:r>
    </w:p>
    <w:p w14:paraId="288D276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18.3.1</w:t>
      </w:r>
      <w:r>
        <w:rPr>
          <w:rFonts w:hint="eastAsia" w:ascii="仿宋" w:hAnsi="仿宋" w:eastAsia="仿宋" w:cs="仿宋"/>
          <w:color w:val="auto"/>
          <w:kern w:val="2"/>
          <w:sz w:val="21"/>
          <w:szCs w:val="21"/>
          <w:highlight w:val="none"/>
        </w:rPr>
        <w:t>付款约定仍然有效</w:t>
      </w:r>
    </w:p>
    <w:p w14:paraId="4A2CF12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合同解除后，由发包人或由承包人解除合同的结算及结算后的付款约定仍然有效，直至解除合同的结算工作结清。</w:t>
      </w:r>
    </w:p>
    <w:p w14:paraId="392B7BF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18.3.2</w:t>
      </w:r>
      <w:r>
        <w:rPr>
          <w:rFonts w:hint="eastAsia" w:ascii="仿宋" w:hAnsi="仿宋" w:eastAsia="仿宋" w:cs="仿宋"/>
          <w:color w:val="auto"/>
          <w:kern w:val="2"/>
          <w:sz w:val="21"/>
          <w:szCs w:val="21"/>
          <w:highlight w:val="none"/>
        </w:rPr>
        <w:t>解除合同的争议</w:t>
      </w:r>
    </w:p>
    <w:p w14:paraId="543FB20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合同双方对解除合同或对解除日期的结算有争泌的，应采取友好协商方式解决。经友好协商仍存在争议、或有一方不接受友好协商时，根据16.3款争议和裁决的约定解决。</w:t>
      </w:r>
    </w:p>
    <w:p w14:paraId="2A9DCE0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第19条 合同生效与合同终止</w:t>
      </w:r>
    </w:p>
    <w:p w14:paraId="02F686D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37" w:name="_Toc535392549"/>
      <w:bookmarkEnd w:id="337"/>
      <w:bookmarkStart w:id="338" w:name="_Toc947643"/>
      <w:r>
        <w:rPr>
          <w:rFonts w:hint="eastAsia" w:ascii="仿宋" w:hAnsi="仿宋" w:eastAsia="仿宋" w:cs="仿宋"/>
          <w:b/>
          <w:bCs/>
          <w:color w:val="auto"/>
          <w:kern w:val="2"/>
          <w:sz w:val="21"/>
          <w:szCs w:val="21"/>
          <w:highlight w:val="none"/>
        </w:rPr>
        <w:t>19.1 合同生效</w:t>
      </w:r>
      <w:bookmarkEnd w:id="338"/>
    </w:p>
    <w:p w14:paraId="469FAFD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在合同协议书中约定的合同生效条件满足之日生效。</w:t>
      </w:r>
    </w:p>
    <w:p w14:paraId="7729746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39" w:name="_Toc535392550"/>
      <w:bookmarkEnd w:id="339"/>
      <w:bookmarkStart w:id="340" w:name="_Toc947644"/>
      <w:r>
        <w:rPr>
          <w:rFonts w:hint="eastAsia" w:ascii="仿宋" w:hAnsi="仿宋" w:eastAsia="仿宋" w:cs="仿宋"/>
          <w:b/>
          <w:bCs/>
          <w:color w:val="auto"/>
          <w:kern w:val="2"/>
          <w:sz w:val="21"/>
          <w:szCs w:val="21"/>
          <w:highlight w:val="none"/>
        </w:rPr>
        <w:t>19.2 合同份数</w:t>
      </w:r>
      <w:bookmarkEnd w:id="340"/>
    </w:p>
    <w:p w14:paraId="0C63146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合同正本、合同副本的份数，及合同双方应持的份数，在专用条款中约定。</w:t>
      </w:r>
    </w:p>
    <w:p w14:paraId="5012281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41" w:name="_Toc535392551"/>
      <w:bookmarkEnd w:id="341"/>
      <w:bookmarkStart w:id="342" w:name="_Toc947645"/>
      <w:r>
        <w:rPr>
          <w:rFonts w:hint="eastAsia" w:ascii="仿宋" w:hAnsi="仿宋" w:eastAsia="仿宋" w:cs="仿宋"/>
          <w:b/>
          <w:bCs/>
          <w:color w:val="auto"/>
          <w:kern w:val="2"/>
          <w:sz w:val="21"/>
          <w:szCs w:val="21"/>
          <w:highlight w:val="none"/>
        </w:rPr>
        <w:t>19.3 后合同义务</w:t>
      </w:r>
      <w:bookmarkEnd w:id="342"/>
    </w:p>
    <w:p w14:paraId="63995D3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合同双方应在合同终止后，遵循诚实信用原则，履行通知、协助、保密等义务。</w:t>
      </w:r>
    </w:p>
    <w:p w14:paraId="0D9AC74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第20条 补充条款</w:t>
      </w:r>
    </w:p>
    <w:p w14:paraId="05DC9C2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双方对本通用条款内容的具体约定、补充或修改在专用条款中约定。</w:t>
      </w:r>
    </w:p>
    <w:p w14:paraId="7B5F736F">
      <w:pPr>
        <w:pStyle w:val="1024"/>
        <w:adjustRightInd w:val="0"/>
        <w:snapToGrid w:val="0"/>
        <w:spacing w:line="288" w:lineRule="auto"/>
        <w:jc w:val="center"/>
        <w:outlineLvl w:val="0"/>
        <w:rPr>
          <w:rFonts w:ascii="仿宋" w:hAnsi="仿宋" w:eastAsia="仿宋" w:cs="仿宋"/>
          <w:b/>
          <w:bCs/>
          <w:color w:val="auto"/>
          <w:kern w:val="2"/>
          <w:sz w:val="21"/>
          <w:szCs w:val="21"/>
          <w:highlight w:val="none"/>
        </w:rPr>
      </w:pPr>
      <w:r>
        <w:rPr>
          <w:rFonts w:hint="eastAsia" w:ascii="仿宋" w:hAnsi="仿宋" w:eastAsia="仿宋" w:cs="仿宋"/>
          <w:color w:val="auto"/>
          <w:sz w:val="21"/>
          <w:szCs w:val="21"/>
          <w:highlight w:val="none"/>
        </w:rPr>
        <w:br w:type="page"/>
      </w:r>
      <w:bookmarkStart w:id="343" w:name="_Toc535392552"/>
      <w:bookmarkEnd w:id="343"/>
      <w:bookmarkStart w:id="344" w:name="_Toc947646"/>
      <w:r>
        <w:rPr>
          <w:rFonts w:hint="eastAsia" w:ascii="仿宋" w:hAnsi="仿宋" w:eastAsia="仿宋" w:cs="仿宋"/>
          <w:b/>
          <w:bCs/>
          <w:color w:val="auto"/>
          <w:kern w:val="2"/>
          <w:sz w:val="21"/>
          <w:szCs w:val="21"/>
          <w:highlight w:val="none"/>
        </w:rPr>
        <w:t>第三部分   专用条款</w:t>
      </w:r>
      <w:bookmarkEnd w:id="344"/>
    </w:p>
    <w:p w14:paraId="17DC5F6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45" w:name="_Toc535392553"/>
      <w:bookmarkEnd w:id="345"/>
      <w:bookmarkStart w:id="346" w:name="_Toc947647"/>
      <w:r>
        <w:rPr>
          <w:rFonts w:hint="eastAsia" w:ascii="仿宋" w:hAnsi="仿宋" w:eastAsia="仿宋" w:cs="仿宋"/>
          <w:b/>
          <w:bCs/>
          <w:color w:val="auto"/>
          <w:kern w:val="2"/>
          <w:sz w:val="21"/>
          <w:szCs w:val="21"/>
          <w:highlight w:val="none"/>
        </w:rPr>
        <w:t>第l条 一般规定</w:t>
      </w:r>
      <w:bookmarkEnd w:id="346"/>
    </w:p>
    <w:p w14:paraId="7C45232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47" w:name="_Toc535392554"/>
      <w:bookmarkEnd w:id="347"/>
      <w:bookmarkStart w:id="348" w:name="_Toc947648"/>
      <w:r>
        <w:rPr>
          <w:rFonts w:hint="eastAsia" w:ascii="仿宋" w:hAnsi="仿宋" w:eastAsia="仿宋" w:cs="仿宋"/>
          <w:b/>
          <w:bCs/>
          <w:color w:val="auto"/>
          <w:kern w:val="2"/>
          <w:sz w:val="21"/>
          <w:szCs w:val="21"/>
          <w:highlight w:val="none"/>
        </w:rPr>
        <w:t>1.1 定义与解释</w:t>
      </w:r>
      <w:bookmarkEnd w:id="348"/>
    </w:p>
    <w:p w14:paraId="03633BA2">
      <w:pPr>
        <w:pStyle w:val="1024"/>
        <w:adjustRightInd w:val="0"/>
        <w:snapToGrid w:val="0"/>
        <w:spacing w:line="288" w:lineRule="auto"/>
        <w:jc w:val="both"/>
        <w:rPr>
          <w:rFonts w:ascii="仿宋" w:hAnsi="仿宋" w:eastAsia="仿宋" w:cs="仿宋"/>
          <w:color w:val="auto"/>
          <w:kern w:val="2"/>
          <w:sz w:val="21"/>
          <w:szCs w:val="21"/>
          <w:highlight w:val="none"/>
        </w:rPr>
      </w:pPr>
      <w:bookmarkStart w:id="349" w:name="_Toc535392555"/>
      <w:bookmarkEnd w:id="349"/>
      <w:bookmarkStart w:id="350" w:name="_Toc947649"/>
      <w:r>
        <w:rPr>
          <w:rFonts w:hint="eastAsia" w:ascii="仿宋" w:hAnsi="仿宋" w:eastAsia="仿宋" w:cs="仿宋"/>
          <w:b/>
          <w:bCs/>
          <w:color w:val="auto"/>
          <w:kern w:val="2"/>
          <w:sz w:val="21"/>
          <w:szCs w:val="21"/>
          <w:highlight w:val="none"/>
        </w:rPr>
        <w:t>1.1.51</w:t>
      </w:r>
      <w:r>
        <w:rPr>
          <w:rFonts w:hint="eastAsia" w:ascii="仿宋" w:hAnsi="仿宋" w:eastAsia="仿宋" w:cs="仿宋"/>
          <w:color w:val="auto"/>
          <w:kern w:val="2"/>
          <w:sz w:val="21"/>
          <w:szCs w:val="21"/>
          <w:highlight w:val="none"/>
        </w:rPr>
        <w:t>双方约定的视为不可抗力事件处理的其它情形如下：是指不可预见、不能避免并不能克服的客观情况，包括以下各种异常事件或情况：</w:t>
      </w:r>
      <w:bookmarkEnd w:id="350"/>
    </w:p>
    <w:p w14:paraId="10F3780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（1）战争、敌对行动（不论宣战与否）、入侵、外敌行为；</w:t>
      </w:r>
    </w:p>
    <w:p w14:paraId="674FF3D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（2）叛乱、恐怖主义、革命、暴动、军事政变或篡夺政权、内乱；</w:t>
      </w:r>
    </w:p>
    <w:p w14:paraId="014A566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（3）战争军火、爆炸物资、电离辐射或放射性污染；</w:t>
      </w:r>
    </w:p>
    <w:p w14:paraId="1BE151F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（4）地震、海啸等自然灾害；</w:t>
      </w:r>
    </w:p>
    <w:p w14:paraId="2E12FC9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（5）传染病爆发、瘟疫；</w:t>
      </w:r>
    </w:p>
    <w:p w14:paraId="29716CF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（6）火灾、空中飞行物坠落等其他非发包人承包人原因引发的后果；</w:t>
      </w:r>
    </w:p>
    <w:p w14:paraId="7F6CEBD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（7）社会异常事件；</w:t>
      </w:r>
    </w:p>
    <w:p w14:paraId="10A1A07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（8）禁运、禁止令或政府的其他限制政令； </w:t>
      </w:r>
    </w:p>
    <w:p w14:paraId="2394E9C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发生不可抗力情况时，承包人在有能力采取有效措施的情况不采取有效措施而造成的损失由承包人承担。</w:t>
      </w:r>
    </w:p>
    <w:p w14:paraId="22D9C2F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1.1.52</w:t>
      </w:r>
      <w:r>
        <w:rPr>
          <w:rFonts w:hint="eastAsia" w:ascii="仿宋" w:hAnsi="仿宋" w:eastAsia="仿宋" w:cs="仿宋"/>
          <w:color w:val="auto"/>
          <w:kern w:val="2"/>
          <w:sz w:val="21"/>
          <w:szCs w:val="21"/>
          <w:highlight w:val="none"/>
        </w:rPr>
        <w:t>双方根据本合同工程的特点，补充约定的其它定义：</w:t>
      </w:r>
    </w:p>
    <w:p w14:paraId="1718B29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工程总承包，指承包人受发包人委托，按照合同约定对工程建设项目的设计、采购、施工(含竣工试验)、试运行等阶段实行全过程工程总承包，包括本工程的设计、施工、设备材料采购及安装、附属配套设施、缺陷责任和保修责任及合同约定的全部内容等。</w:t>
      </w:r>
    </w:p>
    <w:p w14:paraId="2987AA7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现场障碍资料，包括工程设计、现场施工所需的地上和地下已有的建筑物、构筑物、线缆、管道、受保护的古建筑、古树木等坐标方位、数据和其它相关资料，由承包人自行勘测，所涉及费用含在合同价内。</w:t>
      </w:r>
    </w:p>
    <w:p w14:paraId="54A44544">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351" w:name="_Toc535392556"/>
      <w:bookmarkEnd w:id="351"/>
      <w:bookmarkStart w:id="352" w:name="_Toc947650"/>
      <w:r>
        <w:rPr>
          <w:rFonts w:hint="eastAsia" w:ascii="仿宋" w:hAnsi="仿宋" w:eastAsia="仿宋" w:cs="仿宋"/>
          <w:b/>
          <w:bCs/>
          <w:color w:val="auto"/>
          <w:kern w:val="2"/>
          <w:sz w:val="21"/>
          <w:szCs w:val="21"/>
          <w:highlight w:val="none"/>
        </w:rPr>
        <w:t>1.2 合同文件</w:t>
      </w:r>
      <w:bookmarkEnd w:id="352"/>
    </w:p>
    <w:p w14:paraId="3D0222F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合同文件的组成。合同文件相互解释，互为说明。组成本合同的文件及优先解释顺序如下：</w:t>
      </w:r>
    </w:p>
    <w:p w14:paraId="1604085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（1）发包人、承包人加盖法人公章的补充合同、补充协议之文件；</w:t>
      </w:r>
    </w:p>
    <w:p w14:paraId="33C1BF3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（2）合同协议书；</w:t>
      </w:r>
    </w:p>
    <w:p w14:paraId="2AD0616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（3）本合同专用条款及合同附件；</w:t>
      </w:r>
    </w:p>
    <w:p w14:paraId="173501B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（4）成交通知书；</w:t>
      </w:r>
    </w:p>
    <w:p w14:paraId="678F686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（5）磋商记录；</w:t>
      </w:r>
    </w:p>
    <w:p w14:paraId="03A5F81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（6）磋商文件及其附件；</w:t>
      </w:r>
    </w:p>
    <w:p w14:paraId="112C343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（7）响应</w:t>
      </w:r>
      <w:r>
        <w:rPr>
          <w:rFonts w:hint="eastAsia" w:ascii="仿宋" w:hAnsi="仿宋" w:eastAsia="仿宋" w:cs="仿宋"/>
          <w:color w:val="auto"/>
          <w:sz w:val="21"/>
          <w:szCs w:val="21"/>
          <w:highlight w:val="none"/>
        </w:rPr>
        <w:t>文件及其附件；</w:t>
      </w:r>
    </w:p>
    <w:p w14:paraId="67DB3C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（8）本合同通用条款；</w:t>
      </w:r>
    </w:p>
    <w:p w14:paraId="60B9629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（9）发包人要求；</w:t>
      </w:r>
    </w:p>
    <w:p w14:paraId="4308F37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（10）承包人建议书； </w:t>
      </w:r>
    </w:p>
    <w:p w14:paraId="4970A1D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（11）标准、规范及有关技术文件；</w:t>
      </w:r>
    </w:p>
    <w:p w14:paraId="00FDF39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（12）其他合同文件：施工组织设计。</w:t>
      </w:r>
    </w:p>
    <w:p w14:paraId="29761DE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双方在履行合同过程中形成的双方签署的会议纪要、备忘录、补充文件、变更和洽商等书面形式的文件构成本合同的组成部分。</w:t>
      </w:r>
    </w:p>
    <w:p w14:paraId="3365F60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53" w:name="_Toc535392557"/>
      <w:bookmarkEnd w:id="353"/>
      <w:bookmarkStart w:id="354" w:name="_Toc947651"/>
      <w:r>
        <w:rPr>
          <w:rFonts w:hint="eastAsia" w:ascii="仿宋" w:hAnsi="仿宋" w:eastAsia="仿宋" w:cs="仿宋"/>
          <w:b/>
          <w:bCs/>
          <w:color w:val="auto"/>
          <w:kern w:val="2"/>
          <w:sz w:val="21"/>
          <w:szCs w:val="21"/>
          <w:highlight w:val="none"/>
        </w:rPr>
        <w:t>1.3 语言文字</w:t>
      </w:r>
      <w:bookmarkEnd w:id="354"/>
    </w:p>
    <w:p w14:paraId="699CE224">
      <w:pPr>
        <w:pStyle w:val="1024"/>
        <w:adjustRightInd w:val="0"/>
        <w:snapToGrid w:val="0"/>
        <w:spacing w:line="288" w:lineRule="auto"/>
        <w:ind w:firstLine="420" w:firstLineChars="200"/>
        <w:jc w:val="both"/>
        <w:rPr>
          <w:rFonts w:ascii="仿宋" w:hAnsi="仿宋" w:eastAsia="仿宋" w:cs="仿宋"/>
          <w:b/>
          <w:bCs/>
          <w:color w:val="auto"/>
          <w:kern w:val="2"/>
          <w:sz w:val="21"/>
          <w:szCs w:val="21"/>
          <w:highlight w:val="none"/>
        </w:rPr>
      </w:pPr>
      <w:bookmarkStart w:id="355" w:name="_Toc535392558"/>
      <w:bookmarkEnd w:id="355"/>
      <w:bookmarkStart w:id="356" w:name="_Toc947652"/>
      <w:r>
        <w:rPr>
          <w:rFonts w:hint="eastAsia" w:ascii="仿宋" w:hAnsi="仿宋" w:eastAsia="仿宋" w:cs="仿宋"/>
          <w:color w:val="auto"/>
          <w:kern w:val="2"/>
          <w:sz w:val="21"/>
          <w:szCs w:val="21"/>
          <w:highlight w:val="none"/>
        </w:rPr>
        <w:t>本合同除使用汉语外，还使用</w:t>
      </w:r>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语言。</w:t>
      </w:r>
      <w:bookmarkEnd w:id="356"/>
    </w:p>
    <w:p w14:paraId="429C74F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57" w:name="_Toc535392559"/>
      <w:bookmarkEnd w:id="357"/>
      <w:bookmarkStart w:id="358" w:name="_Toc947653"/>
      <w:r>
        <w:rPr>
          <w:rFonts w:hint="eastAsia" w:ascii="仿宋" w:hAnsi="仿宋" w:eastAsia="仿宋" w:cs="仿宋"/>
          <w:b/>
          <w:bCs/>
          <w:color w:val="auto"/>
          <w:kern w:val="2"/>
          <w:sz w:val="21"/>
          <w:szCs w:val="21"/>
          <w:highlight w:val="none"/>
        </w:rPr>
        <w:t>1.4 适用法律</w:t>
      </w:r>
      <w:bookmarkEnd w:id="358"/>
    </w:p>
    <w:p w14:paraId="0740809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双方需要明示的法律、行政法规、地方性法规：《中华人民共和国民法典》《中华人民共和国建筑法》《中华人民共和国安全生产法》《中华人民共和国招标投标法》《建设工程质量管理条例》等国家颁布的有关法律、行政法规、文件，建设部（或专业部门）规章及工程所在地的地方性（省、市、区）法规、规章。</w:t>
      </w:r>
    </w:p>
    <w:p w14:paraId="50915481">
      <w:pPr>
        <w:pStyle w:val="1024"/>
        <w:autoSpaceDE w:val="0"/>
        <w:autoSpaceDN w:val="0"/>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适用于合同的其他规范性文件：《中华人民共和国劳动法》《中华人民共和国环境保护法》《建设工程质量管理条例》；国家、省、市地方政府颁发的地方性法令、法规：《建设工程安全生产管理条例》《关于进一步加强建筑施工领域企业安全生产工作的实施意见》的通知（杭建工发〔2011〕130号）等。</w:t>
      </w:r>
    </w:p>
    <w:p w14:paraId="7263AF2E">
      <w:pPr>
        <w:pStyle w:val="1024"/>
        <w:autoSpaceDE w:val="0"/>
        <w:autoSpaceDN w:val="0"/>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其他文件还有：</w:t>
      </w:r>
    </w:p>
    <w:p w14:paraId="75445B23">
      <w:pPr>
        <w:pStyle w:val="1024"/>
        <w:autoSpaceDE w:val="0"/>
        <w:autoSpaceDN w:val="0"/>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财政部税务总局海关总署关于深化增值税改革有关政策的公告》（财政部税务总局海关总署公告2019年第39号）、《住房和城乡建设部办公厅关于重新调整建设工程计价依据增值税税率的通知》（建办标[2019]193号）和《关于增值税调整后我省建设工程计价依据增值税税率及有关计价调整的通知》浙建建发【2019】92号;</w:t>
      </w:r>
    </w:p>
    <w:p w14:paraId="5A694F6A">
      <w:pPr>
        <w:pStyle w:val="1024"/>
        <w:autoSpaceDE w:val="0"/>
        <w:autoSpaceDN w:val="0"/>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（2）《关于印发浙江省工程总承包计价规则（试行）的通知》建建发〔2017〕430号；</w:t>
      </w:r>
    </w:p>
    <w:p w14:paraId="15187F89">
      <w:pPr>
        <w:pStyle w:val="1024"/>
        <w:autoSpaceDE w:val="0"/>
        <w:autoSpaceDN w:val="0"/>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（3）《关于颁发浙江省建设工程计价依据（2018版）的通知》浙建建﹝2018﹞61号。</w:t>
      </w:r>
    </w:p>
    <w:p w14:paraId="67E15F1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59" w:name="_Toc535392560"/>
      <w:bookmarkEnd w:id="359"/>
      <w:bookmarkStart w:id="360" w:name="_Toc947654"/>
      <w:r>
        <w:rPr>
          <w:rFonts w:hint="eastAsia" w:ascii="仿宋" w:hAnsi="仿宋" w:eastAsia="仿宋" w:cs="仿宋"/>
          <w:b/>
          <w:bCs/>
          <w:color w:val="auto"/>
          <w:kern w:val="2"/>
          <w:sz w:val="21"/>
          <w:szCs w:val="21"/>
          <w:highlight w:val="none"/>
        </w:rPr>
        <w:t>1.5 标准、规范</w:t>
      </w:r>
      <w:bookmarkEnd w:id="360"/>
    </w:p>
    <w:p w14:paraId="4C09072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w:t>
      </w:r>
      <w:r>
        <w:rPr>
          <w:rFonts w:hint="eastAsia" w:ascii="仿宋" w:hAnsi="仿宋" w:eastAsia="仿宋" w:cs="仿宋"/>
          <w:color w:val="auto"/>
          <w:kern w:val="2"/>
          <w:sz w:val="21"/>
          <w:szCs w:val="21"/>
          <w:highlight w:val="none"/>
        </w:rPr>
        <w:t>本合同适用的标准、规范(名称)：现行国家建筑工程设计规范、施工规范、验收规范、质量检验评定标准和规定等。</w:t>
      </w:r>
    </w:p>
    <w:p w14:paraId="11639C2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1.5.2</w:t>
      </w:r>
      <w:r>
        <w:rPr>
          <w:rFonts w:hint="eastAsia" w:ascii="仿宋" w:hAnsi="仿宋" w:eastAsia="仿宋" w:cs="仿宋"/>
          <w:color w:val="auto"/>
          <w:kern w:val="2"/>
          <w:sz w:val="21"/>
          <w:szCs w:val="21"/>
          <w:highlight w:val="none"/>
        </w:rPr>
        <w:t>发包人提供的国外标准、规范的名称、份数和时间：</w:t>
      </w:r>
      <w:r>
        <w:rPr>
          <w:rFonts w:hint="eastAsia" w:ascii="仿宋" w:hAnsi="仿宋" w:eastAsia="仿宋" w:cs="仿宋"/>
          <w:color w:val="auto"/>
          <w:kern w:val="2"/>
          <w:sz w:val="21"/>
          <w:szCs w:val="21"/>
          <w:highlight w:val="none"/>
          <w:u w:val="single"/>
        </w:rPr>
        <w:t xml:space="preserve">  /  </w:t>
      </w:r>
    </w:p>
    <w:p w14:paraId="3569BD1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1.5.3</w:t>
      </w:r>
      <w:r>
        <w:rPr>
          <w:rFonts w:hint="eastAsia" w:ascii="仿宋" w:hAnsi="仿宋" w:eastAsia="仿宋" w:cs="仿宋"/>
          <w:color w:val="auto"/>
          <w:kern w:val="2"/>
          <w:sz w:val="21"/>
          <w:szCs w:val="21"/>
          <w:highlight w:val="none"/>
        </w:rPr>
        <w:t>没有成文规范、标准规定的约定：</w:t>
      </w:r>
      <w:r>
        <w:rPr>
          <w:rFonts w:hint="eastAsia" w:ascii="仿宋" w:hAnsi="仿宋" w:eastAsia="仿宋" w:cs="仿宋"/>
          <w:color w:val="auto"/>
          <w:kern w:val="2"/>
          <w:sz w:val="21"/>
          <w:szCs w:val="21"/>
          <w:highlight w:val="none"/>
          <w:u w:val="single"/>
        </w:rPr>
        <w:t xml:space="preserve">  /  </w:t>
      </w:r>
    </w:p>
    <w:p w14:paraId="3486DA3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发包人的技术要求及提交时间：</w:t>
      </w:r>
      <w:r>
        <w:rPr>
          <w:rFonts w:hint="eastAsia" w:ascii="仿宋" w:hAnsi="仿宋" w:eastAsia="仿宋" w:cs="仿宋"/>
          <w:color w:val="auto"/>
          <w:kern w:val="2"/>
          <w:sz w:val="21"/>
          <w:szCs w:val="21"/>
          <w:highlight w:val="none"/>
          <w:u w:val="single"/>
        </w:rPr>
        <w:t xml:space="preserve">  /  </w:t>
      </w:r>
    </w:p>
    <w:p w14:paraId="346D594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承包人提交实施方法的时间：</w:t>
      </w:r>
      <w:r>
        <w:rPr>
          <w:rFonts w:hint="eastAsia" w:ascii="仿宋" w:hAnsi="仿宋" w:eastAsia="仿宋" w:cs="仿宋"/>
          <w:color w:val="auto"/>
          <w:kern w:val="2"/>
          <w:sz w:val="21"/>
          <w:szCs w:val="21"/>
          <w:highlight w:val="none"/>
          <w:u w:val="single"/>
        </w:rPr>
        <w:t xml:space="preserve">  /  </w:t>
      </w:r>
    </w:p>
    <w:p w14:paraId="6207AE1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61" w:name="_Toc535392561"/>
      <w:bookmarkEnd w:id="361"/>
      <w:r>
        <w:rPr>
          <w:rFonts w:hint="eastAsia" w:ascii="仿宋" w:hAnsi="仿宋" w:eastAsia="仿宋" w:cs="仿宋"/>
          <w:b/>
          <w:bCs/>
          <w:color w:val="auto"/>
          <w:kern w:val="2"/>
          <w:sz w:val="21"/>
          <w:szCs w:val="21"/>
          <w:highlight w:val="none"/>
        </w:rPr>
        <w:t>第2条 发包人</w:t>
      </w:r>
    </w:p>
    <w:p w14:paraId="5BAEC7B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62" w:name="_Toc535392562"/>
      <w:bookmarkEnd w:id="362"/>
      <w:bookmarkStart w:id="363" w:name="_Toc947656"/>
      <w:r>
        <w:rPr>
          <w:rFonts w:hint="eastAsia" w:ascii="仿宋" w:hAnsi="仿宋" w:eastAsia="仿宋" w:cs="仿宋"/>
          <w:b/>
          <w:bCs/>
          <w:color w:val="auto"/>
          <w:kern w:val="2"/>
          <w:sz w:val="21"/>
          <w:szCs w:val="21"/>
          <w:highlight w:val="none"/>
        </w:rPr>
        <w:t>2.1发包人的主要权利和义务</w:t>
      </w:r>
      <w:bookmarkEnd w:id="363"/>
    </w:p>
    <w:p w14:paraId="5B3111D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2.1.1</w:t>
      </w:r>
      <w:r>
        <w:rPr>
          <w:rFonts w:hint="eastAsia" w:ascii="仿宋" w:hAnsi="仿宋" w:eastAsia="仿宋" w:cs="仿宋"/>
          <w:color w:val="auto"/>
          <w:kern w:val="2"/>
          <w:sz w:val="21"/>
          <w:szCs w:val="21"/>
          <w:highlight w:val="none"/>
        </w:rPr>
        <w:t>该项目具备开工条件，并提供立项文件。</w:t>
      </w:r>
    </w:p>
    <w:p w14:paraId="04858AA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2.1.2</w:t>
      </w:r>
      <w:r>
        <w:rPr>
          <w:rFonts w:hint="eastAsia" w:ascii="仿宋" w:hAnsi="仿宋" w:eastAsia="仿宋" w:cs="仿宋"/>
          <w:color w:val="auto"/>
          <w:kern w:val="2"/>
          <w:sz w:val="21"/>
          <w:szCs w:val="21"/>
          <w:highlight w:val="none"/>
        </w:rPr>
        <w:t>履行合同中约定的合同价格调整、付款、竣工结算义务。</w:t>
      </w:r>
    </w:p>
    <w:p w14:paraId="122592B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2.1.3</w:t>
      </w:r>
      <w:r>
        <w:rPr>
          <w:rFonts w:hint="eastAsia" w:ascii="仿宋" w:hAnsi="仿宋" w:eastAsia="仿宋" w:cs="仿宋"/>
          <w:color w:val="auto"/>
          <w:kern w:val="2"/>
          <w:sz w:val="21"/>
          <w:szCs w:val="21"/>
          <w:highlight w:val="none"/>
        </w:rPr>
        <w:t>制定和适用法律关于安全、质量、环境保护和职业健康等强制性标准、规范的规定，对承包人的设计、采购、施工、竣工试验等实施工作提出建议、修改和变更，但不得违反国家强制性标准、规范的规定。</w:t>
      </w:r>
    </w:p>
    <w:p w14:paraId="467B6DF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2.1.4 有权根据合同约定，对因承包人原因给发包人带来的任何损失和损害，提出赔偿。</w:t>
      </w:r>
    </w:p>
    <w:p w14:paraId="0835BE7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2.1.5 发包人认为必要时，有权以书面形式发出暂停通知。其中，因发包人原因造成的暂停，给承包人造成的费用增加由发包人承担，造成关键路径延误的，竣工日期相应顺延。</w:t>
      </w:r>
    </w:p>
    <w:p w14:paraId="10D8EE7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64" w:name="_Toc535392563"/>
      <w:bookmarkEnd w:id="364"/>
      <w:bookmarkStart w:id="365" w:name="_Toc947657"/>
      <w:r>
        <w:rPr>
          <w:rFonts w:hint="eastAsia" w:ascii="仿宋" w:hAnsi="仿宋" w:eastAsia="仿宋" w:cs="仿宋"/>
          <w:b/>
          <w:bCs/>
          <w:color w:val="auto"/>
          <w:kern w:val="2"/>
          <w:sz w:val="21"/>
          <w:szCs w:val="21"/>
          <w:highlight w:val="none"/>
        </w:rPr>
        <w:t>2.2 发包人代表</w:t>
      </w:r>
      <w:bookmarkEnd w:id="365"/>
    </w:p>
    <w:p w14:paraId="6D41222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发包人代表的姓名：</w:t>
      </w:r>
      <w:r>
        <w:rPr>
          <w:rFonts w:hint="eastAsia" w:ascii="仿宋" w:hAnsi="仿宋" w:eastAsia="仿宋" w:cs="仿宋"/>
          <w:color w:val="auto"/>
          <w:kern w:val="2"/>
          <w:sz w:val="21"/>
          <w:szCs w:val="21"/>
          <w:highlight w:val="none"/>
          <w:u w:val="single"/>
        </w:rPr>
        <w:t xml:space="preserve">       </w:t>
      </w:r>
    </w:p>
    <w:p w14:paraId="76C7DA4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发包人代表的职务：</w:t>
      </w:r>
      <w:r>
        <w:rPr>
          <w:rFonts w:hint="eastAsia" w:ascii="仿宋" w:hAnsi="仿宋" w:eastAsia="仿宋" w:cs="仿宋"/>
          <w:color w:val="auto"/>
          <w:kern w:val="2"/>
          <w:sz w:val="21"/>
          <w:szCs w:val="21"/>
          <w:highlight w:val="none"/>
          <w:u w:val="single"/>
        </w:rPr>
        <w:t xml:space="preserve">       </w:t>
      </w:r>
    </w:p>
    <w:p w14:paraId="6C0CD05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代表的职责：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p>
    <w:p w14:paraId="42A1ACF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66" w:name="_Toc535392564"/>
      <w:bookmarkEnd w:id="366"/>
      <w:bookmarkStart w:id="367" w:name="_Toc947658"/>
      <w:r>
        <w:rPr>
          <w:rFonts w:hint="eastAsia" w:ascii="仿宋" w:hAnsi="仿宋" w:eastAsia="仿宋" w:cs="仿宋"/>
          <w:b/>
          <w:bCs/>
          <w:color w:val="auto"/>
          <w:kern w:val="2"/>
          <w:sz w:val="21"/>
          <w:szCs w:val="21"/>
          <w:highlight w:val="none"/>
        </w:rPr>
        <w:t>2.3 监理人</w:t>
      </w:r>
      <w:bookmarkEnd w:id="367"/>
    </w:p>
    <w:p w14:paraId="4F764AD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bookmarkStart w:id="368" w:name="_Toc535392565"/>
      <w:bookmarkEnd w:id="368"/>
      <w:bookmarkStart w:id="369" w:name="_Toc947659"/>
      <w:r>
        <w:rPr>
          <w:rFonts w:hint="eastAsia" w:ascii="仿宋" w:hAnsi="仿宋" w:eastAsia="仿宋" w:cs="仿宋"/>
          <w:color w:val="auto"/>
          <w:kern w:val="2"/>
          <w:sz w:val="21"/>
          <w:szCs w:val="21"/>
          <w:highlight w:val="none"/>
        </w:rPr>
        <w:t>监理人名称：</w:t>
      </w:r>
      <w:bookmarkEnd w:id="369"/>
      <w:r>
        <w:rPr>
          <w:rFonts w:hint="eastAsia" w:ascii="仿宋" w:hAnsi="仿宋" w:eastAsia="仿宋" w:cs="仿宋"/>
          <w:color w:val="auto"/>
          <w:kern w:val="2"/>
          <w:sz w:val="21"/>
          <w:szCs w:val="21"/>
          <w:highlight w:val="none"/>
          <w:u w:val="single"/>
        </w:rPr>
        <w:t xml:space="preserve">      </w:t>
      </w:r>
    </w:p>
    <w:p w14:paraId="0821E74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工程总监理姓名：</w:t>
      </w:r>
      <w:r>
        <w:rPr>
          <w:rFonts w:hint="eastAsia" w:ascii="仿宋" w:hAnsi="仿宋" w:eastAsia="仿宋" w:cs="仿宋"/>
          <w:color w:val="auto"/>
          <w:kern w:val="2"/>
          <w:sz w:val="21"/>
          <w:szCs w:val="21"/>
          <w:highlight w:val="none"/>
          <w:u w:val="single"/>
        </w:rPr>
        <w:t xml:space="preserve">      </w:t>
      </w:r>
    </w:p>
    <w:p w14:paraId="17B2927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监理的范围：承担本工程设计图纸的相关核查（提供合理建议）、所有施工内容（包括工程施工、材料设备采购及安装等所有工程）及工程保修期内的全过程监理，实施过程中可能出现的额外增加内容的监理，以及工程竣工后的配合结算审计工作。 </w:t>
      </w:r>
    </w:p>
    <w:p w14:paraId="38A8D85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监理的内容：本工程的施工全过程监理、保修阶段监理及相关工作。</w:t>
      </w:r>
    </w:p>
    <w:p w14:paraId="40811D0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监理人的权限：在委托人授权范围内，监理人可自主地采取各种措施进行监督、管理和协调，如果超越权限时，应首先征得委托人同意后方可发布有关指令。</w:t>
      </w:r>
      <w:bookmarkStart w:id="370" w:name="OLE_LINK73"/>
      <w:bookmarkEnd w:id="370"/>
    </w:p>
    <w:p w14:paraId="3444A7E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监理人须取得发包人书面批准后才能行使的职权：</w:t>
      </w:r>
    </w:p>
    <w:p w14:paraId="48EA58D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371" w:name="OLE_LINK74"/>
      <w:bookmarkEnd w:id="371"/>
      <w:r>
        <w:rPr>
          <w:rFonts w:hint="eastAsia" w:ascii="仿宋" w:hAnsi="仿宋" w:eastAsia="仿宋" w:cs="仿宋"/>
          <w:color w:val="auto"/>
          <w:kern w:val="2"/>
          <w:sz w:val="21"/>
          <w:szCs w:val="21"/>
          <w:highlight w:val="none"/>
        </w:rPr>
        <w:t>（1）涉及全局进度的工程暂停；</w:t>
      </w:r>
    </w:p>
    <w:p w14:paraId="615FA0C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（2）工程变更、设计变更的估价；</w:t>
      </w:r>
    </w:p>
    <w:p w14:paraId="2CA7B64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（3）索赔的处理；</w:t>
      </w:r>
    </w:p>
    <w:p w14:paraId="3907ABC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（4）涉及改变原设计意图；</w:t>
      </w:r>
    </w:p>
    <w:p w14:paraId="7656257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（5）对承包人合同规定的义务提出变更；</w:t>
      </w:r>
    </w:p>
    <w:p w14:paraId="61E94D0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（6）超出合同约定的工程价格的调整和变更；</w:t>
      </w:r>
    </w:p>
    <w:p w14:paraId="4E3DFCB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（7）其他专用条款中约定的须取得发包人书面批准后才能行使的职权。</w:t>
      </w:r>
    </w:p>
    <w:p w14:paraId="3B1497C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上述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p>
    <w:p w14:paraId="20106A7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2.4 安全保证</w:t>
      </w:r>
    </w:p>
    <w:p w14:paraId="30D12CA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2.4.1</w:t>
      </w:r>
      <w:r>
        <w:rPr>
          <w:rFonts w:hint="eastAsia" w:ascii="仿宋" w:hAnsi="仿宋" w:eastAsia="仿宋" w:cs="仿宋"/>
          <w:color w:val="auto"/>
          <w:kern w:val="2"/>
          <w:sz w:val="21"/>
          <w:szCs w:val="21"/>
          <w:highlight w:val="none"/>
        </w:rPr>
        <w:t>承包人负责协调处理施工现场周围的地下、地上已有设施和邻近建筑物、构筑物、古树名木、文物及坟墓等的安全保护工作。</w:t>
      </w:r>
    </w:p>
    <w:p w14:paraId="63AAB8D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2.4.3</w:t>
      </w:r>
      <w:r>
        <w:rPr>
          <w:rFonts w:hint="eastAsia" w:ascii="仿宋" w:hAnsi="仿宋" w:eastAsia="仿宋" w:cs="仿宋"/>
          <w:color w:val="auto"/>
          <w:kern w:val="2"/>
          <w:sz w:val="21"/>
          <w:szCs w:val="21"/>
          <w:highlight w:val="none"/>
        </w:rPr>
        <w:t>本合同未作约定，而在工程主体结构或工程主要装置完成后，发包人要求进行涉及建筑主体及承重结构变动、或涉及重大工艺变化的装修工程时，双方可另行签订委托合同，作为本合同附件。</w:t>
      </w:r>
    </w:p>
    <w:p w14:paraId="2781F67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72" w:name="_Toc535392566"/>
      <w:bookmarkEnd w:id="372"/>
      <w:bookmarkStart w:id="373" w:name="_Toc947660"/>
      <w:r>
        <w:rPr>
          <w:rFonts w:hint="eastAsia" w:ascii="仿宋" w:hAnsi="仿宋" w:eastAsia="仿宋" w:cs="仿宋"/>
          <w:b/>
          <w:bCs/>
          <w:color w:val="auto"/>
          <w:kern w:val="2"/>
          <w:sz w:val="21"/>
          <w:szCs w:val="21"/>
          <w:highlight w:val="none"/>
        </w:rPr>
        <w:t>2.5 保安责任</w:t>
      </w:r>
      <w:bookmarkEnd w:id="373"/>
    </w:p>
    <w:p w14:paraId="3FD8C4F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2.5.1</w:t>
      </w:r>
      <w:r>
        <w:rPr>
          <w:rFonts w:hint="eastAsia" w:ascii="仿宋" w:hAnsi="仿宋" w:eastAsia="仿宋" w:cs="仿宋"/>
          <w:color w:val="auto"/>
          <w:kern w:val="2"/>
          <w:sz w:val="21"/>
          <w:szCs w:val="21"/>
          <w:highlight w:val="none"/>
        </w:rPr>
        <w:t xml:space="preserve">  现场保安责任的约定。在以下两者中选择其一，作为合同双方对现场保安责任的约定。</w:t>
      </w:r>
    </w:p>
    <w:p w14:paraId="7A09F99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□发包人负责保安的归口管理</w:t>
      </w:r>
    </w:p>
    <w:p w14:paraId="6BBA2F3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☑由承包人负责保安管理</w:t>
      </w:r>
    </w:p>
    <w:p w14:paraId="60B129F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2.5.2</w:t>
      </w:r>
      <w:r>
        <w:rPr>
          <w:rFonts w:hint="eastAsia" w:ascii="仿宋" w:hAnsi="仿宋" w:eastAsia="仿宋" w:cs="仿宋"/>
          <w:color w:val="auto"/>
          <w:kern w:val="2"/>
          <w:sz w:val="21"/>
          <w:szCs w:val="21"/>
          <w:highlight w:val="none"/>
        </w:rPr>
        <w:t>保安区域责任划分及双方相关保安制度、责任制度和报告制度的约定：本项目施工区域由处承包人负责。</w:t>
      </w:r>
    </w:p>
    <w:p w14:paraId="07A3C75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第3条 承包人</w:t>
      </w:r>
    </w:p>
    <w:p w14:paraId="3124246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74" w:name="_Toc535392567"/>
      <w:bookmarkEnd w:id="374"/>
      <w:bookmarkStart w:id="375" w:name="_Toc947661"/>
      <w:r>
        <w:rPr>
          <w:rFonts w:hint="eastAsia" w:ascii="仿宋" w:hAnsi="仿宋" w:eastAsia="仿宋" w:cs="仿宋"/>
          <w:b/>
          <w:bCs/>
          <w:color w:val="auto"/>
          <w:kern w:val="2"/>
          <w:sz w:val="21"/>
          <w:szCs w:val="21"/>
          <w:highlight w:val="none"/>
        </w:rPr>
        <w:t>3.1 承包人的一般权利和义务</w:t>
      </w:r>
      <w:bookmarkEnd w:id="375"/>
    </w:p>
    <w:p w14:paraId="5296948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3.1.3</w:t>
      </w:r>
      <w:r>
        <w:rPr>
          <w:rFonts w:hint="eastAsia" w:ascii="仿宋" w:hAnsi="仿宋" w:eastAsia="仿宋" w:cs="仿宋"/>
          <w:color w:val="auto"/>
          <w:kern w:val="2"/>
          <w:sz w:val="21"/>
          <w:szCs w:val="21"/>
          <w:highlight w:val="none"/>
        </w:rPr>
        <w:t>经合同双方商定，承包人应提交的报表类别、名称、内容、报告期、提交的时间和份数：</w:t>
      </w:r>
    </w:p>
    <w:p w14:paraId="75CC256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①项目设计文件</w:t>
      </w:r>
    </w:p>
    <w:p w14:paraId="33C4BD8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◆工程建设内容范围内的施工图设计文件捌份</w:t>
      </w:r>
    </w:p>
    <w:p w14:paraId="1DA7084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②项目实施文件</w:t>
      </w:r>
    </w:p>
    <w:p w14:paraId="2BF4924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◆合同签订后7日历天内，承包人应向发包人提供项目实施规划、前期工作计划、项目开工计划、项目资金使用计划等各项计划；</w:t>
      </w:r>
    </w:p>
    <w:p w14:paraId="609BD65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◆设备材料进场前，承包人应向发包人提交“供应材料设备一览表”，需包含材料设备名称、规格型号、品牌、计量单位、数量、单价、供应时间、送达地点，并附送产品合格证复印件。</w:t>
      </w:r>
    </w:p>
    <w:p w14:paraId="557B158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76" w:name="_Toc535392568"/>
      <w:bookmarkEnd w:id="376"/>
      <w:bookmarkStart w:id="377" w:name="_Toc947662"/>
      <w:r>
        <w:rPr>
          <w:rFonts w:hint="eastAsia" w:ascii="仿宋" w:hAnsi="仿宋" w:eastAsia="仿宋" w:cs="仿宋"/>
          <w:b/>
          <w:bCs/>
          <w:color w:val="auto"/>
          <w:kern w:val="2"/>
          <w:sz w:val="21"/>
          <w:szCs w:val="21"/>
          <w:highlight w:val="none"/>
        </w:rPr>
        <w:t>3.2 项目负责人</w:t>
      </w:r>
      <w:bookmarkEnd w:id="377"/>
    </w:p>
    <w:p w14:paraId="6DF4FBC2">
      <w:pPr>
        <w:pStyle w:val="1024"/>
        <w:adjustRightInd w:val="0"/>
        <w:snapToGrid w:val="0"/>
        <w:spacing w:line="288" w:lineRule="auto"/>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1、项目负责人姓名：</w:t>
      </w:r>
      <w:r>
        <w:rPr>
          <w:rFonts w:hint="eastAsia" w:ascii="仿宋" w:hAnsi="仿宋" w:eastAsia="仿宋" w:cs="仿宋"/>
          <w:color w:val="auto"/>
          <w:kern w:val="2"/>
          <w:sz w:val="21"/>
          <w:szCs w:val="21"/>
          <w:highlight w:val="none"/>
          <w:u w:val="single"/>
        </w:rPr>
        <w:t xml:space="preserve">       </w:t>
      </w:r>
    </w:p>
    <w:p w14:paraId="6A6B320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项目负责人的职务：</w:t>
      </w:r>
      <w:r>
        <w:rPr>
          <w:rFonts w:hint="eastAsia" w:ascii="仿宋" w:hAnsi="仿宋" w:eastAsia="仿宋" w:cs="仿宋"/>
          <w:color w:val="auto"/>
          <w:kern w:val="2"/>
          <w:sz w:val="21"/>
          <w:szCs w:val="21"/>
          <w:highlight w:val="none"/>
          <w:u w:val="single"/>
        </w:rPr>
        <w:t xml:space="preserve">       </w:t>
      </w:r>
    </w:p>
    <w:p w14:paraId="2D6ABD1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项目负责人的联系电话：</w:t>
      </w:r>
      <w:r>
        <w:rPr>
          <w:rFonts w:hint="eastAsia" w:ascii="仿宋" w:hAnsi="仿宋" w:eastAsia="仿宋" w:cs="仿宋"/>
          <w:color w:val="auto"/>
          <w:kern w:val="2"/>
          <w:sz w:val="21"/>
          <w:szCs w:val="21"/>
          <w:highlight w:val="none"/>
          <w:u w:val="single"/>
        </w:rPr>
        <w:t xml:space="preserve">       </w:t>
      </w:r>
    </w:p>
    <w:p w14:paraId="72E3E11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项目负责人的电子邮箱：</w:t>
      </w:r>
      <w:r>
        <w:rPr>
          <w:rFonts w:hint="eastAsia" w:ascii="仿宋" w:hAnsi="仿宋" w:eastAsia="仿宋" w:cs="仿宋"/>
          <w:color w:val="auto"/>
          <w:kern w:val="2"/>
          <w:sz w:val="21"/>
          <w:szCs w:val="21"/>
          <w:highlight w:val="none"/>
          <w:u w:val="single"/>
        </w:rPr>
        <w:t xml:space="preserve">       </w:t>
      </w:r>
    </w:p>
    <w:p w14:paraId="2B3ECD6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项目负责人的通信地址：</w:t>
      </w:r>
      <w:r>
        <w:rPr>
          <w:rFonts w:hint="eastAsia" w:ascii="仿宋" w:hAnsi="仿宋" w:eastAsia="仿宋" w:cs="仿宋"/>
          <w:color w:val="auto"/>
          <w:kern w:val="2"/>
          <w:sz w:val="21"/>
          <w:szCs w:val="21"/>
          <w:highlight w:val="none"/>
          <w:u w:val="single"/>
        </w:rPr>
        <w:t xml:space="preserve">       </w:t>
      </w:r>
    </w:p>
    <w:p w14:paraId="235ABC1D">
      <w:pPr>
        <w:widowControl/>
        <w:adjustRightInd w:val="0"/>
        <w:snapToGrid w:val="0"/>
        <w:spacing w:line="288" w:lineRule="auto"/>
        <w:ind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项目负责人的身份证号码：</w:t>
      </w:r>
      <w:r>
        <w:rPr>
          <w:rFonts w:hint="eastAsia" w:ascii="仿宋" w:hAnsi="仿宋" w:eastAsia="仿宋" w:cs="仿宋"/>
          <w:color w:val="auto"/>
          <w:szCs w:val="21"/>
          <w:highlight w:val="none"/>
          <w:u w:val="single"/>
        </w:rPr>
        <w:t xml:space="preserve">       </w:t>
      </w:r>
    </w:p>
    <w:p w14:paraId="6AEF7A40">
      <w:pPr>
        <w:widowControl/>
        <w:adjustRightInd w:val="0"/>
        <w:snapToGrid w:val="0"/>
        <w:spacing w:line="288"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项目负责人经授权并代表承包人负责履行本合同。</w:t>
      </w:r>
    </w:p>
    <w:p w14:paraId="0031E1A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负责人职责：（1）建立本项目的项目组织；（2）制定项目实施规划；（3）拥有本项目的决策权；（4）组织计划实施；（5）协调内外部的关系；（6）建立项目控制系统、实施项目的控制；（7）负责项目合同管理；（8）审查和受理各种报告；（9）组织验收，考核，结算；（10）组织项目试运行服务及项目总结工作。</w:t>
      </w:r>
    </w:p>
    <w:p w14:paraId="14AAE65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项目负责人权限：代表承包人承担本项目工程总承包的各项权利、义务和责任。</w:t>
      </w:r>
    </w:p>
    <w:p w14:paraId="7B53583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负责人每月在施工现场的时间要求：项目负责人必须与承包人投标时所承诺的人员一致，并在根据通用合同条款确定的开始工作日期到任。项目负责人应常驻现场，且每月到位率不低于80%。按照发包人考勤结果的未到岗天数计算，每缺岗一天支付违约金1000元。</w:t>
      </w:r>
    </w:p>
    <w:p w14:paraId="476B4E0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承包人未提交劳动合同，以及没有为项目负责人缴纳社会保险的违约责任：由承包人承担违约责任。</w:t>
      </w:r>
    </w:p>
    <w:p w14:paraId="7A9D937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擅自更换项目负责人或项目负责人兼职其他工程项目任项目负责人的违约约定：未经发包人书面许可，承包人不得更换项目负责人；如确需变更人员的，承包人需提出书面申请，征得发包人同意更换的，必须按招标要求的任职条件更换；未经同意、承包人擅自更换的，除按合同要求派驻人员外，每次还需按合同总价的3%向发包人支付违约金，且发包人有权视情况解除本合同。</w:t>
      </w:r>
    </w:p>
    <w:p w14:paraId="0A2E770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2、设计负责人 </w:t>
      </w:r>
    </w:p>
    <w:p w14:paraId="3397F4C5">
      <w:pPr>
        <w:pStyle w:val="1024"/>
        <w:adjustRightInd w:val="0"/>
        <w:snapToGrid w:val="0"/>
        <w:spacing w:line="288" w:lineRule="auto"/>
        <w:ind w:firstLine="420" w:firstLineChars="200"/>
        <w:jc w:val="both"/>
        <w:rPr>
          <w:rFonts w:ascii="仿宋" w:hAnsi="仿宋" w:eastAsia="仿宋" w:cs="仿宋"/>
          <w:b/>
          <w:color w:val="auto"/>
          <w:kern w:val="2"/>
          <w:sz w:val="21"/>
          <w:szCs w:val="21"/>
          <w:highlight w:val="none"/>
          <w:u w:val="single"/>
        </w:rPr>
      </w:pPr>
      <w:r>
        <w:rPr>
          <w:rFonts w:hint="eastAsia" w:ascii="仿宋" w:hAnsi="仿宋" w:eastAsia="仿宋" w:cs="仿宋"/>
          <w:color w:val="auto"/>
          <w:kern w:val="2"/>
          <w:sz w:val="21"/>
          <w:szCs w:val="21"/>
          <w:highlight w:val="none"/>
        </w:rPr>
        <w:t>设计负责人姓名：</w:t>
      </w:r>
      <w:r>
        <w:rPr>
          <w:rFonts w:hint="eastAsia" w:ascii="仿宋" w:hAnsi="仿宋" w:eastAsia="仿宋" w:cs="仿宋"/>
          <w:color w:val="auto"/>
          <w:kern w:val="2"/>
          <w:sz w:val="21"/>
          <w:szCs w:val="21"/>
          <w:highlight w:val="none"/>
          <w:u w:val="single"/>
        </w:rPr>
        <w:t xml:space="preserve">       </w:t>
      </w:r>
    </w:p>
    <w:p w14:paraId="6796052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设计负责人职务：</w:t>
      </w:r>
      <w:r>
        <w:rPr>
          <w:rFonts w:hint="eastAsia" w:ascii="仿宋" w:hAnsi="仿宋" w:eastAsia="仿宋" w:cs="仿宋"/>
          <w:color w:val="auto"/>
          <w:kern w:val="2"/>
          <w:sz w:val="21"/>
          <w:szCs w:val="21"/>
          <w:highlight w:val="none"/>
          <w:u w:val="single"/>
        </w:rPr>
        <w:t xml:space="preserve">       </w:t>
      </w:r>
    </w:p>
    <w:p w14:paraId="014F9B7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设计负责人联系电话：</w:t>
      </w:r>
      <w:r>
        <w:rPr>
          <w:rFonts w:hint="eastAsia" w:ascii="仿宋" w:hAnsi="仿宋" w:eastAsia="仿宋" w:cs="仿宋"/>
          <w:color w:val="auto"/>
          <w:kern w:val="2"/>
          <w:sz w:val="21"/>
          <w:szCs w:val="21"/>
          <w:highlight w:val="none"/>
          <w:u w:val="single"/>
        </w:rPr>
        <w:t xml:space="preserve">       </w:t>
      </w:r>
    </w:p>
    <w:p w14:paraId="660C850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设计负责人的电子邮箱：</w:t>
      </w:r>
      <w:r>
        <w:rPr>
          <w:rFonts w:hint="eastAsia" w:ascii="仿宋" w:hAnsi="仿宋" w:eastAsia="仿宋" w:cs="仿宋"/>
          <w:color w:val="auto"/>
          <w:kern w:val="2"/>
          <w:sz w:val="21"/>
          <w:szCs w:val="21"/>
          <w:highlight w:val="none"/>
          <w:u w:val="single"/>
        </w:rPr>
        <w:t xml:space="preserve">       </w:t>
      </w:r>
    </w:p>
    <w:p w14:paraId="0957C14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设计负责人的通信地址：</w:t>
      </w:r>
      <w:r>
        <w:rPr>
          <w:rFonts w:hint="eastAsia" w:ascii="仿宋" w:hAnsi="仿宋" w:eastAsia="仿宋" w:cs="仿宋"/>
          <w:color w:val="auto"/>
          <w:kern w:val="2"/>
          <w:sz w:val="21"/>
          <w:szCs w:val="21"/>
          <w:highlight w:val="none"/>
          <w:u w:val="single"/>
        </w:rPr>
        <w:t xml:space="preserve">                  </w:t>
      </w:r>
    </w:p>
    <w:p w14:paraId="069F538F">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设计负责人身份证号码：  </w:t>
      </w:r>
      <w:r>
        <w:rPr>
          <w:rFonts w:hint="eastAsia" w:ascii="仿宋" w:hAnsi="仿宋" w:eastAsia="仿宋" w:cs="仿宋"/>
          <w:color w:val="auto"/>
          <w:szCs w:val="21"/>
          <w:highlight w:val="none"/>
          <w:u w:val="single"/>
        </w:rPr>
        <w:t xml:space="preserve">                  </w:t>
      </w:r>
    </w:p>
    <w:p w14:paraId="29554B5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设计总负责人职责：（1）主持项目施工图设计以及各类专项设计，本项目须进行限额设计，要考虑总的建设费用不超合同总价的情况下进行优化设计，设计负责人要对各专业进行协调沟通及造价把关，力保建设费用不超过经批准的概算费，要及时解决工程设计中的相关技术问题，对项目重大工程技术问题的决策把关。（2）接受发包人的管理和指令，参与与相关单位的协调配合工作。（3）主持制定本项目各阶段的设计工作、确保出图时间、出图深度符合项目需求。（4）做好项目的设计管理工作，保证设计成果符合国家规范要求。</w:t>
      </w:r>
    </w:p>
    <w:p w14:paraId="48386A3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擅自更换设计负责人的违约约定：未经发包人书面许可，承包人不得更换设计负责人；如确需变更人员的，承包人需提出书面申请，征得发包人同意更换的，必须按招标要求的任职条件更换；未经同意、承包人擅自更换的，除按合同要求派驻人员外，每次还需按合同总价的2%向发包人支付违约金，由此引起的费用增加和工期延误责任由承包人承担。</w:t>
      </w:r>
    </w:p>
    <w:p w14:paraId="3750053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3、施工负责人</w:t>
      </w:r>
    </w:p>
    <w:p w14:paraId="13E405A4">
      <w:pPr>
        <w:pStyle w:val="1024"/>
        <w:adjustRightInd w:val="0"/>
        <w:snapToGrid w:val="0"/>
        <w:spacing w:line="288" w:lineRule="auto"/>
        <w:ind w:firstLine="420" w:firstLineChars="200"/>
        <w:jc w:val="both"/>
        <w:rPr>
          <w:rFonts w:ascii="仿宋" w:hAnsi="仿宋" w:eastAsia="仿宋" w:cs="仿宋"/>
          <w:b/>
          <w:color w:val="auto"/>
          <w:kern w:val="2"/>
          <w:sz w:val="21"/>
          <w:szCs w:val="21"/>
          <w:highlight w:val="none"/>
          <w:u w:val="single"/>
        </w:rPr>
      </w:pPr>
      <w:r>
        <w:rPr>
          <w:rFonts w:hint="eastAsia" w:ascii="仿宋" w:hAnsi="仿宋" w:eastAsia="仿宋" w:cs="仿宋"/>
          <w:color w:val="auto"/>
          <w:kern w:val="2"/>
          <w:sz w:val="21"/>
          <w:szCs w:val="21"/>
          <w:highlight w:val="none"/>
        </w:rPr>
        <w:t>施工负责人姓名：</w:t>
      </w:r>
      <w:r>
        <w:rPr>
          <w:rFonts w:hint="eastAsia" w:ascii="仿宋" w:hAnsi="仿宋" w:eastAsia="仿宋" w:cs="仿宋"/>
          <w:b/>
          <w:color w:val="auto"/>
          <w:kern w:val="2"/>
          <w:sz w:val="21"/>
          <w:szCs w:val="21"/>
          <w:highlight w:val="none"/>
          <w:u w:val="single"/>
        </w:rPr>
        <w:t xml:space="preserve">        </w:t>
      </w:r>
    </w:p>
    <w:p w14:paraId="2DB91A1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施工负责人的职务：</w:t>
      </w:r>
      <w:r>
        <w:rPr>
          <w:rFonts w:hint="eastAsia" w:ascii="仿宋" w:hAnsi="仿宋" w:eastAsia="仿宋" w:cs="仿宋"/>
          <w:b/>
          <w:color w:val="auto"/>
          <w:kern w:val="2"/>
          <w:sz w:val="21"/>
          <w:szCs w:val="21"/>
          <w:highlight w:val="none"/>
          <w:u w:val="single"/>
        </w:rPr>
        <w:t xml:space="preserve">        </w:t>
      </w:r>
    </w:p>
    <w:p w14:paraId="312A3F4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施工负责人的联系电话：</w:t>
      </w:r>
      <w:r>
        <w:rPr>
          <w:rFonts w:hint="eastAsia" w:ascii="仿宋" w:hAnsi="仿宋" w:eastAsia="仿宋" w:cs="仿宋"/>
          <w:b/>
          <w:color w:val="auto"/>
          <w:kern w:val="2"/>
          <w:sz w:val="21"/>
          <w:szCs w:val="21"/>
          <w:highlight w:val="none"/>
          <w:u w:val="single"/>
        </w:rPr>
        <w:t xml:space="preserve">        </w:t>
      </w:r>
    </w:p>
    <w:p w14:paraId="3CC9F0E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施工负责人的电子邮箱：</w:t>
      </w:r>
      <w:r>
        <w:rPr>
          <w:rFonts w:hint="eastAsia" w:ascii="仿宋" w:hAnsi="仿宋" w:eastAsia="仿宋" w:cs="仿宋"/>
          <w:b/>
          <w:color w:val="auto"/>
          <w:kern w:val="2"/>
          <w:sz w:val="21"/>
          <w:szCs w:val="21"/>
          <w:highlight w:val="none"/>
          <w:u w:val="single"/>
        </w:rPr>
        <w:t xml:space="preserve">        </w:t>
      </w:r>
    </w:p>
    <w:p w14:paraId="2A2C195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施工负责人的通信地址：</w:t>
      </w:r>
      <w:r>
        <w:rPr>
          <w:rFonts w:hint="eastAsia" w:ascii="仿宋" w:hAnsi="仿宋" w:eastAsia="仿宋" w:cs="仿宋"/>
          <w:color w:val="auto"/>
          <w:kern w:val="2"/>
          <w:sz w:val="21"/>
          <w:szCs w:val="21"/>
          <w:highlight w:val="none"/>
          <w:u w:val="single"/>
        </w:rPr>
        <w:t xml:space="preserve">                  </w:t>
      </w:r>
    </w:p>
    <w:p w14:paraId="78D54B16">
      <w:pPr>
        <w:widowControl/>
        <w:adjustRightInd w:val="0"/>
        <w:snapToGrid w:val="0"/>
        <w:spacing w:line="288"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施工负责人的身份证号码：</w:t>
      </w:r>
      <w:r>
        <w:rPr>
          <w:rFonts w:hint="eastAsia" w:ascii="仿宋" w:hAnsi="仿宋" w:eastAsia="仿宋" w:cs="仿宋"/>
          <w:color w:val="auto"/>
          <w:szCs w:val="21"/>
          <w:highlight w:val="none"/>
          <w:u w:val="single"/>
        </w:rPr>
        <w:t xml:space="preserve">                  </w:t>
      </w:r>
    </w:p>
    <w:p w14:paraId="29AE907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负责人职责：（1）组织指导协调施工工作，对各专业施工人员进行协调沟通及造价把关，把控在施工过程中的质量、安全、文明、进度等，要及时解决工程施工中的相关技术问题，对项目重大工程技术问题的决策把关。（2）接受发包人的管理和指令，参与与相关单位的协调配合工作。（3）主持制定本项目各阶段的施工工作、确保施工进度、质量符合项目需求。</w:t>
      </w:r>
    </w:p>
    <w:p w14:paraId="28E805D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负责人每月在施工现场的时间要求：施工负责人必须与承包人投标时所承诺的人员一致，并在根据通用合同条款确定的开始工作日期到任。施工负责人应常驻现场，且每月到位率不低于80%。按照发包人考勤结果的未到岗天数计算，每缺岗一天支付违约金1000元。</w:t>
      </w:r>
    </w:p>
    <w:p w14:paraId="6835955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擅自更换施工负责人的违约约定：未经发包人书面许可，承包人不得更换施工负责人；如确需变更人员的，承包人需提出书面申请，征得发包人同意更换的，必须按招标要求的任职条件更换；未经同意、承包人擅自更换的，除按合同要求派驻人员外，每次还需按合同总价的2%向发包人支付违约金，由此引起的费用增加和工期延误责任由承包人承担。</w:t>
      </w:r>
    </w:p>
    <w:p w14:paraId="6AAF5BA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78" w:name="_Toc535392570"/>
      <w:bookmarkEnd w:id="378"/>
      <w:bookmarkStart w:id="379" w:name="_Toc535392569"/>
      <w:bookmarkEnd w:id="379"/>
      <w:bookmarkStart w:id="380" w:name="_Toc947664"/>
      <w:r>
        <w:rPr>
          <w:rFonts w:hint="eastAsia" w:ascii="仿宋" w:hAnsi="仿宋" w:eastAsia="仿宋" w:cs="仿宋"/>
          <w:b/>
          <w:bCs/>
          <w:color w:val="auto"/>
          <w:kern w:val="2"/>
          <w:sz w:val="21"/>
          <w:szCs w:val="21"/>
          <w:highlight w:val="none"/>
        </w:rPr>
        <w:t>3.3 工程质量保证</w:t>
      </w:r>
      <w:bookmarkEnd w:id="380"/>
    </w:p>
    <w:p w14:paraId="645C448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承包人应按合同约定的质量标准规范，确保设计、采购、加工制造、施工、竣工试验等各项工作的质量，建立有效的质量保证体系。并按照合同规定，通过质量保证书的形式约定保修范围、保修期限和保修责任。</w:t>
      </w:r>
    </w:p>
    <w:p w14:paraId="42BEAD1D">
      <w:pPr>
        <w:pStyle w:val="1024"/>
        <w:adjustRightInd w:val="0"/>
        <w:snapToGrid w:val="0"/>
        <w:spacing w:line="288" w:lineRule="auto"/>
        <w:jc w:val="both"/>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工程设计质量：符合设计规范和招标文件要求，并达到《建筑工程设计文件编制深度规定（2016版）》；</w:t>
      </w:r>
    </w:p>
    <w:p w14:paraId="28040DD9">
      <w:pPr>
        <w:pStyle w:val="1024"/>
        <w:adjustRightInd w:val="0"/>
        <w:snapToGrid w:val="0"/>
        <w:spacing w:line="288" w:lineRule="auto"/>
        <w:jc w:val="both"/>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工程施工质量：符合现行国家验收合格标准并确保验收通过。</w:t>
      </w:r>
    </w:p>
    <w:p w14:paraId="3E940F4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3.4 安全保证</w:t>
      </w:r>
    </w:p>
    <w:p w14:paraId="511B01A4">
      <w:pPr>
        <w:pStyle w:val="1024"/>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3.4.1安全施工 </w:t>
      </w:r>
    </w:p>
    <w:p w14:paraId="141ACB2B">
      <w:pPr>
        <w:pStyle w:val="1024"/>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1、项目安全生产的达标目标及相应事项的约定：施工现场按照《建筑施工安全检查标准》（JGJ59-2011）评定达到“合格”标准。</w:t>
      </w:r>
    </w:p>
    <w:p w14:paraId="62F0FB3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 关于编制施工场地治安管理计划的约定：/。</w:t>
      </w:r>
    </w:p>
    <w:p w14:paraId="51E39CC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3.4.2</w:t>
      </w:r>
      <w:r>
        <w:rPr>
          <w:rFonts w:hint="eastAsia" w:ascii="仿宋" w:hAnsi="仿宋" w:eastAsia="仿宋" w:cs="仿宋"/>
          <w:color w:val="auto"/>
          <w:kern w:val="2"/>
          <w:sz w:val="21"/>
          <w:szCs w:val="21"/>
          <w:highlight w:val="none"/>
        </w:rPr>
        <w:t>承包人全面负责其施工场地的安全管理，保障所有进入施工场地的人员的安全。施工场地发生的人身伤害、安全事故，由承包人负责。</w:t>
      </w:r>
    </w:p>
    <w:p w14:paraId="2402E9B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81" w:name="_Toc535392571"/>
      <w:bookmarkEnd w:id="381"/>
      <w:bookmarkStart w:id="382" w:name="_Toc947665"/>
      <w:r>
        <w:rPr>
          <w:rFonts w:hint="eastAsia" w:ascii="仿宋" w:hAnsi="仿宋" w:eastAsia="仿宋" w:cs="仿宋"/>
          <w:b/>
          <w:bCs/>
          <w:color w:val="auto"/>
          <w:kern w:val="2"/>
          <w:sz w:val="21"/>
          <w:szCs w:val="21"/>
          <w:highlight w:val="none"/>
        </w:rPr>
        <w:t>3.7 现场保安</w:t>
      </w:r>
      <w:bookmarkEnd w:id="382"/>
    </w:p>
    <w:p w14:paraId="1ECD06B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承包人承担现场保安责任并承担相应的费用。处理与当地政府、治安等的协调工作。并负责编制相关的保安制度、责任制度和报告制度，提交给发包人。</w:t>
      </w:r>
    </w:p>
    <w:p w14:paraId="3A888B2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83" w:name="_Toc535392572"/>
      <w:bookmarkEnd w:id="383"/>
      <w:bookmarkStart w:id="384" w:name="_Toc947666"/>
      <w:r>
        <w:rPr>
          <w:rFonts w:hint="eastAsia" w:ascii="仿宋" w:hAnsi="仿宋" w:eastAsia="仿宋" w:cs="仿宋"/>
          <w:b/>
          <w:bCs/>
          <w:color w:val="auto"/>
          <w:kern w:val="2"/>
          <w:sz w:val="21"/>
          <w:szCs w:val="21"/>
          <w:highlight w:val="none"/>
        </w:rPr>
        <w:t>3.8 分包</w:t>
      </w:r>
      <w:bookmarkEnd w:id="384"/>
    </w:p>
    <w:p w14:paraId="234E3E3E">
      <w:pPr>
        <w:pStyle w:val="1024"/>
        <w:adjustRightInd w:val="0"/>
        <w:snapToGrid w:val="0"/>
        <w:spacing w:line="288" w:lineRule="auto"/>
        <w:jc w:val="both"/>
        <w:rPr>
          <w:rFonts w:ascii="仿宋" w:hAnsi="仿宋" w:eastAsia="仿宋" w:cs="仿宋"/>
          <w:color w:val="auto"/>
          <w:kern w:val="2"/>
          <w:sz w:val="21"/>
          <w:szCs w:val="21"/>
          <w:highlight w:val="none"/>
        </w:rPr>
      </w:pPr>
      <w:bookmarkStart w:id="385" w:name="_Toc535392573"/>
      <w:bookmarkEnd w:id="385"/>
      <w:bookmarkStart w:id="386" w:name="_Toc947667"/>
      <w:r>
        <w:rPr>
          <w:rFonts w:hint="eastAsia" w:ascii="仿宋" w:hAnsi="仿宋" w:eastAsia="仿宋" w:cs="仿宋"/>
          <w:b/>
          <w:bCs/>
          <w:color w:val="auto"/>
          <w:kern w:val="2"/>
          <w:sz w:val="21"/>
          <w:szCs w:val="21"/>
          <w:highlight w:val="none"/>
        </w:rPr>
        <w:t>3.8.1</w:t>
      </w:r>
      <w:r>
        <w:rPr>
          <w:rFonts w:hint="eastAsia" w:ascii="仿宋" w:hAnsi="仿宋" w:eastAsia="仿宋" w:cs="仿宋"/>
          <w:color w:val="auto"/>
          <w:kern w:val="2"/>
          <w:sz w:val="21"/>
          <w:szCs w:val="21"/>
          <w:highlight w:val="none"/>
        </w:rPr>
        <w:t>分包约定</w:t>
      </w:r>
      <w:bookmarkEnd w:id="386"/>
    </w:p>
    <w:p w14:paraId="0BB68E6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约定的分包工作事项：承包人不得将工程转包，承包人同时具有相应的设计和施工资质的，可以将工程的设计或者施工业务在符合相关法律法规规章的情况下分包给具备相应资质的单位，但不得将工程总承包项目中设计和施工全部业务一并或者分别分包给其他单位，承包人自行实施施工的，不得将工程主体结构的施工分包给其他单位，自行实施设计的，不得将工程主体部分的设计分包给其他单位；</w:t>
      </w:r>
    </w:p>
    <w:p w14:paraId="758253B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承包人仅具有相应设计资质的，应当将工程总承包项目中的全部施工业务分包给具有相应施工资质的单位，不得将主体部分的设计分包给其他单位；</w:t>
      </w:r>
    </w:p>
    <w:p w14:paraId="23D1AF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承包人仅具有相应施工资质的，应当将工程总承包项目中的全部设计业务分包给具有相应设计资质的单位，不得将工程主体结构的施工分包给其他单位。</w:t>
      </w:r>
    </w:p>
    <w:p w14:paraId="3E4D5BC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分包人及其项目负责人应符合国家法律规定的企业资质等级且不得低于招标文件中对投标人、项目负责人的资质和业绩要求，资格能力应与其分包工作的标准和规模相适应，承包人有义务对分包人进行审查，并提供分包单位资质、财务状况及主要人员的相关资料、分包合同给发包人，分包须事先征得发包人同意。如若分包单位影响工程建设任务或发包人认为分包单位不合格时，承包人须无条件更换，直至发包人满意为止。</w:t>
      </w:r>
    </w:p>
    <w:p w14:paraId="38C702FD">
      <w:pPr>
        <w:pStyle w:val="1024"/>
        <w:adjustRightInd w:val="0"/>
        <w:snapToGrid w:val="0"/>
        <w:spacing w:line="288" w:lineRule="auto"/>
        <w:jc w:val="both"/>
        <w:rPr>
          <w:rFonts w:ascii="仿宋" w:hAnsi="仿宋" w:eastAsia="仿宋" w:cs="仿宋"/>
          <w:color w:val="auto"/>
          <w:kern w:val="2"/>
          <w:sz w:val="21"/>
          <w:szCs w:val="21"/>
          <w:highlight w:val="none"/>
        </w:rPr>
      </w:pPr>
      <w:bookmarkStart w:id="387" w:name="_Toc535392574"/>
      <w:bookmarkEnd w:id="387"/>
      <w:bookmarkStart w:id="388" w:name="_Toc947668"/>
      <w:r>
        <w:rPr>
          <w:rFonts w:hint="eastAsia" w:ascii="仿宋" w:hAnsi="仿宋" w:eastAsia="仿宋" w:cs="仿宋"/>
          <w:b/>
          <w:bCs/>
          <w:color w:val="auto"/>
          <w:kern w:val="2"/>
          <w:sz w:val="21"/>
          <w:szCs w:val="21"/>
          <w:highlight w:val="none"/>
        </w:rPr>
        <w:t>3.8.2</w:t>
      </w:r>
      <w:r>
        <w:rPr>
          <w:rFonts w:hint="eastAsia" w:ascii="仿宋" w:hAnsi="仿宋" w:eastAsia="仿宋" w:cs="仿宋"/>
          <w:color w:val="auto"/>
          <w:kern w:val="2"/>
          <w:sz w:val="21"/>
          <w:szCs w:val="21"/>
          <w:highlight w:val="none"/>
        </w:rPr>
        <w:t>分包人资质</w:t>
      </w:r>
      <w:bookmarkEnd w:id="388"/>
    </w:p>
    <w:p w14:paraId="45CA7D0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分包人应符合国家法律规定以及招标文件规定的企业资质等级，否则不能作为分包人。承包人不得将承包的工程对外转包，也不得以肢解方式将承包的全部工程对外分包。承包人对分包人的行为向发包人负责，承包人和分包人就分包工作向发包人承担连带责任。</w:t>
      </w:r>
    </w:p>
    <w:p w14:paraId="042A41B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承包人有义务对分包人的资质进行审查。分包单位的资质、财务状况、分包合同均需向发包人备案。</w:t>
      </w:r>
    </w:p>
    <w:p w14:paraId="6427E5B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第4条 进度计划、延误和暂停</w:t>
      </w:r>
    </w:p>
    <w:p w14:paraId="69A48E5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89" w:name="_Toc535392575"/>
      <w:bookmarkEnd w:id="389"/>
      <w:bookmarkStart w:id="390" w:name="_Toc947669"/>
      <w:r>
        <w:rPr>
          <w:rFonts w:hint="eastAsia" w:ascii="仿宋" w:hAnsi="仿宋" w:eastAsia="仿宋" w:cs="仿宋"/>
          <w:b/>
          <w:bCs/>
          <w:color w:val="auto"/>
          <w:kern w:val="2"/>
          <w:sz w:val="21"/>
          <w:szCs w:val="21"/>
          <w:highlight w:val="none"/>
        </w:rPr>
        <w:t>4.1 项目进度计划</w:t>
      </w:r>
      <w:bookmarkEnd w:id="390"/>
    </w:p>
    <w:p w14:paraId="68F4CEC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4.1.1</w:t>
      </w:r>
      <w:r>
        <w:rPr>
          <w:rFonts w:hint="eastAsia" w:ascii="仿宋" w:hAnsi="仿宋" w:eastAsia="仿宋" w:cs="仿宋"/>
          <w:color w:val="auto"/>
          <w:kern w:val="2"/>
          <w:sz w:val="21"/>
          <w:szCs w:val="21"/>
          <w:highlight w:val="none"/>
        </w:rPr>
        <w:t>项目进度计划中的关键路径及关键路径变化的确定原则：由承包人上报，经监理人审核，发包人审定为准，若由于非发包人及非不可抗力因素而造成项目节点落后，承包人应做出充分说明，并提交书面整改报告。</w:t>
      </w:r>
    </w:p>
    <w:p w14:paraId="12ACC2B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承包人提交项目进度计划的份数和时间：开工前7天，承包人向发包人提供3份项目总进度计划。</w:t>
      </w:r>
    </w:p>
    <w:p w14:paraId="08B5CE7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发包人和监理人在收到修订的项目进度计划后确认或提出修改意见的期限： 发包人和监理人应在收到修订的施工进度计划后7天内完成审核、批准或提出修改意见。</w:t>
      </w:r>
    </w:p>
    <w:p w14:paraId="41BDFCE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协助处理好与周边人员与居民、学校的关系，保证不影响周边居民、学校的日常生活、办公、教学活动。遇发包人重大活动的，需按当地政府要求降低施工作业噪音乃至停工，工期损失不予补偿，须由承包人自行采取相应组织、技术措施，在保障质量、安全的前提下进行抢工。</w:t>
      </w:r>
    </w:p>
    <w:p w14:paraId="309CE03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4.1.2</w:t>
      </w:r>
      <w:r>
        <w:rPr>
          <w:rFonts w:hint="eastAsia" w:ascii="仿宋" w:hAnsi="仿宋" w:eastAsia="仿宋" w:cs="仿宋"/>
          <w:color w:val="auto"/>
          <w:kern w:val="2"/>
          <w:sz w:val="21"/>
          <w:szCs w:val="21"/>
          <w:highlight w:val="none"/>
        </w:rPr>
        <w:t>自费赶上项目进度计划</w:t>
      </w:r>
    </w:p>
    <w:p w14:paraId="0D51BEA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使工程实际进度明显落后于项目进度计划时，承包人应根据工程实际情况对工程进度计划进行调整和纠偏。调整编制被延误工期的赶工措施，否则发包人有权根据分部工程进度处以工期违约金，并责令整改。</w:t>
      </w:r>
    </w:p>
    <w:p w14:paraId="140CA48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91" w:name="_Toc535392576"/>
      <w:bookmarkEnd w:id="391"/>
      <w:bookmarkStart w:id="392" w:name="_Toc947670"/>
      <w:r>
        <w:rPr>
          <w:rFonts w:hint="eastAsia" w:ascii="仿宋" w:hAnsi="仿宋" w:eastAsia="仿宋" w:cs="仿宋"/>
          <w:b/>
          <w:bCs/>
          <w:color w:val="auto"/>
          <w:kern w:val="2"/>
          <w:sz w:val="21"/>
          <w:szCs w:val="21"/>
          <w:highlight w:val="none"/>
        </w:rPr>
        <w:t>4.2 设计进度计划</w:t>
      </w:r>
      <w:bookmarkEnd w:id="392"/>
    </w:p>
    <w:p w14:paraId="441092E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4.2.2</w:t>
      </w:r>
      <w:r>
        <w:rPr>
          <w:rFonts w:hint="eastAsia" w:ascii="仿宋" w:hAnsi="仿宋" w:eastAsia="仿宋" w:cs="仿宋"/>
          <w:color w:val="auto"/>
          <w:kern w:val="2"/>
          <w:sz w:val="21"/>
          <w:szCs w:val="21"/>
          <w:highlight w:val="none"/>
        </w:rPr>
        <w:t>设计开工日期：</w:t>
      </w:r>
      <w:r>
        <w:rPr>
          <w:rFonts w:hint="eastAsia" w:ascii="仿宋" w:hAnsi="仿宋" w:eastAsia="仿宋" w:cs="仿宋"/>
          <w:b/>
          <w:bCs/>
          <w:color w:val="auto"/>
          <w:kern w:val="2"/>
          <w:sz w:val="21"/>
          <w:szCs w:val="21"/>
          <w:highlight w:val="none"/>
        </w:rPr>
        <w:t>合同签订当日即为勘察设计开工日</w:t>
      </w:r>
      <w:r>
        <w:rPr>
          <w:rFonts w:hint="eastAsia" w:ascii="仿宋" w:hAnsi="仿宋" w:eastAsia="仿宋" w:cs="仿宋"/>
          <w:color w:val="auto"/>
          <w:kern w:val="2"/>
          <w:sz w:val="21"/>
          <w:szCs w:val="21"/>
          <w:highlight w:val="none"/>
        </w:rPr>
        <w:t>。</w:t>
      </w:r>
    </w:p>
    <w:p w14:paraId="4AE17DA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4.2.3</w:t>
      </w:r>
      <w:r>
        <w:rPr>
          <w:rFonts w:hint="eastAsia" w:ascii="仿宋" w:hAnsi="仿宋" w:eastAsia="仿宋" w:cs="仿宋"/>
          <w:color w:val="auto"/>
          <w:kern w:val="2"/>
          <w:sz w:val="21"/>
          <w:szCs w:val="21"/>
          <w:highlight w:val="none"/>
        </w:rPr>
        <w:t>设计开工日期延误：承包人自行承担。</w:t>
      </w:r>
    </w:p>
    <w:p w14:paraId="479ECE5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4.2.4</w:t>
      </w:r>
      <w:r>
        <w:rPr>
          <w:rFonts w:hint="eastAsia" w:ascii="仿宋" w:hAnsi="仿宋" w:eastAsia="仿宋" w:cs="仿宋"/>
          <w:color w:val="auto"/>
          <w:kern w:val="2"/>
          <w:sz w:val="21"/>
          <w:szCs w:val="21"/>
          <w:highlight w:val="none"/>
        </w:rPr>
        <w:t>设计阶段审查日期的延误：承包人自行承担。</w:t>
      </w:r>
    </w:p>
    <w:p w14:paraId="325F4C9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93" w:name="_Toc535392577"/>
      <w:bookmarkEnd w:id="393"/>
      <w:bookmarkStart w:id="394" w:name="_Toc947671"/>
      <w:r>
        <w:rPr>
          <w:rFonts w:hint="eastAsia" w:ascii="仿宋" w:hAnsi="仿宋" w:eastAsia="仿宋" w:cs="仿宋"/>
          <w:b/>
          <w:bCs/>
          <w:color w:val="auto"/>
          <w:kern w:val="2"/>
          <w:sz w:val="21"/>
          <w:szCs w:val="21"/>
          <w:highlight w:val="none"/>
        </w:rPr>
        <w:t>4.3 采购进度计划</w:t>
      </w:r>
      <w:bookmarkEnd w:id="394"/>
    </w:p>
    <w:p w14:paraId="0D0A9E1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4.3.1</w:t>
      </w:r>
      <w:r>
        <w:rPr>
          <w:rFonts w:hint="eastAsia" w:ascii="仿宋" w:hAnsi="仿宋" w:eastAsia="仿宋" w:cs="仿宋"/>
          <w:color w:val="auto"/>
          <w:kern w:val="2"/>
          <w:sz w:val="21"/>
          <w:szCs w:val="21"/>
          <w:highlight w:val="none"/>
        </w:rPr>
        <w:t>采购进度计划</w:t>
      </w:r>
    </w:p>
    <w:p w14:paraId="6B5FB2A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采购进度计划提交的份数和日期：施工图设计完成后由承包人提供采购详细计划，严格按发包人审查明确的品牌、规格、质量等级等要求进行采购，实施采购7天前，向发包人、监理人、跟踪审计单位递交采购内容，主要技术指标、具体品牌型号和样品等。主要材料、设备必须经发包人和监理人书面签证认可后方可采购，进场主要材料、设备经监理人验收后方能用于本项目。凡因材料、设备不合格而影响施工工期，造成发包人损失，则承包人应负全责，并赔偿相应的损失。</w:t>
      </w:r>
    </w:p>
    <w:p w14:paraId="5155390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4.3.2</w:t>
      </w:r>
      <w:r>
        <w:rPr>
          <w:rFonts w:hint="eastAsia" w:ascii="仿宋" w:hAnsi="仿宋" w:eastAsia="仿宋" w:cs="仿宋"/>
          <w:color w:val="auto"/>
          <w:kern w:val="2"/>
          <w:sz w:val="21"/>
          <w:szCs w:val="21"/>
          <w:highlight w:val="none"/>
        </w:rPr>
        <w:t>采购开始日期：承包人向发包人递交采购详细计划后开始。</w:t>
      </w:r>
    </w:p>
    <w:p w14:paraId="4D7ADB7A">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4.3.3</w:t>
      </w:r>
      <w:r>
        <w:rPr>
          <w:rFonts w:hint="eastAsia" w:ascii="仿宋" w:hAnsi="仿宋" w:eastAsia="仿宋" w:cs="仿宋"/>
          <w:color w:val="auto"/>
          <w:kern w:val="2"/>
          <w:sz w:val="21"/>
          <w:szCs w:val="21"/>
          <w:highlight w:val="none"/>
        </w:rPr>
        <w:t>采购进度延误：承包人自行承担。</w:t>
      </w:r>
    </w:p>
    <w:p w14:paraId="7D42A7C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95" w:name="_Toc535392578"/>
      <w:bookmarkEnd w:id="395"/>
      <w:bookmarkStart w:id="396" w:name="_Toc947672"/>
      <w:r>
        <w:rPr>
          <w:rFonts w:hint="eastAsia" w:ascii="仿宋" w:hAnsi="仿宋" w:eastAsia="仿宋" w:cs="仿宋"/>
          <w:b/>
          <w:bCs/>
          <w:color w:val="auto"/>
          <w:kern w:val="2"/>
          <w:sz w:val="21"/>
          <w:szCs w:val="21"/>
          <w:highlight w:val="none"/>
        </w:rPr>
        <w:t>4.4 施工进度计划</w:t>
      </w:r>
      <w:bookmarkEnd w:id="396"/>
    </w:p>
    <w:p w14:paraId="012BF3BC">
      <w:pPr>
        <w:pStyle w:val="1024"/>
        <w:adjustRightInd w:val="0"/>
        <w:snapToGrid w:val="0"/>
        <w:spacing w:line="288" w:lineRule="auto"/>
        <w:jc w:val="both"/>
        <w:rPr>
          <w:rFonts w:ascii="仿宋" w:hAnsi="仿宋" w:eastAsia="仿宋" w:cs="仿宋"/>
          <w:color w:val="auto"/>
          <w:kern w:val="2"/>
          <w:sz w:val="21"/>
          <w:szCs w:val="21"/>
          <w:highlight w:val="none"/>
        </w:rPr>
      </w:pPr>
      <w:bookmarkStart w:id="397" w:name="_Toc535392579"/>
      <w:bookmarkEnd w:id="397"/>
      <w:bookmarkStart w:id="398" w:name="_Toc947673"/>
      <w:r>
        <w:rPr>
          <w:rFonts w:hint="eastAsia" w:ascii="仿宋" w:hAnsi="仿宋" w:eastAsia="仿宋" w:cs="仿宋"/>
          <w:b/>
          <w:bCs/>
          <w:color w:val="auto"/>
          <w:kern w:val="2"/>
          <w:sz w:val="21"/>
          <w:szCs w:val="21"/>
          <w:highlight w:val="none"/>
        </w:rPr>
        <w:t>4.4.1</w:t>
      </w:r>
      <w:r>
        <w:rPr>
          <w:rFonts w:hint="eastAsia" w:ascii="仿宋" w:hAnsi="仿宋" w:eastAsia="仿宋" w:cs="仿宋"/>
          <w:color w:val="auto"/>
          <w:kern w:val="2"/>
          <w:sz w:val="21"/>
          <w:szCs w:val="21"/>
          <w:highlight w:val="none"/>
        </w:rPr>
        <w:t>施工进度计划</w:t>
      </w:r>
      <w:bookmarkEnd w:id="398"/>
    </w:p>
    <w:p w14:paraId="0E3236D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关键单项工程施工计划的名称、份数和时间：校内施工许可证办理完成后3天内提供两份施工总进度计划，若承包人未能按批准的进度计划按期完工或完成预定的工作，监理工程师应通知承包人采取有效措施赶上进度，如不按期提供的，发包人有权拒付工程款。</w:t>
      </w:r>
    </w:p>
    <w:p w14:paraId="376D6FE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提交关键分部分项工程施工计划的名称、份数和时间：同上</w:t>
      </w:r>
    </w:p>
    <w:p w14:paraId="7C6BBC6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399" w:name="_Toc535392580"/>
      <w:bookmarkEnd w:id="399"/>
      <w:bookmarkStart w:id="400" w:name="_Toc947674"/>
      <w:r>
        <w:rPr>
          <w:rFonts w:hint="eastAsia" w:ascii="仿宋" w:hAnsi="仿宋" w:eastAsia="仿宋" w:cs="仿宋"/>
          <w:b/>
          <w:bCs/>
          <w:color w:val="auto"/>
          <w:kern w:val="2"/>
          <w:sz w:val="21"/>
          <w:szCs w:val="21"/>
          <w:highlight w:val="none"/>
        </w:rPr>
        <w:t>4.5 误期赔偿</w:t>
      </w:r>
      <w:bookmarkEnd w:id="400"/>
    </w:p>
    <w:p w14:paraId="4C28F50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本工程总工期为</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日历天（包括勘察、设计、采购、施工、调试运行等纳入总包管理范围的全部各项工程，竣工日期以施工竣工之日为准）。</w:t>
      </w:r>
    </w:p>
    <w:p w14:paraId="5A4D979D">
      <w:pPr>
        <w:pStyle w:val="1024"/>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因承包人原因造成工期延误，逾期竣工违约金的计算方法为：扣罚全部工期担保金额，同时，每延误一天，承包人应另行按每天人民币3000元向发包人支付违约金。</w:t>
      </w:r>
    </w:p>
    <w:p w14:paraId="6DBE3C19">
      <w:pPr>
        <w:pStyle w:val="1024"/>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因承包人原因造成工期延误，逾期竣工违约金的上限：逾期竣工违约金在结算款中直接扣除，最高不超过合同金额的6%。</w:t>
      </w:r>
    </w:p>
    <w:p w14:paraId="361471A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01" w:name="_Toc535392582"/>
      <w:bookmarkEnd w:id="401"/>
      <w:bookmarkStart w:id="402" w:name="_Toc947676"/>
      <w:r>
        <w:rPr>
          <w:rFonts w:hint="eastAsia" w:ascii="仿宋" w:hAnsi="仿宋" w:eastAsia="仿宋" w:cs="仿宋"/>
          <w:b/>
          <w:bCs/>
          <w:color w:val="auto"/>
          <w:kern w:val="2"/>
          <w:sz w:val="21"/>
          <w:szCs w:val="21"/>
          <w:highlight w:val="none"/>
        </w:rPr>
        <w:t>5.2 设计</w:t>
      </w:r>
      <w:bookmarkEnd w:id="402"/>
    </w:p>
    <w:p w14:paraId="49592D7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5.2.1</w:t>
      </w:r>
      <w:r>
        <w:rPr>
          <w:rFonts w:hint="eastAsia" w:ascii="仿宋" w:hAnsi="仿宋" w:eastAsia="仿宋" w:cs="仿宋"/>
          <w:color w:val="auto"/>
          <w:kern w:val="2"/>
          <w:sz w:val="21"/>
          <w:szCs w:val="21"/>
          <w:highlight w:val="none"/>
        </w:rPr>
        <w:t>发包人的义务</w:t>
      </w:r>
    </w:p>
    <w:p w14:paraId="7D33377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(1)提供项目基础资料</w:t>
      </w:r>
    </w:p>
    <w:p w14:paraId="30E3409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发包人提供的项目基础资料的类别、内容、份数和时间：详招标时发包人提供的资料。</w:t>
      </w:r>
    </w:p>
    <w:p w14:paraId="1930FC6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(2)提供现场障碍资料</w:t>
      </w:r>
    </w:p>
    <w:p w14:paraId="074ED8D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发包人提供的现场障碍资料的类别、内容、份数和时间：</w:t>
      </w:r>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w:t>
      </w:r>
    </w:p>
    <w:p w14:paraId="76E0EA5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5.2.2</w:t>
      </w:r>
      <w:r>
        <w:rPr>
          <w:rFonts w:hint="eastAsia" w:ascii="仿宋" w:hAnsi="仿宋" w:eastAsia="仿宋" w:cs="仿宋"/>
          <w:color w:val="auto"/>
          <w:kern w:val="2"/>
          <w:sz w:val="21"/>
          <w:szCs w:val="21"/>
          <w:highlight w:val="none"/>
        </w:rPr>
        <w:t>承包人的义务</w:t>
      </w:r>
    </w:p>
    <w:p w14:paraId="2D8B2E0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承包人根据现有资料和现场条件，自行收集现场障碍资料并完成勘察工作。遵守有关法律法律和标准的规定及合同约定完成图纸设计、工程联系单编制、根据审查结果修改图纸、按期完成设计工作。</w:t>
      </w:r>
    </w:p>
    <w:p w14:paraId="4F727AC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5.2.4</w:t>
      </w:r>
      <w:r>
        <w:rPr>
          <w:rFonts w:hint="eastAsia" w:ascii="仿宋" w:hAnsi="仿宋" w:eastAsia="仿宋" w:cs="仿宋"/>
          <w:color w:val="auto"/>
          <w:kern w:val="2"/>
          <w:sz w:val="21"/>
          <w:szCs w:val="21"/>
          <w:highlight w:val="none"/>
        </w:rPr>
        <w:t>操作维修手册</w:t>
      </w:r>
    </w:p>
    <w:p w14:paraId="75DCAD6E">
      <w:pPr>
        <w:pStyle w:val="1024"/>
        <w:adjustRightInd w:val="0"/>
        <w:snapToGrid w:val="0"/>
        <w:spacing w:line="288" w:lineRule="auto"/>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发包人提交的操作指南、分析手册的份数和提交期限：</w:t>
      </w:r>
      <w:r>
        <w:rPr>
          <w:rFonts w:hint="eastAsia" w:ascii="仿宋" w:hAnsi="仿宋" w:eastAsia="仿宋" w:cs="仿宋"/>
          <w:color w:val="auto"/>
          <w:kern w:val="2"/>
          <w:sz w:val="21"/>
          <w:szCs w:val="21"/>
          <w:highlight w:val="none"/>
          <w:u w:val="single"/>
        </w:rPr>
        <w:t xml:space="preserve">  /  </w:t>
      </w:r>
    </w:p>
    <w:p w14:paraId="2DF65B4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承包人提交的操作维修手册的份数和最终提交期限：项目竣工后1个月内。</w:t>
      </w:r>
    </w:p>
    <w:p w14:paraId="5F19B36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03" w:name="_Toc535392583"/>
      <w:bookmarkEnd w:id="403"/>
      <w:bookmarkStart w:id="404" w:name="_Toc947677"/>
      <w:r>
        <w:rPr>
          <w:rFonts w:hint="eastAsia" w:ascii="仿宋" w:hAnsi="仿宋" w:eastAsia="仿宋" w:cs="仿宋"/>
          <w:b/>
          <w:bCs/>
          <w:color w:val="auto"/>
          <w:kern w:val="2"/>
          <w:sz w:val="21"/>
          <w:szCs w:val="21"/>
          <w:highlight w:val="none"/>
        </w:rPr>
        <w:t>5.3 设计阶段审查</w:t>
      </w:r>
      <w:bookmarkEnd w:id="404"/>
    </w:p>
    <w:p w14:paraId="780437C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5.3.1</w:t>
      </w:r>
      <w:r>
        <w:rPr>
          <w:rFonts w:hint="eastAsia" w:ascii="仿宋" w:hAnsi="仿宋" w:eastAsia="仿宋" w:cs="仿宋"/>
          <w:color w:val="auto"/>
          <w:kern w:val="2"/>
          <w:sz w:val="21"/>
          <w:szCs w:val="21"/>
          <w:highlight w:val="none"/>
        </w:rPr>
        <w:t>设计审查阶段及审查会议时间</w:t>
      </w:r>
    </w:p>
    <w:p w14:paraId="54DBCFF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本工程的设计阶段（名称）：按发包人要求确定。</w:t>
      </w:r>
    </w:p>
    <w:p w14:paraId="0FC5088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设计审查阶段及其审查会议的时间安排：按发包人要求确定。</w:t>
      </w:r>
    </w:p>
    <w:p w14:paraId="14E4CA75">
      <w:pPr>
        <w:pStyle w:val="1024"/>
        <w:adjustRightInd w:val="0"/>
        <w:snapToGrid w:val="0"/>
        <w:spacing w:line="288" w:lineRule="auto"/>
        <w:ind w:firstLine="422" w:firstLineChars="200"/>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设计审查阶段及其审查会议相关费用已经包含在合同价格内，由承包人承担并支付。</w:t>
      </w:r>
    </w:p>
    <w:p w14:paraId="2837B2D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第6条 工程物资</w:t>
      </w:r>
    </w:p>
    <w:p w14:paraId="7BD393E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05" w:name="_Toc535392584"/>
      <w:bookmarkEnd w:id="405"/>
      <w:bookmarkStart w:id="406" w:name="_Toc947678"/>
      <w:r>
        <w:rPr>
          <w:rFonts w:hint="eastAsia" w:ascii="仿宋" w:hAnsi="仿宋" w:eastAsia="仿宋" w:cs="仿宋"/>
          <w:b/>
          <w:bCs/>
          <w:color w:val="auto"/>
          <w:kern w:val="2"/>
          <w:sz w:val="21"/>
          <w:szCs w:val="21"/>
          <w:highlight w:val="none"/>
        </w:rPr>
        <w:t>6.1 工程物资的提供</w:t>
      </w:r>
      <w:bookmarkEnd w:id="406"/>
    </w:p>
    <w:p w14:paraId="7EDDE38D">
      <w:pPr>
        <w:pStyle w:val="1024"/>
        <w:adjustRightInd w:val="0"/>
        <w:snapToGrid w:val="0"/>
        <w:spacing w:line="288" w:lineRule="auto"/>
        <w:jc w:val="both"/>
        <w:rPr>
          <w:rFonts w:ascii="仿宋" w:hAnsi="仿宋" w:eastAsia="仿宋" w:cs="仿宋"/>
          <w:color w:val="auto"/>
          <w:kern w:val="2"/>
          <w:sz w:val="21"/>
          <w:szCs w:val="21"/>
          <w:highlight w:val="none"/>
        </w:rPr>
      </w:pPr>
      <w:bookmarkStart w:id="407" w:name="_Toc535392585"/>
      <w:bookmarkEnd w:id="407"/>
      <w:bookmarkStart w:id="408" w:name="_Toc947679"/>
      <w:r>
        <w:rPr>
          <w:rFonts w:hint="eastAsia" w:ascii="仿宋" w:hAnsi="仿宋" w:eastAsia="仿宋" w:cs="仿宋"/>
          <w:b/>
          <w:bCs/>
          <w:color w:val="auto"/>
          <w:kern w:val="2"/>
          <w:sz w:val="21"/>
          <w:szCs w:val="21"/>
          <w:highlight w:val="none"/>
        </w:rPr>
        <w:t>6.1.1</w:t>
      </w:r>
      <w:r>
        <w:rPr>
          <w:rFonts w:hint="eastAsia" w:ascii="仿宋" w:hAnsi="仿宋" w:eastAsia="仿宋" w:cs="仿宋"/>
          <w:color w:val="auto"/>
          <w:kern w:val="2"/>
          <w:sz w:val="21"/>
          <w:szCs w:val="21"/>
          <w:highlight w:val="none"/>
        </w:rPr>
        <w:t>发包人提供的工程物资</w:t>
      </w:r>
      <w:bookmarkEnd w:id="408"/>
    </w:p>
    <w:p w14:paraId="216F81F3">
      <w:pPr>
        <w:pStyle w:val="1024"/>
        <w:adjustRightInd w:val="0"/>
        <w:snapToGrid w:val="0"/>
        <w:spacing w:line="288" w:lineRule="auto"/>
        <w:jc w:val="both"/>
        <w:rPr>
          <w:rFonts w:ascii="仿宋" w:hAnsi="仿宋" w:eastAsia="仿宋" w:cs="仿宋"/>
          <w:b/>
          <w:bCs/>
          <w:color w:val="auto"/>
          <w:kern w:val="2"/>
          <w:sz w:val="21"/>
          <w:szCs w:val="21"/>
          <w:highlight w:val="none"/>
          <w:u w:val="single"/>
        </w:rPr>
      </w:pPr>
      <w:bookmarkStart w:id="409" w:name="_Toc535392586"/>
      <w:bookmarkEnd w:id="409"/>
      <w:bookmarkStart w:id="410" w:name="_Toc947680"/>
      <w:r>
        <w:rPr>
          <w:rFonts w:hint="eastAsia" w:ascii="仿宋" w:hAnsi="仿宋" w:eastAsia="仿宋" w:cs="仿宋"/>
          <w:color w:val="auto"/>
          <w:kern w:val="2"/>
          <w:sz w:val="21"/>
          <w:szCs w:val="21"/>
          <w:highlight w:val="none"/>
        </w:rPr>
        <w:t>（1）工程物资的类别、估算数量：</w:t>
      </w:r>
      <w:bookmarkEnd w:id="410"/>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w:t>
      </w:r>
    </w:p>
    <w:p w14:paraId="4DD90624">
      <w:pPr>
        <w:pStyle w:val="1024"/>
        <w:adjustRightInd w:val="0"/>
        <w:snapToGrid w:val="0"/>
        <w:spacing w:line="288" w:lineRule="auto"/>
        <w:jc w:val="both"/>
        <w:rPr>
          <w:rFonts w:ascii="仿宋" w:hAnsi="仿宋" w:eastAsia="仿宋" w:cs="仿宋"/>
          <w:color w:val="auto"/>
          <w:kern w:val="2"/>
          <w:sz w:val="21"/>
          <w:szCs w:val="21"/>
          <w:highlight w:val="none"/>
        </w:rPr>
      </w:pPr>
      <w:bookmarkStart w:id="411" w:name="_Toc535392587"/>
      <w:bookmarkEnd w:id="411"/>
      <w:bookmarkStart w:id="412" w:name="_Toc947681"/>
      <w:r>
        <w:rPr>
          <w:rFonts w:hint="eastAsia" w:ascii="仿宋" w:hAnsi="仿宋" w:eastAsia="仿宋" w:cs="仿宋"/>
          <w:b/>
          <w:bCs/>
          <w:color w:val="auto"/>
          <w:kern w:val="2"/>
          <w:sz w:val="21"/>
          <w:szCs w:val="21"/>
          <w:highlight w:val="none"/>
        </w:rPr>
        <w:t>6.1.2</w:t>
      </w:r>
      <w:r>
        <w:rPr>
          <w:rFonts w:hint="eastAsia" w:ascii="仿宋" w:hAnsi="仿宋" w:eastAsia="仿宋" w:cs="仿宋"/>
          <w:color w:val="auto"/>
          <w:kern w:val="2"/>
          <w:sz w:val="21"/>
          <w:szCs w:val="21"/>
          <w:highlight w:val="none"/>
        </w:rPr>
        <w:t>承包人提供的工程物资</w:t>
      </w:r>
      <w:bookmarkEnd w:id="412"/>
    </w:p>
    <w:p w14:paraId="19CD7C2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依据通用条款5.2.3款第(3)项设计文件规定的技术参数、技术条件、性能要求、使用要求和数量，负责组织工程物资采购(包括备品备件、专用工具及厂商提交的技术文件)，负责运抵现场，并对其需用量、质量检查结果和性能负责。</w:t>
      </w:r>
    </w:p>
    <w:p w14:paraId="7B1FCAC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承包人采购材料设备的约定：</w:t>
      </w:r>
    </w:p>
    <w:p w14:paraId="0DB3883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本工程发包范围内的所有材料均由承包人采购，所有材料设备均应符合国家规定的技术标准，有合格证和质保书且必须是全新的，并按规定需要进场复试的材料须具有相应资质的检测机构检测合格后才能使用。材料使用前均报监理人确认，当承包人选定的材料、设备质量达不到质量目标要求时，承包人不得采购。若承包人所购材料不符合设计或标准要求时，承包人不得使用，发包人、监理人有权要求承包人停工、返工直至终止合同，由此产生的一切费用由承包人承担，延误的工期不予顺延。无论发包人及监理人是否发现和制止，由于使用不符合设计或标准要求的材料施工所引起的一切责任均由承包人承担。</w:t>
      </w:r>
    </w:p>
    <w:p w14:paraId="3B7C8D5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采购材料原则上须按投标文件中注明范围内品牌选择采购，需选取优等品，承包人提供所有材料设备应按招标文件的规定和投标人在投标文件中材料表所明确的材料品牌、厂家，在采购7天向发包人提供样品、有关资料和采购计划，经监理人、发包人和使用人书面确认后，方可采购进场用于施工，未经发包人同意不得选择投标品牌以外的材料。施工过程中如遇投标承诺品牌无法采购的，首先在招标文件推荐的品牌中选择，其次再选择外加品牌，但材料设备的品质与档次不得低于投标承诺品牌或招标文件推荐的品牌，且须经发包人、监理人书面签证同意后，方可采购进场用于施工。</w:t>
      </w:r>
    </w:p>
    <w:p w14:paraId="34478F7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（3）需发包人签证品牌、价格的材料，承包人在采购前应首先征得发包人对品牌、质量、价格签证认可并留存样品，发包人认可后方可用于施工。</w:t>
      </w:r>
    </w:p>
    <w:p w14:paraId="38576C9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（4）发包人有权对承包人的进场材料进行随机抽检，抽签合格的，抽检费用由发包人承担，抽检不合格的，抽检费用由承包人承担。</w:t>
      </w:r>
    </w:p>
    <w:p w14:paraId="0CECFA8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（5）承包人采购的材料与设备必须达到验收标准并确保验收通过。</w:t>
      </w:r>
    </w:p>
    <w:p w14:paraId="7A54C11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13" w:name="_Toc535392588"/>
      <w:bookmarkEnd w:id="413"/>
      <w:bookmarkStart w:id="414" w:name="_Toc947682"/>
      <w:r>
        <w:rPr>
          <w:rFonts w:hint="eastAsia" w:ascii="仿宋" w:hAnsi="仿宋" w:eastAsia="仿宋" w:cs="仿宋"/>
          <w:b/>
          <w:bCs/>
          <w:color w:val="auto"/>
          <w:kern w:val="2"/>
          <w:sz w:val="21"/>
          <w:szCs w:val="21"/>
          <w:highlight w:val="none"/>
        </w:rPr>
        <w:t>6.2 检验</w:t>
      </w:r>
      <w:bookmarkEnd w:id="414"/>
    </w:p>
    <w:p w14:paraId="207FC52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6.2.1</w:t>
      </w:r>
      <w:r>
        <w:rPr>
          <w:rFonts w:hint="eastAsia" w:ascii="仿宋" w:hAnsi="仿宋" w:eastAsia="仿宋" w:cs="仿宋"/>
          <w:color w:val="auto"/>
          <w:kern w:val="2"/>
          <w:sz w:val="21"/>
          <w:szCs w:val="21"/>
          <w:highlight w:val="none"/>
        </w:rPr>
        <w:t>工程检验与报告</w:t>
      </w:r>
    </w:p>
    <w:p w14:paraId="60BC301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报告提交日期、报告内容和提交份数：承包人负责对工程物资的强制性检查、检验、监测和试验，并向发包人提供相关报告。承包人采购的材料设备在使用前，承包人应按国家有关标准进行检验或试验，并向发包人提交检验或试验报告，承包人对所提供的报告真实性负责，若因弄虚作假造成的后果及相关费用均由承包人承担。</w:t>
      </w:r>
    </w:p>
    <w:p w14:paraId="2E8D5C3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（2）发包人有权参与相关加工制造阶段的检查、检验、监测和试验，如有必要，可委托有经验的第三方代表参检。</w:t>
      </w:r>
    </w:p>
    <w:p w14:paraId="00176182">
      <w:pPr>
        <w:pStyle w:val="1024"/>
        <w:adjustRightInd w:val="0"/>
        <w:snapToGrid w:val="0"/>
        <w:spacing w:line="288" w:lineRule="auto"/>
        <w:jc w:val="both"/>
        <w:rPr>
          <w:rFonts w:ascii="仿宋" w:hAnsi="仿宋" w:eastAsia="仿宋" w:cs="仿宋"/>
          <w:color w:val="auto"/>
          <w:kern w:val="2"/>
          <w:sz w:val="21"/>
          <w:szCs w:val="21"/>
          <w:highlight w:val="none"/>
        </w:rPr>
      </w:pPr>
      <w:bookmarkStart w:id="415" w:name="_Toc535392589"/>
      <w:bookmarkEnd w:id="415"/>
      <w:bookmarkStart w:id="416" w:name="_Toc947683"/>
      <w:r>
        <w:rPr>
          <w:rFonts w:hint="eastAsia" w:ascii="仿宋" w:hAnsi="仿宋" w:eastAsia="仿宋" w:cs="仿宋"/>
          <w:b/>
          <w:bCs/>
          <w:color w:val="auto"/>
          <w:kern w:val="2"/>
          <w:sz w:val="21"/>
          <w:szCs w:val="21"/>
          <w:highlight w:val="none"/>
        </w:rPr>
        <w:t>6.2.4</w:t>
      </w:r>
      <w:r>
        <w:rPr>
          <w:rFonts w:hint="eastAsia" w:ascii="仿宋" w:hAnsi="仿宋" w:eastAsia="仿宋" w:cs="仿宋"/>
          <w:color w:val="auto"/>
          <w:kern w:val="2"/>
          <w:sz w:val="21"/>
          <w:szCs w:val="21"/>
          <w:highlight w:val="none"/>
        </w:rPr>
        <w:t>现场清点与检查</w:t>
      </w:r>
      <w:bookmarkEnd w:id="416"/>
    </w:p>
    <w:p w14:paraId="1C045C3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在负责提供的工程物资运抵现场3日前通知发包人。发包人、监理人与承包人(或包括其分包人)按每批货物的提货单据清点箱件数量及进行外观检查，并根据装箱单清点箱内数量、出厂合格证、图纸、文件资料等，并进行外观检查。经检查清点后各方人员签署开箱检验证明。各方签署后仅表示可以进行安装施工，但并不免除任何承包人对工程物资存在质量、制造、设计、性能、零部件的完整性等各方面的缺陷和不合格的责任、违约责任和对发包人造成损失的赔偿责任。</w:t>
      </w:r>
    </w:p>
    <w:p w14:paraId="6E51A4D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（2）经现场检查清点发现箱件短缺，箱件内的物资数量、图纸、资料短缺，或有外观缺陷的，工程物资在缺陷未能修复之前不得用于工程。因此造成的费用增加、竣工日期延误，由承包人负责。</w:t>
      </w:r>
    </w:p>
    <w:p w14:paraId="4D2D6F79">
      <w:pPr>
        <w:pStyle w:val="1024"/>
        <w:adjustRightInd w:val="0"/>
        <w:snapToGrid w:val="0"/>
        <w:spacing w:line="288" w:lineRule="auto"/>
        <w:jc w:val="both"/>
        <w:rPr>
          <w:rFonts w:ascii="仿宋" w:hAnsi="仿宋" w:eastAsia="仿宋" w:cs="仿宋"/>
          <w:color w:val="auto"/>
          <w:kern w:val="2"/>
          <w:sz w:val="21"/>
          <w:szCs w:val="21"/>
          <w:highlight w:val="none"/>
        </w:rPr>
      </w:pPr>
      <w:bookmarkStart w:id="417" w:name="_Toc535392590"/>
      <w:bookmarkEnd w:id="417"/>
      <w:bookmarkStart w:id="418" w:name="_Toc947684"/>
      <w:r>
        <w:rPr>
          <w:rFonts w:hint="eastAsia" w:ascii="仿宋" w:hAnsi="仿宋" w:eastAsia="仿宋" w:cs="仿宋"/>
          <w:b/>
          <w:bCs/>
          <w:color w:val="auto"/>
          <w:kern w:val="2"/>
          <w:sz w:val="21"/>
          <w:szCs w:val="21"/>
          <w:highlight w:val="none"/>
        </w:rPr>
        <w:t>6.2.5</w:t>
      </w:r>
      <w:r>
        <w:rPr>
          <w:rFonts w:hint="eastAsia" w:ascii="仿宋" w:hAnsi="仿宋" w:eastAsia="仿宋" w:cs="仿宋"/>
          <w:color w:val="auto"/>
          <w:kern w:val="2"/>
          <w:sz w:val="21"/>
          <w:szCs w:val="21"/>
          <w:highlight w:val="none"/>
        </w:rPr>
        <w:t>质量监督部门及消防、环保等部门的参检</w:t>
      </w:r>
      <w:bookmarkEnd w:id="418"/>
    </w:p>
    <w:p w14:paraId="631A449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承包人随时接受质量监督部门、消防部门、环保部门、行业等专业检查人员对制造、安装及试验过程的现场检查，其费用由承包人承担。</w:t>
      </w:r>
    </w:p>
    <w:p w14:paraId="01C6CB6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因上述部门在参检中提出的修改、更换等意见所增加的相关费用由承包人承担，因此造成工程关键路径延误的，责任方为承包人时，竣工日期不予延长。</w:t>
      </w:r>
    </w:p>
    <w:p w14:paraId="4274C5EA">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419" w:name="_Toc535392591"/>
      <w:bookmarkEnd w:id="419"/>
      <w:bookmarkStart w:id="420" w:name="_Toc947685"/>
      <w:r>
        <w:rPr>
          <w:rFonts w:hint="eastAsia" w:ascii="仿宋" w:hAnsi="仿宋" w:eastAsia="仿宋" w:cs="仿宋"/>
          <w:b/>
          <w:bCs/>
          <w:color w:val="auto"/>
          <w:kern w:val="2"/>
          <w:sz w:val="21"/>
          <w:szCs w:val="21"/>
          <w:highlight w:val="none"/>
        </w:rPr>
        <w:t xml:space="preserve">6.3 </w:t>
      </w:r>
      <w:r>
        <w:rPr>
          <w:rFonts w:hint="eastAsia" w:ascii="仿宋" w:hAnsi="仿宋" w:eastAsia="仿宋" w:cs="仿宋"/>
          <w:color w:val="auto"/>
          <w:kern w:val="2"/>
          <w:sz w:val="21"/>
          <w:szCs w:val="21"/>
          <w:highlight w:val="none"/>
        </w:rPr>
        <w:t>进口工程物资的采购、</w:t>
      </w:r>
      <w:bookmarkEnd w:id="420"/>
    </w:p>
    <w:p w14:paraId="14D98A03">
      <w:pPr>
        <w:pStyle w:val="1024"/>
        <w:adjustRightInd w:val="0"/>
        <w:snapToGrid w:val="0"/>
        <w:spacing w:line="288" w:lineRule="auto"/>
        <w:ind w:firstLine="420" w:firstLineChars="200"/>
        <w:jc w:val="both"/>
        <w:rPr>
          <w:rFonts w:ascii="仿宋" w:hAnsi="仿宋" w:eastAsia="仿宋" w:cs="仿宋"/>
          <w:b/>
          <w:bCs/>
          <w:color w:val="auto"/>
          <w:kern w:val="2"/>
          <w:sz w:val="21"/>
          <w:szCs w:val="21"/>
          <w:highlight w:val="none"/>
        </w:rPr>
      </w:pPr>
      <w:bookmarkStart w:id="421" w:name="_Toc535392592"/>
      <w:bookmarkEnd w:id="421"/>
      <w:bookmarkStart w:id="422" w:name="_Toc947686"/>
      <w:r>
        <w:rPr>
          <w:rFonts w:hint="eastAsia" w:ascii="仿宋" w:hAnsi="仿宋" w:eastAsia="仿宋" w:cs="仿宋"/>
          <w:color w:val="auto"/>
          <w:kern w:val="2"/>
          <w:sz w:val="21"/>
          <w:szCs w:val="21"/>
          <w:highlight w:val="none"/>
        </w:rPr>
        <w:t>6.3.1采购责任方及采购方式：承包人直接采购。</w:t>
      </w:r>
      <w:bookmarkEnd w:id="422"/>
    </w:p>
    <w:p w14:paraId="78906410">
      <w:pPr>
        <w:pStyle w:val="1024"/>
        <w:adjustRightInd w:val="0"/>
        <w:snapToGrid w:val="0"/>
        <w:spacing w:line="288" w:lineRule="auto"/>
        <w:jc w:val="both"/>
        <w:outlineLvl w:val="0"/>
        <w:rPr>
          <w:rFonts w:ascii="仿宋" w:hAnsi="仿宋" w:eastAsia="仿宋" w:cs="仿宋"/>
          <w:color w:val="auto"/>
          <w:kern w:val="2"/>
          <w:sz w:val="21"/>
          <w:szCs w:val="21"/>
          <w:highlight w:val="none"/>
        </w:rPr>
      </w:pPr>
      <w:bookmarkStart w:id="423" w:name="_Toc535392593"/>
      <w:bookmarkEnd w:id="423"/>
      <w:bookmarkStart w:id="424" w:name="_Toc947687"/>
      <w:r>
        <w:rPr>
          <w:rFonts w:hint="eastAsia" w:ascii="仿宋" w:hAnsi="仿宋" w:eastAsia="仿宋" w:cs="仿宋"/>
          <w:b/>
          <w:bCs/>
          <w:color w:val="auto"/>
          <w:kern w:val="2"/>
          <w:sz w:val="21"/>
          <w:szCs w:val="21"/>
          <w:highlight w:val="none"/>
        </w:rPr>
        <w:t xml:space="preserve">6.6 </w:t>
      </w:r>
      <w:r>
        <w:rPr>
          <w:rFonts w:hint="eastAsia" w:ascii="仿宋" w:hAnsi="仿宋" w:eastAsia="仿宋" w:cs="仿宋"/>
          <w:color w:val="auto"/>
          <w:kern w:val="2"/>
          <w:sz w:val="21"/>
          <w:szCs w:val="21"/>
          <w:highlight w:val="none"/>
        </w:rPr>
        <w:t>工程物资保管与剩余</w:t>
      </w:r>
      <w:bookmarkEnd w:id="424"/>
    </w:p>
    <w:p w14:paraId="565BA4E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6.6.1</w:t>
      </w:r>
      <w:r>
        <w:rPr>
          <w:rFonts w:hint="eastAsia" w:ascii="仿宋" w:hAnsi="仿宋" w:eastAsia="仿宋" w:cs="仿宋"/>
          <w:color w:val="auto"/>
          <w:kern w:val="2"/>
          <w:sz w:val="21"/>
          <w:szCs w:val="21"/>
          <w:highlight w:val="none"/>
        </w:rPr>
        <w:t>工程物资保管</w:t>
      </w:r>
    </w:p>
    <w:p w14:paraId="14D161A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425" w:name="_Toc535392594"/>
      <w:bookmarkEnd w:id="425"/>
      <w:bookmarkStart w:id="426" w:name="_Toc947688"/>
      <w:r>
        <w:rPr>
          <w:rFonts w:hint="eastAsia" w:ascii="仿宋" w:hAnsi="仿宋" w:eastAsia="仿宋" w:cs="仿宋"/>
          <w:color w:val="auto"/>
          <w:kern w:val="2"/>
          <w:sz w:val="21"/>
          <w:szCs w:val="21"/>
          <w:highlight w:val="none"/>
        </w:rPr>
        <w:t>委托承包人保管的工程物资的类别和估算数量：如有发生，另行约定。</w:t>
      </w:r>
      <w:bookmarkEnd w:id="426"/>
    </w:p>
    <w:p w14:paraId="3F9CC8B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承包人提交保管、维护方案的时间：</w:t>
      </w:r>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w:t>
      </w:r>
    </w:p>
    <w:p w14:paraId="7CCD0E6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427" w:name="_Toc535392595"/>
      <w:bookmarkEnd w:id="427"/>
      <w:bookmarkStart w:id="428" w:name="_Toc947689"/>
      <w:r>
        <w:rPr>
          <w:rFonts w:hint="eastAsia" w:ascii="仿宋" w:hAnsi="仿宋" w:eastAsia="仿宋" w:cs="仿宋"/>
          <w:color w:val="auto"/>
          <w:kern w:val="2"/>
          <w:sz w:val="21"/>
          <w:szCs w:val="21"/>
          <w:highlight w:val="none"/>
        </w:rPr>
        <w:t>由发包人提供的库房、堆场、设施及设备：</w:t>
      </w:r>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w:t>
      </w:r>
      <w:bookmarkEnd w:id="428"/>
    </w:p>
    <w:p w14:paraId="61ADDA1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应按说明书的相关规定对工程物资进行保管、维护、保养，防止变形、变质、污染和对人身造成伤害。保管维护方案应包括：工程物资分类和保管、保养、保安、领用制度，以及库房、特殊保管库房、堆场、道路、照明、消防、设施、器具等规划。保管所需的一切费用，已经包含在合同价格内。</w:t>
      </w:r>
    </w:p>
    <w:p w14:paraId="65953E9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第7条 施工</w:t>
      </w:r>
    </w:p>
    <w:p w14:paraId="298FC9B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29" w:name="_Toc535392596"/>
      <w:bookmarkEnd w:id="429"/>
      <w:bookmarkStart w:id="430" w:name="_Toc947690"/>
      <w:r>
        <w:rPr>
          <w:rFonts w:hint="eastAsia" w:ascii="仿宋" w:hAnsi="仿宋" w:eastAsia="仿宋" w:cs="仿宋"/>
          <w:b/>
          <w:bCs/>
          <w:color w:val="auto"/>
          <w:kern w:val="2"/>
          <w:sz w:val="21"/>
          <w:szCs w:val="21"/>
          <w:highlight w:val="none"/>
        </w:rPr>
        <w:t>7.1 发包人的义务</w:t>
      </w:r>
      <w:bookmarkEnd w:id="430"/>
    </w:p>
    <w:p w14:paraId="0C3AC35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7.1.2</w:t>
      </w:r>
      <w:r>
        <w:rPr>
          <w:rFonts w:hint="eastAsia" w:ascii="仿宋" w:hAnsi="仿宋" w:eastAsia="仿宋" w:cs="仿宋"/>
          <w:color w:val="auto"/>
          <w:kern w:val="2"/>
          <w:sz w:val="21"/>
          <w:szCs w:val="21"/>
          <w:highlight w:val="none"/>
        </w:rPr>
        <w:t>审查总体施工组织设计</w:t>
      </w:r>
    </w:p>
    <w:p w14:paraId="45654B4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图审查完成后承包人施工进场7日前承包人提交详细的施工组织设计方案三套，供发包人审查，发包人在接到总体施工组织设计后及时提出建议和要求。发包人的建议和要求，并不能减轻或免除承包人的任何合同责任。</w:t>
      </w:r>
    </w:p>
    <w:p w14:paraId="5A05DF1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7.1.3</w:t>
      </w:r>
      <w:r>
        <w:rPr>
          <w:rFonts w:hint="eastAsia" w:ascii="仿宋" w:hAnsi="仿宋" w:eastAsia="仿宋" w:cs="仿宋"/>
          <w:color w:val="auto"/>
          <w:kern w:val="2"/>
          <w:sz w:val="21"/>
          <w:szCs w:val="21"/>
          <w:highlight w:val="none"/>
        </w:rPr>
        <w:t>进场条件和进场日期</w:t>
      </w:r>
    </w:p>
    <w:p w14:paraId="2E4CA909">
      <w:pPr>
        <w:widowControl/>
        <w:adjustRightInd w:val="0"/>
        <w:snapToGrid w:val="0"/>
        <w:spacing w:line="288"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承包人的进场条件：发包人提供施工场地</w:t>
      </w:r>
    </w:p>
    <w:p w14:paraId="4DFD87C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承包人的进场日期：开工日期3天前。</w:t>
      </w:r>
    </w:p>
    <w:p w14:paraId="124E980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7.1.4</w:t>
      </w:r>
      <w:r>
        <w:rPr>
          <w:rFonts w:hint="eastAsia" w:ascii="仿宋" w:hAnsi="仿宋" w:eastAsia="仿宋" w:cs="仿宋"/>
          <w:color w:val="auto"/>
          <w:kern w:val="2"/>
          <w:sz w:val="21"/>
          <w:szCs w:val="21"/>
          <w:highlight w:val="none"/>
        </w:rPr>
        <w:t>临时用水电等提供和节点铺设</w:t>
      </w:r>
    </w:p>
    <w:p w14:paraId="6C2B7AB1">
      <w:pPr>
        <w:pStyle w:val="131"/>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发包人提供的临时用水、用电的接入点，用水、用电费用：接入点由发包人指定，接入到施工工地的费用由承包人自行负责。施工水电费按工程竣工结算审定价的0.5%计算，在结算审定款中直接扣除。</w:t>
      </w:r>
    </w:p>
    <w:p w14:paraId="5B0EC7F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7.1.10</w:t>
      </w:r>
      <w:r>
        <w:rPr>
          <w:rFonts w:hint="eastAsia" w:ascii="仿宋" w:hAnsi="仿宋" w:eastAsia="仿宋" w:cs="仿宋"/>
          <w:color w:val="auto"/>
          <w:kern w:val="2"/>
          <w:sz w:val="21"/>
          <w:szCs w:val="21"/>
          <w:highlight w:val="none"/>
        </w:rPr>
        <w:t>由发包人履行的其它义务：</w:t>
      </w:r>
      <w:r>
        <w:rPr>
          <w:rFonts w:hint="eastAsia" w:ascii="仿宋" w:hAnsi="仿宋" w:eastAsia="仿宋" w:cs="仿宋"/>
          <w:color w:val="auto"/>
          <w:kern w:val="2"/>
          <w:sz w:val="21"/>
          <w:szCs w:val="21"/>
          <w:highlight w:val="none"/>
          <w:u w:val="single"/>
        </w:rPr>
        <w:t xml:space="preserve">  /  </w:t>
      </w:r>
    </w:p>
    <w:p w14:paraId="61195B4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31" w:name="_Toc535392597"/>
      <w:bookmarkEnd w:id="431"/>
      <w:bookmarkStart w:id="432" w:name="_Toc947691"/>
      <w:r>
        <w:rPr>
          <w:rFonts w:hint="eastAsia" w:ascii="仿宋" w:hAnsi="仿宋" w:eastAsia="仿宋" w:cs="仿宋"/>
          <w:b/>
          <w:bCs/>
          <w:color w:val="auto"/>
          <w:kern w:val="2"/>
          <w:sz w:val="21"/>
          <w:szCs w:val="21"/>
          <w:highlight w:val="none"/>
        </w:rPr>
        <w:t>7.2 承包人的义务</w:t>
      </w:r>
      <w:bookmarkEnd w:id="432"/>
    </w:p>
    <w:p w14:paraId="24CF1D11">
      <w:pPr>
        <w:pStyle w:val="1024"/>
        <w:adjustRightInd w:val="0"/>
        <w:snapToGrid w:val="0"/>
        <w:spacing w:line="288" w:lineRule="auto"/>
        <w:jc w:val="both"/>
        <w:rPr>
          <w:rFonts w:ascii="仿宋" w:hAnsi="仿宋" w:eastAsia="仿宋" w:cs="仿宋"/>
          <w:color w:val="auto"/>
          <w:kern w:val="2"/>
          <w:sz w:val="21"/>
          <w:szCs w:val="21"/>
          <w:highlight w:val="none"/>
        </w:rPr>
      </w:pPr>
      <w:bookmarkStart w:id="433" w:name="_Toc535392598"/>
      <w:bookmarkEnd w:id="433"/>
      <w:bookmarkStart w:id="434" w:name="_Toc947692"/>
      <w:r>
        <w:rPr>
          <w:rFonts w:hint="eastAsia" w:ascii="仿宋" w:hAnsi="仿宋" w:eastAsia="仿宋" w:cs="仿宋"/>
          <w:b/>
          <w:bCs/>
          <w:color w:val="auto"/>
          <w:kern w:val="2"/>
          <w:sz w:val="21"/>
          <w:szCs w:val="21"/>
          <w:highlight w:val="none"/>
        </w:rPr>
        <w:t>7.2.1</w:t>
      </w:r>
      <w:r>
        <w:rPr>
          <w:rFonts w:hint="eastAsia" w:ascii="仿宋" w:hAnsi="仿宋" w:eastAsia="仿宋" w:cs="仿宋"/>
          <w:color w:val="auto"/>
          <w:kern w:val="2"/>
          <w:sz w:val="21"/>
          <w:szCs w:val="21"/>
          <w:highlight w:val="none"/>
        </w:rPr>
        <w:t>放线</w:t>
      </w:r>
      <w:bookmarkEnd w:id="434"/>
    </w:p>
    <w:p w14:paraId="389AD51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承包人负责对工程、单项工程、施工部位的放线，并对放线的准确性负责。</w:t>
      </w:r>
    </w:p>
    <w:p w14:paraId="26EDAAE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7.2.12</w:t>
      </w:r>
      <w:r>
        <w:rPr>
          <w:rFonts w:hint="eastAsia" w:ascii="仿宋" w:hAnsi="仿宋" w:eastAsia="仿宋" w:cs="仿宋"/>
          <w:color w:val="auto"/>
          <w:kern w:val="2"/>
          <w:sz w:val="21"/>
          <w:szCs w:val="21"/>
          <w:highlight w:val="none"/>
        </w:rPr>
        <w:t>清理现场的费用：由承包人承担。</w:t>
      </w:r>
    </w:p>
    <w:p w14:paraId="06C10CD9">
      <w:pPr>
        <w:pStyle w:val="1024"/>
        <w:adjustRightInd w:val="0"/>
        <w:snapToGrid w:val="0"/>
        <w:spacing w:line="288" w:lineRule="auto"/>
        <w:ind w:firstLine="422" w:firstLineChars="200"/>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7.2.13</w:t>
      </w:r>
      <w:r>
        <w:rPr>
          <w:rFonts w:hint="eastAsia" w:ascii="仿宋" w:hAnsi="仿宋" w:eastAsia="仿宋" w:cs="仿宋"/>
          <w:color w:val="auto"/>
          <w:kern w:val="2"/>
          <w:sz w:val="21"/>
          <w:szCs w:val="21"/>
          <w:highlight w:val="none"/>
        </w:rPr>
        <w:t>由承包人履行的其它义务：</w:t>
      </w:r>
    </w:p>
    <w:p w14:paraId="3716A08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必须按合同及相关规范要求进行施工组织，应加强安全生产管理，制定安全操作规程，保证工程施工的安全，承包人应教育其职工进行文明施工，配备必要的安全生产设施和劳动保护用具。承包人应对其管辖范围内的人员和设备（包括发包人的人员和设备）以及工程的安全负责，应负责做好人员的工作场所和居住区的日常治安管理和安全保护工作。承包人必须对施工现场的用电安全负责。施工现场用电必须遵照杭州市建委颁布的施工现场用电管理条例执行。在工地现场做好警戒告示牌和围护，提醒进入施工现场人员的注意，所发生的费用由承包人承担。</w:t>
      </w:r>
    </w:p>
    <w:p w14:paraId="7A18F74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（2）需承包人办理的有关施工场地交通、环卫和施工噪音管理等手续：按有关规定办理临时出入口、占道、排污、环卫、夜间施工等手续，费用已包含在合同价格中，不再另行计取。</w:t>
      </w:r>
    </w:p>
    <w:p w14:paraId="2AD3BE1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完工工程成品保护的特殊要求及费用承担：工程未正式办理交付手续前，现场看管费、成品保护、偷盗损失均由承包人完全负责并承担所需费用，如果保护期间发生损坏，承包人须自费予以修复，直至发包人满意为止。</w:t>
      </w:r>
    </w:p>
    <w:p w14:paraId="182FEA3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（4）需要承包人报送样品的材料或工程设备，样品的种类、名称、规格、数量的要求，按本专用条款6.1.2款项下对承包人采购材料设备的约定执行。</w:t>
      </w:r>
    </w:p>
    <w:p w14:paraId="01384D5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（5）施工现场清洁卫生的要求：按《杭州市建筑工程施工场地文明管理规定》的要求执行，并承担公共部位的清洁和因施工被损坏的绿化恢复费用。</w:t>
      </w:r>
    </w:p>
    <w:p w14:paraId="67FBDFE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合同履行期间承包人应遵守国家及当地政府发布的法令、法规，包括交通、治安、绿化、噪音、渣土管理、污水排放、外来民工登记等规定。因承包人原因引起的行政处罚等费用，由承包人承担。承包人须教育职工和民工遵纪守法，严禁打架、斗殴、赌博等违法行为发生，由此产生的后果由承包人负责。</w:t>
      </w:r>
    </w:p>
    <w:p w14:paraId="44C90D2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（7）施工时发生异常情况，应及时向发包人、监理人报告，知情不报引起的工程损失或其他损失由承包人全权负责。</w:t>
      </w:r>
    </w:p>
    <w:p w14:paraId="7009DED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（8）承包人采取有效的安全文明施工措施，施工过程尽可能减少对学生日常生活与学习的影响。</w:t>
      </w:r>
    </w:p>
    <w:p w14:paraId="45B5CF5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（9）承包人的项目负责人应按时参加发包人组织的工作会议。施工期间应积极配合发包人工作。</w:t>
      </w:r>
    </w:p>
    <w:p w14:paraId="6AE1221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（10）发包人不提供施工临时设施场地，由承包人自行解决场地和费用。</w:t>
      </w:r>
    </w:p>
    <w:p w14:paraId="59E5972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（11）承包人有责任为发包人、监理人、质监单位等进行工程检查时免费提供安全保护用具和各种设施的方便。</w:t>
      </w:r>
    </w:p>
    <w:p w14:paraId="57E3D7F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12）承包人应事先到工地踏勘以充分了解工地位置、情况、道路、储存空间、装卸限制、三通一平场地现状、周边环境等。设置临时施工通道，按照当地公安、市政、交通、治安、城管、环保、排污、环卫、绿化、卫生等部门要求办理相关手续，解决任何其它足以影响施工的问题，以上费用均由承包人承担。任何因忽视或误解工地情况而导致的索赔申请将不获批准。</w:t>
      </w:r>
    </w:p>
    <w:p w14:paraId="5AE18FD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（13）承包人应做好包括开槽、补槽、补洞，门窗安装后边缝的修补，修补质量需经发包人书面确认。</w:t>
      </w:r>
    </w:p>
    <w:p w14:paraId="1A58659B">
      <w:pPr>
        <w:pStyle w:val="1024"/>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（14）双方约定承包人应做的其他工作：施工期间必须遵守学校相关部门对校内交通、治安、消防、保洁、疫情防控、意识形态、宗教管理教育等方面的管理。</w:t>
      </w:r>
    </w:p>
    <w:p w14:paraId="4C3EA2C1">
      <w:pPr>
        <w:pStyle w:val="1024"/>
        <w:adjustRightInd w:val="0"/>
        <w:snapToGrid w:val="0"/>
        <w:spacing w:line="288" w:lineRule="auto"/>
        <w:jc w:val="both"/>
        <w:rPr>
          <w:rFonts w:ascii="仿宋" w:hAnsi="仿宋" w:eastAsia="仿宋" w:cs="仿宋"/>
          <w:color w:val="auto"/>
          <w:kern w:val="2"/>
          <w:sz w:val="21"/>
          <w:szCs w:val="21"/>
          <w:highlight w:val="none"/>
        </w:rPr>
      </w:pPr>
      <w:bookmarkStart w:id="435" w:name="_Toc535392599"/>
      <w:bookmarkEnd w:id="435"/>
      <w:bookmarkStart w:id="436" w:name="_Toc947693"/>
      <w:r>
        <w:rPr>
          <w:rFonts w:hint="eastAsia" w:ascii="仿宋" w:hAnsi="仿宋" w:eastAsia="仿宋" w:cs="仿宋"/>
          <w:b/>
          <w:bCs/>
          <w:color w:val="auto"/>
          <w:kern w:val="2"/>
          <w:sz w:val="21"/>
          <w:szCs w:val="21"/>
          <w:highlight w:val="none"/>
        </w:rPr>
        <w:t>7.2.2</w:t>
      </w:r>
      <w:r>
        <w:rPr>
          <w:rFonts w:hint="eastAsia" w:ascii="仿宋" w:hAnsi="仿宋" w:eastAsia="仿宋" w:cs="仿宋"/>
          <w:color w:val="auto"/>
          <w:kern w:val="2"/>
          <w:sz w:val="21"/>
          <w:szCs w:val="21"/>
          <w:highlight w:val="none"/>
        </w:rPr>
        <w:t>施工组织设计</w:t>
      </w:r>
      <w:bookmarkEnd w:id="436"/>
    </w:p>
    <w:p w14:paraId="19F6AFD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提交工程总体施工组织设计的份数和时间：施工图审查完成后承包人施工进场前7日提供（一式五份）总进度计划、施工组织设计（包括外加工计划）。逾期不提交，并因此影响工程施工的，责任由承包人承担。</w:t>
      </w:r>
    </w:p>
    <w:p w14:paraId="27C489E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w:t>
      </w:r>
      <w:r>
        <w:rPr>
          <w:rFonts w:hint="eastAsia" w:ascii="仿宋" w:hAnsi="仿宋" w:eastAsia="仿宋" w:cs="仿宋"/>
          <w:color w:val="auto"/>
          <w:sz w:val="21"/>
          <w:szCs w:val="21"/>
          <w:highlight w:val="none"/>
        </w:rPr>
        <w:t>同双方约定的施工组织设计应包括的主要内容：</w:t>
      </w:r>
      <w:r>
        <w:rPr>
          <w:rFonts w:hint="eastAsia" w:ascii="仿宋" w:hAnsi="仿宋" w:eastAsia="仿宋" w:cs="仿宋"/>
          <w:color w:val="auto"/>
          <w:kern w:val="2"/>
          <w:sz w:val="21"/>
          <w:szCs w:val="21"/>
          <w:highlight w:val="non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39EAF84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发包人和监理人在收到详细的施工组织设计后确认或提出修改意见的期限： 发包人和监理人应在监理人收到施工组织设计后7内确认或提出修改意见。</w:t>
      </w:r>
    </w:p>
    <w:p w14:paraId="0643665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施工过程中，监理人有权要求承包人随时提交监理人认为必要的关于施工组织设计的任何说明和文件，对此类指示，承包人应遵照执行。承包人应按照经监理人批准的上述施工组织设计进行施工，监理人对上述施工组织设计的批准并未解除承包人对此应负的责任。</w:t>
      </w:r>
    </w:p>
    <w:p w14:paraId="62BA6B2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7.2.3</w:t>
      </w:r>
      <w:r>
        <w:rPr>
          <w:rFonts w:hint="eastAsia" w:ascii="仿宋" w:hAnsi="仿宋" w:eastAsia="仿宋" w:cs="仿宋"/>
          <w:color w:val="auto"/>
          <w:kern w:val="2"/>
          <w:sz w:val="21"/>
          <w:szCs w:val="21"/>
          <w:highlight w:val="none"/>
        </w:rPr>
        <w:t>提交临时占地资料</w:t>
      </w:r>
    </w:p>
    <w:p w14:paraId="24ACA21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提交临时占地资料的时间：合同签订后，施工图设计完成前。</w:t>
      </w:r>
    </w:p>
    <w:p w14:paraId="0DD207D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7.2.4</w:t>
      </w:r>
      <w:r>
        <w:rPr>
          <w:rFonts w:hint="eastAsia" w:ascii="仿宋" w:hAnsi="仿宋" w:eastAsia="仿宋" w:cs="仿宋"/>
          <w:color w:val="auto"/>
          <w:kern w:val="2"/>
          <w:sz w:val="21"/>
          <w:szCs w:val="21"/>
          <w:highlight w:val="none"/>
        </w:rPr>
        <w:t>提供临时用水电等资料</w:t>
      </w:r>
    </w:p>
    <w:p w14:paraId="4D82CC1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承包人需要水电等品质、正常用量、高峰量和使用时间：合同签订后，施工图设计完成前。</w:t>
      </w:r>
    </w:p>
    <w:p w14:paraId="2DDD8A0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发包人能够满足施工临时用水、电等类别和数量：按本专用条款</w:t>
      </w:r>
      <w:r>
        <w:rPr>
          <w:rFonts w:hint="eastAsia" w:ascii="仿宋" w:hAnsi="仿宋" w:eastAsia="仿宋" w:cs="仿宋"/>
          <w:b/>
          <w:bCs/>
          <w:color w:val="auto"/>
          <w:kern w:val="2"/>
          <w:sz w:val="21"/>
          <w:szCs w:val="21"/>
          <w:highlight w:val="none"/>
        </w:rPr>
        <w:t>7.1.4</w:t>
      </w:r>
      <w:r>
        <w:rPr>
          <w:rFonts w:hint="eastAsia" w:ascii="仿宋" w:hAnsi="仿宋" w:eastAsia="仿宋" w:cs="仿宋"/>
          <w:color w:val="auto"/>
          <w:kern w:val="2"/>
          <w:sz w:val="21"/>
          <w:szCs w:val="21"/>
          <w:highlight w:val="none"/>
        </w:rPr>
        <w:t>款执行。</w:t>
      </w:r>
    </w:p>
    <w:p w14:paraId="2704A39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水电等节点位置资料的提交时间：合同签订后，施工图设计完成前。</w:t>
      </w:r>
    </w:p>
    <w:p w14:paraId="78053737">
      <w:pPr>
        <w:pStyle w:val="1024"/>
        <w:adjustRightInd w:val="0"/>
        <w:snapToGrid w:val="0"/>
        <w:spacing w:line="288" w:lineRule="auto"/>
        <w:jc w:val="both"/>
        <w:rPr>
          <w:rFonts w:ascii="仿宋" w:hAnsi="仿宋" w:eastAsia="仿宋" w:cs="仿宋"/>
          <w:color w:val="auto"/>
          <w:kern w:val="2"/>
          <w:sz w:val="21"/>
          <w:szCs w:val="21"/>
          <w:highlight w:val="none"/>
        </w:rPr>
      </w:pPr>
      <w:bookmarkStart w:id="437" w:name="_Toc535392600"/>
      <w:bookmarkEnd w:id="437"/>
      <w:bookmarkStart w:id="438" w:name="_Toc947694"/>
      <w:r>
        <w:rPr>
          <w:rFonts w:hint="eastAsia" w:ascii="仿宋" w:hAnsi="仿宋" w:eastAsia="仿宋" w:cs="仿宋"/>
          <w:b/>
          <w:bCs/>
          <w:color w:val="auto"/>
          <w:kern w:val="2"/>
          <w:sz w:val="21"/>
          <w:szCs w:val="21"/>
          <w:highlight w:val="none"/>
        </w:rPr>
        <w:t>7.2.6</w:t>
      </w:r>
      <w:r>
        <w:rPr>
          <w:rFonts w:hint="eastAsia" w:ascii="仿宋" w:hAnsi="仿宋" w:eastAsia="仿宋" w:cs="仿宋"/>
          <w:color w:val="auto"/>
          <w:kern w:val="2"/>
          <w:sz w:val="21"/>
          <w:szCs w:val="21"/>
          <w:highlight w:val="none"/>
        </w:rPr>
        <w:t>施工过程中需通知办理的批准</w:t>
      </w:r>
      <w:bookmarkEnd w:id="438"/>
    </w:p>
    <w:p w14:paraId="7B2424E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承包人在施工过程中因增加场外临时用地，临时要求停水、停电、中断道路交通，或可能损坏道路、管线、电力、邮电、通讯等公共设施的，应自行办理相关申请批准手续，发包人予以协助。</w:t>
      </w:r>
    </w:p>
    <w:p w14:paraId="34A794C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39" w:name="_Toc535392603"/>
      <w:bookmarkEnd w:id="439"/>
      <w:bookmarkStart w:id="440" w:name="_Toc535392604"/>
      <w:bookmarkEnd w:id="440"/>
      <w:bookmarkStart w:id="441" w:name="_Toc535392601"/>
      <w:bookmarkEnd w:id="441"/>
      <w:bookmarkStart w:id="442" w:name="_Toc947698"/>
      <w:r>
        <w:rPr>
          <w:rFonts w:hint="eastAsia" w:ascii="仿宋" w:hAnsi="仿宋" w:eastAsia="仿宋" w:cs="仿宋"/>
          <w:b/>
          <w:bCs/>
          <w:color w:val="auto"/>
          <w:kern w:val="2"/>
          <w:sz w:val="21"/>
          <w:szCs w:val="21"/>
          <w:highlight w:val="none"/>
        </w:rPr>
        <w:t>7.5 质量与检验</w:t>
      </w:r>
      <w:bookmarkEnd w:id="442"/>
    </w:p>
    <w:p w14:paraId="1C040D7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7.5.1</w:t>
      </w:r>
      <w:r>
        <w:rPr>
          <w:rFonts w:hint="eastAsia" w:ascii="仿宋" w:hAnsi="仿宋" w:eastAsia="仿宋" w:cs="仿宋"/>
          <w:color w:val="auto"/>
          <w:kern w:val="2"/>
          <w:sz w:val="21"/>
          <w:szCs w:val="21"/>
          <w:highlight w:val="none"/>
        </w:rPr>
        <w:t>质量与检验</w:t>
      </w:r>
    </w:p>
    <w:p w14:paraId="62860A7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(1)承包人及其分包人应随时接受发包人、监理人所进行的安全、质量的监督和检查。承包人应为此类监督、检查提供方便。</w:t>
      </w:r>
    </w:p>
    <w:p w14:paraId="4B4B53F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(2)承包人委托第三方对施工质量进行检查、检验、检测和试验时，应在取得发包人同意后以书面形式通知发包人。发包人有权对认为需要检测的内容另行委托检测单位抽检，承包人应积极配合检测工作。</w:t>
      </w:r>
    </w:p>
    <w:p w14:paraId="23E0E6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(3)承包人应遵守施工质量管理的有关规定，负有对其操作人员进行培训、考核、图纸交底、技术交底、操作规程交底、安全程序交底和质量标准交底，及消除事故隐患的责任。</w:t>
      </w:r>
    </w:p>
    <w:p w14:paraId="05E73B5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w:t>
      </w:r>
    </w:p>
    <w:p w14:paraId="12DC940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承包人的施工应符合合同约定的质量标准。施工质量评定以合同中约定的质量检验评定标准为依据。对不符合质量标准的施工部位，承包人应自费修复、返工、更换等。因此造成竣工日期延误的，由承包人负责。</w:t>
      </w:r>
    </w:p>
    <w:p w14:paraId="3326DFE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7.5.2</w:t>
      </w:r>
      <w:r>
        <w:rPr>
          <w:rFonts w:hint="eastAsia" w:ascii="仿宋" w:hAnsi="仿宋" w:eastAsia="仿宋" w:cs="仿宋"/>
          <w:color w:val="auto"/>
          <w:kern w:val="2"/>
          <w:sz w:val="21"/>
          <w:szCs w:val="21"/>
          <w:highlight w:val="none"/>
        </w:rPr>
        <w:t>质检部位与参检方</w:t>
      </w:r>
    </w:p>
    <w:p w14:paraId="756960B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三方参检的部位、标准及表格形式：按国家规范要求。</w:t>
      </w:r>
    </w:p>
    <w:p w14:paraId="66B0093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两方参检的部位、标准及表格形式：按国家规范要求。</w:t>
      </w:r>
    </w:p>
    <w:p w14:paraId="0A5F9BB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第三方检查的部位、标准及表格形式：按国家规范要求。</w:t>
      </w:r>
    </w:p>
    <w:p w14:paraId="10E58F8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承包人自检的部位、标准及表格形式：按国家规范要求。</w:t>
      </w:r>
    </w:p>
    <w:p w14:paraId="51C0E66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施工现场需要配置的试验场所：按有关规定和监理人要求执行。</w:t>
      </w:r>
    </w:p>
    <w:p w14:paraId="70547AA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施工现场需要配备的试验设备：按有关规定和监理人要求执行。</w:t>
      </w:r>
    </w:p>
    <w:p w14:paraId="73F31696">
      <w:pPr>
        <w:pStyle w:val="1024"/>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施工现场需要具备的其他试验条件：按有关规定和监理人要求执行。</w:t>
      </w:r>
    </w:p>
    <w:p w14:paraId="4FB66D4E">
      <w:pPr>
        <w:pStyle w:val="1024"/>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试验、检测单位资质条件约定：</w:t>
      </w:r>
      <w:r>
        <w:rPr>
          <w:rFonts w:hint="eastAsia" w:ascii="仿宋" w:hAnsi="仿宋" w:eastAsia="仿宋" w:cs="仿宋"/>
          <w:color w:val="auto"/>
          <w:kern w:val="2"/>
          <w:sz w:val="21"/>
          <w:szCs w:val="21"/>
          <w:highlight w:val="none"/>
        </w:rPr>
        <w:t>按有关规定和监理人要求执行。</w:t>
      </w:r>
    </w:p>
    <w:p w14:paraId="248C2A12">
      <w:pPr>
        <w:pStyle w:val="1024"/>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试验、检测单位选择约定： 承包人选择单位后报监理人、发包人审核，审核通过后方可确定试验、检测单位。</w:t>
      </w:r>
    </w:p>
    <w:p w14:paraId="3036BB1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43" w:name="_Toc535392605"/>
      <w:bookmarkEnd w:id="443"/>
      <w:bookmarkStart w:id="444" w:name="_Toc947699"/>
      <w:r>
        <w:rPr>
          <w:rFonts w:hint="eastAsia" w:ascii="仿宋" w:hAnsi="仿宋" w:eastAsia="仿宋" w:cs="仿宋"/>
          <w:b/>
          <w:bCs/>
          <w:color w:val="auto"/>
          <w:kern w:val="2"/>
          <w:sz w:val="21"/>
          <w:szCs w:val="21"/>
          <w:highlight w:val="none"/>
        </w:rPr>
        <w:t>7.6 隐蔽工程和中间验收</w:t>
      </w:r>
      <w:bookmarkEnd w:id="444"/>
    </w:p>
    <w:p w14:paraId="3EB5722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7.6.1</w:t>
      </w:r>
      <w:r>
        <w:rPr>
          <w:rFonts w:hint="eastAsia" w:ascii="仿宋" w:hAnsi="仿宋" w:eastAsia="仿宋" w:cs="仿宋"/>
          <w:color w:val="auto"/>
          <w:kern w:val="2"/>
          <w:sz w:val="21"/>
          <w:szCs w:val="21"/>
          <w:highlight w:val="none"/>
        </w:rPr>
        <w:t>隐蔽工程和中间验收</w:t>
      </w:r>
    </w:p>
    <w:p w14:paraId="51E8E62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需要质检的隐蔽工程和中间验收部位的分类、部位、质检内容、标准、表格和参检方的约定：工程具备覆盖、掩盖条件或达到协议条款约定的中间验收部位，承包人自检合格后在隐蔽和中间验收48小时前通知监理人和发包人代表参加。通知包括承包人自检记录、隐蔽和中间验收的内容、验收时间和地点。承包人准备验收记录。验收合格，监理人和发包人代表在验收记录上签字后，方可进行隐蔽和继续施工。验收不合格，承包人在发包人限定时间内修改后重新验收。</w:t>
      </w:r>
    </w:p>
    <w:p w14:paraId="6ED1876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45" w:name="_Toc535392606"/>
      <w:bookmarkEnd w:id="445"/>
      <w:bookmarkStart w:id="446" w:name="_Toc947700"/>
      <w:r>
        <w:rPr>
          <w:rFonts w:hint="eastAsia" w:ascii="仿宋" w:hAnsi="仿宋" w:eastAsia="仿宋" w:cs="仿宋"/>
          <w:b/>
          <w:bCs/>
          <w:color w:val="auto"/>
          <w:kern w:val="2"/>
          <w:sz w:val="21"/>
          <w:szCs w:val="21"/>
          <w:highlight w:val="none"/>
        </w:rPr>
        <w:t>7.8 职业健康、安全、环境保护</w:t>
      </w:r>
      <w:bookmarkEnd w:id="446"/>
    </w:p>
    <w:p w14:paraId="77439D0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7.8.1</w:t>
      </w:r>
      <w:r>
        <w:rPr>
          <w:rFonts w:hint="eastAsia" w:ascii="仿宋" w:hAnsi="仿宋" w:eastAsia="仿宋" w:cs="仿宋"/>
          <w:color w:val="auto"/>
          <w:kern w:val="2"/>
          <w:sz w:val="21"/>
          <w:szCs w:val="21"/>
          <w:highlight w:val="none"/>
        </w:rPr>
        <w:t>职业健康、安全、环境保护管理</w:t>
      </w:r>
    </w:p>
    <w:p w14:paraId="77ED15F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提交职业健康、安全、环境保护管理实施计划的份数和时间：正式开工前7天内内提供三份。</w:t>
      </w:r>
    </w:p>
    <w:p w14:paraId="5D71D7D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7.8.3</w:t>
      </w:r>
      <w:r>
        <w:rPr>
          <w:rFonts w:hint="eastAsia" w:ascii="仿宋" w:hAnsi="仿宋" w:eastAsia="仿宋" w:cs="仿宋"/>
          <w:color w:val="auto"/>
          <w:kern w:val="2"/>
          <w:sz w:val="21"/>
          <w:szCs w:val="21"/>
          <w:highlight w:val="none"/>
        </w:rPr>
        <w:t>现场安全文明管理补充约定：</w:t>
      </w:r>
    </w:p>
    <w:p w14:paraId="737224D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（1）项目安全生产的达标目标及相应事项的约定：施工现场按照《建筑施工安全检查标准》（JGJ59-2011）评定达到“合格”标准。</w:t>
      </w:r>
    </w:p>
    <w:p w14:paraId="7CFC9F8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关于治安保卫的特别约定：②承包人应对进入施工现场的施工人员进行安全文明施工教育，配备必要的劳动保护用具，保证工程的施工安全和人身安全。③承包人应强化安全意识，抓好安全生产，杜绝事故发生，施工中若发生安全及人身事故均由承包人自行负责处理，并承担全部费用。④承包人必须严格遵守和执行中华人民共和国、浙江省、杭州市的安全生产和劳动保护有关规定和建设工程安全管理条例。⑤承包人应对施工安全负责，在施工过程中要实现“五无”、“两控制”目标，确保安全。⑥承包人应配备专职安全负责人，以确保生产安全。</w:t>
      </w:r>
    </w:p>
    <w:p w14:paraId="0281D4D8">
      <w:pPr>
        <w:pStyle w:val="1024"/>
        <w:autoSpaceDE w:val="0"/>
        <w:autoSpaceDN w:val="0"/>
        <w:adjustRightInd w:val="0"/>
        <w:snapToGri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对文明施工的要求：①遵守地方政府和有关部门对施工场地交通、环卫、安全和施工噪音等管理规定，并办理相关审批手续。②承包人应采取有效措施尽量减小尘土和噪音污染，需要进行夜间作业时应经有关部门批准。③其他：文明施工按杭州市人民政府令第278号文《杭州市建设工程文明施工管理规定》、杭建监总（2003）38号关于实施《杭州市市政建设工地安全生产、文明施工管理实施细则（试行）的通知》及其他相关规定执行，否则若造成工程损失或人身伤害，由承包人承担全部责任及费用。</w:t>
      </w:r>
    </w:p>
    <w:p w14:paraId="49CF163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8953613">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文明施工还需做的其他工作：①所有现场作业人员必须统一着装，统一编号，工作装或马甲上醒目标识单位名称、人员编号，夜间施工必须穿着反光背心，涉水施工必须穿戴救生衣。②协调好设备及电气安装、消防设施等配套单位的施工安排，配合做好相关的安全文明施工工作。</w:t>
      </w:r>
    </w:p>
    <w:p w14:paraId="7F48307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7.8.4</w:t>
      </w:r>
      <w:r>
        <w:rPr>
          <w:rFonts w:hint="eastAsia" w:ascii="仿宋" w:hAnsi="仿宋" w:eastAsia="仿宋" w:cs="仿宋"/>
          <w:color w:val="auto"/>
          <w:kern w:val="2"/>
          <w:sz w:val="21"/>
          <w:szCs w:val="21"/>
          <w:highlight w:val="none"/>
        </w:rPr>
        <w:t>现场的环境保护管理</w:t>
      </w:r>
    </w:p>
    <w:p w14:paraId="0F77727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(1)承包人应采取措施，并负责控制和(或)处理现场的粉尘、废气、废水、固体废物和噪声对环境的污染和危害。因此发生的伤害、赔偿、罚款等费用增加，和(或)竣工日期延误，由承包人负责。 (2)承包人及时或定期将施工现场残留、废弃的垃圾运到发包人或当地有关行政部门指定的地点，防止对周围环境的污染及对作业的影响。因违反上述约定导致当地行政部门的罚款、赔偿等增加的费用，由承包人承担。</w:t>
      </w:r>
    </w:p>
    <w:p w14:paraId="746DF14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 xml:space="preserve">7.8.5 </w:t>
      </w:r>
      <w:r>
        <w:rPr>
          <w:rFonts w:hint="eastAsia" w:ascii="仿宋" w:hAnsi="仿宋" w:eastAsia="仿宋" w:cs="仿宋"/>
          <w:color w:val="auto"/>
          <w:kern w:val="2"/>
          <w:sz w:val="21"/>
          <w:szCs w:val="21"/>
          <w:highlight w:val="none"/>
        </w:rPr>
        <w:t xml:space="preserve"> 事故处理</w:t>
      </w:r>
    </w:p>
    <w:p w14:paraId="38CD17C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(1)承包人(包括其分包人)的人员，在现场作业过程中发生死亡、伤害事件时，承包人应立即采取救护措施，并立即报告发包人和(或)救援单位。承包人应维护好现场并采取防止事故蔓延的相应措施。</w:t>
      </w:r>
    </w:p>
    <w:p w14:paraId="2F167DD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(2)对重大伤亡、重大财产、环境损害及其它安全事故，承包人应按有关规定立即上报有关部门，并立即通知发包人代表和监理人。同时，按政府有关部门的要求处理。</w:t>
      </w:r>
    </w:p>
    <w:p w14:paraId="0CE5A82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(3)合同双方对事故责任有争议时，依据16.3款争议和裁决的约定程序解决。</w:t>
      </w:r>
    </w:p>
    <w:p w14:paraId="6171736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(4)因承包人的原因致使建设工程在合理使用期限、设备保证期内造成人身和财产损害的，由承包人承担损害赔偿责任。</w:t>
      </w:r>
    </w:p>
    <w:p w14:paraId="5864307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(5)因承包人原因发生员工食物中毒及职业健康事件的，承包人应承担全部责任。</w:t>
      </w:r>
    </w:p>
    <w:p w14:paraId="16A367F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第8条 竣工试验</w:t>
      </w:r>
    </w:p>
    <w:p w14:paraId="15D7834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本合同工程包含竣工试验的，遵守本条约定。</w:t>
      </w:r>
    </w:p>
    <w:p w14:paraId="07D44F3B">
      <w:pPr>
        <w:pStyle w:val="1024"/>
        <w:adjustRightInd w:val="0"/>
        <w:snapToGrid w:val="0"/>
        <w:spacing w:line="288" w:lineRule="auto"/>
        <w:jc w:val="both"/>
        <w:outlineLvl w:val="0"/>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8.1</w:t>
      </w:r>
      <w:r>
        <w:rPr>
          <w:rFonts w:hint="eastAsia" w:ascii="仿宋" w:hAnsi="仿宋" w:eastAsia="仿宋" w:cs="仿宋"/>
          <w:color w:val="auto"/>
          <w:kern w:val="2"/>
          <w:sz w:val="21"/>
          <w:szCs w:val="21"/>
          <w:highlight w:val="none"/>
        </w:rPr>
        <w:t xml:space="preserve"> 竣工试验的义务本合同工程按建筑法及《建筑工程施工质量验收统一标准》（GB-50300-2013）规定由承包人完成并承担费用。</w:t>
      </w:r>
    </w:p>
    <w:p w14:paraId="76F03763">
      <w:pPr>
        <w:pStyle w:val="1024"/>
        <w:adjustRightInd w:val="0"/>
        <w:snapToGrid w:val="0"/>
        <w:spacing w:line="288" w:lineRule="auto"/>
        <w:jc w:val="both"/>
        <w:rPr>
          <w:rFonts w:ascii="仿宋" w:hAnsi="仿宋" w:eastAsia="仿宋" w:cs="仿宋"/>
          <w:color w:val="auto"/>
          <w:kern w:val="2"/>
          <w:sz w:val="21"/>
          <w:szCs w:val="21"/>
          <w:highlight w:val="none"/>
        </w:rPr>
      </w:pPr>
      <w:bookmarkStart w:id="447" w:name="_Toc535392607"/>
      <w:bookmarkEnd w:id="447"/>
      <w:bookmarkStart w:id="448" w:name="_Toc947701"/>
      <w:r>
        <w:rPr>
          <w:rFonts w:hint="eastAsia" w:ascii="仿宋" w:hAnsi="仿宋" w:eastAsia="仿宋" w:cs="仿宋"/>
          <w:b/>
          <w:bCs/>
          <w:color w:val="auto"/>
          <w:kern w:val="2"/>
          <w:sz w:val="21"/>
          <w:szCs w:val="21"/>
          <w:highlight w:val="none"/>
        </w:rPr>
        <w:t>8.1.1</w:t>
      </w:r>
      <w:r>
        <w:rPr>
          <w:rFonts w:hint="eastAsia" w:ascii="仿宋" w:hAnsi="仿宋" w:eastAsia="仿宋" w:cs="仿宋"/>
          <w:color w:val="auto"/>
          <w:kern w:val="2"/>
          <w:sz w:val="21"/>
          <w:szCs w:val="21"/>
          <w:highlight w:val="none"/>
        </w:rPr>
        <w:t>承包人的一般义务</w:t>
      </w:r>
      <w:bookmarkEnd w:id="448"/>
    </w:p>
    <w:p w14:paraId="7889D09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（4）竣工试验方案</w:t>
      </w:r>
    </w:p>
    <w:p w14:paraId="5A13316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提交竣工试验方案的份数和时间：竣工试验前7日提供五份。</w:t>
      </w:r>
    </w:p>
    <w:p w14:paraId="2D5B177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承包人负责提供竣工试验所需的人员、设备、材料、燃料、电力、消耗品、工具等必要的条件，并承担竣工试验费用。</w:t>
      </w:r>
    </w:p>
    <w:p w14:paraId="1A9FB19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8.7.3</w:t>
      </w:r>
      <w:r>
        <w:rPr>
          <w:rFonts w:hint="eastAsia" w:ascii="仿宋" w:hAnsi="仿宋" w:eastAsia="仿宋" w:cs="仿宋"/>
          <w:color w:val="auto"/>
          <w:kern w:val="2"/>
          <w:sz w:val="21"/>
          <w:szCs w:val="21"/>
          <w:highlight w:val="none"/>
        </w:rPr>
        <w:t>如双方对检测机构的鉴定结果有争议，依据16.3款争议和裁决的约定解决。</w:t>
      </w:r>
    </w:p>
    <w:p w14:paraId="7B6C5EF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第9条 工程接收</w:t>
      </w:r>
    </w:p>
    <w:p w14:paraId="07833E2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49" w:name="_Toc535392608"/>
      <w:bookmarkEnd w:id="449"/>
      <w:bookmarkStart w:id="450" w:name="_Toc947702"/>
      <w:r>
        <w:rPr>
          <w:rFonts w:hint="eastAsia" w:ascii="仿宋" w:hAnsi="仿宋" w:eastAsia="仿宋" w:cs="仿宋"/>
          <w:b/>
          <w:bCs/>
          <w:color w:val="auto"/>
          <w:kern w:val="2"/>
          <w:sz w:val="21"/>
          <w:szCs w:val="21"/>
          <w:highlight w:val="none"/>
        </w:rPr>
        <w:t>9.1 工程接收</w:t>
      </w:r>
      <w:bookmarkEnd w:id="450"/>
    </w:p>
    <w:p w14:paraId="50F37E7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9.1.1</w:t>
      </w:r>
      <w:r>
        <w:rPr>
          <w:rFonts w:hint="eastAsia" w:ascii="仿宋" w:hAnsi="仿宋" w:eastAsia="仿宋" w:cs="仿宋"/>
          <w:color w:val="auto"/>
          <w:kern w:val="2"/>
          <w:sz w:val="21"/>
          <w:szCs w:val="21"/>
          <w:highlight w:val="none"/>
        </w:rPr>
        <w:t>按单项工程或（和）按工程接收在以下两种情况中选择其一，作为双方对工程接受的约定。</w:t>
      </w:r>
    </w:p>
    <w:p w14:paraId="2848369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☑由承包人负责指导发包人进行单项工程或（和）工程竣工后试验，并承担试运行考核责任的，接收单项工程的先后顺序及时间安排，或接受工程的时间安排如下：按照工程竣工试验完成先后顺序。</w:t>
      </w:r>
    </w:p>
    <w:p w14:paraId="7563D72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由发包人负责单项工程或（和）工程竣工后试验及其试运行考核责任的，接收单项工程的先后顺序及时间安排，或接受工程的时间安排如下：</w:t>
      </w:r>
    </w:p>
    <w:p w14:paraId="12422D9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9.1.2</w:t>
      </w:r>
      <w:r>
        <w:rPr>
          <w:rFonts w:hint="eastAsia" w:ascii="仿宋" w:hAnsi="仿宋" w:eastAsia="仿宋" w:cs="仿宋"/>
          <w:color w:val="auto"/>
          <w:kern w:val="2"/>
          <w:sz w:val="21"/>
          <w:szCs w:val="21"/>
          <w:highlight w:val="none"/>
        </w:rPr>
        <w:t xml:space="preserve">接收工程提交的资料 </w:t>
      </w:r>
    </w:p>
    <w:p w14:paraId="0FDBD0B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提交竣工试验资料的类别、内容、份数和时间：竣工验收合格之日起15天内提供，一式五份。</w:t>
      </w:r>
    </w:p>
    <w:p w14:paraId="7EE22A8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51" w:name="_Toc535392609"/>
      <w:bookmarkEnd w:id="451"/>
      <w:bookmarkStart w:id="452" w:name="_Toc947703"/>
      <w:r>
        <w:rPr>
          <w:rFonts w:hint="eastAsia" w:ascii="仿宋" w:hAnsi="仿宋" w:eastAsia="仿宋" w:cs="仿宋"/>
          <w:b/>
          <w:bCs/>
          <w:color w:val="auto"/>
          <w:kern w:val="2"/>
          <w:sz w:val="21"/>
          <w:szCs w:val="21"/>
          <w:highlight w:val="none"/>
        </w:rPr>
        <w:t>9.2 接收证书</w:t>
      </w:r>
      <w:bookmarkEnd w:id="452"/>
    </w:p>
    <w:p w14:paraId="4585A201">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9.2.2</w:t>
      </w:r>
      <w:r>
        <w:rPr>
          <w:rFonts w:hint="eastAsia" w:ascii="仿宋" w:hAnsi="仿宋" w:eastAsia="仿宋" w:cs="仿宋"/>
          <w:color w:val="auto"/>
          <w:kern w:val="2"/>
          <w:sz w:val="21"/>
          <w:szCs w:val="21"/>
          <w:highlight w:val="none"/>
        </w:rPr>
        <w:t>工程全部完工并通过各项验收，如接收单位已明确的，则移交至接收单位，如接收单位未明确的，则承包人自行做好相应物业管理直至移交，并承担相应费用，在接收单位未明确前，因消防等验收对相关管理人员有要求的，由承包人负责，若工程尚有扫尾工程未完成或存在影响交付使用的缺陷需要修复的，应当待扫尾工程完成并已将影响交付使用的缺陷问题修复完好通过复验，承包人方可移交。在正式移交之前的保管、物业管理费用以及偷盗损失均由承包人负责并承担，相关所需费用已经包含在合同价格内。</w:t>
      </w:r>
    </w:p>
    <w:p w14:paraId="32A4E60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第10条 竣工后试验</w:t>
      </w:r>
    </w:p>
    <w:p w14:paraId="7B19FA2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承包人负责提供试运行所需的人员、设备、材料、燃料、电力、消耗品、电费、工具等必要的条件，并承担所有费用。</w:t>
      </w:r>
    </w:p>
    <w:p w14:paraId="2E9D9E6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10.1 权利和义务</w:t>
      </w:r>
    </w:p>
    <w:p w14:paraId="6FD39EB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10.1.1发包人的权利和义务 </w:t>
      </w:r>
    </w:p>
    <w:p w14:paraId="247D2B5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（6）其它义务和工作：/</w:t>
      </w:r>
    </w:p>
    <w:p w14:paraId="70F3DC6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10.1.2承包人的责任和义务 </w:t>
      </w:r>
    </w:p>
    <w:p w14:paraId="565B3FA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（2）竣工后试验方案的份数和完成时间：</w:t>
      </w:r>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w:t>
      </w:r>
    </w:p>
    <w:p w14:paraId="05A684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（7）其它义务和工作：见本合同约定。</w:t>
      </w:r>
    </w:p>
    <w:p w14:paraId="6042563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第ll条 质量保修责任</w:t>
      </w:r>
    </w:p>
    <w:p w14:paraId="6BF335D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53" w:name="_Toc535392610"/>
      <w:bookmarkEnd w:id="453"/>
      <w:bookmarkStart w:id="454" w:name="_Toc947704"/>
      <w:r>
        <w:rPr>
          <w:rFonts w:hint="eastAsia" w:ascii="仿宋" w:hAnsi="仿宋" w:eastAsia="仿宋" w:cs="仿宋"/>
          <w:b/>
          <w:bCs/>
          <w:color w:val="auto"/>
          <w:kern w:val="2"/>
          <w:sz w:val="21"/>
          <w:szCs w:val="21"/>
          <w:highlight w:val="none"/>
        </w:rPr>
        <w:t>11.1 质量保修责任书</w:t>
      </w:r>
      <w:bookmarkEnd w:id="454"/>
    </w:p>
    <w:p w14:paraId="6C65E846">
      <w:pPr>
        <w:pStyle w:val="1024"/>
        <w:adjustRightInd w:val="0"/>
        <w:snapToGrid w:val="0"/>
        <w:spacing w:line="288" w:lineRule="auto"/>
        <w:jc w:val="both"/>
        <w:rPr>
          <w:rFonts w:ascii="仿宋" w:hAnsi="仿宋" w:eastAsia="仿宋" w:cs="仿宋"/>
          <w:color w:val="auto"/>
          <w:kern w:val="2"/>
          <w:sz w:val="21"/>
          <w:szCs w:val="21"/>
          <w:highlight w:val="none"/>
        </w:rPr>
      </w:pPr>
      <w:bookmarkStart w:id="455" w:name="_Toc535392611"/>
      <w:bookmarkEnd w:id="455"/>
      <w:bookmarkStart w:id="456" w:name="_Toc947705"/>
      <w:r>
        <w:rPr>
          <w:rFonts w:hint="eastAsia" w:ascii="仿宋" w:hAnsi="仿宋" w:eastAsia="仿宋" w:cs="仿宋"/>
          <w:b/>
          <w:bCs/>
          <w:color w:val="auto"/>
          <w:kern w:val="2"/>
          <w:sz w:val="21"/>
          <w:szCs w:val="21"/>
          <w:highlight w:val="none"/>
        </w:rPr>
        <w:t>11.1.1</w:t>
      </w:r>
      <w:r>
        <w:rPr>
          <w:rFonts w:hint="eastAsia" w:ascii="仿宋" w:hAnsi="仿宋" w:eastAsia="仿宋" w:cs="仿宋"/>
          <w:color w:val="auto"/>
          <w:kern w:val="2"/>
          <w:sz w:val="21"/>
          <w:szCs w:val="21"/>
          <w:highlight w:val="none"/>
        </w:rPr>
        <w:t>质量保修责任书</w:t>
      </w:r>
      <w:bookmarkEnd w:id="456"/>
    </w:p>
    <w:p w14:paraId="1C8CBDD8">
      <w:pPr>
        <w:pStyle w:val="1024"/>
        <w:adjustRightInd w:val="0"/>
        <w:snapToGrid w:val="0"/>
        <w:spacing w:line="288" w:lineRule="auto"/>
        <w:ind w:firstLine="420" w:firstLineChars="200"/>
        <w:jc w:val="both"/>
        <w:rPr>
          <w:rFonts w:ascii="仿宋" w:hAnsi="仿宋" w:eastAsia="仿宋" w:cs="仿宋"/>
          <w:b/>
          <w:bCs/>
          <w:color w:val="auto"/>
          <w:kern w:val="2"/>
          <w:sz w:val="21"/>
          <w:szCs w:val="21"/>
          <w:highlight w:val="none"/>
          <w:u w:val="single"/>
        </w:rPr>
      </w:pPr>
      <w:r>
        <w:rPr>
          <w:rFonts w:hint="eastAsia" w:ascii="仿宋" w:hAnsi="仿宋" w:eastAsia="仿宋" w:cs="仿宋"/>
          <w:color w:val="auto"/>
          <w:kern w:val="2"/>
          <w:sz w:val="21"/>
          <w:szCs w:val="21"/>
          <w:highlight w:val="none"/>
        </w:rPr>
        <w:t>按照相关法律规定签订质量保修责任书是竣工验收的条件之一。双方应按法律规定的保修内容、范围、期限和责任，签订质量保修责任书，作为本合同附件。</w:t>
      </w:r>
    </w:p>
    <w:p w14:paraId="5E5BB70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11.2 缺陷责任保修金</w:t>
      </w:r>
    </w:p>
    <w:p w14:paraId="7F8A2E4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11.2.1缺陷责任保修金金额</w:t>
      </w:r>
    </w:p>
    <w:p w14:paraId="731F7C9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缺陷责任保修金金额为审计审定的竣工结算价的1.5%。</w:t>
      </w:r>
    </w:p>
    <w:p w14:paraId="19FAA7D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11.2.2缺陷责任保修金金额的暂扣 </w:t>
      </w:r>
    </w:p>
    <w:p w14:paraId="40066D07">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缺陷责任保修金金额的暂扣方式：按合同约定。</w:t>
      </w:r>
    </w:p>
    <w:p w14:paraId="519171A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第12条 工程竣工验收</w:t>
      </w:r>
    </w:p>
    <w:p w14:paraId="53C29BF0">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12.1 竣工验收报告及完整的竣工资料</w:t>
      </w:r>
    </w:p>
    <w:p w14:paraId="6BE538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12.1.1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w:t>
      </w:r>
    </w:p>
    <w:p w14:paraId="53C1F36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12.2 竣工验收</w:t>
      </w:r>
    </w:p>
    <w:p w14:paraId="52A3C74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12.2.1</w:t>
      </w:r>
      <w:r>
        <w:rPr>
          <w:rFonts w:hint="eastAsia" w:ascii="仿宋" w:hAnsi="仿宋" w:eastAsia="仿宋" w:cs="仿宋"/>
          <w:color w:val="auto"/>
          <w:kern w:val="2"/>
          <w:sz w:val="21"/>
          <w:szCs w:val="21"/>
          <w:highlight w:val="none"/>
        </w:rPr>
        <w:t>组织竣工验收</w:t>
      </w:r>
    </w:p>
    <w:p w14:paraId="701FE6B8">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发包人应在接到竣工验收报告和完整的竣工资料，并根据12.1.2款的约定被确认后的15日内，组织竣工验收</w:t>
      </w:r>
      <w:r>
        <w:rPr>
          <w:rFonts w:hint="eastAsia" w:ascii="仿宋" w:hAnsi="仿宋" w:eastAsia="仿宋" w:cs="仿宋"/>
          <w:color w:val="auto"/>
          <w:sz w:val="21"/>
          <w:szCs w:val="21"/>
          <w:highlight w:val="none"/>
        </w:rPr>
        <w:t>。</w:t>
      </w:r>
    </w:p>
    <w:p w14:paraId="12E32672">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第13条 变更和合同价格调整</w:t>
      </w:r>
    </w:p>
    <w:p w14:paraId="2F4691C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13.1 变更权</w:t>
      </w:r>
    </w:p>
    <w:p w14:paraId="4154034B">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13.1.1</w:t>
      </w:r>
      <w:r>
        <w:rPr>
          <w:rFonts w:hint="eastAsia" w:ascii="仿宋" w:hAnsi="仿宋" w:eastAsia="仿宋" w:cs="仿宋"/>
          <w:color w:val="auto"/>
          <w:kern w:val="2"/>
          <w:sz w:val="21"/>
          <w:szCs w:val="21"/>
          <w:highlight w:val="none"/>
        </w:rPr>
        <w:t>发包人拥有批准变更的权利，发包人有可能根据工程实际需要提出修改或发出指令调整，不论增减多少，涉及费用多大，承包人均应无条件服从，合同价款按合同约定结算。</w:t>
      </w:r>
    </w:p>
    <w:p w14:paraId="4F0F3953">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13.2 变更范围</w:t>
      </w:r>
    </w:p>
    <w:p w14:paraId="16170045">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通用条款13.2条不适用。发包人和承包人就变更范围约定如下：</w:t>
      </w:r>
    </w:p>
    <w:p w14:paraId="0B7205C0">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双方根据本工程特点，商定的变更范围：</w:t>
      </w:r>
    </w:p>
    <w:p w14:paraId="3053507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（1）实施过程中，发包人提出与施工图的规模、功能和标准有变动的；</w:t>
      </w:r>
    </w:p>
    <w:p w14:paraId="0741FA03">
      <w:pPr>
        <w:pStyle w:val="1024"/>
        <w:adjustRightIn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（2）发包人要求承包人完成合同范围以外的工程内容所产生的费用；</w:t>
      </w:r>
    </w:p>
    <w:p w14:paraId="0920FB57">
      <w:pPr>
        <w:pStyle w:val="1024"/>
        <w:adjustRightIn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（3）因国家法律法规政策变化引起的变更。</w:t>
      </w:r>
    </w:p>
    <w:p w14:paraId="5156FF90">
      <w:pPr>
        <w:pStyle w:val="1024"/>
        <w:adjustRightInd w:val="0"/>
        <w:spacing w:line="288"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（4）不可预见的地质条件造成的变更。</w:t>
      </w:r>
    </w:p>
    <w:p w14:paraId="119711A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工程为EPC总承包工程，承包人应按照发包人的要求并按照相应的标准、规范、规定进行施工图设计，不得擅自调整项目功能、标准（调高、调低）、项目内容；承包人对于设计的任何突破、标准、指令调整以及其他重要事项等须事先书面报告发包人，并取得发包人书面同意后方才实施，否则产生包括返工、重做、更换、标准提升等不利后果以及增加的费用由承包人自行承担；</w:t>
      </w:r>
    </w:p>
    <w:p w14:paraId="6B8DF5E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需对设计施工图的完整性、准确性负责，不得以发包人对施工图的确认免除责任，任何因承包人原因如设计错误、考虑不周以及施工原因等产生的变更均不影响总造价、总工期；未按招标范围和要求进行施工的减少部分在结算时应予以扣除。</w:t>
      </w:r>
    </w:p>
    <w:p w14:paraId="4020B4B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13.2.6其它变更</w:t>
      </w:r>
    </w:p>
    <w:p w14:paraId="41C23AC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双方根据本工程特点，商定的其它变更范围：</w:t>
      </w:r>
      <w:r>
        <w:rPr>
          <w:rFonts w:hint="eastAsia" w:ascii="仿宋" w:hAnsi="仿宋" w:eastAsia="仿宋" w:cs="仿宋"/>
          <w:color w:val="auto"/>
          <w:kern w:val="2"/>
          <w:sz w:val="21"/>
          <w:szCs w:val="21"/>
          <w:highlight w:val="none"/>
          <w:u w:val="single"/>
        </w:rPr>
        <w:t xml:space="preserve">  /  </w:t>
      </w:r>
      <w:r>
        <w:rPr>
          <w:rFonts w:hint="eastAsia" w:ascii="仿宋" w:hAnsi="仿宋" w:eastAsia="仿宋" w:cs="仿宋"/>
          <w:color w:val="auto"/>
          <w:kern w:val="2"/>
          <w:sz w:val="21"/>
          <w:szCs w:val="21"/>
          <w:highlight w:val="none"/>
        </w:rPr>
        <w:t>。</w:t>
      </w:r>
    </w:p>
    <w:p w14:paraId="5355E41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13.5 变更价款确定</w:t>
      </w:r>
    </w:p>
    <w:p w14:paraId="211D4E7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变更价款按以下方法确定（指建筑安装工程费含设备购置费部分)：</w:t>
      </w:r>
    </w:p>
    <w:p w14:paraId="7C57A62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13.5.4变更价款约定方法：</w:t>
      </w:r>
    </w:p>
    <w:p w14:paraId="498D591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一、已标价的报价清单有相同项目的，按照相同项目单价确定。</w:t>
      </w:r>
    </w:p>
    <w:p w14:paraId="4E9EBE9C">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二、已标价的报价清单中无相同项目，但有类似项目的，参照类似项目的单价确定。</w:t>
      </w:r>
    </w:p>
    <w:p w14:paraId="3B0353EB">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三、已标价的报价清单中无相同项目及类似项目单价的，其单价的确定，按以下约定：</w:t>
      </w:r>
    </w:p>
    <w:p w14:paraId="09B731C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457" w:name="OLE_LINK98"/>
      <w:bookmarkEnd w:id="457"/>
      <w:r>
        <w:rPr>
          <w:rFonts w:hint="eastAsia" w:ascii="仿宋" w:hAnsi="仿宋" w:eastAsia="仿宋" w:cs="仿宋"/>
          <w:color w:val="auto"/>
          <w:kern w:val="2"/>
          <w:sz w:val="21"/>
          <w:szCs w:val="21"/>
          <w:highlight w:val="none"/>
        </w:rPr>
        <w:t>（1）有定额的：计价规则及定额套用按《浙江省建设工程计价规则》（2018版）、《浙江省房屋建筑与装饰工程预算定额》（2018版）、《浙江省通用安装工程预算定额》（2018版）、《浙江省市政工程预算定额》（2018版）、《浙江省园林绿化及仿古建筑预算定额》（2018版）和《浙江省建设工程施工机械台班费用定额》（2018版）及相应的补充规定；管理费、利润均按《浙江省建设工程计价规则》（2018版）中建筑安装工程施工取费费率中其所属专业工程的“一般计税法”中的下限计取；人工、材料、机械台班单价按照投标时人工、材料、机械台班单价的报价计算（其中，投标报价的人工单价与机械台班单价高于定额价的，高出部分的差价只计取税金），无投标报价的材料价格，按照经双方确认的实际施工工期内（建筑安装工程开工日当月至工程施工竣工初验当月）的《杭州造价信息》（正刊）和《浙江造价信息》（正刊）中的除税信息价平均价计算，无投标报价的机械台班价格，按照《浙江省建设工程施工机械台班费用定额》（2018版）定额标准计取，定额不明确的按市场价计取。</w:t>
      </w:r>
    </w:p>
    <w:p w14:paraId="53FD0C6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（2）无定额的：按市场价确定综合单价。</w:t>
      </w:r>
    </w:p>
    <w:p w14:paraId="2DD1FAAD">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（3）施工组织措施费、技术措施费根据投标价包干，不予调整。</w:t>
      </w:r>
    </w:p>
    <w:p w14:paraId="6B8A9337">
      <w:pPr>
        <w:pStyle w:val="131"/>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（4）规费与税金按《浙江省建设工程计价规则》（2018版）中其所属专业工程的规定计取。（5）税金按《浙江省建设工程计价规则》（2018版）及其补充规定中其所属专业工程的规定计取。</w:t>
      </w:r>
    </w:p>
    <w:p w14:paraId="3E3E930D">
      <w:pPr>
        <w:pStyle w:val="131"/>
        <w:snapToGrid w:val="0"/>
        <w:spacing w:line="288" w:lineRule="auto"/>
        <w:ind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13.9关于变更的补充约定：</w:t>
      </w:r>
    </w:p>
    <w:p w14:paraId="019C2D1F">
      <w:pPr>
        <w:pStyle w:val="131"/>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（1）符合本合同约定的工程变更未经审批程序审批同意的不得实施，否则由承包人承担一切责任。</w:t>
      </w:r>
    </w:p>
    <w:p w14:paraId="5F7BB81B">
      <w:pPr>
        <w:pStyle w:val="131"/>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（2）其他约定：因变更引起的价款调整在竣工结算时一并结算支付。</w:t>
      </w:r>
    </w:p>
    <w:p w14:paraId="2852C65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第14条 合同总价和付款</w:t>
      </w:r>
    </w:p>
    <w:p w14:paraId="0A8FD77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58" w:name="_Toc535392612"/>
      <w:bookmarkEnd w:id="458"/>
      <w:bookmarkStart w:id="459" w:name="_Toc947706"/>
      <w:r>
        <w:rPr>
          <w:rFonts w:hint="eastAsia" w:ascii="仿宋" w:hAnsi="仿宋" w:eastAsia="仿宋" w:cs="仿宋"/>
          <w:b/>
          <w:bCs/>
          <w:color w:val="auto"/>
          <w:kern w:val="2"/>
          <w:sz w:val="21"/>
          <w:szCs w:val="21"/>
          <w:highlight w:val="none"/>
        </w:rPr>
        <w:t>14.1 合同总价和付款</w:t>
      </w:r>
      <w:bookmarkEnd w:id="459"/>
    </w:p>
    <w:p w14:paraId="4B48C9BD">
      <w:pPr>
        <w:pStyle w:val="1024"/>
        <w:adjustRightInd w:val="0"/>
        <w:snapToGrid w:val="0"/>
        <w:spacing w:line="288" w:lineRule="auto"/>
        <w:jc w:val="both"/>
        <w:rPr>
          <w:rFonts w:ascii="仿宋" w:hAnsi="仿宋" w:eastAsia="仿宋" w:cs="仿宋"/>
          <w:b/>
          <w:bCs/>
          <w:color w:val="auto"/>
          <w:kern w:val="2"/>
          <w:sz w:val="21"/>
          <w:szCs w:val="21"/>
          <w:highlight w:val="none"/>
        </w:rPr>
      </w:pPr>
      <w:bookmarkStart w:id="460" w:name="_Toc535392613"/>
      <w:bookmarkEnd w:id="460"/>
      <w:bookmarkStart w:id="461" w:name="_Toc947707"/>
      <w:r>
        <w:rPr>
          <w:rFonts w:hint="eastAsia" w:ascii="仿宋" w:hAnsi="仿宋" w:eastAsia="仿宋" w:cs="仿宋"/>
          <w:b/>
          <w:bCs/>
          <w:color w:val="auto"/>
          <w:kern w:val="2"/>
          <w:sz w:val="21"/>
          <w:szCs w:val="21"/>
          <w:highlight w:val="none"/>
        </w:rPr>
        <w:t>14.1.1合同总价</w:t>
      </w:r>
      <w:bookmarkEnd w:id="461"/>
    </w:p>
    <w:p w14:paraId="427040A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（1）合同价格见协议书。本工程最终竣工结算价（合同总价）以审计审定的竣工结算价为准。</w:t>
      </w:r>
    </w:p>
    <w:p w14:paraId="676C730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（2）设计费按投标报价一次性包干，不因设计范围调整而变更价格。</w:t>
      </w:r>
    </w:p>
    <w:p w14:paraId="4686784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（3）本工程的建筑安装工程费（含设备购置费）：除按专用条款第13条变更和合同价格的调整的约定外，合同价格不做调整。</w:t>
      </w:r>
    </w:p>
    <w:p w14:paraId="2FC17C0F">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14.1.2付款</w:t>
      </w:r>
    </w:p>
    <w:p w14:paraId="2CC128BD">
      <w:pPr>
        <w:adjustRightInd w:val="0"/>
        <w:snapToGrid w:val="0"/>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（2）承包人指定的开户银行及银行账户：</w:t>
      </w:r>
    </w:p>
    <w:p w14:paraId="0944939C">
      <w:pPr>
        <w:adjustRightInd w:val="0"/>
        <w:snapToGrid w:val="0"/>
        <w:spacing w:line="288" w:lineRule="auto"/>
        <w:rPr>
          <w:rFonts w:ascii="仿宋" w:hAnsi="仿宋" w:eastAsia="仿宋" w:cs="仿宋"/>
          <w:bCs/>
          <w:color w:val="auto"/>
          <w:szCs w:val="21"/>
          <w:highlight w:val="none"/>
          <w:u w:val="single"/>
        </w:rPr>
      </w:pPr>
      <w:r>
        <w:rPr>
          <w:rFonts w:hint="eastAsia" w:ascii="仿宋" w:hAnsi="仿宋" w:eastAsia="仿宋" w:cs="仿宋"/>
          <w:color w:val="auto"/>
          <w:szCs w:val="21"/>
          <w:highlight w:val="none"/>
        </w:rPr>
        <w:t>开户银行:</w:t>
      </w:r>
      <w:r>
        <w:rPr>
          <w:rFonts w:hint="eastAsia" w:ascii="仿宋" w:hAnsi="仿宋" w:eastAsia="仿宋" w:cs="仿宋"/>
          <w:bCs/>
          <w:color w:val="auto"/>
          <w:szCs w:val="21"/>
          <w:highlight w:val="none"/>
          <w:u w:val="single"/>
        </w:rPr>
        <w:t xml:space="preserve">           </w:t>
      </w:r>
    </w:p>
    <w:p w14:paraId="26DF7CF3">
      <w:pPr>
        <w:adjustRightInd w:val="0"/>
        <w:snapToGrid w:val="0"/>
        <w:spacing w:line="288" w:lineRule="auto"/>
        <w:rPr>
          <w:rFonts w:ascii="仿宋" w:hAnsi="仿宋" w:eastAsia="仿宋" w:cs="仿宋"/>
          <w:bCs/>
          <w:color w:val="auto"/>
          <w:szCs w:val="21"/>
          <w:highlight w:val="none"/>
          <w:u w:val="single"/>
        </w:rPr>
      </w:pPr>
      <w:r>
        <w:rPr>
          <w:rFonts w:hint="eastAsia" w:ascii="仿宋" w:hAnsi="仿宋" w:eastAsia="仿宋" w:cs="仿宋"/>
          <w:color w:val="auto"/>
          <w:szCs w:val="21"/>
          <w:highlight w:val="none"/>
        </w:rPr>
        <w:t>银行帐号:</w:t>
      </w:r>
      <w:r>
        <w:rPr>
          <w:rFonts w:hint="eastAsia" w:ascii="仿宋" w:hAnsi="仿宋" w:eastAsia="仿宋" w:cs="仿宋"/>
          <w:color w:val="auto"/>
          <w:szCs w:val="21"/>
          <w:highlight w:val="none"/>
          <w:u w:val="single"/>
        </w:rPr>
        <w:t xml:space="preserve">           </w:t>
      </w:r>
    </w:p>
    <w:p w14:paraId="66C92F5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14.2 担保</w:t>
      </w:r>
    </w:p>
    <w:p w14:paraId="4F2B3916">
      <w:pPr>
        <w:pStyle w:val="1024"/>
        <w:adjustRightInd w:val="0"/>
        <w:snapToGrid w:val="0"/>
        <w:spacing w:line="288" w:lineRule="auto"/>
        <w:jc w:val="both"/>
        <w:rPr>
          <w:rFonts w:ascii="仿宋" w:hAnsi="仿宋" w:eastAsia="仿宋" w:cs="仿宋"/>
          <w:color w:val="auto"/>
          <w:kern w:val="2"/>
          <w:sz w:val="21"/>
          <w:szCs w:val="21"/>
          <w:highlight w:val="none"/>
        </w:rPr>
      </w:pPr>
      <w:bookmarkStart w:id="462" w:name="_Toc535392614"/>
      <w:bookmarkEnd w:id="462"/>
      <w:bookmarkStart w:id="463" w:name="_Toc947708"/>
      <w:r>
        <w:rPr>
          <w:rFonts w:hint="eastAsia" w:ascii="仿宋" w:hAnsi="仿宋" w:eastAsia="仿宋" w:cs="仿宋"/>
          <w:color w:val="auto"/>
          <w:kern w:val="2"/>
          <w:sz w:val="21"/>
          <w:szCs w:val="21"/>
          <w:highlight w:val="none"/>
        </w:rPr>
        <w:t>14.2.1履约担保</w:t>
      </w:r>
      <w:bookmarkEnd w:id="463"/>
    </w:p>
    <w:p w14:paraId="4839D83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承包人在收到发包人发出的签订合同要约后7天内向发包人提交合同金额的2%作为履约担保（提交方式：支票、汇票、本票或者金融机构、担保机构出具的保函等非现金形式）。</w:t>
      </w:r>
    </w:p>
    <w:p w14:paraId="6E28539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履约保证金分五部分，其中：</w:t>
      </w:r>
    </w:p>
    <w:p w14:paraId="1C1B24F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（a）质量履约保证金占30%，发生质量事故的，则按磋商文件和合同中相关条款处罚。</w:t>
      </w:r>
    </w:p>
    <w:p w14:paraId="5864F2D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（b）工期履约保证金占40%，工期以合同为准，若不能按期竣工，则按磋商文件和合同中相关条款处罚。</w:t>
      </w:r>
    </w:p>
    <w:p w14:paraId="33C3F76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（c）项目经理及项目班子到位履约保证金占20%。项目经理不能到位，则按磋商文件和合同中相关条款处罚。</w:t>
      </w:r>
    </w:p>
    <w:p w14:paraId="7FF7A64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（d）安全生产、文明施工履约保证金占5%。发生重大人身安全事故的，罚没该部分保证金。</w:t>
      </w:r>
    </w:p>
    <w:p w14:paraId="5AB1D20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（e）廉洁自律、计划生育履约保证金占5%。发生违反廉政合同或计划生育行为的，罚没该部分保证金。</w:t>
      </w:r>
    </w:p>
    <w:p w14:paraId="72D3E64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637374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14.2.2</w:t>
      </w:r>
      <w:r>
        <w:rPr>
          <w:rFonts w:hint="eastAsia" w:ascii="仿宋" w:hAnsi="仿宋" w:eastAsia="仿宋" w:cs="仿宋"/>
          <w:color w:val="auto"/>
          <w:kern w:val="2"/>
          <w:sz w:val="21"/>
          <w:szCs w:val="21"/>
          <w:highlight w:val="none"/>
        </w:rPr>
        <w:t>支付保函</w:t>
      </w:r>
    </w:p>
    <w:p w14:paraId="4F50328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在以下方式中选择其一，作为双方对支付保函的约定。</w:t>
      </w:r>
    </w:p>
    <w:p w14:paraId="52AE299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☑发包人不提交支付保函。</w:t>
      </w:r>
    </w:p>
    <w:p w14:paraId="7E7DB468">
      <w:pPr>
        <w:pStyle w:val="1024"/>
        <w:adjustRightInd w:val="0"/>
        <w:snapToGrid w:val="0"/>
        <w:spacing w:line="288" w:lineRule="auto"/>
        <w:jc w:val="both"/>
        <w:rPr>
          <w:rFonts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rPr>
        <w:t>□发包人提交支付保函的格式、金额和时间：</w:t>
      </w:r>
    </w:p>
    <w:p w14:paraId="377EE8F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14.2.3 预付款保函在以下方式中选择其一，作为双方对预付款保函的约定。</w:t>
      </w:r>
    </w:p>
    <w:p w14:paraId="1ABC8794">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□承包人不提交预付款保函。</w:t>
      </w:r>
    </w:p>
    <w:p w14:paraId="4DA9FA8D">
      <w:pPr>
        <w:rPr>
          <w:rFonts w:ascii="仿宋" w:hAnsi="仿宋" w:eastAsia="仿宋" w:cs="仿宋"/>
          <w:color w:val="auto"/>
          <w:szCs w:val="21"/>
          <w:highlight w:val="none"/>
        </w:rPr>
      </w:pPr>
      <w:r>
        <w:rPr>
          <w:rFonts w:hint="eastAsia" w:ascii="仿宋" w:hAnsi="仿宋" w:eastAsia="仿宋" w:cs="仿宋"/>
          <w:color w:val="auto"/>
          <w:szCs w:val="21"/>
          <w:highlight w:val="none"/>
        </w:rPr>
        <w:t>☑承包人提交预付款保函的格式、金额和时间：</w:t>
      </w:r>
    </w:p>
    <w:p w14:paraId="0CFDDF7F">
      <w:pPr>
        <w:rPr>
          <w:rFonts w:ascii="仿宋" w:hAnsi="仿宋" w:eastAsia="仿宋" w:cs="仿宋"/>
          <w:color w:val="auto"/>
          <w:szCs w:val="21"/>
          <w:highlight w:val="none"/>
        </w:rPr>
      </w:pPr>
      <w:r>
        <w:rPr>
          <w:rFonts w:hint="eastAsia" w:ascii="仿宋" w:hAnsi="仿宋" w:eastAsia="仿宋" w:cs="仿宋"/>
          <w:color w:val="auto"/>
          <w:szCs w:val="21"/>
          <w:highlight w:val="none"/>
        </w:rPr>
        <w:t>（1）金额：同预付款金额</w:t>
      </w:r>
    </w:p>
    <w:p w14:paraId="0273D0AD">
      <w:pPr>
        <w:rPr>
          <w:rFonts w:ascii="仿宋" w:hAnsi="仿宋" w:eastAsia="仿宋" w:cs="仿宋"/>
          <w:color w:val="auto"/>
          <w:szCs w:val="21"/>
          <w:highlight w:val="none"/>
        </w:rPr>
      </w:pPr>
      <w:r>
        <w:rPr>
          <w:rFonts w:hint="eastAsia" w:ascii="仿宋" w:hAnsi="仿宋" w:eastAsia="仿宋" w:cs="仿宋"/>
          <w:color w:val="auto"/>
          <w:szCs w:val="21"/>
          <w:highlight w:val="none"/>
        </w:rPr>
        <w:t>（2）有效期：同合同有效期</w:t>
      </w:r>
    </w:p>
    <w:p w14:paraId="30191F8A">
      <w:pPr>
        <w:rPr>
          <w:rFonts w:ascii="仿宋" w:hAnsi="仿宋" w:eastAsia="仿宋" w:cs="仿宋"/>
          <w:color w:val="auto"/>
          <w:szCs w:val="21"/>
          <w:highlight w:val="none"/>
        </w:rPr>
      </w:pPr>
      <w:r>
        <w:rPr>
          <w:rFonts w:hint="eastAsia" w:ascii="仿宋" w:hAnsi="仿宋" w:eastAsia="仿宋" w:cs="仿宋"/>
          <w:color w:val="auto"/>
          <w:szCs w:val="21"/>
          <w:highlight w:val="none"/>
        </w:rPr>
        <w:t>（3）出具单位：银行、保险公司等金融机构</w:t>
      </w:r>
    </w:p>
    <w:p w14:paraId="4EDBCECC">
      <w:pPr>
        <w:rPr>
          <w:rFonts w:ascii="仿宋" w:hAnsi="仿宋" w:eastAsia="仿宋" w:cs="仿宋"/>
          <w:color w:val="auto"/>
          <w:szCs w:val="21"/>
          <w:highlight w:val="none"/>
          <w:u w:val="single"/>
        </w:rPr>
      </w:pPr>
      <w:r>
        <w:rPr>
          <w:rFonts w:hint="eastAsia" w:ascii="仿宋" w:hAnsi="仿宋" w:eastAsia="仿宋" w:cs="仿宋"/>
          <w:color w:val="auto"/>
          <w:szCs w:val="21"/>
          <w:highlight w:val="none"/>
        </w:rPr>
        <w:t>（4）提交时间：合同签订之日起7天内</w:t>
      </w:r>
    </w:p>
    <w:p w14:paraId="6199348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14.3 预付款</w:t>
      </w:r>
    </w:p>
    <w:p w14:paraId="4D815019">
      <w:pPr>
        <w:pStyle w:val="1024"/>
        <w:adjustRightInd w:val="0"/>
        <w:snapToGrid w:val="0"/>
        <w:spacing w:line="288" w:lineRule="auto"/>
        <w:jc w:val="both"/>
        <w:rPr>
          <w:rFonts w:ascii="仿宋" w:hAnsi="仿宋" w:eastAsia="仿宋" w:cs="仿宋"/>
          <w:color w:val="auto"/>
          <w:kern w:val="2"/>
          <w:sz w:val="21"/>
          <w:szCs w:val="21"/>
          <w:highlight w:val="none"/>
        </w:rPr>
      </w:pPr>
      <w:bookmarkStart w:id="464" w:name="_Toc535392615"/>
      <w:bookmarkEnd w:id="464"/>
      <w:bookmarkStart w:id="465" w:name="_Toc947709"/>
      <w:r>
        <w:rPr>
          <w:rFonts w:hint="eastAsia" w:ascii="仿宋" w:hAnsi="仿宋" w:eastAsia="仿宋" w:cs="仿宋"/>
          <w:b/>
          <w:bCs/>
          <w:color w:val="auto"/>
          <w:kern w:val="2"/>
          <w:sz w:val="21"/>
          <w:szCs w:val="21"/>
          <w:highlight w:val="none"/>
        </w:rPr>
        <w:t>14.3.1</w:t>
      </w:r>
      <w:r>
        <w:rPr>
          <w:rFonts w:hint="eastAsia" w:ascii="仿宋" w:hAnsi="仿宋" w:eastAsia="仿宋" w:cs="仿宋"/>
          <w:color w:val="auto"/>
          <w:kern w:val="2"/>
          <w:sz w:val="21"/>
          <w:szCs w:val="21"/>
          <w:highlight w:val="none"/>
        </w:rPr>
        <w:t>预付款金额</w:t>
      </w:r>
      <w:bookmarkEnd w:id="465"/>
    </w:p>
    <w:p w14:paraId="74EAB13C">
      <w:pPr>
        <w:pStyle w:val="1024"/>
        <w:adjustRightInd w:val="0"/>
        <w:snapToGrid w:val="0"/>
        <w:spacing w:line="288" w:lineRule="auto"/>
        <w:jc w:val="both"/>
        <w:rPr>
          <w:rFonts w:ascii="仿宋" w:hAnsi="仿宋" w:eastAsia="仿宋" w:cs="仿宋"/>
          <w:b/>
          <w:bCs/>
          <w:color w:val="auto"/>
          <w:kern w:val="2"/>
          <w:sz w:val="21"/>
          <w:szCs w:val="21"/>
          <w:highlight w:val="none"/>
        </w:rPr>
      </w:pPr>
      <w:bookmarkStart w:id="466" w:name="_Toc535392616"/>
      <w:bookmarkEnd w:id="466"/>
      <w:bookmarkStart w:id="467" w:name="_Toc535392617"/>
      <w:bookmarkEnd w:id="467"/>
      <w:bookmarkStart w:id="468" w:name="_Toc947711"/>
      <w:r>
        <w:rPr>
          <w:rFonts w:hint="eastAsia" w:ascii="仿宋" w:hAnsi="仿宋" w:eastAsia="仿宋" w:cs="仿宋"/>
          <w:b/>
          <w:bCs/>
          <w:color w:val="auto"/>
          <w:kern w:val="2"/>
          <w:sz w:val="21"/>
          <w:szCs w:val="21"/>
          <w:highlight w:val="none"/>
        </w:rPr>
        <w:t>预付款支付比例或金额：合同总价的40%，该部分预付款由设计费预付款（设计费的40%）及工程费预付款（工程费的40%）组成。</w:t>
      </w:r>
    </w:p>
    <w:p w14:paraId="6A9E490C">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预付款支付期限：合同生效以及具备实施条件（工程开工前且承包人已向发包人提交预付款保函）后7个工作日内。</w:t>
      </w:r>
    </w:p>
    <w:p w14:paraId="5565541C">
      <w:pPr>
        <w:pStyle w:val="1024"/>
        <w:adjustRightInd w:val="0"/>
        <w:snapToGrid w:val="0"/>
        <w:spacing w:line="288" w:lineRule="auto"/>
        <w:ind w:firstLine="422" w:firstLineChars="200"/>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预付款保函金额同预付款金额；有效期同合同有效期；出具单位为银行、保险公司等金融机构；提交时间为合同签订之日起7日内。</w:t>
      </w:r>
    </w:p>
    <w:p w14:paraId="2B588E97">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14.3.3</w:t>
      </w:r>
      <w:r>
        <w:rPr>
          <w:rFonts w:hint="eastAsia" w:ascii="仿宋" w:hAnsi="仿宋" w:eastAsia="仿宋" w:cs="仿宋"/>
          <w:color w:val="auto"/>
          <w:kern w:val="2"/>
          <w:sz w:val="21"/>
          <w:szCs w:val="21"/>
          <w:highlight w:val="none"/>
        </w:rPr>
        <w:t>预付款扣回</w:t>
      </w:r>
      <w:bookmarkEnd w:id="468"/>
    </w:p>
    <w:p w14:paraId="7F62F737">
      <w:pPr>
        <w:pStyle w:val="1024"/>
        <w:adjustRightInd w:val="0"/>
        <w:snapToGrid w:val="0"/>
        <w:spacing w:line="288" w:lineRule="auto"/>
        <w:jc w:val="both"/>
        <w:rPr>
          <w:rFonts w:ascii="仿宋" w:hAnsi="仿宋" w:eastAsia="仿宋" w:cs="仿宋"/>
          <w:color w:val="auto"/>
          <w:kern w:val="2"/>
          <w:sz w:val="21"/>
          <w:szCs w:val="21"/>
          <w:highlight w:val="none"/>
        </w:rPr>
      </w:pPr>
      <w:bookmarkStart w:id="469" w:name="_Toc535392618"/>
      <w:bookmarkEnd w:id="469"/>
      <w:bookmarkStart w:id="470" w:name="_Toc947712"/>
      <w:r>
        <w:rPr>
          <w:rFonts w:hint="eastAsia" w:ascii="仿宋" w:hAnsi="仿宋" w:eastAsia="仿宋" w:cs="仿宋"/>
          <w:color w:val="auto"/>
          <w:kern w:val="2"/>
          <w:sz w:val="21"/>
          <w:szCs w:val="21"/>
          <w:highlight w:val="none"/>
        </w:rPr>
        <w:t>（1）预付款的抵扣方式、抵扣比例和抵扣时间安排：</w:t>
      </w:r>
      <w:bookmarkEnd w:id="470"/>
      <w:r>
        <w:rPr>
          <w:rFonts w:hint="eastAsia" w:ascii="仿宋" w:hAnsi="仿宋" w:eastAsia="仿宋" w:cs="仿宋"/>
          <w:b/>
          <w:bCs/>
          <w:color w:val="auto"/>
          <w:kern w:val="2"/>
          <w:sz w:val="21"/>
          <w:szCs w:val="21"/>
          <w:highlight w:val="none"/>
        </w:rPr>
        <w:t>不扣回。</w:t>
      </w:r>
    </w:p>
    <w:p w14:paraId="12B2FA4F">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71" w:name="_Toc535392619"/>
      <w:bookmarkEnd w:id="471"/>
      <w:bookmarkStart w:id="472" w:name="_Toc947713"/>
      <w:r>
        <w:rPr>
          <w:rFonts w:hint="eastAsia" w:ascii="仿宋" w:hAnsi="仿宋" w:eastAsia="仿宋" w:cs="仿宋"/>
          <w:b/>
          <w:bCs/>
          <w:color w:val="auto"/>
          <w:kern w:val="2"/>
          <w:sz w:val="21"/>
          <w:szCs w:val="21"/>
          <w:highlight w:val="none"/>
        </w:rPr>
        <w:t>14.4 工程款</w:t>
      </w:r>
      <w:bookmarkEnd w:id="472"/>
    </w:p>
    <w:p w14:paraId="77396FF4">
      <w:pPr>
        <w:adjustRightInd w:val="0"/>
        <w:snapToGrid w:val="0"/>
        <w:spacing w:line="300" w:lineRule="auto"/>
        <w:rPr>
          <w:rFonts w:ascii="仿宋" w:hAnsi="仿宋" w:eastAsia="仿宋" w:cs="仿宋"/>
          <w:b/>
          <w:bCs/>
          <w:color w:val="auto"/>
          <w:szCs w:val="21"/>
          <w:highlight w:val="none"/>
        </w:rPr>
      </w:pPr>
      <w:bookmarkStart w:id="473" w:name="_Toc535392620"/>
      <w:bookmarkEnd w:id="473"/>
      <w:bookmarkStart w:id="474" w:name="_Toc947714"/>
      <w:bookmarkStart w:id="475" w:name="_Toc947716"/>
      <w:r>
        <w:rPr>
          <w:rFonts w:hint="eastAsia" w:ascii="仿宋" w:hAnsi="仿宋" w:eastAsia="仿宋" w:cs="仿宋"/>
          <w:b/>
          <w:bCs/>
          <w:color w:val="auto"/>
          <w:szCs w:val="21"/>
          <w:highlight w:val="none"/>
        </w:rPr>
        <w:t>1、</w:t>
      </w:r>
      <w:bookmarkEnd w:id="474"/>
      <w:bookmarkStart w:id="476" w:name="_Toc535392621"/>
      <w:bookmarkEnd w:id="476"/>
      <w:bookmarkStart w:id="477" w:name="_Toc535392622"/>
      <w:bookmarkEnd w:id="477"/>
      <w:r>
        <w:rPr>
          <w:rFonts w:hint="eastAsia" w:ascii="仿宋" w:hAnsi="仿宋" w:eastAsia="仿宋" w:cs="仿宋"/>
          <w:b/>
          <w:bCs/>
          <w:color w:val="auto"/>
          <w:szCs w:val="21"/>
          <w:highlight w:val="none"/>
        </w:rPr>
        <w:t>设计费：</w:t>
      </w:r>
      <w:bookmarkStart w:id="478" w:name="_Toc947715"/>
      <w:r>
        <w:rPr>
          <w:rFonts w:hint="eastAsia" w:ascii="仿宋" w:hAnsi="仿宋" w:eastAsia="仿宋" w:cs="仿宋"/>
          <w:b/>
          <w:bCs/>
          <w:color w:val="auto"/>
          <w:szCs w:val="21"/>
          <w:highlight w:val="none"/>
        </w:rPr>
        <w:t>施工图完成经发包人认可、工程开工后支付设计费的40%，工程竣工验收通过后支付设计费的20%。</w:t>
      </w:r>
      <w:bookmarkEnd w:id="478"/>
    </w:p>
    <w:p w14:paraId="7188D9E0">
      <w:pPr>
        <w:pStyle w:val="1024"/>
        <w:adjustRightInd w:val="0"/>
        <w:snapToGrid w:val="0"/>
        <w:spacing w:line="288" w:lineRule="auto"/>
        <w:jc w:val="both"/>
        <w:rPr>
          <w:rFonts w:ascii="仿宋" w:hAnsi="仿宋" w:eastAsia="仿宋" w:cs="仿宋"/>
          <w:color w:val="auto"/>
          <w:kern w:val="2"/>
          <w:sz w:val="21"/>
          <w:szCs w:val="21"/>
          <w:highlight w:val="none"/>
          <w:u w:val="single"/>
        </w:rPr>
      </w:pPr>
      <w:r>
        <w:rPr>
          <w:rFonts w:hint="eastAsia" w:ascii="仿宋" w:hAnsi="仿宋" w:eastAsia="仿宋" w:cs="仿宋"/>
          <w:b/>
          <w:bCs/>
          <w:color w:val="auto"/>
          <w:kern w:val="2"/>
          <w:sz w:val="21"/>
          <w:szCs w:val="21"/>
          <w:highlight w:val="none"/>
        </w:rPr>
        <w:t>2、总承包管理费及试运行服务费：</w:t>
      </w:r>
      <w:r>
        <w:rPr>
          <w:rFonts w:hint="eastAsia" w:ascii="仿宋" w:hAnsi="仿宋" w:eastAsia="仿宋" w:cs="仿宋"/>
          <w:b/>
          <w:bCs/>
          <w:color w:val="auto"/>
          <w:kern w:val="2"/>
          <w:sz w:val="21"/>
          <w:szCs w:val="21"/>
          <w:highlight w:val="none"/>
          <w:u w:val="single"/>
        </w:rPr>
        <w:t xml:space="preserve">  /  </w:t>
      </w:r>
      <w:r>
        <w:rPr>
          <w:rFonts w:hint="eastAsia" w:ascii="仿宋" w:hAnsi="仿宋" w:eastAsia="仿宋" w:cs="仿宋"/>
          <w:b/>
          <w:bCs/>
          <w:color w:val="auto"/>
          <w:kern w:val="2"/>
          <w:sz w:val="21"/>
          <w:szCs w:val="21"/>
          <w:highlight w:val="none"/>
        </w:rPr>
        <w:t>。</w:t>
      </w:r>
    </w:p>
    <w:bookmarkEnd w:id="475"/>
    <w:p w14:paraId="2A1B587E">
      <w:pPr>
        <w:pStyle w:val="1024"/>
        <w:adjustRightInd w:val="0"/>
        <w:snapToGrid w:val="0"/>
        <w:spacing w:line="288" w:lineRule="auto"/>
        <w:jc w:val="both"/>
        <w:rPr>
          <w:rFonts w:ascii="仿宋" w:hAnsi="仿宋" w:eastAsia="仿宋" w:cs="仿宋"/>
          <w:b/>
          <w:bCs/>
          <w:color w:val="auto"/>
          <w:kern w:val="2"/>
          <w:sz w:val="21"/>
          <w:szCs w:val="21"/>
          <w:highlight w:val="none"/>
        </w:rPr>
      </w:pPr>
      <w:bookmarkStart w:id="479" w:name="_Toc535392623"/>
      <w:bookmarkEnd w:id="479"/>
      <w:bookmarkStart w:id="480" w:name="_Toc947728"/>
      <w:r>
        <w:rPr>
          <w:rFonts w:hint="eastAsia" w:ascii="仿宋" w:hAnsi="仿宋" w:eastAsia="仿宋" w:cs="仿宋"/>
          <w:b/>
          <w:bCs/>
          <w:color w:val="auto"/>
          <w:kern w:val="2"/>
          <w:sz w:val="21"/>
          <w:szCs w:val="21"/>
          <w:highlight w:val="none"/>
        </w:rPr>
        <w:t>3、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工程费的80%（含工程费预付款）；工程竣工结算经审计，发包人和承包人双方签字确认且承包人缴纳质量保证金后发包人支付至结算审定价的100%；施工水电费按工程竣工结算审定价的0.5%计算，在结算审定款中直接扣除。</w:t>
      </w:r>
    </w:p>
    <w:p w14:paraId="761EA5D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4、质量保修金</w:t>
      </w:r>
      <w:bookmarkEnd w:id="480"/>
      <w:bookmarkStart w:id="481" w:name="_Toc535392636"/>
      <w:bookmarkEnd w:id="481"/>
      <w:r>
        <w:rPr>
          <w:rFonts w:hint="eastAsia" w:ascii="仿宋" w:hAnsi="仿宋" w:eastAsia="仿宋" w:cs="仿宋"/>
          <w:b/>
          <w:bCs/>
          <w:color w:val="auto"/>
          <w:kern w:val="2"/>
          <w:sz w:val="21"/>
          <w:szCs w:val="21"/>
          <w:highlight w:val="none"/>
        </w:rPr>
        <w:t>：</w:t>
      </w:r>
      <w:r>
        <w:rPr>
          <w:rFonts w:hint="eastAsia" w:ascii="仿宋" w:hAnsi="仿宋" w:eastAsia="仿宋" w:cs="仿宋"/>
          <w:color w:val="auto"/>
          <w:kern w:val="2"/>
          <w:sz w:val="21"/>
          <w:szCs w:val="21"/>
          <w:highlight w:val="none"/>
        </w:rPr>
        <w:t>竣工结算审计完成后，承包人缴纳结算审定价的1.5%作为质量保证金。在工程竣工验收合格之日起满两年且回访质量符合要求后一次性退还（无息），如保修期间产生维修费、赔偿金等则扣除相应的维修费、赔偿金等款项后退还。</w:t>
      </w:r>
    </w:p>
    <w:p w14:paraId="10CC7782">
      <w:pPr>
        <w:pStyle w:val="1024"/>
        <w:adjustRightInd w:val="0"/>
        <w:snapToGrid w:val="0"/>
        <w:spacing w:line="288" w:lineRule="auto"/>
        <w:jc w:val="both"/>
        <w:rPr>
          <w:rFonts w:ascii="仿宋" w:hAnsi="仿宋" w:eastAsia="仿宋" w:cs="仿宋"/>
          <w:b/>
          <w:color w:val="auto"/>
          <w:kern w:val="2"/>
          <w:sz w:val="21"/>
          <w:szCs w:val="21"/>
          <w:highlight w:val="none"/>
        </w:rPr>
      </w:pPr>
      <w:r>
        <w:rPr>
          <w:rFonts w:hint="eastAsia" w:ascii="仿宋" w:hAnsi="仿宋" w:eastAsia="仿宋" w:cs="仿宋"/>
          <w:b/>
          <w:bCs/>
          <w:color w:val="auto"/>
          <w:kern w:val="2"/>
          <w:sz w:val="21"/>
          <w:szCs w:val="21"/>
          <w:highlight w:val="none"/>
        </w:rPr>
        <w:t>5、</w:t>
      </w:r>
      <w:r>
        <w:rPr>
          <w:rFonts w:hint="eastAsia" w:ascii="仿宋" w:hAnsi="仿宋" w:eastAsia="仿宋" w:cs="仿宋"/>
          <w:b/>
          <w:color w:val="auto"/>
          <w:kern w:val="2"/>
          <w:sz w:val="21"/>
          <w:szCs w:val="21"/>
          <w:highlight w:val="none"/>
        </w:rPr>
        <w:t>承包人收取本合同价款之前，应向发包人提交相应金额的正规的增值税普通发票，发包人凭发票付款，承包人未提交发票的，发包人有权拒绝付款，在此情形下，发包人不承担逾期付款违约责任。</w:t>
      </w:r>
    </w:p>
    <w:p w14:paraId="0F11606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6、如发包人未按约定付款的，应按照本合同成立时一年期贷款市场报价利率（LPR）支付违约金。发包人逾期付款违约金的上限：最高不超过合同价格的百分之三。</w:t>
      </w:r>
    </w:p>
    <w:p w14:paraId="28AC801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82" w:name="_Toc947730"/>
      <w:r>
        <w:rPr>
          <w:rFonts w:hint="eastAsia" w:ascii="仿宋" w:hAnsi="仿宋" w:eastAsia="仿宋" w:cs="仿宋"/>
          <w:b/>
          <w:bCs/>
          <w:color w:val="auto"/>
          <w:kern w:val="2"/>
          <w:sz w:val="21"/>
          <w:szCs w:val="21"/>
          <w:highlight w:val="none"/>
        </w:rPr>
        <w:t>14.7 按付款计划表申请付款</w:t>
      </w:r>
      <w:bookmarkEnd w:id="482"/>
    </w:p>
    <w:p w14:paraId="7CBB24C2">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483" w:name="_Toc535392638"/>
      <w:bookmarkEnd w:id="483"/>
      <w:bookmarkStart w:id="484" w:name="_Toc947731"/>
      <w:r>
        <w:rPr>
          <w:rFonts w:hint="eastAsia" w:ascii="仿宋" w:hAnsi="仿宋" w:eastAsia="仿宋" w:cs="仿宋"/>
          <w:color w:val="auto"/>
          <w:kern w:val="2"/>
          <w:sz w:val="21"/>
          <w:szCs w:val="21"/>
          <w:highlight w:val="none"/>
        </w:rPr>
        <w:t>付款期数、每期付款金额、每期需达到的主要计划形象进度和主要计划工程量进度：按合同专用条款14.4款执行。</w:t>
      </w:r>
      <w:bookmarkEnd w:id="484"/>
    </w:p>
    <w:p w14:paraId="327E12F9">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bookmarkStart w:id="485" w:name="_Toc535392639"/>
      <w:bookmarkEnd w:id="485"/>
      <w:bookmarkStart w:id="486" w:name="_Toc947732"/>
      <w:r>
        <w:rPr>
          <w:rFonts w:hint="eastAsia" w:ascii="仿宋" w:hAnsi="仿宋" w:eastAsia="仿宋" w:cs="仿宋"/>
          <w:color w:val="auto"/>
          <w:kern w:val="2"/>
          <w:sz w:val="21"/>
          <w:szCs w:val="21"/>
          <w:highlight w:val="none"/>
        </w:rPr>
        <w:t>付款申请报告的格式、内容、份数和提交时间：另行约定。</w:t>
      </w:r>
      <w:bookmarkEnd w:id="486"/>
    </w:p>
    <w:p w14:paraId="29AAB4E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87" w:name="_Toc535392640"/>
      <w:bookmarkEnd w:id="487"/>
      <w:bookmarkStart w:id="488" w:name="_Toc947733"/>
      <w:r>
        <w:rPr>
          <w:rFonts w:hint="eastAsia" w:ascii="仿宋" w:hAnsi="仿宋" w:eastAsia="仿宋" w:cs="仿宋"/>
          <w:b/>
          <w:bCs/>
          <w:color w:val="auto"/>
          <w:kern w:val="2"/>
          <w:sz w:val="21"/>
          <w:szCs w:val="21"/>
          <w:highlight w:val="none"/>
        </w:rPr>
        <w:t>14.10 税务与关税</w:t>
      </w:r>
      <w:bookmarkEnd w:id="488"/>
    </w:p>
    <w:p w14:paraId="14EA9840">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14.10.1发包人支付承包人合同价款前，承包人应向发包人提交等额的增值税专用发票。</w:t>
      </w:r>
    </w:p>
    <w:p w14:paraId="06DF87AD">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489" w:name="_Toc535392641"/>
      <w:bookmarkEnd w:id="489"/>
      <w:bookmarkStart w:id="490" w:name="_Toc947734"/>
      <w:r>
        <w:rPr>
          <w:rFonts w:hint="eastAsia" w:ascii="仿宋" w:hAnsi="仿宋" w:eastAsia="仿宋" w:cs="仿宋"/>
          <w:b/>
          <w:bCs/>
          <w:color w:val="auto"/>
          <w:kern w:val="2"/>
          <w:sz w:val="21"/>
          <w:szCs w:val="21"/>
          <w:highlight w:val="none"/>
        </w:rPr>
        <w:t>14.12 竣工结算</w:t>
      </w:r>
      <w:bookmarkEnd w:id="490"/>
    </w:p>
    <w:p w14:paraId="4864A2B5">
      <w:pPr>
        <w:pStyle w:val="1024"/>
        <w:adjustRightInd w:val="0"/>
        <w:snapToGrid w:val="0"/>
        <w:spacing w:line="288" w:lineRule="auto"/>
        <w:jc w:val="both"/>
        <w:rPr>
          <w:rFonts w:ascii="仿宋" w:hAnsi="仿宋" w:eastAsia="仿宋" w:cs="仿宋"/>
          <w:b/>
          <w:bCs/>
          <w:color w:val="auto"/>
          <w:kern w:val="2"/>
          <w:sz w:val="21"/>
          <w:szCs w:val="21"/>
          <w:highlight w:val="none"/>
        </w:rPr>
      </w:pPr>
      <w:bookmarkStart w:id="491" w:name="_Toc535392642"/>
      <w:bookmarkEnd w:id="491"/>
      <w:r>
        <w:rPr>
          <w:rFonts w:hint="eastAsia" w:ascii="仿宋" w:hAnsi="仿宋" w:eastAsia="仿宋" w:cs="仿宋"/>
          <w:b/>
          <w:bCs/>
          <w:color w:val="auto"/>
          <w:kern w:val="2"/>
          <w:sz w:val="21"/>
          <w:szCs w:val="21"/>
          <w:highlight w:val="none"/>
        </w:rPr>
        <w:t>本合同通用条款14.12条款项下所有条款均不予适用。</w:t>
      </w:r>
    </w:p>
    <w:p w14:paraId="57C2CFB2">
      <w:pPr>
        <w:pStyle w:val="1024"/>
        <w:adjustRightInd w:val="0"/>
        <w:snapToGrid w:val="0"/>
        <w:spacing w:line="288" w:lineRule="auto"/>
        <w:jc w:val="both"/>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发包人与承包人对竣工结算特别约定如下：</w:t>
      </w:r>
    </w:p>
    <w:p w14:paraId="67A6C69D">
      <w:pPr>
        <w:pStyle w:val="131"/>
        <w:snapToGrid w:val="0"/>
        <w:spacing w:line="288" w:lineRule="auto"/>
        <w:ind w:firstLine="420" w:firstLineChars="200"/>
        <w:rPr>
          <w:rFonts w:ascii="仿宋" w:hAnsi="仿宋" w:eastAsia="仿宋" w:cs="仿宋"/>
          <w:color w:val="auto"/>
          <w:szCs w:val="21"/>
          <w:highlight w:val="none"/>
        </w:rPr>
      </w:pPr>
      <w:bookmarkStart w:id="492" w:name="OLE_LINK139"/>
      <w:bookmarkEnd w:id="492"/>
      <w:bookmarkStart w:id="493" w:name="_Toc535392647"/>
      <w:bookmarkEnd w:id="493"/>
      <w:bookmarkStart w:id="494" w:name="_Toc535392645"/>
      <w:bookmarkEnd w:id="494"/>
      <w:bookmarkStart w:id="495" w:name="_Toc535392650"/>
      <w:bookmarkEnd w:id="495"/>
      <w:bookmarkStart w:id="496" w:name="_Toc535392649"/>
      <w:bookmarkEnd w:id="496"/>
      <w:bookmarkStart w:id="497" w:name="_Toc535392646"/>
      <w:bookmarkEnd w:id="497"/>
      <w:bookmarkStart w:id="498" w:name="_Toc535392648"/>
      <w:bookmarkEnd w:id="498"/>
      <w:bookmarkStart w:id="499" w:name="_Toc535392643"/>
      <w:bookmarkEnd w:id="499"/>
      <w:r>
        <w:rPr>
          <w:rFonts w:hint="eastAsia" w:ascii="仿宋" w:hAnsi="仿宋" w:eastAsia="仿宋" w:cs="仿宋"/>
          <w:color w:val="auto"/>
          <w:szCs w:val="21"/>
          <w:highlight w:val="none"/>
        </w:rPr>
        <w:t>1、承包人应在工程经验收合格后90天内向发包人提交竣工结算报告及完整的结算资料。承包人必须根据发包人的要求履行相关配合工作，因承包人不按时提交竣工结算报告、完整的结算资料或不配合竣工结算审核，导致无法及时完成竣工结算的责任由承包人承担，发包人不承担逾期付款违约责任。</w:t>
      </w:r>
    </w:p>
    <w:p w14:paraId="041E64E8">
      <w:pPr>
        <w:pStyle w:val="131"/>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2、最终竣工结算价以浙江工业大学审计处委托第三方专业机构审定的竣工结算价为准。</w:t>
      </w:r>
    </w:p>
    <w:p w14:paraId="1D11D307">
      <w:pPr>
        <w:pStyle w:val="131"/>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3、竣工结算审计的咨询追加费用按浙价服【2009】84号文中的服务基准收费标准收取，由承包人承担，发包人有权从任何应付工程价款中扣除。</w:t>
      </w:r>
    </w:p>
    <w:p w14:paraId="4FD9769A">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第15条 保险</w:t>
      </w:r>
    </w:p>
    <w:p w14:paraId="64A7E196">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500" w:name="_Toc535392651"/>
      <w:bookmarkEnd w:id="500"/>
      <w:bookmarkStart w:id="501" w:name="_Toc947744"/>
      <w:r>
        <w:rPr>
          <w:rFonts w:hint="eastAsia" w:ascii="仿宋" w:hAnsi="仿宋" w:eastAsia="仿宋" w:cs="仿宋"/>
          <w:b/>
          <w:bCs/>
          <w:color w:val="auto"/>
          <w:kern w:val="2"/>
          <w:sz w:val="21"/>
          <w:szCs w:val="21"/>
          <w:highlight w:val="none"/>
        </w:rPr>
        <w:t>15.1 承包人的投保</w:t>
      </w:r>
      <w:bookmarkEnd w:id="501"/>
    </w:p>
    <w:p w14:paraId="17862A0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15.1.1</w:t>
      </w:r>
      <w:r>
        <w:rPr>
          <w:rFonts w:hint="eastAsia" w:ascii="仿宋" w:hAnsi="仿宋" w:eastAsia="仿宋" w:cs="仿宋"/>
          <w:color w:val="auto"/>
          <w:kern w:val="2"/>
          <w:sz w:val="21"/>
          <w:szCs w:val="21"/>
          <w:highlight w:val="none"/>
        </w:rPr>
        <w:t>合同双方商定，由承包人负责投保的保险种类、保险范围、投保金额、保险期限和持续有效的时间：为保证工程及双方现场人员、机械设备、原材料的安全，相关一切保险（包含工程强制性保险及为施工现场人员、设备、材料办理的商业保险）由承包人自行投保，费用已经包含在合同价格内。</w:t>
      </w:r>
    </w:p>
    <w:p w14:paraId="110850E0">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承包人须为本工程办理建设工程一切险并及第三方责任险并支付保险费用，相关费用含在合同总价中。在开工前承包人需提供工程一切险和第三方责任险的参保的相应凭据，若未能投保，则发包人有权从合同价款中扣除相关费用并向相应保险机构投保，工程其他人员、机械、原材料的相关保险，在工程发生相应事故（自然灾害或其他情况造成现场人员、机械、原材料造成损失的）的情况下，承包人应首先向保险公司办理索赔程序，如承包人未购买相应保险的，不得向发包人提出索赔申请。 保险期限自开工即日起算至颁发工程移交证书。</w:t>
      </w:r>
    </w:p>
    <w:p w14:paraId="07136989">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15.2 一切险和第三方责任</w:t>
      </w:r>
    </w:p>
    <w:p w14:paraId="0EC45D2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建筑工程一切险的投保方及投保的相关要求：承包人按国家地方有关规定和工程建设需要投保。</w:t>
      </w:r>
    </w:p>
    <w:p w14:paraId="1E3747DD">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安装工程及竣工试验一切险的投保方及对投保的相关要求：承包人按国家地方有关规定和工程建设需要投保。</w:t>
      </w:r>
    </w:p>
    <w:p w14:paraId="49CCABD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第三者责任险的应投保方及对投保的相关要求：承包人按国家地方有关规定和工程建设需要投保。</w:t>
      </w:r>
    </w:p>
    <w:p w14:paraId="4BE87C8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第16条 违约、索赔和争议</w:t>
      </w:r>
    </w:p>
    <w:p w14:paraId="30FDBD01">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502" w:name="_Toc535392652"/>
      <w:bookmarkEnd w:id="502"/>
      <w:bookmarkStart w:id="503" w:name="_Toc947745"/>
      <w:r>
        <w:rPr>
          <w:rFonts w:hint="eastAsia" w:ascii="仿宋" w:hAnsi="仿宋" w:eastAsia="仿宋" w:cs="仿宋"/>
          <w:b/>
          <w:bCs/>
          <w:color w:val="auto"/>
          <w:kern w:val="2"/>
          <w:sz w:val="21"/>
          <w:szCs w:val="21"/>
          <w:highlight w:val="none"/>
        </w:rPr>
        <w:t>16.1 违约责任</w:t>
      </w:r>
      <w:bookmarkEnd w:id="503"/>
    </w:p>
    <w:p w14:paraId="11489C2B">
      <w:pPr>
        <w:pStyle w:val="1024"/>
        <w:adjustRightInd w:val="0"/>
        <w:snapToGrid w:val="0"/>
        <w:spacing w:line="288" w:lineRule="auto"/>
        <w:jc w:val="both"/>
        <w:rPr>
          <w:rFonts w:ascii="仿宋" w:hAnsi="仿宋" w:eastAsia="仿宋" w:cs="仿宋"/>
          <w:color w:val="auto"/>
          <w:kern w:val="2"/>
          <w:sz w:val="21"/>
          <w:szCs w:val="21"/>
          <w:highlight w:val="none"/>
        </w:rPr>
      </w:pPr>
      <w:bookmarkStart w:id="504" w:name="_Toc535392653"/>
      <w:bookmarkEnd w:id="504"/>
      <w:bookmarkStart w:id="505" w:name="_Toc947746"/>
      <w:r>
        <w:rPr>
          <w:rFonts w:hint="eastAsia" w:ascii="仿宋" w:hAnsi="仿宋" w:eastAsia="仿宋" w:cs="仿宋"/>
          <w:b/>
          <w:bCs/>
          <w:color w:val="auto"/>
          <w:kern w:val="2"/>
          <w:sz w:val="21"/>
          <w:szCs w:val="21"/>
          <w:highlight w:val="none"/>
        </w:rPr>
        <w:t>16.1.1</w:t>
      </w:r>
      <w:r>
        <w:rPr>
          <w:rFonts w:hint="eastAsia" w:ascii="仿宋" w:hAnsi="仿宋" w:eastAsia="仿宋" w:cs="仿宋"/>
          <w:color w:val="auto"/>
          <w:kern w:val="2"/>
          <w:sz w:val="21"/>
          <w:szCs w:val="21"/>
          <w:highlight w:val="none"/>
        </w:rPr>
        <w:t>发包人的违约责任</w:t>
      </w:r>
      <w:bookmarkEnd w:id="505"/>
    </w:p>
    <w:p w14:paraId="299BD811">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当发生下列情况时：</w:t>
      </w:r>
    </w:p>
    <w:p w14:paraId="5ABCD1B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(1)发包人未能按照本合同的约定支付合同价款的； (2)发包人未能履行合同中约定的其它责任和义务。</w:t>
      </w:r>
    </w:p>
    <w:p w14:paraId="18C6A65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发包人应采取补救措施，并承担相应违约责任。因其违约行为造成工程关键路径延误时，竣工日期顺延。发包人承担违约责任，并不能减轻或免除合同中约定的应由发包人继续履行的其它责任和义务。</w:t>
      </w:r>
    </w:p>
    <w:p w14:paraId="17E7FBF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16.1.2</w:t>
      </w:r>
      <w:r>
        <w:rPr>
          <w:rFonts w:hint="eastAsia" w:ascii="仿宋" w:hAnsi="仿宋" w:eastAsia="仿宋" w:cs="仿宋"/>
          <w:color w:val="auto"/>
          <w:kern w:val="2"/>
          <w:sz w:val="21"/>
          <w:szCs w:val="21"/>
          <w:highlight w:val="none"/>
        </w:rPr>
        <w:t>承包人的违约责任</w:t>
      </w:r>
    </w:p>
    <w:p w14:paraId="39B9506D">
      <w:pPr>
        <w:pStyle w:val="1024"/>
        <w:adjustRightInd w:val="0"/>
        <w:snapToGrid w:val="0"/>
        <w:spacing w:line="288"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kern w:val="2"/>
          <w:sz w:val="21"/>
          <w:szCs w:val="21"/>
          <w:highlight w:val="none"/>
        </w:rPr>
        <w:t>未经发包人书面同意，承包人擅自更换材料或设备投标品牌（含询标纪要约定品牌）用于施工的，或在施工中使用假冒、贴牌品牌材料或设备的</w:t>
      </w:r>
      <w:r>
        <w:rPr>
          <w:rFonts w:hint="eastAsia" w:ascii="仿宋" w:hAnsi="仿宋" w:eastAsia="仿宋" w:cs="仿宋"/>
          <w:color w:val="auto"/>
          <w:sz w:val="21"/>
          <w:szCs w:val="21"/>
          <w:highlight w:val="none"/>
        </w:rPr>
        <w:t>。</w:t>
      </w:r>
      <w:r>
        <w:rPr>
          <w:rFonts w:hint="eastAsia" w:ascii="仿宋" w:hAnsi="仿宋" w:eastAsia="仿宋" w:cs="仿宋"/>
          <w:color w:val="auto"/>
          <w:kern w:val="2"/>
          <w:sz w:val="21"/>
          <w:szCs w:val="21"/>
          <w:highlight w:val="none"/>
        </w:rPr>
        <w:t>一经发现，承包人必须无条件返工，将已使用材料或设备清退出场，并更换为符合招投标文件要求的材料或设备；同时，承包人应当按照该项目所用该种材料或设备总价值的10%至20%向发包人支付违约金（由发包人视具体情况而定）。</w:t>
      </w:r>
    </w:p>
    <w:p w14:paraId="154F337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kern w:val="2"/>
          <w:sz w:val="21"/>
          <w:szCs w:val="21"/>
          <w:highlight w:val="none"/>
        </w:rPr>
        <w:t>施工质量相关违约责任</w:t>
      </w:r>
    </w:p>
    <w:p w14:paraId="1A75920E">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验收达不到合同规定的质量等级（非承包人原因除外），应无条件返工并由承包人承担返工、修复、延期等全部费用。同时发包人有权扣除全部质量担保金额，该质量担保金额不足以补偿发包人受到的损失的，发包人有权向承包人追偿；</w:t>
      </w:r>
    </w:p>
    <w:p w14:paraId="2B70DD4F">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3、承包人管理相关违约责任</w:t>
      </w:r>
    </w:p>
    <w:p w14:paraId="23E6D859">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（1）承包人应严格遵守发包人制定的各项有关施工管理制度；</w:t>
      </w:r>
    </w:p>
    <w:p w14:paraId="6A068E1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工程施工中所有材料、设备等的内外运输，必须遵守有关交通、环卫、安全、防噪声等行业管理法规的规定，行业管理部门要求办理的所有手续均应办理，并由承包人自行办理解决。承包人因违反省市有关规定，引起政府职能部门罚款或停工整改，其发生的工期延误、费用与损失均由承包人自行承担。</w:t>
      </w:r>
    </w:p>
    <w:p w14:paraId="18861EA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不按发包人要求履行保修职责时，发包人有权采取一切措施自行完成，相关费用由承包人承担，并在质量保修金中直接扣除。若影响恶劣的，发包人有权向承包人索赔，且由此所造成的一切损失由承包人负责。若承包人进行二次修复后仍不能达到发包人要求，发包人有权委托其他单位进行维修，相关费用由承包人承担，并在质量保修金中直接扣除。</w:t>
      </w:r>
    </w:p>
    <w:p w14:paraId="6C53217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未经发包人同意，工程延期30天以上尚未完工的，发包人有权解除合同。发包人解除合同的，除按合同专用条款4.5条处罚逾期竣工违约金外，并要求承包人按合同金额的10%支付解除合同违约金，因承包人违约造成甲方损失超过上述违约金数额的，还需要承担相应赔偿责任，包括直接损失和间接损失。</w:t>
      </w:r>
    </w:p>
    <w:p w14:paraId="4C37DDE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6、双方特别约定：</w:t>
      </w:r>
    </w:p>
    <w:p w14:paraId="16488A3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F、进场项目班子应当是承包人建制内的，违法转包、挂靠承包人或临时拼凑的施工班子一经发现并经查实后，除扣罚履约保证金外，承包人还需按合同金额的10%支付违约金，施工合同将被终止，并赔偿由此给发包人造成的经济损失。</w:t>
      </w:r>
    </w:p>
    <w:p w14:paraId="77EB024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7、本合同项下所有承包人应支付给发包人的违约金、赔偿金、罚金、费用等款项，发包人有权在应付承包人的任何一期工程款或结算款中直接扣除。</w:t>
      </w:r>
    </w:p>
    <w:p w14:paraId="0DC3FECB">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16.3 争议和裁决</w:t>
      </w:r>
    </w:p>
    <w:p w14:paraId="33127BDA">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16.3.1</w:t>
      </w:r>
      <w:r>
        <w:rPr>
          <w:rFonts w:hint="eastAsia" w:ascii="仿宋" w:hAnsi="仿宋" w:eastAsia="仿宋" w:cs="仿宋"/>
          <w:color w:val="auto"/>
          <w:kern w:val="2"/>
          <w:sz w:val="21"/>
          <w:szCs w:val="21"/>
          <w:highlight w:val="none"/>
        </w:rPr>
        <w:t>争议的解决程序</w:t>
      </w:r>
    </w:p>
    <w:p w14:paraId="67262652">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因本合同引起的或与本合同有关的任何争议，按下列第</w:t>
      </w:r>
      <w:r>
        <w:rPr>
          <w:rFonts w:hint="eastAsia" w:ascii="仿宋" w:hAnsi="仿宋" w:eastAsia="仿宋" w:cs="仿宋"/>
          <w:b/>
          <w:color w:val="auto"/>
          <w:kern w:val="2"/>
          <w:sz w:val="21"/>
          <w:szCs w:val="21"/>
          <w:highlight w:val="none"/>
        </w:rPr>
        <w:t>（2）</w:t>
      </w:r>
      <w:r>
        <w:rPr>
          <w:rFonts w:hint="eastAsia" w:ascii="仿宋" w:hAnsi="仿宋" w:eastAsia="仿宋" w:cs="仿宋"/>
          <w:color w:val="auto"/>
          <w:kern w:val="2"/>
          <w:sz w:val="21"/>
          <w:szCs w:val="21"/>
          <w:highlight w:val="none"/>
        </w:rPr>
        <w:t>种方式解决：</w:t>
      </w:r>
    </w:p>
    <w:p w14:paraId="3D99069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（1）提请/仲裁委员会按照该会仲裁规则进行仲裁，仲裁裁决是终局的，对合同双方均有约束力。</w:t>
      </w:r>
    </w:p>
    <w:p w14:paraId="329F5AF3">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w:t>
      </w:r>
      <w:r>
        <w:rPr>
          <w:rFonts w:hint="eastAsia" w:ascii="仿宋" w:hAnsi="仿宋" w:eastAsia="仿宋" w:cs="仿宋"/>
          <w:b/>
          <w:color w:val="auto"/>
          <w:kern w:val="2"/>
          <w:sz w:val="21"/>
          <w:szCs w:val="21"/>
          <w:highlight w:val="none"/>
          <w:u w:val="single"/>
        </w:rPr>
        <w:t>向工程所在地的人民法院提起诉讼</w:t>
      </w:r>
      <w:r>
        <w:rPr>
          <w:rFonts w:hint="eastAsia" w:ascii="仿宋" w:hAnsi="仿宋" w:eastAsia="仿宋" w:cs="仿宋"/>
          <w:b/>
          <w:color w:val="auto"/>
          <w:kern w:val="2"/>
          <w:sz w:val="21"/>
          <w:szCs w:val="21"/>
          <w:highlight w:val="none"/>
        </w:rPr>
        <w:t>。</w:t>
      </w:r>
    </w:p>
    <w:p w14:paraId="2670F2AC">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16.3.2</w:t>
      </w:r>
      <w:r>
        <w:rPr>
          <w:rFonts w:hint="eastAsia" w:ascii="仿宋" w:hAnsi="仿宋" w:eastAsia="仿宋" w:cs="仿宋"/>
          <w:color w:val="auto"/>
          <w:kern w:val="2"/>
          <w:sz w:val="21"/>
          <w:szCs w:val="21"/>
          <w:highlight w:val="none"/>
        </w:rPr>
        <w:t>争议不应影响履约</w:t>
      </w:r>
    </w:p>
    <w:p w14:paraId="561A7485">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发生争议后，须继续履行其合同约定的责任和义务，保持工程继续实施。除非出现下列情况，任何一方不得停止工程或部分工程的实施，</w:t>
      </w:r>
    </w:p>
    <w:p w14:paraId="4FF4E975">
      <w:pPr>
        <w:pStyle w:val="1024"/>
        <w:adjustRightInd w:val="0"/>
        <w:snapToGrid w:val="0"/>
        <w:spacing w:line="288" w:lineRule="auto"/>
        <w:jc w:val="both"/>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(1)当事人一方违约导致合同确已无法履行，经合同双方协议停止实施；</w:t>
      </w:r>
    </w:p>
    <w:p w14:paraId="01AD10DD">
      <w:pPr>
        <w:pStyle w:val="1024"/>
        <w:adjustRightInd w:val="0"/>
        <w:snapToGrid w:val="0"/>
        <w:spacing w:line="288" w:lineRule="auto"/>
        <w:jc w:val="both"/>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(2)仲裁机构或法院责令停止实施。</w:t>
      </w:r>
    </w:p>
    <w:p w14:paraId="676C9C3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第17条 不可抗力</w:t>
      </w:r>
    </w:p>
    <w:p w14:paraId="4CB1D115">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506" w:name="_Toc535392654"/>
      <w:bookmarkEnd w:id="506"/>
      <w:bookmarkStart w:id="507" w:name="_Toc947747"/>
      <w:r>
        <w:rPr>
          <w:rFonts w:hint="eastAsia" w:ascii="仿宋" w:hAnsi="仿宋" w:eastAsia="仿宋" w:cs="仿宋"/>
          <w:b/>
          <w:bCs/>
          <w:color w:val="auto"/>
          <w:kern w:val="2"/>
          <w:sz w:val="21"/>
          <w:szCs w:val="21"/>
          <w:highlight w:val="none"/>
        </w:rPr>
        <w:t>17.1 不可抗力发生时的义务</w:t>
      </w:r>
      <w:bookmarkEnd w:id="507"/>
    </w:p>
    <w:p w14:paraId="5CAF0112">
      <w:pPr>
        <w:pStyle w:val="1024"/>
        <w:adjustRightInd w:val="0"/>
        <w:snapToGrid w:val="0"/>
        <w:spacing w:line="288" w:lineRule="auto"/>
        <w:jc w:val="both"/>
        <w:rPr>
          <w:rFonts w:ascii="仿宋" w:hAnsi="仿宋" w:eastAsia="仿宋" w:cs="仿宋"/>
          <w:color w:val="auto"/>
          <w:kern w:val="2"/>
          <w:sz w:val="21"/>
          <w:szCs w:val="21"/>
          <w:highlight w:val="none"/>
        </w:rPr>
      </w:pPr>
      <w:bookmarkStart w:id="508" w:name="_Toc535392655"/>
      <w:bookmarkEnd w:id="508"/>
      <w:bookmarkStart w:id="509" w:name="_Toc947748"/>
      <w:r>
        <w:rPr>
          <w:rFonts w:hint="eastAsia" w:ascii="仿宋" w:hAnsi="仿宋" w:eastAsia="仿宋" w:cs="仿宋"/>
          <w:b/>
          <w:bCs/>
          <w:color w:val="auto"/>
          <w:kern w:val="2"/>
          <w:sz w:val="21"/>
          <w:szCs w:val="21"/>
          <w:highlight w:val="none"/>
        </w:rPr>
        <w:t>17.1.1</w:t>
      </w:r>
      <w:r>
        <w:rPr>
          <w:rFonts w:hint="eastAsia" w:ascii="仿宋" w:hAnsi="仿宋" w:eastAsia="仿宋" w:cs="仿宋"/>
          <w:color w:val="auto"/>
          <w:kern w:val="2"/>
          <w:sz w:val="21"/>
          <w:szCs w:val="21"/>
          <w:highlight w:val="none"/>
        </w:rPr>
        <w:t>通知义务</w:t>
      </w:r>
      <w:bookmarkEnd w:id="509"/>
    </w:p>
    <w:p w14:paraId="40C905B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觉察或发现不可抗力事件发生的一方，有义务立即通知另一方。根据本合同约定，承包人在不可抗力事件发生时，应在力所能及的条件下迅速采取措施，尽力减少损失；发包人全力协助并采取措施。因不可抗力需暂停实施的施工或工作，立即停止。</w:t>
      </w:r>
    </w:p>
    <w:p w14:paraId="7AEC8F06">
      <w:pPr>
        <w:pStyle w:val="1024"/>
        <w:adjustRightInd w:val="0"/>
        <w:snapToGrid w:val="0"/>
        <w:spacing w:line="288" w:lineRule="auto"/>
        <w:jc w:val="both"/>
        <w:rPr>
          <w:rFonts w:ascii="仿宋" w:hAnsi="仿宋" w:eastAsia="仿宋" w:cs="仿宋"/>
          <w:color w:val="auto"/>
          <w:kern w:val="2"/>
          <w:sz w:val="21"/>
          <w:szCs w:val="21"/>
          <w:highlight w:val="none"/>
        </w:rPr>
      </w:pPr>
      <w:bookmarkStart w:id="510" w:name="_Toc535392656"/>
      <w:bookmarkEnd w:id="510"/>
      <w:bookmarkStart w:id="511" w:name="_Toc947749"/>
      <w:r>
        <w:rPr>
          <w:rFonts w:hint="eastAsia" w:ascii="仿宋" w:hAnsi="仿宋" w:eastAsia="仿宋" w:cs="仿宋"/>
          <w:b/>
          <w:bCs/>
          <w:color w:val="auto"/>
          <w:kern w:val="2"/>
          <w:sz w:val="21"/>
          <w:szCs w:val="21"/>
          <w:highlight w:val="none"/>
        </w:rPr>
        <w:t>17.1.2</w:t>
      </w:r>
      <w:r>
        <w:rPr>
          <w:rFonts w:hint="eastAsia" w:ascii="仿宋" w:hAnsi="仿宋" w:eastAsia="仿宋" w:cs="仿宋"/>
          <w:color w:val="auto"/>
          <w:kern w:val="2"/>
          <w:sz w:val="21"/>
          <w:szCs w:val="21"/>
          <w:highlight w:val="none"/>
        </w:rPr>
        <w:t>通报义务</w:t>
      </w:r>
      <w:bookmarkEnd w:id="511"/>
    </w:p>
    <w:p w14:paraId="6037C1B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程现场发生不可抗力时，在不可抗力事件结束后的48小时内，承包人须向发包人通报受害和损失情况。当不可抗力事件持续发生时，承包人每周应向发包人和工程总监报告受害情况。对报告周期另有约定时除外。</w:t>
      </w:r>
    </w:p>
    <w:p w14:paraId="560EFF37">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17.2 不可抗力的后果</w:t>
      </w:r>
    </w:p>
    <w:p w14:paraId="1861BF3E">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因不可抗力事件导致的损失、损害、伤害所发生的费用及延误的竣工日期，按如下约定处理：</w:t>
      </w:r>
    </w:p>
    <w:p w14:paraId="78F27454">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(1)永久性工程和工程物资等的损失、损害，由发包人承担；</w:t>
      </w:r>
    </w:p>
    <w:p w14:paraId="0865AD4F">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(2)受雇人员的伤害，分别按照各自的雇用合同关系负责处理；</w:t>
      </w:r>
    </w:p>
    <w:p w14:paraId="3FB66DA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(3)承包人的机具、设备、财产和临时工程的损失、损害，由承包人承担；</w:t>
      </w:r>
    </w:p>
    <w:p w14:paraId="5499F4EA">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(4)承包人的停工损失，由承包人承担；</w:t>
      </w:r>
    </w:p>
    <w:p w14:paraId="31558CE6">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(5)不可抗力事件发生后，因一方迟延履行合同约定的保护义务导致的延续损失、损害，由迟延履行义务的一方承担相应责任及其损失。</w:t>
      </w:r>
    </w:p>
    <w:p w14:paraId="3A0B2FDE">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512" w:name="_Toc535392657"/>
      <w:bookmarkEnd w:id="512"/>
      <w:r>
        <w:rPr>
          <w:rFonts w:hint="eastAsia" w:ascii="仿宋" w:hAnsi="仿宋" w:eastAsia="仿宋" w:cs="仿宋"/>
          <w:b/>
          <w:bCs/>
          <w:color w:val="auto"/>
          <w:kern w:val="2"/>
          <w:sz w:val="21"/>
          <w:szCs w:val="21"/>
          <w:highlight w:val="none"/>
        </w:rPr>
        <w:t>第19条 合同生效与合同终止</w:t>
      </w:r>
    </w:p>
    <w:p w14:paraId="5A382918">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19.1 合同生效</w:t>
      </w:r>
    </w:p>
    <w:p w14:paraId="378D6891">
      <w:pPr>
        <w:pStyle w:val="1024"/>
        <w:adjustRightInd w:val="0"/>
        <w:snapToGrid w:val="0"/>
        <w:spacing w:line="288" w:lineRule="auto"/>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本合同于2024年</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 xml:space="preserve"> 日签订，在双方签字盖章后生效。</w:t>
      </w:r>
    </w:p>
    <w:p w14:paraId="46F15D44">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bookmarkStart w:id="513" w:name="_Toc535392659"/>
      <w:bookmarkEnd w:id="513"/>
      <w:bookmarkStart w:id="514" w:name="_Toc947752"/>
      <w:r>
        <w:rPr>
          <w:rFonts w:hint="eastAsia" w:ascii="仿宋" w:hAnsi="仿宋" w:eastAsia="仿宋" w:cs="仿宋"/>
          <w:b/>
          <w:bCs/>
          <w:color w:val="auto"/>
          <w:kern w:val="2"/>
          <w:sz w:val="21"/>
          <w:szCs w:val="21"/>
          <w:highlight w:val="none"/>
        </w:rPr>
        <w:t>19.2 合同份数</w:t>
      </w:r>
      <w:bookmarkEnd w:id="514"/>
    </w:p>
    <w:p w14:paraId="3493C455">
      <w:pPr>
        <w:pStyle w:val="1024"/>
        <w:widowControl/>
        <w:adjustRightInd w:val="0"/>
        <w:snapToGrid w:val="0"/>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本合同一式捌份，双方各执肆份。</w:t>
      </w:r>
    </w:p>
    <w:p w14:paraId="23DFC76C">
      <w:pPr>
        <w:pStyle w:val="1024"/>
        <w:adjustRightInd w:val="0"/>
        <w:snapToGrid w:val="0"/>
        <w:spacing w:line="288" w:lineRule="auto"/>
        <w:jc w:val="both"/>
        <w:outlineLvl w:val="0"/>
        <w:rPr>
          <w:rFonts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第20条 补充条款</w:t>
      </w:r>
    </w:p>
    <w:p w14:paraId="5AF24C34">
      <w:pPr>
        <w:pStyle w:val="1024"/>
        <w:widowControl/>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20.1 投标文件的充分性：承包人已经认真研究了发包人提供的合同文件，对任何有可能存在的问题已经得到发包人的澄清和解答，并对合同文件全部内容达到彻底和充分的理解，并已将这种理解全部反映到承包人的投标文件中。</w:t>
      </w:r>
    </w:p>
    <w:p w14:paraId="1C625C28">
      <w:pPr>
        <w:pStyle w:val="1024"/>
        <w:widowControl/>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20.2 承包人确认其提交的投标文件以及报价清单中开列的各项价格的正确性和充分性。除非合同另有约定，承包人提交的投标文件以及报价清单中开列的各项价格已经全面、充分地体现和覆盖了：</w:t>
      </w:r>
    </w:p>
    <w:p w14:paraId="04762847">
      <w:pPr>
        <w:pStyle w:val="1024"/>
        <w:widowControl/>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（1）承包人根据合同和招标文件应承担的全部义务；</w:t>
      </w:r>
    </w:p>
    <w:p w14:paraId="43F3D2AE">
      <w:pPr>
        <w:pStyle w:val="1024"/>
        <w:widowControl/>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（2）为该工程的正确实施、竣工后修补由于承包人原因造成的缺陷所必须发生的一切开支。</w:t>
      </w:r>
    </w:p>
    <w:p w14:paraId="7BE64176">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20.3 本工程中标后，设计方案的调整不得降低原设计标准，不得擅自变更使用功能。所有设计内容必须经发包人认可，工程联系单以发包人签字并加盖单位印章为准，发包人未签字或未盖单位印章的均为无效签证。</w:t>
      </w:r>
    </w:p>
    <w:p w14:paraId="4B6A4D6B">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20.4 承包人要求施工现场全封闭，费用不另行计取。</w:t>
      </w:r>
    </w:p>
    <w:p w14:paraId="4828DDF5">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20.5 如发包人认为承包人的所有项目组人员不符合发包人要求的，发包人有权提出更换，承包人应无条件服从。</w:t>
      </w:r>
    </w:p>
    <w:p w14:paraId="62D7E2E8">
      <w:pPr>
        <w:pStyle w:val="1024"/>
        <w:adjustRightInd w:val="0"/>
        <w:snapToGrid w:val="0"/>
        <w:spacing w:line="288" w:lineRule="auto"/>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20.6 工程质量初验不合格，由承包人负责返工修补合格并承担费用和工期损失等违约责任。</w:t>
      </w:r>
    </w:p>
    <w:p w14:paraId="0F28D57F">
      <w:pPr>
        <w:pStyle w:val="1024"/>
        <w:widowControl/>
        <w:adjustRightInd w:val="0"/>
        <w:snapToGrid w:val="0"/>
        <w:spacing w:line="288" w:lineRule="auto"/>
        <w:rPr>
          <w:rFonts w:ascii="仿宋" w:hAnsi="仿宋" w:eastAsia="仿宋" w:cs="仿宋"/>
          <w:color w:val="auto"/>
          <w:kern w:val="2"/>
          <w:sz w:val="21"/>
          <w:szCs w:val="21"/>
          <w:highlight w:val="none"/>
        </w:rPr>
      </w:pPr>
    </w:p>
    <w:p w14:paraId="2C931C3D">
      <w:pPr>
        <w:pStyle w:val="1024"/>
        <w:widowControl/>
        <w:adjustRightInd w:val="0"/>
        <w:snapToGrid w:val="0"/>
        <w:spacing w:line="288"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20.7 发包人要求甩项竣工的，合同当事人应签订甩项竣工协议。在甩项竣工协议中应明确，合同当事人按照专用条款第14.4款、第14.12款的约定，对已完合格工程进行结算，并支付相应合同价款。</w:t>
      </w:r>
    </w:p>
    <w:p w14:paraId="22AF255B">
      <w:pPr>
        <w:pStyle w:val="352"/>
        <w:adjustRightInd w:val="0"/>
        <w:snapToGrid w:val="0"/>
        <w:spacing w:before="0" w:line="288" w:lineRule="auto"/>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 xml:space="preserve"> 合同双方确认，本合同及本合同约定的其它文件组成部分中的各项约定都是通过法定招投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438DBB1">
      <w:pPr>
        <w:pStyle w:val="352"/>
        <w:adjustRightInd w:val="0"/>
        <w:snapToGrid w:val="0"/>
        <w:spacing w:before="0" w:line="288" w:lineRule="auto"/>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 xml:space="preserve"> 本合同的全部附件均为本合同的组成部分，与本合同具有同等的法律效力。</w:t>
      </w:r>
    </w:p>
    <w:p w14:paraId="0450E1A8">
      <w:pPr>
        <w:pStyle w:val="352"/>
        <w:adjustRightInd w:val="0"/>
        <w:snapToGrid w:val="0"/>
        <w:spacing w:before="0" w:line="288" w:lineRule="auto"/>
        <w:ind w:firstLine="0" w:firstLineChars="0"/>
        <w:rPr>
          <w:rFonts w:ascii="仿宋" w:hAnsi="仿宋" w:eastAsia="仿宋" w:cs="仿宋"/>
          <w:color w:val="auto"/>
          <w:sz w:val="21"/>
          <w:szCs w:val="21"/>
          <w:highlight w:val="none"/>
        </w:rPr>
      </w:pPr>
    </w:p>
    <w:p w14:paraId="2DEDA108">
      <w:pPr>
        <w:pStyle w:val="352"/>
        <w:adjustRightInd w:val="0"/>
        <w:snapToGrid w:val="0"/>
        <w:spacing w:before="0" w:line="288" w:lineRule="auto"/>
        <w:ind w:firstLine="0" w:firstLineChars="0"/>
        <w:rPr>
          <w:rFonts w:ascii="仿宋" w:hAnsi="仿宋" w:eastAsia="仿宋" w:cs="仿宋"/>
          <w:color w:val="auto"/>
          <w:sz w:val="21"/>
          <w:szCs w:val="21"/>
          <w:highlight w:val="none"/>
        </w:rPr>
      </w:pPr>
    </w:p>
    <w:p w14:paraId="10476FD3">
      <w:pPr>
        <w:pStyle w:val="352"/>
        <w:adjustRightInd w:val="0"/>
        <w:snapToGrid w:val="0"/>
        <w:spacing w:before="0" w:line="288" w:lineRule="auto"/>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附件1：工程质量保修责任书</w:t>
      </w:r>
    </w:p>
    <w:p w14:paraId="1F99A2CF">
      <w:pPr>
        <w:pStyle w:val="352"/>
        <w:adjustRightInd w:val="0"/>
        <w:snapToGrid w:val="0"/>
        <w:spacing w:before="0" w:line="288" w:lineRule="auto"/>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附件2：廉政责任书</w:t>
      </w:r>
    </w:p>
    <w:p w14:paraId="640798AB">
      <w:pPr>
        <w:pStyle w:val="352"/>
        <w:adjustRightInd w:val="0"/>
        <w:snapToGrid w:val="0"/>
        <w:spacing w:before="0" w:line="288" w:lineRule="auto"/>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附件3：施工现场安全生产责任书</w:t>
      </w:r>
    </w:p>
    <w:p w14:paraId="1278BE2D">
      <w:pPr>
        <w:pStyle w:val="30"/>
        <w:spacing w:beforeLines="0" w:afterLines="0" w:line="288" w:lineRule="auto"/>
        <w:ind w:firstLine="422"/>
        <w:rPr>
          <w:rFonts w:ascii="仿宋" w:hAnsi="仿宋" w:eastAsia="仿宋" w:cs="仿宋"/>
          <w:b/>
          <w:bCs/>
          <w:color w:val="auto"/>
          <w:sz w:val="21"/>
          <w:szCs w:val="21"/>
          <w:highlight w:val="none"/>
        </w:rPr>
      </w:pPr>
      <w:bookmarkStart w:id="515" w:name="_Toc300835201"/>
      <w:bookmarkEnd w:id="515"/>
      <w:bookmarkStart w:id="516" w:name="_Toc247527800"/>
      <w:bookmarkEnd w:id="516"/>
      <w:bookmarkStart w:id="517" w:name="_Toc152045768"/>
      <w:bookmarkEnd w:id="517"/>
      <w:bookmarkStart w:id="518" w:name="_Toc144974827"/>
      <w:bookmarkEnd w:id="518"/>
      <w:bookmarkStart w:id="519" w:name="_Toc152042547"/>
      <w:bookmarkEnd w:id="519"/>
      <w:bookmarkStart w:id="520" w:name="_Toc247514199"/>
      <w:bookmarkEnd w:id="520"/>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附件1</w:t>
      </w:r>
    </w:p>
    <w:p w14:paraId="3D2486F6">
      <w:pPr>
        <w:pStyle w:val="131"/>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工程质量保修责任书</w:t>
      </w:r>
    </w:p>
    <w:p w14:paraId="3D5A5133">
      <w:pPr>
        <w:pStyle w:val="131"/>
        <w:adjustRightInd w:val="0"/>
        <w:snapToGrid w:val="0"/>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发包人（全称）：</w:t>
      </w:r>
    </w:p>
    <w:p w14:paraId="4CE9F675">
      <w:pPr>
        <w:pStyle w:val="131"/>
        <w:adjustRightInd w:val="0"/>
        <w:snapToGrid w:val="0"/>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p>
    <w:p w14:paraId="46A0B3AE">
      <w:pPr>
        <w:pStyle w:val="131"/>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14:paraId="1E19F780">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一、工程质量保修范围和内容</w:t>
      </w:r>
    </w:p>
    <w:p w14:paraId="6538A272">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14:paraId="48BCCB0D">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承包范围内所有工程。</w:t>
      </w:r>
    </w:p>
    <w:p w14:paraId="0DC6912F">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二、质量保修期</w:t>
      </w:r>
    </w:p>
    <w:p w14:paraId="15BC7B4A">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14:paraId="7AD276BC">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1、地基基础工程和主体结构工程为设计文件规定的该工程合理使用年限；</w:t>
      </w:r>
    </w:p>
    <w:p w14:paraId="7721F49E">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2、屋面防水工程、有防水要求的卫生间、房间和外墙的防渗漏为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年；</w:t>
      </w:r>
    </w:p>
    <w:p w14:paraId="6CB24802">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3、装修工程为2年；</w:t>
      </w:r>
    </w:p>
    <w:p w14:paraId="0E816340">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4、电气管线、给排水管道、设备安装工程为2年；</w:t>
      </w:r>
    </w:p>
    <w:p w14:paraId="14C93EBB">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个采暖期、供冷期；</w:t>
      </w:r>
    </w:p>
    <w:p w14:paraId="0778536B">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年；</w:t>
      </w:r>
    </w:p>
    <w:p w14:paraId="2E24EE4A">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7、其他项目保修期限约定如下：2年。</w:t>
      </w:r>
    </w:p>
    <w:p w14:paraId="59D64C1F">
      <w:pPr>
        <w:pStyle w:val="131"/>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w:t>
      </w:r>
    </w:p>
    <w:p w14:paraId="0D3326CB">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14:paraId="7E63F1F0">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个月，缺陷责任期自工程通过竣工验收之日起计算。单位工程先于全部工程进行验收，单位工程缺陷责任期自单位工程验收合格之日起算。</w:t>
      </w:r>
    </w:p>
    <w:p w14:paraId="5B458D3B">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四、质量保修责任</w:t>
      </w:r>
    </w:p>
    <w:p w14:paraId="1647F2D1">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1．属于保修范围、内容的项目，承包人应当在接到保修通知之日起7天内派人保修。承包人不在约定期限内派人保修的，发包人可以委托他人修理。</w:t>
      </w:r>
    </w:p>
    <w:p w14:paraId="613B025B">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2. 发生紧急抢修事故的，承包人在接到事故通知后，应当立即到达事故现场抢修。</w:t>
      </w:r>
    </w:p>
    <w:p w14:paraId="2FD6535F">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C493615">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4．质量保修完成后，由发包人组织验收。</w:t>
      </w:r>
    </w:p>
    <w:p w14:paraId="2FACA3EA">
      <w:pPr>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D190B26">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五、保修费用</w:t>
      </w:r>
    </w:p>
    <w:p w14:paraId="14CD5AB1">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1.保修费用由造成质量缺陷的责任方承担。</w:t>
      </w:r>
    </w:p>
    <w:p w14:paraId="251D0062">
      <w:pPr>
        <w:adjustRightInd w:val="0"/>
        <w:snapToGrid w:val="0"/>
        <w:spacing w:line="300" w:lineRule="auto"/>
        <w:ind w:firstLine="407" w:firstLineChars="194"/>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2.工程质量保证金的退还：</w:t>
      </w:r>
      <w:r>
        <w:rPr>
          <w:rFonts w:hint="eastAsia" w:ascii="仿宋" w:hAnsi="仿宋" w:eastAsia="仿宋" w:cs="仿宋"/>
          <w:b/>
          <w:bCs/>
          <w:color w:val="auto"/>
          <w:szCs w:val="21"/>
          <w:highlight w:val="none"/>
          <w:u w:val="single"/>
        </w:rPr>
        <w:t>工程竣工验收合格之日起满两年且回访质量符合要求后一次性付清（无息）；如保修期间产生维修费、赔偿金等，则扣除相应的维修费、赔偿金等款项后退还。</w:t>
      </w:r>
    </w:p>
    <w:p w14:paraId="64A47F66">
      <w:pPr>
        <w:pStyle w:val="131"/>
        <w:spacing w:line="300" w:lineRule="auto"/>
        <w:ind w:left="105" w:leftChars="50" w:firstLine="373" w:firstLineChars="178"/>
        <w:rPr>
          <w:rFonts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5B8570E">
      <w:pPr>
        <w:pStyle w:val="131"/>
        <w:spacing w:line="300" w:lineRule="auto"/>
        <w:ind w:left="105" w:leftChars="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14:paraId="5BF0763F">
      <w:pPr>
        <w:pStyle w:val="131"/>
        <w:spacing w:line="288" w:lineRule="auto"/>
        <w:ind w:firstLine="420" w:firstLineChars="200"/>
        <w:rPr>
          <w:rFonts w:ascii="仿宋" w:hAnsi="仿宋" w:eastAsia="仿宋" w:cs="仿宋"/>
          <w:color w:val="auto"/>
          <w:szCs w:val="21"/>
          <w:highlight w:val="none"/>
        </w:rPr>
      </w:pPr>
    </w:p>
    <w:p w14:paraId="32F537A3">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发包人(公章)：                         承包人(公章)：</w:t>
      </w:r>
    </w:p>
    <w:p w14:paraId="04643F83">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14E52928">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                     法定代表人(签字)：</w:t>
      </w:r>
    </w:p>
    <w:p w14:paraId="3668AF96">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                     委托代理人(签字)：</w:t>
      </w:r>
    </w:p>
    <w:p w14:paraId="6924CEFA">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44254395">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649E8125">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2FCD565D">
      <w:pPr>
        <w:pStyle w:val="131"/>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7376F32A">
      <w:pPr>
        <w:pStyle w:val="131"/>
        <w:spacing w:line="288"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邮政编码：                             邮政编码：</w:t>
      </w:r>
      <w:r>
        <w:rPr>
          <w:rFonts w:hint="eastAsia" w:ascii="仿宋" w:hAnsi="仿宋" w:eastAsia="仿宋" w:cs="仿宋"/>
          <w:color w:val="auto"/>
          <w:szCs w:val="21"/>
          <w:highlight w:val="none"/>
        </w:rPr>
        <w:br w:type="page"/>
      </w:r>
      <w:r>
        <w:rPr>
          <w:rFonts w:hint="eastAsia" w:ascii="仿宋" w:hAnsi="仿宋" w:eastAsia="仿宋" w:cs="仿宋"/>
          <w:b/>
          <w:bCs/>
          <w:color w:val="auto"/>
          <w:szCs w:val="21"/>
          <w:highlight w:val="none"/>
        </w:rPr>
        <w:t>附件2</w:t>
      </w:r>
    </w:p>
    <w:p w14:paraId="355B9A1B">
      <w:pPr>
        <w:topLinePunct/>
        <w:spacing w:line="288" w:lineRule="auto"/>
        <w:ind w:firstLine="482"/>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廉政责任书</w:t>
      </w:r>
    </w:p>
    <w:p w14:paraId="1633BD6D">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第一条</w:t>
      </w:r>
      <w:r>
        <w:rPr>
          <w:rFonts w:hint="eastAsia" w:ascii="仿宋" w:hAnsi="仿宋" w:eastAsia="仿宋" w:cs="仿宋"/>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59F6BA3D">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第二条</w:t>
      </w:r>
      <w:r>
        <w:rPr>
          <w:rFonts w:hint="eastAsia" w:ascii="仿宋" w:hAnsi="仿宋" w:eastAsia="仿宋" w:cs="仿宋"/>
          <w:color w:val="auto"/>
          <w:szCs w:val="21"/>
          <w:highlight w:val="none"/>
        </w:rPr>
        <w:t>：廉政责任合同（以下简称本合同）由浙江工业大学与承包人（以下简称乙方）共同签订。</w:t>
      </w:r>
    </w:p>
    <w:p w14:paraId="6953A67A">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第三条</w:t>
      </w:r>
      <w:r>
        <w:rPr>
          <w:rFonts w:hint="eastAsia" w:ascii="仿宋" w:hAnsi="仿宋" w:eastAsia="仿宋" w:cs="仿宋"/>
          <w:color w:val="auto"/>
          <w:szCs w:val="21"/>
          <w:highlight w:val="none"/>
        </w:rPr>
        <w:t>：纪检监察部门负责履行本合同的监督管理工作。</w:t>
      </w:r>
    </w:p>
    <w:p w14:paraId="49267AE0">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第四条</w:t>
      </w:r>
      <w:r>
        <w:rPr>
          <w:rFonts w:hint="eastAsia" w:ascii="仿宋" w:hAnsi="仿宋" w:eastAsia="仿宋" w:cs="仿宋"/>
          <w:color w:val="auto"/>
          <w:szCs w:val="21"/>
          <w:highlight w:val="none"/>
        </w:rPr>
        <w:t>：甲乙双方的权利和义务</w:t>
      </w:r>
    </w:p>
    <w:p w14:paraId="6444B412">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一、甲乙双方应严格遵守党和国家法规、党风廉政建设及《反不正当竞争法》的各项规定。</w:t>
      </w:r>
    </w:p>
    <w:p w14:paraId="3ABD086E">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二、甲乙双方严格执行所签订的经济合同各项条款，自觉按合同办事，严禁因违法违纪、违反工程建设管理的各项规章制度而损害国家和集体利益。</w:t>
      </w:r>
    </w:p>
    <w:p w14:paraId="00F94167">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三、甲、乙双方人员洽谈业务时，必须选择在办公场所或发包人确定的其它公共场所由二人以上共同进行，严禁私下商谈串通。</w:t>
      </w:r>
    </w:p>
    <w:p w14:paraId="754EACEF">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第五条：</w:t>
      </w:r>
      <w:r>
        <w:rPr>
          <w:rFonts w:hint="eastAsia" w:ascii="仿宋" w:hAnsi="仿宋" w:eastAsia="仿宋" w:cs="仿宋"/>
          <w:color w:val="auto"/>
          <w:szCs w:val="21"/>
          <w:highlight w:val="none"/>
        </w:rPr>
        <w:t>甲方的权利和义务</w:t>
      </w:r>
    </w:p>
    <w:p w14:paraId="664D4695">
      <w:pPr>
        <w:pStyle w:val="154"/>
        <w:numPr>
          <w:ilvl w:val="0"/>
          <w:numId w:val="8"/>
        </w:numPr>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甲方人员不得以任何形式向乙方索要回扣；对无法拒收的，应及时上交纪检部门。</w:t>
      </w:r>
    </w:p>
    <w:p w14:paraId="3D99ADF4">
      <w:pPr>
        <w:pStyle w:val="154"/>
        <w:numPr>
          <w:ilvl w:val="0"/>
          <w:numId w:val="8"/>
        </w:numPr>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甲方人员在业务交往中或项目结束后，不得接受乙方以任何形式给予的礼金、礼品和有价证券，不得在乙方报销应由个人支付的任何费用。</w:t>
      </w:r>
    </w:p>
    <w:p w14:paraId="4BB32BBA">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三、甲方人员不得参加可能对公正执行公务有影响的宴请、旅游和娱乐活动。</w:t>
      </w:r>
    </w:p>
    <w:p w14:paraId="33A1605A">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四、甲方人员不得向乙方介绍家属或亲友从事与甲方工程有关的材料设备供应、工程分包等经济活动。</w:t>
      </w:r>
    </w:p>
    <w:p w14:paraId="50FA381B">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第六条</w:t>
      </w:r>
      <w:r>
        <w:rPr>
          <w:rFonts w:hint="eastAsia" w:ascii="仿宋" w:hAnsi="仿宋" w:eastAsia="仿宋" w:cs="仿宋"/>
          <w:color w:val="auto"/>
          <w:szCs w:val="21"/>
          <w:highlight w:val="none"/>
        </w:rPr>
        <w:t>：乙方的权利和义务</w:t>
      </w:r>
    </w:p>
    <w:p w14:paraId="2A4754BA">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一、乙方人员不得以任何形式向甲方人员赠送礼金、礼品和有价证券。项目结束后，也不得进行上述赠送。</w:t>
      </w:r>
    </w:p>
    <w:p w14:paraId="0D8A3326">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二、乙方不准以任何名义为甲方人员报销应由甲方人员个人支付的费用。</w:t>
      </w:r>
    </w:p>
    <w:p w14:paraId="09D8E88A">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三、乙方人员不得以洽谈业务、签订经济合同为借口，邀请甲方人员参加宴会、旅游和娱乐活动等。</w:t>
      </w:r>
    </w:p>
    <w:p w14:paraId="615D9E4B">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第七条</w:t>
      </w:r>
      <w:r>
        <w:rPr>
          <w:rFonts w:hint="eastAsia" w:ascii="仿宋" w:hAnsi="仿宋" w:eastAsia="仿宋" w:cs="仿宋"/>
          <w:color w:val="auto"/>
          <w:szCs w:val="21"/>
          <w:highlight w:val="none"/>
        </w:rPr>
        <w:t>：违约责任</w:t>
      </w:r>
    </w:p>
    <w:p w14:paraId="5F8E8ADF">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一、甲方人员若违反本合同，其主管部门将对违法、违纪、违规人员严肃查处。因此而给乙方造成的损失，甲方按有关规定予以赔偿。</w:t>
      </w:r>
    </w:p>
    <w:p w14:paraId="7A726EDD">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磋商活动。同时，有义务向政府主管部门提供其不良记录情况。</w:t>
      </w:r>
    </w:p>
    <w:p w14:paraId="13141D08">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三、乙方人员若违反本合同，其主管部门应对违法违纪人员严肃查处，因此而给甲方造成的损失，乙方按有关规定予以赔偿。</w:t>
      </w:r>
    </w:p>
    <w:p w14:paraId="05AA826B">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四、如乙方发现甲方人员有违反本合同的行为，应及时向甲方纪检监察部门举报。甲方不得以任何借口报复乙方。</w:t>
      </w:r>
    </w:p>
    <w:p w14:paraId="7959F36C">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第八条</w:t>
      </w:r>
      <w:r>
        <w:rPr>
          <w:rFonts w:hint="eastAsia" w:ascii="仿宋" w:hAnsi="仿宋" w:eastAsia="仿宋" w:cs="仿宋"/>
          <w:color w:val="auto"/>
          <w:szCs w:val="21"/>
          <w:highlight w:val="none"/>
        </w:rPr>
        <w:t>：甲乙双方必须将“廉政责任合同”贯穿于所签订的经济合同实施的全过程，及时布置、认真检查、严格考核。</w:t>
      </w:r>
    </w:p>
    <w:p w14:paraId="0ADC6B0D">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第九条</w:t>
      </w:r>
      <w:r>
        <w:rPr>
          <w:rFonts w:hint="eastAsia" w:ascii="仿宋" w:hAnsi="仿宋" w:eastAsia="仿宋" w:cs="仿宋"/>
          <w:color w:val="auto"/>
          <w:szCs w:val="21"/>
          <w:highlight w:val="none"/>
        </w:rPr>
        <w:t>：本合同在甲乙双方签订重大经济合同的同时签订。</w:t>
      </w:r>
    </w:p>
    <w:p w14:paraId="45038C18">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第十条</w:t>
      </w:r>
      <w:r>
        <w:rPr>
          <w:rFonts w:hint="eastAsia" w:ascii="仿宋" w:hAnsi="仿宋" w:eastAsia="仿宋" w:cs="仿宋"/>
          <w:color w:val="auto"/>
          <w:szCs w:val="21"/>
          <w:highlight w:val="none"/>
        </w:rPr>
        <w:t>：本合同作为本次所签订的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的附件，经合同双方共同签署后立即生效。</w:t>
      </w:r>
    </w:p>
    <w:p w14:paraId="34223B4D">
      <w:pPr>
        <w:pStyle w:val="154"/>
        <w:spacing w:line="288"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第十一条：</w:t>
      </w:r>
      <w:r>
        <w:rPr>
          <w:rFonts w:hint="eastAsia" w:ascii="仿宋" w:hAnsi="仿宋" w:eastAsia="仿宋" w:cs="仿宋"/>
          <w:color w:val="auto"/>
          <w:szCs w:val="21"/>
          <w:highlight w:val="none"/>
        </w:rPr>
        <w:t>本合同一式三份，由甲乙双方及甲方纪检监察部门各执一份。</w:t>
      </w:r>
    </w:p>
    <w:p w14:paraId="2049D6DC">
      <w:pPr>
        <w:pStyle w:val="154"/>
        <w:spacing w:line="288" w:lineRule="auto"/>
        <w:ind w:firstLine="422"/>
        <w:rPr>
          <w:rFonts w:ascii="仿宋" w:hAnsi="仿宋" w:eastAsia="仿宋" w:cs="仿宋"/>
          <w:b/>
          <w:bCs/>
          <w:color w:val="auto"/>
          <w:szCs w:val="21"/>
          <w:highlight w:val="none"/>
        </w:rPr>
      </w:pPr>
    </w:p>
    <w:p w14:paraId="4BC48040">
      <w:pPr>
        <w:pStyle w:val="154"/>
        <w:spacing w:line="288"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                        乙方（盖章）</w:t>
      </w:r>
    </w:p>
    <w:p w14:paraId="4C78F848">
      <w:pPr>
        <w:pStyle w:val="154"/>
        <w:spacing w:line="288" w:lineRule="auto"/>
        <w:ind w:firstLine="420"/>
        <w:rPr>
          <w:rFonts w:ascii="仿宋" w:hAnsi="仿宋" w:eastAsia="仿宋" w:cs="仿宋"/>
          <w:color w:val="auto"/>
          <w:szCs w:val="21"/>
          <w:highlight w:val="none"/>
        </w:rPr>
      </w:pPr>
    </w:p>
    <w:p w14:paraId="57D9C49C">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甲方法定代表人 ：                   乙方法定代表人：</w:t>
      </w:r>
    </w:p>
    <w:p w14:paraId="5858886F">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或                                  或</w:t>
      </w:r>
    </w:p>
    <w:p w14:paraId="5776FC84">
      <w:pPr>
        <w:pStyle w:val="154"/>
        <w:spacing w:line="288"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甲方委托代理人：                    乙方委托代理人：</w:t>
      </w:r>
    </w:p>
    <w:p w14:paraId="0AC226E7">
      <w:pPr>
        <w:pStyle w:val="154"/>
        <w:spacing w:line="288" w:lineRule="auto"/>
        <w:ind w:firstLine="420"/>
        <w:rPr>
          <w:rFonts w:ascii="仿宋" w:hAnsi="仿宋" w:eastAsia="仿宋" w:cs="仿宋"/>
          <w:color w:val="auto"/>
          <w:szCs w:val="21"/>
          <w:highlight w:val="none"/>
        </w:rPr>
      </w:pPr>
    </w:p>
    <w:p w14:paraId="555B2251">
      <w:pPr>
        <w:pStyle w:val="154"/>
        <w:spacing w:line="288" w:lineRule="auto"/>
        <w:ind w:firstLine="840" w:firstLineChars="4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14:paraId="24405252">
      <w:pPr>
        <w:pStyle w:val="154"/>
        <w:spacing w:line="288" w:lineRule="auto"/>
        <w:ind w:firstLine="422"/>
        <w:rPr>
          <w:rFonts w:ascii="仿宋" w:hAnsi="仿宋" w:eastAsia="仿宋" w:cs="仿宋"/>
          <w:b/>
          <w:bCs/>
          <w:color w:val="auto"/>
          <w:szCs w:val="21"/>
          <w:highlight w:val="none"/>
        </w:rPr>
      </w:pPr>
    </w:p>
    <w:p w14:paraId="52A2E5E9">
      <w:pPr>
        <w:spacing w:line="288" w:lineRule="auto"/>
        <w:ind w:firstLine="482"/>
        <w:rPr>
          <w:rFonts w:ascii="仿宋" w:hAnsi="仿宋" w:eastAsia="仿宋" w:cs="仿宋"/>
          <w:color w:val="auto"/>
          <w:szCs w:val="21"/>
          <w:highlight w:val="none"/>
        </w:rPr>
      </w:pPr>
      <w:r>
        <w:rPr>
          <w:rFonts w:hint="eastAsia" w:ascii="仿宋" w:hAnsi="仿宋" w:eastAsia="仿宋" w:cs="仿宋"/>
          <w:b/>
          <w:bCs/>
          <w:color w:val="auto"/>
          <w:szCs w:val="21"/>
          <w:highlight w:val="none"/>
        </w:rPr>
        <w:t>签约地点：浙江杭州</w:t>
      </w:r>
    </w:p>
    <w:p w14:paraId="4E5AF87B">
      <w:pPr>
        <w:pStyle w:val="30"/>
        <w:spacing w:beforeLines="0" w:afterLines="0" w:line="288" w:lineRule="auto"/>
        <w:ind w:firstLine="422"/>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u w:val="single"/>
        </w:rPr>
        <w:br w:type="page"/>
      </w:r>
      <w:r>
        <w:rPr>
          <w:rFonts w:hint="eastAsia" w:ascii="仿宋" w:hAnsi="仿宋" w:eastAsia="仿宋" w:cs="仿宋"/>
          <w:b/>
          <w:bCs/>
          <w:color w:val="auto"/>
          <w:sz w:val="21"/>
          <w:szCs w:val="21"/>
          <w:highlight w:val="none"/>
        </w:rPr>
        <w:t>附件3</w:t>
      </w:r>
    </w:p>
    <w:p w14:paraId="12FB628C">
      <w:pPr>
        <w:spacing w:line="288" w:lineRule="auto"/>
        <w:ind w:firstLine="482"/>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施工现场安全生产责任书</w:t>
      </w:r>
    </w:p>
    <w:p w14:paraId="510062DC">
      <w:pPr>
        <w:adjustRightInd w:val="0"/>
        <w:snapToGrid w:val="0"/>
        <w:spacing w:line="288" w:lineRule="auto"/>
        <w:ind w:firstLine="480"/>
        <w:jc w:val="left"/>
        <w:rPr>
          <w:rFonts w:ascii="仿宋" w:hAnsi="仿宋" w:eastAsia="仿宋" w:cs="仿宋"/>
          <w:color w:val="auto"/>
          <w:szCs w:val="21"/>
          <w:highlight w:val="none"/>
        </w:rPr>
      </w:pPr>
      <w:r>
        <w:rPr>
          <w:rFonts w:hint="eastAsia" w:ascii="仿宋" w:hAnsi="仿宋" w:eastAsia="仿宋" w:cs="仿宋"/>
          <w:color w:val="auto"/>
          <w:szCs w:val="21"/>
          <w:highlight w:val="none"/>
        </w:rPr>
        <w:t>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w:t>
      </w:r>
    </w:p>
    <w:p w14:paraId="16DD6F23">
      <w:pPr>
        <w:numPr>
          <w:ilvl w:val="0"/>
          <w:numId w:val="9"/>
        </w:num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施工项目</w:t>
      </w:r>
    </w:p>
    <w:p w14:paraId="47FD43B1">
      <w:p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1、项目名称：____________________________________________________</w:t>
      </w:r>
    </w:p>
    <w:p w14:paraId="5A1ABD0F">
      <w:p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2、项目地点：____________________________________________________</w:t>
      </w:r>
    </w:p>
    <w:p w14:paraId="4ED3C788">
      <w:p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3、项目时间：____________________________________________________</w:t>
      </w:r>
    </w:p>
    <w:p w14:paraId="2D9A9981">
      <w:pPr>
        <w:numPr>
          <w:ilvl w:val="0"/>
          <w:numId w:val="9"/>
        </w:num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施工单位责任管理目标及承诺</w:t>
      </w:r>
    </w:p>
    <w:p w14:paraId="1EFFAF53">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51F5C53D">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2、承诺对本单位施工人员进行安全教育，有健全的安全管理制度，保证施工人员遵守相关规范，服从浙江工业大学现场管理人员的管理。</w:t>
      </w:r>
    </w:p>
    <w:p w14:paraId="5C9C96F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杭州市安监局及有关部门的安全事故，一切手续由施工方负责处理，无需浙江工业大学办理。</w:t>
      </w:r>
    </w:p>
    <w:p w14:paraId="7E5776F6">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4、承诺施工期间不影响浙江工业大学师生正常教学、工作、生活和学校卫生、环境安全，对本单位施工人员造成的一切不良影响负责。</w:t>
      </w:r>
    </w:p>
    <w:p w14:paraId="7C7BAC48">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5、在责任期内的施工过程中，各级部门安全文明检查中合格率达到100%，杜绝不良影响。</w:t>
      </w:r>
    </w:p>
    <w:p w14:paraId="2F8D3C2B">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6、在责任期内，杜绝发生重大事故，包括火灾事故、现场交通事故等。</w:t>
      </w:r>
    </w:p>
    <w:p w14:paraId="584A1AC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7、施工过程中有责任在施工单位区域内和作业点做好文明施工，减少施工噪音，施工污染、杜绝扬尘，控制污染源并及时处理，严禁建筑垃圾随意堆放。</w:t>
      </w:r>
    </w:p>
    <w:p w14:paraId="2DF155DA">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8、以人为本，关心员工，努力做好各种疾病和职业病的防治工作，减少或消除各类疾病和职业病的发生。同时现场员工必须正确使用劳动保护用品，特种作业人员必须持证上岗。</w:t>
      </w:r>
    </w:p>
    <w:p w14:paraId="1E7749B7">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9、在责任期限内杜绝发生火灾事故，落实各级消防制度。</w:t>
      </w:r>
    </w:p>
    <w:p w14:paraId="6153A9D3">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10、注意和加强内部治安宣传教育管理，杜绝重大治安事件和刑事案件的发生。</w:t>
      </w:r>
    </w:p>
    <w:p w14:paraId="61A6F445">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11、如涉及高空作业，施工单位则需另外签订《高空作业安全施工承诺书》</w:t>
      </w:r>
    </w:p>
    <w:p w14:paraId="5CF5D521">
      <w:p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三、施工单位安全责任</w:t>
      </w:r>
    </w:p>
    <w:p w14:paraId="5DFE3990">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为了完成上述管理目标，施工单位必须采取有力措施，行使下列职责：</w:t>
      </w:r>
    </w:p>
    <w:p w14:paraId="7CF33CB3">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1、施工时是安全生产的直接责任人，必须严格执行甲方的有关安全生产的规定、制度；</w:t>
      </w:r>
    </w:p>
    <w:p w14:paraId="1A6C94BE">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5292FE49">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3、应对现场安装施工的行为完全负责，施工方安装施工人员不得违章作业，冒险作业，不能疲劳作业，并按规定做好保护工作；</w:t>
      </w:r>
    </w:p>
    <w:p w14:paraId="6C321860">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4、在施工现场人员必须有配备齐全的安全防护用品，不能满足安全施工需要时，人员不得进入施工现场；</w:t>
      </w:r>
    </w:p>
    <w:p w14:paraId="58DDFD4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5、高空悬空作业必须系好安全带；</w:t>
      </w:r>
    </w:p>
    <w:p w14:paraId="5749937C">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6、施工前不得喝酒，在禁止吸烟的区域不得吸烟；</w:t>
      </w:r>
    </w:p>
    <w:p w14:paraId="3CABD2F7">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7、现场内不得赤脚，不得穿拖鞋、高跟鞋，高空作业不得穿皮鞋和带钉易滑鞋；</w:t>
      </w:r>
    </w:p>
    <w:p w14:paraId="26C91C2F">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w:t>
      </w:r>
    </w:p>
    <w:p w14:paraId="0C4AF15F">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9、不得私自乱接乱拉电线，保护工地上临时用电电缆及配电箱的完好，不得用材料、工具等压砸电缆电线，确保用电安全；</w:t>
      </w:r>
    </w:p>
    <w:p w14:paraId="321A892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10、不得在施工现场烧火，不得违反用电、明火作业、易燃易爆物品等安全管理制度；</w:t>
      </w:r>
    </w:p>
    <w:p w14:paraId="3F0B72A2">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11、不得从高处向下抛扔任何物资、材料，堆放时不得超过支撑限重的70%；</w:t>
      </w:r>
    </w:p>
    <w:p w14:paraId="35397ACF">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12、不得在高处临边一米范围内堆放活动材料；</w:t>
      </w:r>
    </w:p>
    <w:p w14:paraId="79291563">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13、不得在操作面上及高处临边竖立放置工具和线材；</w:t>
      </w:r>
    </w:p>
    <w:p w14:paraId="38266E07">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14、使用电动工具，必须按操作规程和说明书要求正确佩戴防护用品；</w:t>
      </w:r>
    </w:p>
    <w:p w14:paraId="3557CE26">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15、施工过程中必须严格遵守安全操作规程；</w:t>
      </w:r>
    </w:p>
    <w:p w14:paraId="048C45D9">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16、不应疲劳作业，不得在操作面上及楼层上睡觉；</w:t>
      </w:r>
    </w:p>
    <w:p w14:paraId="14605899">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17、不得在道路广场等公共场合搅拌水泥、混凝土、制作各类预制件，如场地狭小，确需在公共场合施工，必须及时清理，恢复地面原貌；</w:t>
      </w:r>
    </w:p>
    <w:p w14:paraId="4F3392FD">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18、现场所有的材料应统一摆放整齐，且不得放置在道路、广场等公共场合，保证校园环境整洁；</w:t>
      </w:r>
    </w:p>
    <w:p w14:paraId="089AD09A">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19、工程施工过程中所产生的建筑垃圾应采取袋装，不得放置在道路、广场等公共场合，同时建筑垃圾应及时清理，做到人走场清，建筑垃圾最长堆放时间不得超过48小时；</w:t>
      </w:r>
    </w:p>
    <w:p w14:paraId="36414B82">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01FA9079">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485280F">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035E807A">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23、把好现场安全防护用品、设备、设施安全使用关，严禁不合格产品进入施工现场；</w:t>
      </w:r>
    </w:p>
    <w:p w14:paraId="5B73753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24、做好本单位施工区域和作业点的安全生产、文明施工工作，并服从建设单位统一布置安排；</w:t>
      </w:r>
    </w:p>
    <w:p w14:paraId="7763C22D">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25、施工方人员进入校内楼栋应服从学校相关人员（宿管员及楼宇管理员等）管理，不得随意翻阅室内任何物品，如室内发生失窃事件，应积极配合相关人员检查；</w:t>
      </w:r>
    </w:p>
    <w:p w14:paraId="491D287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26、施工方人员如需进入楼层作业，应事先提供当天现场作业人员相关证件（身份证复印件、劳动合同复印件等），报甲方备案，并及时办理所需相关证件；</w:t>
      </w:r>
    </w:p>
    <w:p w14:paraId="7EA546B2">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27、施工方人员进出校内楼栋应积极配合学校相关人员检查：如包裹口袋、工具箱（盒）、器械等；</w:t>
      </w:r>
    </w:p>
    <w:p w14:paraId="25961E17">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28、施工方人员如需进入校内楼栋施工，应提前三个工作日向建设方报备，不得擅自进入楼内施工；</w:t>
      </w:r>
    </w:p>
    <w:p w14:paraId="0B0D22EA">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29、安全问题包括不仅限于上述情况，如有未尽详细事宜，参照国家法律法规的有关条款执行。</w:t>
      </w:r>
    </w:p>
    <w:p w14:paraId="12011439">
      <w:p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四、处罚条款</w:t>
      </w:r>
    </w:p>
    <w:p w14:paraId="4E717E70">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1、发生重伤和死亡事故，应由甲方主管部门牵头，双方参加，组成事故调查组，查清事故原因，分清事故责任，提出对事故的处理意见，并按有关规定及时向有上级报告；</w:t>
      </w:r>
    </w:p>
    <w:p w14:paraId="730C5D36">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2、由于施工方没有尽到自身安全责任，造成重大安全事故，主要和相关责任者已触及刑律的，报检察院或劳动监督部门处理；</w:t>
      </w:r>
    </w:p>
    <w:p w14:paraId="3C60C83E">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3、施工方安装施工人员违章违纪作业造成安全事故的，施工方负全部责任，并由施工方事故责任者承担造成的经济损失和刑事责任；</w:t>
      </w:r>
    </w:p>
    <w:p w14:paraId="67EED474">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4、施工现场发生安全事故，导致重大伤亡的，相关赔偿责任全部由施工方承担；</w:t>
      </w:r>
    </w:p>
    <w:p w14:paraId="50594F7D">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5、如因施工方或施工方安装施工人员过错给学校造成损失，由施工方负责向校方赔偿，校方有权直接从施工方工程款中将相关损失赔偿款进行抵扣；</w:t>
      </w:r>
    </w:p>
    <w:p w14:paraId="0D4B5717">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6、如施工方未经建设方允许，擅自进入楼内施工，需承担因此造成的经济损失和刑事责任，且建设方保留追究责任的权利；</w:t>
      </w:r>
    </w:p>
    <w:p w14:paraId="1E58B751">
      <w:pPr>
        <w:adjustRightInd w:val="0"/>
        <w:snapToGrid w:val="0"/>
        <w:spacing w:line="288"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7、在施工中产生严重安全问题，将被列入黑名单，禁止进入我校进行任何施工。</w:t>
      </w:r>
    </w:p>
    <w:p w14:paraId="4C7D6D7A">
      <w:pPr>
        <w:adjustRightInd w:val="0"/>
        <w:snapToGrid w:val="0"/>
        <w:spacing w:line="288" w:lineRule="auto"/>
        <w:ind w:firstLine="482"/>
        <w:rPr>
          <w:rFonts w:ascii="仿宋" w:hAnsi="仿宋" w:eastAsia="仿宋" w:cs="仿宋"/>
          <w:color w:val="auto"/>
          <w:szCs w:val="21"/>
          <w:highlight w:val="none"/>
        </w:rPr>
      </w:pPr>
      <w:r>
        <w:rPr>
          <w:rFonts w:hint="eastAsia" w:ascii="仿宋" w:hAnsi="仿宋" w:eastAsia="仿宋" w:cs="仿宋"/>
          <w:b/>
          <w:bCs/>
          <w:color w:val="auto"/>
          <w:szCs w:val="21"/>
          <w:highlight w:val="none"/>
        </w:rPr>
        <w:t>五、本承诺书是浙江工业大学对外来施工安全监管的有效证明文件，是合同的附件，具有法律效力。</w:t>
      </w:r>
    </w:p>
    <w:p w14:paraId="02DDAD00">
      <w:pPr>
        <w:adjustRightInd w:val="0"/>
        <w:snapToGrid w:val="0"/>
        <w:spacing w:line="288" w:lineRule="auto"/>
        <w:ind w:firstLine="48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六、本协议自签订之日起生效，一式两份，双方各执一份。</w:t>
      </w:r>
    </w:p>
    <w:p w14:paraId="0D429E03">
      <w:pPr>
        <w:adjustRightInd w:val="0"/>
        <w:snapToGrid w:val="0"/>
        <w:spacing w:line="288" w:lineRule="auto"/>
        <w:ind w:firstLine="482"/>
        <w:rPr>
          <w:rFonts w:ascii="仿宋" w:hAnsi="仿宋" w:eastAsia="仿宋" w:cs="仿宋"/>
          <w:b/>
          <w:bCs/>
          <w:color w:val="auto"/>
          <w:szCs w:val="21"/>
          <w:highlight w:val="none"/>
        </w:rPr>
      </w:pPr>
    </w:p>
    <w:p w14:paraId="4FB497BB">
      <w:pPr>
        <w:adjustRightInd w:val="0"/>
        <w:snapToGrid w:val="0"/>
        <w:spacing w:line="288" w:lineRule="auto"/>
        <w:ind w:firstLine="482"/>
        <w:rPr>
          <w:rFonts w:ascii="仿宋" w:hAnsi="仿宋" w:eastAsia="仿宋" w:cs="仿宋"/>
          <w:b/>
          <w:bCs/>
          <w:color w:val="auto"/>
          <w:szCs w:val="21"/>
          <w:highlight w:val="none"/>
        </w:rPr>
      </w:pPr>
    </w:p>
    <w:p w14:paraId="5E2DCC12">
      <w:pPr>
        <w:adjustRightInd w:val="0"/>
        <w:snapToGrid w:val="0"/>
        <w:spacing w:line="288" w:lineRule="auto"/>
        <w:ind w:firstLine="4200" w:firstLineChars="2000"/>
        <w:rPr>
          <w:rFonts w:ascii="仿宋" w:hAnsi="仿宋" w:eastAsia="仿宋" w:cs="仿宋"/>
          <w:color w:val="auto"/>
          <w:szCs w:val="21"/>
          <w:highlight w:val="none"/>
        </w:rPr>
      </w:pPr>
      <w:r>
        <w:rPr>
          <w:rFonts w:hint="eastAsia" w:ascii="仿宋" w:hAnsi="仿宋" w:eastAsia="仿宋" w:cs="仿宋"/>
          <w:color w:val="auto"/>
          <w:szCs w:val="21"/>
          <w:highlight w:val="none"/>
        </w:rPr>
        <w:t>施工单位（盖章）：</w:t>
      </w:r>
    </w:p>
    <w:p w14:paraId="1DFAB5B8">
      <w:pPr>
        <w:ind w:firstLine="4410" w:firstLineChars="2100"/>
        <w:rPr>
          <w:rFonts w:ascii="仿宋" w:hAnsi="仿宋" w:eastAsia="仿宋" w:cs="仿宋"/>
          <w:color w:val="auto"/>
          <w:highlight w:val="none"/>
        </w:rPr>
      </w:pPr>
      <w:r>
        <w:rPr>
          <w:rFonts w:hint="eastAsia" w:ascii="仿宋" w:hAnsi="仿宋" w:eastAsia="仿宋" w:cs="仿宋"/>
          <w:color w:val="auto"/>
          <w:szCs w:val="21"/>
          <w:highlight w:val="none"/>
        </w:rPr>
        <w:t>负责人（签字或盖章）：</w:t>
      </w:r>
    </w:p>
    <w:p w14:paraId="6F40FEB8">
      <w:pPr>
        <w:pStyle w:val="30"/>
        <w:snapToGrid w:val="0"/>
        <w:spacing w:before="162" w:after="162" w:line="360" w:lineRule="auto"/>
        <w:ind w:firstLine="420"/>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14:paraId="2046FE93">
      <w:pPr>
        <w:autoSpaceDN w:val="0"/>
        <w:snapToGrid w:val="0"/>
        <w:spacing w:line="360" w:lineRule="auto"/>
        <w:ind w:left="238"/>
        <w:jc w:val="center"/>
        <w:outlineLvl w:val="0"/>
        <w:rPr>
          <w:rFonts w:ascii="仿宋" w:hAnsi="仿宋" w:eastAsia="仿宋" w:cs="宋体"/>
          <w:b/>
          <w:color w:val="auto"/>
          <w:sz w:val="32"/>
          <w:szCs w:val="32"/>
          <w:highlight w:val="none"/>
        </w:rPr>
      </w:pPr>
      <w:bookmarkStart w:id="521" w:name="_Toc351203642"/>
      <w:bookmarkEnd w:id="521"/>
      <w:r>
        <w:rPr>
          <w:rFonts w:hint="eastAsia" w:ascii="仿宋" w:hAnsi="仿宋" w:eastAsia="仿宋" w:cs="宋体"/>
          <w:b/>
          <w:color w:val="auto"/>
          <w:sz w:val="32"/>
          <w:szCs w:val="32"/>
          <w:highlight w:val="none"/>
        </w:rPr>
        <w:t>第六章 响应文件格式</w:t>
      </w:r>
      <w:bookmarkEnd w:id="97"/>
    </w:p>
    <w:p w14:paraId="5EA11196">
      <w:pPr>
        <w:autoSpaceDN w:val="0"/>
        <w:snapToGrid w:val="0"/>
        <w:spacing w:line="360" w:lineRule="auto"/>
        <w:rPr>
          <w:rFonts w:ascii="仿宋" w:hAnsi="仿宋" w:eastAsia="仿宋" w:cs="宋体"/>
          <w:color w:val="auto"/>
          <w:sz w:val="24"/>
          <w:szCs w:val="24"/>
          <w:highlight w:val="none"/>
        </w:rPr>
      </w:pPr>
    </w:p>
    <w:p w14:paraId="642C8C92">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522" w:name="_Toc1935"/>
      <w:r>
        <w:rPr>
          <w:rFonts w:hint="eastAsia" w:ascii="仿宋" w:hAnsi="仿宋" w:eastAsia="仿宋" w:cs="Times New Roman"/>
          <w:b/>
          <w:bCs/>
          <w:color w:val="auto"/>
          <w:sz w:val="32"/>
          <w:szCs w:val="32"/>
          <w:highlight w:val="none"/>
        </w:rPr>
        <w:t>一、资格文件部分格式</w:t>
      </w:r>
      <w:bookmarkEnd w:id="522"/>
    </w:p>
    <w:p w14:paraId="1C199828">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14:paraId="1CEEE537">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13DC28AE">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14:paraId="00114972">
      <w:pPr>
        <w:widowControl/>
        <w:autoSpaceDN w:val="0"/>
        <w:ind w:left="2550"/>
        <w:rPr>
          <w:rFonts w:ascii="仿宋" w:hAnsi="仿宋" w:eastAsia="仿宋" w:cs="Times New Roman"/>
          <w:color w:val="auto"/>
          <w:kern w:val="0"/>
          <w:highlight w:val="none"/>
        </w:rPr>
      </w:pPr>
    </w:p>
    <w:p w14:paraId="323B50AA">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14:paraId="289250B8">
      <w:pPr>
        <w:autoSpaceDE w:val="0"/>
        <w:autoSpaceDN w:val="0"/>
        <w:adjustRightInd w:val="0"/>
        <w:jc w:val="left"/>
        <w:rPr>
          <w:rFonts w:ascii="仿宋" w:hAnsi="仿宋" w:eastAsia="仿宋" w:cs="..ì."/>
          <w:color w:val="auto"/>
          <w:kern w:val="0"/>
          <w:sz w:val="24"/>
          <w:szCs w:val="24"/>
          <w:highlight w:val="none"/>
        </w:rPr>
      </w:pPr>
    </w:p>
    <w:p w14:paraId="102F647C">
      <w:pPr>
        <w:widowControl/>
        <w:autoSpaceDN w:val="0"/>
        <w:ind w:left="2550"/>
        <w:rPr>
          <w:rFonts w:ascii="仿宋" w:hAnsi="仿宋" w:eastAsia="仿宋" w:cs="Times New Roman"/>
          <w:color w:val="auto"/>
          <w:kern w:val="0"/>
          <w:highlight w:val="none"/>
        </w:rPr>
      </w:pPr>
    </w:p>
    <w:p w14:paraId="052EA106">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68E40A97">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14:paraId="0F773187">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6AB3C662">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0DCE7C3D">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14:paraId="4580F372">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7F083A98">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14:paraId="79BCE5C8">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14:paraId="5EC82091">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14:paraId="3E963EB5">
      <w:pPr>
        <w:autoSpaceDN w:val="0"/>
        <w:spacing w:line="360" w:lineRule="auto"/>
        <w:ind w:firstLine="420" w:firstLineChars="200"/>
        <w:rPr>
          <w:rFonts w:ascii="仿宋" w:hAnsi="仿宋" w:eastAsia="仿宋" w:cs="Times New Roman"/>
          <w:color w:val="auto"/>
          <w:szCs w:val="24"/>
          <w:highlight w:val="none"/>
        </w:rPr>
      </w:pPr>
    </w:p>
    <w:p w14:paraId="24F06C0A">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14:paraId="366D7DA5">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523" w:name="_Hlk96934705"/>
      <w:r>
        <w:rPr>
          <w:rFonts w:hint="eastAsia" w:ascii="仿宋" w:hAnsi="仿宋" w:eastAsia="仿宋" w:cs="Times New Roman"/>
          <w:color w:val="auto"/>
          <w:kern w:val="0"/>
          <w:sz w:val="28"/>
          <w:szCs w:val="28"/>
          <w:highlight w:val="none"/>
        </w:rPr>
        <w:t>▲</w:t>
      </w:r>
      <w:bookmarkEnd w:id="523"/>
      <w:r>
        <w:rPr>
          <w:rFonts w:hint="eastAsia" w:ascii="仿宋" w:hAnsi="仿宋" w:eastAsia="仿宋" w:cs="华文中宋"/>
          <w:b/>
          <w:bCs/>
          <w:color w:val="auto"/>
          <w:kern w:val="0"/>
          <w:sz w:val="28"/>
          <w:szCs w:val="28"/>
          <w:highlight w:val="none"/>
        </w:rPr>
        <w:t>（1）资格承诺函</w:t>
      </w:r>
    </w:p>
    <w:p w14:paraId="2179FDC2">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14:paraId="6008B4A5">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浙江工业大学、浙江豪圣建设项目管理有限公司</w:t>
      </w:r>
      <w:r>
        <w:rPr>
          <w:rFonts w:hint="eastAsia" w:ascii="仿宋" w:hAnsi="仿宋" w:eastAsia="仿宋" w:cs="Arial"/>
          <w:b/>
          <w:color w:val="auto"/>
          <w:kern w:val="0"/>
          <w:sz w:val="24"/>
          <w:szCs w:val="24"/>
          <w:highlight w:val="none"/>
        </w:rPr>
        <w:t>：</w:t>
      </w:r>
    </w:p>
    <w:p w14:paraId="49070E7C">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浙江工业大学屏峰校区室外运动场改造工程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HSZB-2024-1155</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14:paraId="2EC37E25">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14:paraId="1CCB15C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14:paraId="360F3FF2">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14:paraId="0214F9CA">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14:paraId="79BF69CF">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14:paraId="3F4B2994">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14:paraId="4186FB97">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726EAE1D">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14:paraId="1B1A7BB5">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14:paraId="62089B41">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14:paraId="7F38F7E8">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14:paraId="478B83AE">
      <w:pPr>
        <w:autoSpaceDN w:val="0"/>
        <w:adjustRightInd w:val="0"/>
        <w:snapToGrid w:val="0"/>
        <w:spacing w:line="480" w:lineRule="auto"/>
        <w:rPr>
          <w:rFonts w:ascii="仿宋" w:hAnsi="仿宋" w:eastAsia="仿宋" w:cs="Times New Roman"/>
          <w:b/>
          <w:bCs/>
          <w:color w:val="auto"/>
          <w:sz w:val="24"/>
          <w:szCs w:val="24"/>
          <w:highlight w:val="none"/>
        </w:rPr>
      </w:pPr>
    </w:p>
    <w:p w14:paraId="4E47828D">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14:paraId="28683AFC">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17FF24D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41AB8E45">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14:paraId="6D7DB3CC">
            <w:pPr>
              <w:autoSpaceDN w:val="0"/>
              <w:spacing w:line="360" w:lineRule="auto"/>
              <w:jc w:val="left"/>
              <w:rPr>
                <w:rFonts w:ascii="仿宋" w:hAnsi="仿宋" w:eastAsia="仿宋" w:cs="Times New Roman"/>
                <w:i/>
                <w:color w:val="auto"/>
                <w:sz w:val="24"/>
                <w:szCs w:val="24"/>
                <w:highlight w:val="none"/>
              </w:rPr>
            </w:pPr>
          </w:p>
          <w:p w14:paraId="0A6784EF">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14:paraId="406386FC">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53E5A4C">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41AECE8">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14:paraId="323564E3">
      <w:pPr>
        <w:autoSpaceDN w:val="0"/>
        <w:adjustRightInd w:val="0"/>
        <w:snapToGrid w:val="0"/>
        <w:spacing w:line="480" w:lineRule="auto"/>
        <w:rPr>
          <w:rFonts w:ascii="Times New Roman" w:hAnsi="Times New Roman" w:eastAsia="宋体" w:cs="Times New Roman"/>
          <w:color w:val="auto"/>
          <w:szCs w:val="24"/>
          <w:highlight w:val="none"/>
        </w:rPr>
      </w:pPr>
    </w:p>
    <w:p w14:paraId="456C19F4">
      <w:pPr>
        <w:autoSpaceDN w:val="0"/>
        <w:adjustRightInd w:val="0"/>
        <w:snapToGrid w:val="0"/>
        <w:spacing w:line="480" w:lineRule="auto"/>
        <w:rPr>
          <w:rFonts w:ascii="Times New Roman" w:hAnsi="Times New Roman" w:eastAsia="宋体" w:cs="Times New Roman"/>
          <w:color w:val="auto"/>
          <w:szCs w:val="24"/>
          <w:highlight w:val="none"/>
        </w:rPr>
      </w:pPr>
    </w:p>
    <w:p w14:paraId="5F2C7609">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p>
    <w:p w14:paraId="47B933A6">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r>
        <w:rPr>
          <w:rFonts w:hint="eastAsia" w:ascii="华文中宋" w:hAnsi="华文中宋" w:eastAsia="宋体" w:cs="Times New Roman"/>
          <w:b/>
          <w:color w:val="auto"/>
          <w:kern w:val="0"/>
          <w:sz w:val="28"/>
          <w:szCs w:val="28"/>
          <w:highlight w:val="none"/>
          <w:u w:val="single"/>
        </w:rPr>
        <w:t>本项目为非专门面向中小企业项目，无须提供</w:t>
      </w:r>
      <w:r>
        <w:rPr>
          <w:rFonts w:hint="eastAsia" w:ascii="华文中宋" w:hAnsi="华文中宋" w:eastAsia="宋体" w:cs="Times New Roman"/>
          <w:bCs/>
          <w:color w:val="auto"/>
          <w:kern w:val="0"/>
          <w:sz w:val="28"/>
          <w:szCs w:val="28"/>
          <w:highlight w:val="none"/>
        </w:rPr>
        <w:t>）</w:t>
      </w:r>
    </w:p>
    <w:p w14:paraId="528540A2">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sectPr>
          <w:headerReference r:id="rId7" w:type="default"/>
          <w:footerReference r:id="rId8" w:type="default"/>
          <w:pgSz w:w="11906" w:h="16838"/>
          <w:pgMar w:top="1440" w:right="1416" w:bottom="1440" w:left="1560" w:header="851" w:footer="1077" w:gutter="0"/>
          <w:cols w:space="720" w:num="1"/>
          <w:docGrid w:linePitch="286" w:charSpace="0"/>
        </w:sectPr>
      </w:pPr>
    </w:p>
    <w:p w14:paraId="2C755775">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36E02B2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2CA8DEA0">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（1）▲设计：具有有效的工程设计综合甲级资质或建筑工程乙级及以上资质（扫描件加盖磋商响应供应商公章）；</w:t>
            </w:r>
          </w:p>
          <w:p w14:paraId="65715FAA">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施工：具有建筑工程施工总承包二级及以上资质；具有有效的安全生产许可证；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有效B类证书；拟派现场安全生产专职管理人员具有“三类人员”有效C类证书；</w:t>
            </w:r>
          </w:p>
          <w:p w14:paraId="496FD7CC">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14:paraId="62B67B2F">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14:paraId="0DA09E42">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14:paraId="65E3F7D5">
            <w:pPr>
              <w:autoSpaceDN w:val="0"/>
              <w:spacing w:line="360" w:lineRule="auto"/>
              <w:ind w:firstLine="703" w:firstLineChars="250"/>
              <w:rPr>
                <w:rFonts w:ascii="仿宋" w:hAnsi="仿宋" w:eastAsia="仿宋" w:cs="Times New Roman"/>
                <w:b/>
                <w:color w:val="auto"/>
                <w:sz w:val="28"/>
                <w:szCs w:val="24"/>
                <w:highlight w:val="none"/>
              </w:rPr>
            </w:pPr>
          </w:p>
          <w:p w14:paraId="75A78682">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14:paraId="1946E904">
      <w:pPr>
        <w:widowControl/>
        <w:spacing w:line="360" w:lineRule="auto"/>
        <w:jc w:val="left"/>
        <w:rPr>
          <w:rFonts w:ascii="Cambria" w:hAnsi="Cambria" w:eastAsia="华文中宋" w:cs="Times New Roman"/>
          <w:b/>
          <w:bCs/>
          <w:color w:val="auto"/>
          <w:kern w:val="0"/>
          <w:sz w:val="28"/>
          <w:szCs w:val="28"/>
          <w:highlight w:val="none"/>
        </w:rPr>
        <w:sectPr>
          <w:pgSz w:w="11906" w:h="16838"/>
          <w:pgMar w:top="1440" w:right="1416" w:bottom="1440" w:left="1560" w:header="851" w:footer="1077" w:gutter="0"/>
          <w:cols w:space="720" w:num="1"/>
          <w:docGrid w:linePitch="286" w:charSpace="0"/>
        </w:sectPr>
      </w:pPr>
    </w:p>
    <w:p w14:paraId="61D68D77">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524" w:name="_Hlk106785996"/>
      <w:r>
        <w:rPr>
          <w:rFonts w:hint="eastAsia" w:ascii="仿宋" w:hAnsi="仿宋" w:eastAsia="仿宋" w:cs="Times New Roman"/>
          <w:b/>
          <w:bCs/>
          <w:color w:val="auto"/>
          <w:sz w:val="28"/>
          <w:szCs w:val="28"/>
          <w:highlight w:val="none"/>
        </w:rPr>
        <w:t>4联</w:t>
      </w:r>
      <w:bookmarkEnd w:id="524"/>
      <w:r>
        <w:rPr>
          <w:rFonts w:hint="eastAsia" w:ascii="仿宋" w:hAnsi="仿宋" w:eastAsia="仿宋" w:cs="Times New Roman"/>
          <w:b/>
          <w:bCs/>
          <w:color w:val="auto"/>
          <w:sz w:val="28"/>
          <w:szCs w:val="28"/>
          <w:highlight w:val="none"/>
        </w:rPr>
        <w:t>合投标协议书</w:t>
      </w:r>
    </w:p>
    <w:p w14:paraId="7EFE0331">
      <w:pPr>
        <w:widowControl/>
        <w:autoSpaceDN w:val="0"/>
        <w:spacing w:line="360" w:lineRule="auto"/>
        <w:jc w:val="center"/>
        <w:rPr>
          <w:rFonts w:ascii="仿宋" w:hAnsi="仿宋" w:eastAsia="仿宋" w:cs="Arial"/>
          <w:b/>
          <w:color w:val="auto"/>
          <w:w w:val="80"/>
          <w:kern w:val="0"/>
          <w:sz w:val="32"/>
          <w:szCs w:val="32"/>
          <w:highlight w:val="none"/>
        </w:rPr>
      </w:pPr>
      <w:bookmarkStart w:id="525" w:name="_Hlk106785969"/>
      <w:r>
        <w:rPr>
          <w:rFonts w:hint="eastAsia" w:ascii="仿宋" w:hAnsi="仿宋" w:eastAsia="仿宋" w:cs="Times New Roman"/>
          <w:b/>
          <w:color w:val="auto"/>
          <w:sz w:val="32"/>
          <w:szCs w:val="32"/>
          <w:highlight w:val="none"/>
        </w:rPr>
        <w:t>▲</w:t>
      </w:r>
      <w:bookmarkEnd w:id="525"/>
      <w:r>
        <w:rPr>
          <w:rFonts w:hint="eastAsia" w:ascii="仿宋" w:hAnsi="仿宋" w:eastAsia="仿宋" w:cs="Times New Roman"/>
          <w:b/>
          <w:color w:val="auto"/>
          <w:sz w:val="32"/>
          <w:szCs w:val="32"/>
          <w:highlight w:val="none"/>
        </w:rPr>
        <w:t>联合投标协议书（仅联合体适用）</w:t>
      </w:r>
    </w:p>
    <w:p w14:paraId="71CD5D64">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526" w:name="_Hlk106698985"/>
      <w:r>
        <w:rPr>
          <w:rFonts w:hint="eastAsia" w:ascii="仿宋" w:hAnsi="仿宋" w:eastAsia="仿宋" w:cs="Arial"/>
          <w:b/>
          <w:color w:val="auto"/>
          <w:kern w:val="0"/>
          <w:sz w:val="24"/>
          <w:szCs w:val="24"/>
          <w:highlight w:val="none"/>
          <w:u w:val="single"/>
          <w:lang w:eastAsia="zh-CN"/>
        </w:rPr>
        <w:t>浙江工业大学屏峰校区室外运动场改造工程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HSZB-2024-1155</w:t>
      </w:r>
      <w:r>
        <w:rPr>
          <w:rFonts w:hint="eastAsia" w:ascii="仿宋" w:hAnsi="仿宋" w:eastAsia="仿宋" w:cs="Arial"/>
          <w:b/>
          <w:color w:val="auto"/>
          <w:kern w:val="0"/>
          <w:sz w:val="24"/>
          <w:szCs w:val="24"/>
          <w:highlight w:val="none"/>
          <w:u w:val="single"/>
        </w:rPr>
        <w:t>）</w:t>
      </w:r>
      <w:bookmarkEnd w:id="526"/>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14:paraId="6E84C96D">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14:paraId="77303D6D">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14:paraId="10B16EEB">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14:paraId="01F8EBA4">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574A3E2">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26BFDC83">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14:paraId="297B5C0B">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14:paraId="7C86CC49">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14:paraId="5A5818DC">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14:paraId="00BE9202">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14:paraId="29F4014A">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14:paraId="10E22DF5">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w:t>
      </w:r>
      <w:r>
        <w:rPr>
          <w:rFonts w:ascii="仿宋" w:hAnsi="仿宋" w:eastAsia="仿宋" w:cs="Arial"/>
          <w:color w:val="auto"/>
          <w:sz w:val="24"/>
          <w:szCs w:val="24"/>
          <w:highlight w:val="none"/>
        </w:rPr>
        <w:t>_________</w:t>
      </w:r>
      <w:r>
        <w:rPr>
          <w:rFonts w:hint="eastAsia" w:ascii="仿宋" w:hAnsi="仿宋" w:eastAsia="仿宋" w:cs="Arial"/>
          <w:color w:val="auto"/>
          <w:sz w:val="24"/>
          <w:szCs w:val="24"/>
          <w:highlight w:val="none"/>
        </w:rPr>
        <w:t>_________________________________________________</w:t>
      </w:r>
    </w:p>
    <w:p w14:paraId="5009C637">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14:paraId="220602A3">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14:paraId="5B9FF07E">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14:paraId="21DA0457">
      <w:pPr>
        <w:autoSpaceDN w:val="0"/>
        <w:spacing w:line="360" w:lineRule="auto"/>
        <w:ind w:firstLine="463" w:firstLineChars="193"/>
        <w:rPr>
          <w:rFonts w:ascii="仿宋" w:hAnsi="仿宋" w:eastAsia="仿宋" w:cs="Arial"/>
          <w:color w:val="auto"/>
          <w:sz w:val="24"/>
          <w:szCs w:val="24"/>
          <w:highlight w:val="none"/>
        </w:rPr>
      </w:pPr>
    </w:p>
    <w:p w14:paraId="43E54D08">
      <w:pPr>
        <w:widowControl/>
        <w:autoSpaceDN w:val="0"/>
        <w:spacing w:line="360" w:lineRule="auto"/>
        <w:rPr>
          <w:rFonts w:ascii="仿宋" w:hAnsi="仿宋" w:eastAsia="仿宋" w:cs="Arial"/>
          <w:color w:val="auto"/>
          <w:sz w:val="24"/>
          <w:szCs w:val="24"/>
          <w:highlight w:val="none"/>
        </w:rPr>
      </w:pPr>
    </w:p>
    <w:p w14:paraId="4EC8F410">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14:paraId="0E47E095">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14:paraId="767F74A4">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14:paraId="12AAA07B">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14:paraId="36DB4D8D">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14:paraId="163ADCE9">
      <w:pPr>
        <w:autoSpaceDN w:val="0"/>
        <w:spacing w:line="360" w:lineRule="auto"/>
        <w:ind w:firstLine="463" w:firstLineChars="193"/>
        <w:rPr>
          <w:rFonts w:ascii="仿宋" w:hAnsi="仿宋" w:eastAsia="仿宋" w:cs="Arial"/>
          <w:color w:val="auto"/>
          <w:sz w:val="24"/>
          <w:szCs w:val="24"/>
          <w:highlight w:val="none"/>
        </w:rPr>
      </w:pPr>
    </w:p>
    <w:p w14:paraId="6B39A372">
      <w:pPr>
        <w:autoSpaceDN w:val="0"/>
        <w:spacing w:line="360" w:lineRule="auto"/>
        <w:ind w:firstLine="463" w:firstLineChars="193"/>
        <w:rPr>
          <w:rFonts w:ascii="仿宋" w:hAnsi="仿宋" w:eastAsia="仿宋" w:cs="Arial"/>
          <w:color w:val="auto"/>
          <w:sz w:val="24"/>
          <w:szCs w:val="24"/>
          <w:highlight w:val="none"/>
        </w:rPr>
      </w:pPr>
    </w:p>
    <w:p w14:paraId="1D402D39">
      <w:pPr>
        <w:autoSpaceDN w:val="0"/>
        <w:spacing w:line="360" w:lineRule="auto"/>
        <w:ind w:firstLine="463" w:firstLineChars="193"/>
        <w:rPr>
          <w:rFonts w:ascii="仿宋" w:hAnsi="仿宋" w:eastAsia="仿宋" w:cs="Arial"/>
          <w:color w:val="auto"/>
          <w:sz w:val="24"/>
          <w:szCs w:val="24"/>
          <w:highlight w:val="none"/>
        </w:rPr>
      </w:pPr>
    </w:p>
    <w:p w14:paraId="4213B142">
      <w:pPr>
        <w:autoSpaceDN w:val="0"/>
        <w:spacing w:line="360" w:lineRule="auto"/>
        <w:ind w:firstLine="463" w:firstLineChars="193"/>
        <w:rPr>
          <w:rFonts w:ascii="仿宋" w:hAnsi="仿宋" w:eastAsia="仿宋" w:cs="Arial"/>
          <w:color w:val="auto"/>
          <w:sz w:val="24"/>
          <w:szCs w:val="24"/>
          <w:highlight w:val="none"/>
        </w:rPr>
      </w:pPr>
    </w:p>
    <w:p w14:paraId="08840ABF">
      <w:pPr>
        <w:autoSpaceDN w:val="0"/>
        <w:spacing w:line="360" w:lineRule="auto"/>
        <w:ind w:firstLine="463" w:firstLineChars="193"/>
        <w:rPr>
          <w:rFonts w:ascii="仿宋" w:hAnsi="仿宋" w:eastAsia="仿宋" w:cs="Arial"/>
          <w:color w:val="auto"/>
          <w:sz w:val="24"/>
          <w:szCs w:val="24"/>
          <w:highlight w:val="none"/>
        </w:rPr>
      </w:pPr>
    </w:p>
    <w:p w14:paraId="4C9CE5BA">
      <w:pPr>
        <w:autoSpaceDN w:val="0"/>
        <w:spacing w:line="360" w:lineRule="auto"/>
        <w:ind w:firstLine="463" w:firstLineChars="193"/>
        <w:rPr>
          <w:rFonts w:ascii="仿宋" w:hAnsi="仿宋" w:eastAsia="仿宋" w:cs="Arial"/>
          <w:color w:val="auto"/>
          <w:sz w:val="24"/>
          <w:szCs w:val="24"/>
          <w:highlight w:val="none"/>
        </w:rPr>
      </w:pPr>
    </w:p>
    <w:p w14:paraId="3A25EE15">
      <w:pPr>
        <w:autoSpaceDN w:val="0"/>
        <w:spacing w:line="360" w:lineRule="auto"/>
        <w:ind w:firstLine="463" w:firstLineChars="193"/>
        <w:rPr>
          <w:rFonts w:ascii="仿宋" w:hAnsi="仿宋" w:eastAsia="仿宋" w:cs="Arial"/>
          <w:color w:val="auto"/>
          <w:sz w:val="24"/>
          <w:szCs w:val="24"/>
          <w:highlight w:val="none"/>
        </w:rPr>
      </w:pPr>
    </w:p>
    <w:p w14:paraId="5C2B697A">
      <w:pPr>
        <w:autoSpaceDN w:val="0"/>
        <w:spacing w:line="360" w:lineRule="auto"/>
        <w:ind w:firstLine="463" w:firstLineChars="193"/>
        <w:rPr>
          <w:rFonts w:ascii="仿宋" w:hAnsi="仿宋" w:eastAsia="仿宋" w:cs="Arial"/>
          <w:color w:val="auto"/>
          <w:sz w:val="24"/>
          <w:szCs w:val="24"/>
          <w:highlight w:val="none"/>
        </w:rPr>
      </w:pPr>
    </w:p>
    <w:p w14:paraId="087A62F6">
      <w:pPr>
        <w:autoSpaceDN w:val="0"/>
        <w:spacing w:line="360" w:lineRule="auto"/>
        <w:ind w:firstLine="463" w:firstLineChars="193"/>
        <w:rPr>
          <w:rFonts w:ascii="仿宋" w:hAnsi="仿宋" w:eastAsia="仿宋" w:cs="Arial"/>
          <w:color w:val="auto"/>
          <w:sz w:val="24"/>
          <w:szCs w:val="24"/>
          <w:highlight w:val="none"/>
        </w:rPr>
      </w:pPr>
    </w:p>
    <w:p w14:paraId="5A333196">
      <w:pPr>
        <w:autoSpaceDN w:val="0"/>
        <w:spacing w:line="360" w:lineRule="auto"/>
        <w:ind w:firstLine="463" w:firstLineChars="193"/>
        <w:rPr>
          <w:rFonts w:ascii="仿宋" w:hAnsi="仿宋" w:eastAsia="仿宋" w:cs="Arial"/>
          <w:color w:val="auto"/>
          <w:sz w:val="24"/>
          <w:szCs w:val="24"/>
          <w:highlight w:val="none"/>
        </w:rPr>
      </w:pPr>
    </w:p>
    <w:p w14:paraId="79022680">
      <w:pPr>
        <w:autoSpaceDN w:val="0"/>
        <w:spacing w:line="360" w:lineRule="auto"/>
        <w:ind w:firstLine="463" w:firstLineChars="193"/>
        <w:rPr>
          <w:rFonts w:ascii="仿宋" w:hAnsi="仿宋" w:eastAsia="仿宋" w:cs="Arial"/>
          <w:color w:val="auto"/>
          <w:sz w:val="24"/>
          <w:szCs w:val="24"/>
          <w:highlight w:val="none"/>
        </w:rPr>
      </w:pPr>
    </w:p>
    <w:p w14:paraId="628BE2A0">
      <w:pPr>
        <w:autoSpaceDN w:val="0"/>
        <w:spacing w:line="200" w:lineRule="exact"/>
        <w:ind w:firstLine="301"/>
        <w:rPr>
          <w:rFonts w:ascii="宋体" w:hAnsi="Courier New" w:eastAsia="宋体" w:cs="Times New Roman"/>
          <w:color w:val="auto"/>
          <w:spacing w:val="-4"/>
          <w:kern w:val="0"/>
          <w:sz w:val="18"/>
          <w:szCs w:val="20"/>
          <w:highlight w:val="none"/>
        </w:rPr>
      </w:pPr>
    </w:p>
    <w:p w14:paraId="2B820425">
      <w:pPr>
        <w:autoSpaceDN w:val="0"/>
        <w:spacing w:line="200" w:lineRule="exact"/>
        <w:ind w:firstLine="301"/>
        <w:rPr>
          <w:rFonts w:ascii="宋体" w:hAnsi="Courier New" w:eastAsia="宋体" w:cs="Times New Roman"/>
          <w:color w:val="auto"/>
          <w:spacing w:val="-4"/>
          <w:kern w:val="0"/>
          <w:sz w:val="18"/>
          <w:szCs w:val="20"/>
          <w:highlight w:val="none"/>
        </w:rPr>
      </w:pPr>
    </w:p>
    <w:p w14:paraId="35E5C81F">
      <w:pPr>
        <w:autoSpaceDN w:val="0"/>
        <w:spacing w:line="200" w:lineRule="exact"/>
        <w:ind w:firstLine="301"/>
        <w:rPr>
          <w:rFonts w:ascii="宋体" w:hAnsi="Courier New" w:eastAsia="宋体" w:cs="Times New Roman"/>
          <w:color w:val="auto"/>
          <w:spacing w:val="-4"/>
          <w:kern w:val="0"/>
          <w:sz w:val="18"/>
          <w:szCs w:val="20"/>
          <w:highlight w:val="none"/>
        </w:rPr>
      </w:pPr>
    </w:p>
    <w:p w14:paraId="4B3B2E71">
      <w:pPr>
        <w:autoSpaceDN w:val="0"/>
        <w:spacing w:line="200" w:lineRule="exact"/>
        <w:ind w:firstLine="301"/>
        <w:rPr>
          <w:rFonts w:ascii="宋体" w:hAnsi="Courier New" w:eastAsia="宋体" w:cs="Times New Roman"/>
          <w:color w:val="auto"/>
          <w:spacing w:val="-4"/>
          <w:kern w:val="0"/>
          <w:sz w:val="18"/>
          <w:szCs w:val="20"/>
          <w:highlight w:val="none"/>
        </w:rPr>
      </w:pPr>
    </w:p>
    <w:p w14:paraId="38719572">
      <w:pPr>
        <w:autoSpaceDN w:val="0"/>
        <w:spacing w:line="200" w:lineRule="exact"/>
        <w:ind w:firstLine="301"/>
        <w:rPr>
          <w:rFonts w:ascii="宋体" w:hAnsi="Courier New" w:eastAsia="宋体" w:cs="Times New Roman"/>
          <w:color w:val="auto"/>
          <w:spacing w:val="-4"/>
          <w:kern w:val="0"/>
          <w:sz w:val="18"/>
          <w:szCs w:val="20"/>
          <w:highlight w:val="none"/>
        </w:rPr>
      </w:pPr>
    </w:p>
    <w:p w14:paraId="787EFB92">
      <w:pPr>
        <w:autoSpaceDN w:val="0"/>
        <w:spacing w:line="200" w:lineRule="exact"/>
        <w:ind w:firstLine="301"/>
        <w:rPr>
          <w:rFonts w:ascii="宋体" w:hAnsi="Courier New" w:eastAsia="宋体" w:cs="Times New Roman"/>
          <w:color w:val="auto"/>
          <w:spacing w:val="-4"/>
          <w:kern w:val="0"/>
          <w:sz w:val="18"/>
          <w:szCs w:val="20"/>
          <w:highlight w:val="none"/>
        </w:rPr>
      </w:pPr>
    </w:p>
    <w:p w14:paraId="3A8602FB">
      <w:pPr>
        <w:autoSpaceDN w:val="0"/>
        <w:spacing w:line="360" w:lineRule="auto"/>
        <w:ind w:firstLine="463" w:firstLineChars="193"/>
        <w:rPr>
          <w:rFonts w:ascii="仿宋" w:hAnsi="仿宋" w:eastAsia="仿宋" w:cs="Arial"/>
          <w:color w:val="auto"/>
          <w:sz w:val="24"/>
          <w:szCs w:val="24"/>
          <w:highlight w:val="none"/>
        </w:rPr>
      </w:pPr>
    </w:p>
    <w:p w14:paraId="422D233C">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14:paraId="58AD9CA5">
      <w:pPr>
        <w:pStyle w:val="75"/>
        <w:rPr>
          <w:color w:val="auto"/>
          <w:highlight w:val="none"/>
        </w:rPr>
      </w:pPr>
    </w:p>
    <w:p w14:paraId="175F5CB5">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14:paraId="40743B69">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14:paraId="4617F2B3">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14:paraId="1FC6A8C7">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浙江工业大学屏峰校区室外运动场改造工程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HSZB-2024-1155</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14:paraId="2345956A">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14:paraId="3F81C30C">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14:paraId="70247E65">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14:paraId="4311DD21">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14:paraId="1F5D1F52">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14:paraId="52874895">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14:paraId="2AF85405">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14:paraId="13BC2022">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14:paraId="33296370">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14:paraId="55D8842C">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14:paraId="6E536692">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14:paraId="1092E009">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14:paraId="6DA96972">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14:paraId="173F32C0">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6E8ABECC">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5BC68A26">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14:paraId="6AAEBF53">
      <w:pPr>
        <w:autoSpaceDN w:val="0"/>
        <w:spacing w:line="360" w:lineRule="auto"/>
        <w:ind w:firstLine="463" w:firstLineChars="193"/>
        <w:rPr>
          <w:rFonts w:ascii="仿宋" w:hAnsi="仿宋" w:eastAsia="仿宋" w:cs="Arial"/>
          <w:color w:val="auto"/>
          <w:sz w:val="24"/>
          <w:szCs w:val="24"/>
          <w:highlight w:val="none"/>
        </w:rPr>
      </w:pPr>
    </w:p>
    <w:p w14:paraId="4CEEC618">
      <w:pPr>
        <w:autoSpaceDN w:val="0"/>
        <w:spacing w:line="200" w:lineRule="exact"/>
        <w:ind w:firstLine="301"/>
        <w:rPr>
          <w:rFonts w:ascii="宋体" w:hAnsi="Courier New" w:eastAsia="宋体" w:cs="Times New Roman"/>
          <w:color w:val="auto"/>
          <w:spacing w:val="-4"/>
          <w:kern w:val="0"/>
          <w:sz w:val="18"/>
          <w:szCs w:val="20"/>
          <w:highlight w:val="none"/>
        </w:rPr>
      </w:pPr>
    </w:p>
    <w:p w14:paraId="7F32529E">
      <w:pPr>
        <w:autoSpaceDN w:val="0"/>
        <w:spacing w:line="200" w:lineRule="exact"/>
        <w:ind w:firstLine="301"/>
        <w:rPr>
          <w:rFonts w:ascii="宋体" w:hAnsi="Courier New" w:eastAsia="宋体" w:cs="Times New Roman"/>
          <w:color w:val="auto"/>
          <w:spacing w:val="-4"/>
          <w:kern w:val="0"/>
          <w:sz w:val="18"/>
          <w:szCs w:val="20"/>
          <w:highlight w:val="none"/>
        </w:rPr>
      </w:pPr>
    </w:p>
    <w:p w14:paraId="489877AD">
      <w:pPr>
        <w:autoSpaceDN w:val="0"/>
        <w:spacing w:line="200" w:lineRule="exact"/>
        <w:ind w:firstLine="301"/>
        <w:rPr>
          <w:rFonts w:ascii="宋体" w:hAnsi="Courier New" w:eastAsia="宋体" w:cs="Times New Roman"/>
          <w:color w:val="auto"/>
          <w:spacing w:val="-4"/>
          <w:kern w:val="0"/>
          <w:sz w:val="18"/>
          <w:szCs w:val="20"/>
          <w:highlight w:val="none"/>
        </w:rPr>
      </w:pPr>
    </w:p>
    <w:p w14:paraId="1C34007E">
      <w:pPr>
        <w:rPr>
          <w:rFonts w:ascii="仿宋" w:hAnsi="仿宋" w:eastAsia="仿宋" w:cs="Times New Roman"/>
          <w:b/>
          <w:bCs/>
          <w:color w:val="auto"/>
          <w:sz w:val="32"/>
          <w:szCs w:val="32"/>
          <w:highlight w:val="none"/>
        </w:rPr>
      </w:pPr>
      <w:bookmarkStart w:id="527" w:name="_Toc96947080"/>
      <w:r>
        <w:rPr>
          <w:rFonts w:hint="eastAsia" w:ascii="仿宋" w:hAnsi="仿宋" w:eastAsia="仿宋" w:cs="Times New Roman"/>
          <w:b/>
          <w:bCs/>
          <w:color w:val="auto"/>
          <w:sz w:val="32"/>
          <w:szCs w:val="32"/>
          <w:highlight w:val="none"/>
        </w:rPr>
        <w:br w:type="page"/>
      </w:r>
    </w:p>
    <w:p w14:paraId="120390AF">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528" w:name="_Toc16209"/>
      <w:r>
        <w:rPr>
          <w:rFonts w:hint="eastAsia" w:ascii="仿宋" w:hAnsi="仿宋" w:eastAsia="仿宋" w:cs="Times New Roman"/>
          <w:b/>
          <w:bCs/>
          <w:color w:val="auto"/>
          <w:sz w:val="32"/>
          <w:szCs w:val="32"/>
          <w:highlight w:val="none"/>
        </w:rPr>
        <w:t>二、商务技术文件部分格式</w:t>
      </w:r>
      <w:bookmarkEnd w:id="527"/>
      <w:bookmarkEnd w:id="528"/>
    </w:p>
    <w:p w14:paraId="2DD231D0">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73CDC0CA">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14:paraId="376A097B">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14:paraId="79FA9683">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14:paraId="1D6D0FD6">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14:paraId="7C053C1C">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6FE0074A">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00848B50">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77E11F0D">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14:paraId="12712F43">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B2ECDD2">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6D9AB8C5">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63AF4258">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55910FA5">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39121970">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0666B821">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2DB286AF">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34E59FFF">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14:paraId="6837CADB">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14:paraId="3F6E2FDD">
      <w:pPr>
        <w:autoSpaceDN w:val="0"/>
        <w:spacing w:line="360" w:lineRule="auto"/>
        <w:jc w:val="center"/>
        <w:rPr>
          <w:rFonts w:ascii="华文中宋" w:hAnsi="华文中宋" w:eastAsia="华文中宋" w:cs="Arial"/>
          <w:b/>
          <w:color w:val="auto"/>
          <w:kern w:val="0"/>
          <w:sz w:val="36"/>
          <w:szCs w:val="32"/>
          <w:highlight w:val="none"/>
        </w:rPr>
      </w:pPr>
    </w:p>
    <w:p w14:paraId="012F183E">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14:paraId="06C1A5AB">
      <w:pPr>
        <w:autoSpaceDN w:val="0"/>
        <w:spacing w:line="360" w:lineRule="auto"/>
        <w:rPr>
          <w:rFonts w:ascii="Arial" w:hAnsi="新宋体" w:eastAsia="新宋体" w:cs="Arial"/>
          <w:b/>
          <w:color w:val="auto"/>
          <w:kern w:val="0"/>
          <w:sz w:val="28"/>
          <w:szCs w:val="28"/>
          <w:highlight w:val="none"/>
          <w:u w:val="single"/>
        </w:rPr>
      </w:pPr>
    </w:p>
    <w:p w14:paraId="4DFD4BDE">
      <w:pPr>
        <w:autoSpaceDN w:val="0"/>
        <w:spacing w:line="360" w:lineRule="auto"/>
        <w:rPr>
          <w:rFonts w:ascii="仿宋" w:hAnsi="仿宋" w:eastAsia="仿宋" w:cs="Arial"/>
          <w:b/>
          <w:color w:val="auto"/>
          <w:kern w:val="0"/>
          <w:sz w:val="32"/>
          <w:szCs w:val="28"/>
          <w:highlight w:val="none"/>
          <w:u w:val="single"/>
        </w:rPr>
      </w:pPr>
      <w:bookmarkStart w:id="529" w:name="_Hlk96945497"/>
      <w:r>
        <w:rPr>
          <w:rFonts w:hint="eastAsia" w:ascii="仿宋" w:hAnsi="仿宋" w:eastAsia="仿宋" w:cs="Arial"/>
          <w:b/>
          <w:color w:val="auto"/>
          <w:w w:val="90"/>
          <w:kern w:val="0"/>
          <w:sz w:val="28"/>
          <w:highlight w:val="none"/>
          <w:u w:val="single"/>
        </w:rPr>
        <w:t>浙江工业大学、浙江豪圣建设项目管理有限公司</w:t>
      </w:r>
      <w:r>
        <w:rPr>
          <w:rFonts w:hint="eastAsia" w:ascii="仿宋" w:hAnsi="仿宋" w:eastAsia="仿宋" w:cs="Arial"/>
          <w:b/>
          <w:color w:val="auto"/>
          <w:w w:val="90"/>
          <w:kern w:val="0"/>
          <w:sz w:val="28"/>
          <w:highlight w:val="none"/>
        </w:rPr>
        <w:t>：</w:t>
      </w:r>
    </w:p>
    <w:bookmarkEnd w:id="529"/>
    <w:p w14:paraId="09545237">
      <w:pPr>
        <w:autoSpaceDN w:val="0"/>
        <w:spacing w:line="360" w:lineRule="auto"/>
        <w:rPr>
          <w:rFonts w:ascii="仿宋" w:hAnsi="仿宋" w:eastAsia="仿宋" w:cs="Arial"/>
          <w:color w:val="auto"/>
          <w:kern w:val="0"/>
          <w:sz w:val="32"/>
          <w:szCs w:val="28"/>
          <w:highlight w:val="none"/>
        </w:rPr>
      </w:pPr>
    </w:p>
    <w:p w14:paraId="02E2B996">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浙江工业大学屏峰校区室外运动场改造工程</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HSZB-2024-1155</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4EF66C69">
      <w:pPr>
        <w:autoSpaceDN w:val="0"/>
        <w:spacing w:line="360" w:lineRule="auto"/>
        <w:ind w:firstLine="560" w:firstLineChars="200"/>
        <w:rPr>
          <w:rFonts w:ascii="仿宋" w:hAnsi="仿宋" w:eastAsia="仿宋" w:cs="Arial"/>
          <w:color w:val="auto"/>
          <w:kern w:val="0"/>
          <w:sz w:val="28"/>
          <w:highlight w:val="none"/>
        </w:rPr>
      </w:pPr>
    </w:p>
    <w:p w14:paraId="5EA9C579">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14:paraId="32098ED2">
      <w:pPr>
        <w:autoSpaceDN w:val="0"/>
        <w:spacing w:line="360" w:lineRule="auto"/>
        <w:ind w:firstLine="420" w:firstLineChars="200"/>
        <w:rPr>
          <w:rFonts w:ascii="仿宋" w:hAnsi="仿宋" w:eastAsia="仿宋" w:cs="Arial"/>
          <w:color w:val="auto"/>
          <w:kern w:val="0"/>
          <w:highlight w:val="none"/>
        </w:rPr>
      </w:pPr>
    </w:p>
    <w:p w14:paraId="33B8DC4A">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14:paraId="55E7E018">
      <w:pPr>
        <w:autoSpaceDN w:val="0"/>
        <w:snapToGrid w:val="0"/>
        <w:spacing w:line="360" w:lineRule="auto"/>
        <w:ind w:left="567" w:leftChars="270"/>
        <w:rPr>
          <w:rFonts w:ascii="仿宋" w:hAnsi="仿宋" w:eastAsia="仿宋" w:cs="Arial"/>
          <w:color w:val="auto"/>
          <w:sz w:val="28"/>
          <w:szCs w:val="28"/>
          <w:highlight w:val="none"/>
        </w:rPr>
      </w:pPr>
    </w:p>
    <w:p w14:paraId="3B8CD10F">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14:paraId="243D0C36">
      <w:pPr>
        <w:autoSpaceDN w:val="0"/>
        <w:snapToGrid w:val="0"/>
        <w:spacing w:line="360" w:lineRule="auto"/>
        <w:ind w:left="567" w:leftChars="270"/>
        <w:rPr>
          <w:rFonts w:ascii="仿宋" w:hAnsi="仿宋" w:eastAsia="仿宋" w:cs="Times New Roman"/>
          <w:color w:val="auto"/>
          <w:szCs w:val="24"/>
          <w:highlight w:val="none"/>
        </w:rPr>
      </w:pPr>
    </w:p>
    <w:p w14:paraId="550A2C56">
      <w:pPr>
        <w:autoSpaceDN w:val="0"/>
        <w:spacing w:line="200" w:lineRule="exact"/>
        <w:ind w:firstLine="301"/>
        <w:rPr>
          <w:rFonts w:ascii="宋体" w:hAnsi="Courier New" w:eastAsia="宋体" w:cs="Times New Roman"/>
          <w:color w:val="auto"/>
          <w:spacing w:val="-4"/>
          <w:kern w:val="0"/>
          <w:sz w:val="18"/>
          <w:szCs w:val="20"/>
          <w:highlight w:val="none"/>
        </w:rPr>
      </w:pPr>
    </w:p>
    <w:p w14:paraId="0253CC58">
      <w:pPr>
        <w:autoSpaceDN w:val="0"/>
        <w:spacing w:line="200" w:lineRule="exact"/>
        <w:ind w:firstLine="301"/>
        <w:rPr>
          <w:rFonts w:ascii="宋体" w:hAnsi="Courier New" w:eastAsia="宋体" w:cs="Times New Roman"/>
          <w:color w:val="auto"/>
          <w:spacing w:val="-4"/>
          <w:kern w:val="0"/>
          <w:sz w:val="18"/>
          <w:szCs w:val="20"/>
          <w:highlight w:val="none"/>
        </w:rPr>
      </w:pPr>
    </w:p>
    <w:p w14:paraId="63D2EB10">
      <w:pPr>
        <w:autoSpaceDN w:val="0"/>
        <w:spacing w:line="200" w:lineRule="exact"/>
        <w:ind w:firstLine="301"/>
        <w:rPr>
          <w:rFonts w:ascii="宋体" w:hAnsi="Courier New" w:eastAsia="宋体" w:cs="Times New Roman"/>
          <w:color w:val="auto"/>
          <w:spacing w:val="-4"/>
          <w:kern w:val="0"/>
          <w:sz w:val="18"/>
          <w:szCs w:val="20"/>
          <w:highlight w:val="none"/>
        </w:rPr>
      </w:pPr>
    </w:p>
    <w:p w14:paraId="2D90AD44">
      <w:pPr>
        <w:autoSpaceDN w:val="0"/>
        <w:spacing w:line="200" w:lineRule="exact"/>
        <w:ind w:firstLine="301"/>
        <w:rPr>
          <w:rFonts w:ascii="宋体" w:hAnsi="Courier New" w:eastAsia="宋体" w:cs="Times New Roman"/>
          <w:color w:val="auto"/>
          <w:spacing w:val="-4"/>
          <w:kern w:val="0"/>
          <w:sz w:val="18"/>
          <w:szCs w:val="20"/>
          <w:highlight w:val="none"/>
        </w:rPr>
      </w:pPr>
    </w:p>
    <w:p w14:paraId="2253DC20">
      <w:pPr>
        <w:autoSpaceDN w:val="0"/>
        <w:spacing w:line="200" w:lineRule="exact"/>
        <w:ind w:firstLine="301"/>
        <w:rPr>
          <w:rFonts w:ascii="宋体" w:hAnsi="Courier New" w:eastAsia="宋体" w:cs="Times New Roman"/>
          <w:color w:val="auto"/>
          <w:spacing w:val="-4"/>
          <w:kern w:val="0"/>
          <w:sz w:val="18"/>
          <w:szCs w:val="20"/>
          <w:highlight w:val="none"/>
        </w:rPr>
      </w:pPr>
    </w:p>
    <w:p w14:paraId="063089FA">
      <w:pPr>
        <w:autoSpaceDN w:val="0"/>
        <w:spacing w:line="200" w:lineRule="exact"/>
        <w:ind w:firstLine="301"/>
        <w:rPr>
          <w:rFonts w:ascii="宋体" w:hAnsi="Courier New" w:eastAsia="宋体" w:cs="Times New Roman"/>
          <w:color w:val="auto"/>
          <w:spacing w:val="-4"/>
          <w:kern w:val="0"/>
          <w:sz w:val="18"/>
          <w:szCs w:val="20"/>
          <w:highlight w:val="none"/>
        </w:rPr>
      </w:pPr>
    </w:p>
    <w:p w14:paraId="0F29E0D7">
      <w:pPr>
        <w:autoSpaceDN w:val="0"/>
        <w:spacing w:line="200" w:lineRule="exact"/>
        <w:ind w:firstLine="301"/>
        <w:rPr>
          <w:rFonts w:ascii="宋体" w:hAnsi="Courier New" w:eastAsia="宋体" w:cs="Times New Roman"/>
          <w:color w:val="auto"/>
          <w:spacing w:val="-4"/>
          <w:kern w:val="0"/>
          <w:sz w:val="18"/>
          <w:szCs w:val="20"/>
          <w:highlight w:val="none"/>
        </w:rPr>
      </w:pPr>
    </w:p>
    <w:p w14:paraId="54A3413D">
      <w:pPr>
        <w:autoSpaceDN w:val="0"/>
        <w:spacing w:line="200" w:lineRule="exact"/>
        <w:ind w:firstLine="301"/>
        <w:rPr>
          <w:rFonts w:ascii="宋体" w:hAnsi="Courier New" w:eastAsia="宋体" w:cs="Times New Roman"/>
          <w:color w:val="auto"/>
          <w:spacing w:val="-4"/>
          <w:kern w:val="0"/>
          <w:sz w:val="18"/>
          <w:szCs w:val="20"/>
          <w:highlight w:val="none"/>
        </w:rPr>
      </w:pPr>
    </w:p>
    <w:p w14:paraId="160AB6A7">
      <w:pPr>
        <w:autoSpaceDN w:val="0"/>
        <w:spacing w:line="200" w:lineRule="exact"/>
        <w:ind w:firstLine="301"/>
        <w:rPr>
          <w:rFonts w:ascii="宋体" w:hAnsi="Courier New" w:eastAsia="宋体" w:cs="Times New Roman"/>
          <w:color w:val="auto"/>
          <w:spacing w:val="-4"/>
          <w:kern w:val="0"/>
          <w:sz w:val="18"/>
          <w:szCs w:val="20"/>
          <w:highlight w:val="none"/>
        </w:rPr>
      </w:pPr>
    </w:p>
    <w:p w14:paraId="340DD0F4">
      <w:pPr>
        <w:autoSpaceDN w:val="0"/>
        <w:spacing w:line="200" w:lineRule="exact"/>
        <w:ind w:firstLine="301"/>
        <w:rPr>
          <w:rFonts w:ascii="宋体" w:hAnsi="Courier New" w:eastAsia="宋体" w:cs="Times New Roman"/>
          <w:color w:val="auto"/>
          <w:spacing w:val="-4"/>
          <w:kern w:val="0"/>
          <w:sz w:val="18"/>
          <w:szCs w:val="20"/>
          <w:highlight w:val="none"/>
        </w:rPr>
      </w:pPr>
    </w:p>
    <w:p w14:paraId="1115E188">
      <w:pPr>
        <w:autoSpaceDN w:val="0"/>
        <w:spacing w:line="200" w:lineRule="exact"/>
        <w:ind w:firstLine="301"/>
        <w:rPr>
          <w:rFonts w:ascii="宋体" w:hAnsi="Courier New" w:eastAsia="宋体" w:cs="Times New Roman"/>
          <w:color w:val="auto"/>
          <w:spacing w:val="-4"/>
          <w:kern w:val="0"/>
          <w:sz w:val="18"/>
          <w:szCs w:val="20"/>
          <w:highlight w:val="none"/>
        </w:rPr>
      </w:pPr>
    </w:p>
    <w:p w14:paraId="0F79DD6D">
      <w:pPr>
        <w:autoSpaceDN w:val="0"/>
        <w:spacing w:line="200" w:lineRule="exact"/>
        <w:ind w:firstLine="301"/>
        <w:rPr>
          <w:rFonts w:ascii="宋体" w:hAnsi="Courier New" w:eastAsia="宋体" w:cs="Times New Roman"/>
          <w:color w:val="auto"/>
          <w:spacing w:val="-4"/>
          <w:kern w:val="0"/>
          <w:sz w:val="18"/>
          <w:szCs w:val="20"/>
          <w:highlight w:val="none"/>
        </w:rPr>
      </w:pPr>
    </w:p>
    <w:p w14:paraId="513048DB">
      <w:pPr>
        <w:autoSpaceDN w:val="0"/>
        <w:spacing w:line="200" w:lineRule="exact"/>
        <w:ind w:firstLine="301"/>
        <w:rPr>
          <w:rFonts w:ascii="宋体" w:hAnsi="Courier New" w:eastAsia="宋体" w:cs="Times New Roman"/>
          <w:color w:val="auto"/>
          <w:spacing w:val="-4"/>
          <w:kern w:val="0"/>
          <w:sz w:val="18"/>
          <w:szCs w:val="20"/>
          <w:highlight w:val="none"/>
        </w:rPr>
      </w:pPr>
    </w:p>
    <w:p w14:paraId="4467E47B">
      <w:pPr>
        <w:autoSpaceDN w:val="0"/>
        <w:spacing w:line="200" w:lineRule="exact"/>
        <w:ind w:firstLine="301"/>
        <w:rPr>
          <w:rFonts w:ascii="宋体" w:hAnsi="Courier New" w:eastAsia="宋体" w:cs="Times New Roman"/>
          <w:color w:val="auto"/>
          <w:spacing w:val="-4"/>
          <w:kern w:val="0"/>
          <w:sz w:val="18"/>
          <w:szCs w:val="20"/>
          <w:highlight w:val="none"/>
        </w:rPr>
      </w:pPr>
    </w:p>
    <w:p w14:paraId="60B5243D">
      <w:pPr>
        <w:autoSpaceDN w:val="0"/>
        <w:spacing w:line="200" w:lineRule="exact"/>
        <w:ind w:firstLine="301"/>
        <w:rPr>
          <w:rFonts w:ascii="宋体" w:hAnsi="Courier New" w:eastAsia="宋体" w:cs="Times New Roman"/>
          <w:color w:val="auto"/>
          <w:spacing w:val="-4"/>
          <w:kern w:val="0"/>
          <w:sz w:val="18"/>
          <w:szCs w:val="20"/>
          <w:highlight w:val="none"/>
        </w:rPr>
      </w:pPr>
    </w:p>
    <w:p w14:paraId="203C2509">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14:paraId="3E657AD3">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浙江工业大学、浙江豪圣建设项目管理有限公司</w:t>
      </w:r>
      <w:r>
        <w:rPr>
          <w:rFonts w:hint="eastAsia" w:ascii="仿宋" w:hAnsi="仿宋" w:eastAsia="仿宋" w:cs="Times New Roman"/>
          <w:color w:val="auto"/>
          <w:kern w:val="0"/>
          <w:sz w:val="24"/>
          <w:szCs w:val="24"/>
          <w:highlight w:val="none"/>
        </w:rPr>
        <w:t>：</w:t>
      </w:r>
    </w:p>
    <w:p w14:paraId="5625BF1A">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14:paraId="0121291B">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14:paraId="7032B06C">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14:paraId="63A7013D">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14:paraId="18E77D05">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14:paraId="03B3E5F6">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14:paraId="2789CA3D">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14:paraId="6C203EA7">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14:paraId="2C108B39">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14:paraId="11B9DB9B">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14:paraId="222A913E">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14:paraId="5612B962">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14:paraId="275ED7D8">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14:paraId="7C8B3AE1">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14:paraId="045EB989">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14:paraId="4100708C">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14:paraId="48EA720B">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磋商响应文件格式中所提到的供应商代表是指以上两文件确定的签署人员。</w:t>
      </w:r>
    </w:p>
    <w:p w14:paraId="6525D8E6">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14:paraId="12554711">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14:paraId="08BCA89C">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530" w:name="_Toc358842834"/>
      <w:r>
        <w:rPr>
          <w:rFonts w:hint="eastAsia" w:ascii="仿宋" w:hAnsi="仿宋" w:eastAsia="仿宋" w:cs="Times New Roman"/>
          <w:b/>
          <w:bCs/>
          <w:color w:val="auto"/>
          <w:kern w:val="0"/>
          <w:sz w:val="28"/>
          <w:szCs w:val="28"/>
          <w:highlight w:val="none"/>
        </w:rPr>
        <w:t>2-4.磋商响应供应商履约能力评价证明材料</w:t>
      </w:r>
    </w:p>
    <w:p w14:paraId="489D2F08">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9AD6B7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51220EE3">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14:paraId="22A1F129">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14:paraId="4CFF94B5">
      <w:pPr>
        <w:tabs>
          <w:tab w:val="left" w:pos="720"/>
        </w:tabs>
        <w:autoSpaceDN w:val="0"/>
        <w:spacing w:line="440" w:lineRule="exact"/>
        <w:ind w:firstLine="420" w:firstLineChars="200"/>
        <w:rPr>
          <w:rFonts w:ascii="仿宋" w:hAnsi="仿宋" w:eastAsia="仿宋" w:cs="Times New Roman"/>
          <w:color w:val="auto"/>
          <w:szCs w:val="24"/>
          <w:highlight w:val="none"/>
        </w:rPr>
      </w:pPr>
    </w:p>
    <w:p w14:paraId="03F8C89D">
      <w:pPr>
        <w:autoSpaceDN w:val="0"/>
        <w:spacing w:line="200" w:lineRule="exact"/>
        <w:ind w:firstLine="301"/>
        <w:rPr>
          <w:rFonts w:ascii="宋体" w:hAnsi="Courier New" w:eastAsia="宋体" w:cs="Times New Roman"/>
          <w:color w:val="auto"/>
          <w:spacing w:val="-4"/>
          <w:kern w:val="0"/>
          <w:sz w:val="18"/>
          <w:szCs w:val="20"/>
          <w:highlight w:val="none"/>
        </w:rPr>
      </w:pPr>
    </w:p>
    <w:p w14:paraId="7A34CEE0">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14:paraId="56F16F25">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14:paraId="0741BD61">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000AEB0A">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3C55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DE785F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760B62CB">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2DD9FC3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1EAD5DD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7BF5B9BF">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1CE3E0E1">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6D36E164">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6D71A85F">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634A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999A783">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6BC107B">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7D0E18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368BD4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4322058">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0F7164">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57DBD4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D23BBB">
            <w:pPr>
              <w:autoSpaceDN w:val="0"/>
              <w:rPr>
                <w:rFonts w:ascii="仿宋" w:hAnsi="仿宋" w:eastAsia="仿宋" w:cs="Times New Roman"/>
                <w:color w:val="auto"/>
                <w:sz w:val="24"/>
                <w:szCs w:val="24"/>
                <w:highlight w:val="none"/>
              </w:rPr>
            </w:pPr>
          </w:p>
        </w:tc>
      </w:tr>
      <w:tr w14:paraId="063A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6B6BCEA">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B7A40F7">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C1B030C">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350A97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883213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9DF7BF">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C36403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84A520C">
            <w:pPr>
              <w:autoSpaceDN w:val="0"/>
              <w:rPr>
                <w:rFonts w:ascii="仿宋" w:hAnsi="仿宋" w:eastAsia="仿宋" w:cs="Times New Roman"/>
                <w:color w:val="auto"/>
                <w:sz w:val="24"/>
                <w:szCs w:val="24"/>
                <w:highlight w:val="none"/>
              </w:rPr>
            </w:pPr>
          </w:p>
        </w:tc>
      </w:tr>
      <w:tr w14:paraId="2CBB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F89B12E">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05EE317">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33AB7B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EA75AA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54C6FD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6C2C8E">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F6110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F9659B">
            <w:pPr>
              <w:autoSpaceDN w:val="0"/>
              <w:rPr>
                <w:rFonts w:ascii="仿宋" w:hAnsi="仿宋" w:eastAsia="仿宋" w:cs="Times New Roman"/>
                <w:color w:val="auto"/>
                <w:sz w:val="24"/>
                <w:szCs w:val="24"/>
                <w:highlight w:val="none"/>
              </w:rPr>
            </w:pPr>
          </w:p>
        </w:tc>
      </w:tr>
      <w:tr w14:paraId="71AD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EA04546">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58E5FCE">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FE1F5A">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D059E6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9AC60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BAC2168">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58A8054">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D69DF6C">
            <w:pPr>
              <w:autoSpaceDN w:val="0"/>
              <w:rPr>
                <w:rFonts w:ascii="仿宋" w:hAnsi="仿宋" w:eastAsia="仿宋" w:cs="Times New Roman"/>
                <w:color w:val="auto"/>
                <w:sz w:val="24"/>
                <w:szCs w:val="24"/>
                <w:highlight w:val="none"/>
              </w:rPr>
            </w:pPr>
          </w:p>
        </w:tc>
      </w:tr>
      <w:tr w14:paraId="1F00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530F809">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2A837A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A6AE478">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1CBA64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B71E6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817289E">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B7E1A4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C1F5D3">
            <w:pPr>
              <w:autoSpaceDN w:val="0"/>
              <w:rPr>
                <w:rFonts w:ascii="仿宋" w:hAnsi="仿宋" w:eastAsia="仿宋" w:cs="Times New Roman"/>
                <w:color w:val="auto"/>
                <w:sz w:val="24"/>
                <w:szCs w:val="24"/>
                <w:highlight w:val="none"/>
              </w:rPr>
            </w:pPr>
          </w:p>
        </w:tc>
      </w:tr>
      <w:tr w14:paraId="62AE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BA43D99">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6DBF5BE">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F6F47E1">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B252BA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C085FE4">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53667A">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28F161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4F1392">
            <w:pPr>
              <w:autoSpaceDN w:val="0"/>
              <w:rPr>
                <w:rFonts w:ascii="仿宋" w:hAnsi="仿宋" w:eastAsia="仿宋" w:cs="Times New Roman"/>
                <w:color w:val="auto"/>
                <w:sz w:val="24"/>
                <w:szCs w:val="24"/>
                <w:highlight w:val="none"/>
              </w:rPr>
            </w:pPr>
          </w:p>
        </w:tc>
      </w:tr>
      <w:tr w14:paraId="5875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2A744D7">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608D30F">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B95AFF4">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88C04C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E9EFCC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45580D8">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F3CAAA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6C57E8">
            <w:pPr>
              <w:autoSpaceDN w:val="0"/>
              <w:rPr>
                <w:rFonts w:ascii="仿宋" w:hAnsi="仿宋" w:eastAsia="仿宋" w:cs="Times New Roman"/>
                <w:color w:val="auto"/>
                <w:sz w:val="24"/>
                <w:szCs w:val="24"/>
                <w:highlight w:val="none"/>
              </w:rPr>
            </w:pPr>
          </w:p>
        </w:tc>
      </w:tr>
    </w:tbl>
    <w:p w14:paraId="27368851">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721852E8">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2A317310">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4617EC20">
      <w:pPr>
        <w:autoSpaceDN w:val="0"/>
        <w:spacing w:line="360" w:lineRule="auto"/>
        <w:rPr>
          <w:rFonts w:ascii="仿宋" w:hAnsi="仿宋" w:eastAsia="仿宋" w:cs="Times New Roman"/>
          <w:color w:val="auto"/>
          <w:sz w:val="24"/>
          <w:szCs w:val="24"/>
          <w:highlight w:val="none"/>
        </w:rPr>
      </w:pPr>
    </w:p>
    <w:p w14:paraId="1ECA7420">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57D5A3B3">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7338FC73">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14:paraId="2A951D6A">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2-6.拟派项目经理类似项目业绩情况</w:t>
      </w:r>
    </w:p>
    <w:p w14:paraId="35963CBB">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14:paraId="5FA4A7E0">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4AC92353">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75C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15D170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0B48FBE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09F57629">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28C2CC2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541FA68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5D453EA5">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44812E7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2AE03BA3">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28C3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6F57479">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18204D3">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3FFD55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8A8376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8627D34">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56A075C">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FA93B9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603AFF">
            <w:pPr>
              <w:autoSpaceDN w:val="0"/>
              <w:rPr>
                <w:rFonts w:ascii="仿宋" w:hAnsi="仿宋" w:eastAsia="仿宋" w:cs="Times New Roman"/>
                <w:color w:val="auto"/>
                <w:sz w:val="24"/>
                <w:szCs w:val="24"/>
                <w:highlight w:val="none"/>
              </w:rPr>
            </w:pPr>
          </w:p>
        </w:tc>
      </w:tr>
      <w:tr w14:paraId="123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0E83F01">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8C5C813">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6998262">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A2BA3B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735AE6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17175D9">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8C2CF0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8D77DF">
            <w:pPr>
              <w:autoSpaceDN w:val="0"/>
              <w:rPr>
                <w:rFonts w:ascii="仿宋" w:hAnsi="仿宋" w:eastAsia="仿宋" w:cs="Times New Roman"/>
                <w:color w:val="auto"/>
                <w:sz w:val="24"/>
                <w:szCs w:val="24"/>
                <w:highlight w:val="none"/>
              </w:rPr>
            </w:pPr>
          </w:p>
        </w:tc>
      </w:tr>
      <w:tr w14:paraId="71B8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F506CF2">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B705A3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0415202">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4F3FDC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F5AA59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38F487B">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ADC5A1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7A1D06">
            <w:pPr>
              <w:autoSpaceDN w:val="0"/>
              <w:rPr>
                <w:rFonts w:ascii="仿宋" w:hAnsi="仿宋" w:eastAsia="仿宋" w:cs="Times New Roman"/>
                <w:color w:val="auto"/>
                <w:sz w:val="24"/>
                <w:szCs w:val="24"/>
                <w:highlight w:val="none"/>
              </w:rPr>
            </w:pPr>
          </w:p>
        </w:tc>
      </w:tr>
      <w:tr w14:paraId="6C1B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0B47197">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5768AD7">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FB943E8">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16EE10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5BC1A98">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C550A84">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58146D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B886F1D">
            <w:pPr>
              <w:autoSpaceDN w:val="0"/>
              <w:rPr>
                <w:rFonts w:ascii="仿宋" w:hAnsi="仿宋" w:eastAsia="仿宋" w:cs="Times New Roman"/>
                <w:color w:val="auto"/>
                <w:sz w:val="24"/>
                <w:szCs w:val="24"/>
                <w:highlight w:val="none"/>
              </w:rPr>
            </w:pPr>
          </w:p>
        </w:tc>
      </w:tr>
      <w:tr w14:paraId="4A75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A33FF06">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7CB926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7BB36D5">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433479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4D7CB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B72A30">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6DA50E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05D6841">
            <w:pPr>
              <w:autoSpaceDN w:val="0"/>
              <w:rPr>
                <w:rFonts w:ascii="仿宋" w:hAnsi="仿宋" w:eastAsia="仿宋" w:cs="Times New Roman"/>
                <w:color w:val="auto"/>
                <w:sz w:val="24"/>
                <w:szCs w:val="24"/>
                <w:highlight w:val="none"/>
              </w:rPr>
            </w:pPr>
          </w:p>
        </w:tc>
      </w:tr>
      <w:tr w14:paraId="4B9C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8A43FCC">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030383E">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4EA9924">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7019BD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3C590C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50092B">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27C9F8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00968B">
            <w:pPr>
              <w:autoSpaceDN w:val="0"/>
              <w:rPr>
                <w:rFonts w:ascii="仿宋" w:hAnsi="仿宋" w:eastAsia="仿宋" w:cs="Times New Roman"/>
                <w:color w:val="auto"/>
                <w:sz w:val="24"/>
                <w:szCs w:val="24"/>
                <w:highlight w:val="none"/>
              </w:rPr>
            </w:pPr>
          </w:p>
        </w:tc>
      </w:tr>
      <w:tr w14:paraId="73FA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3A536A9">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42ED23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342E272">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7F5E2D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F0B36A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C3BB30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4EF23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4AF4BC7">
            <w:pPr>
              <w:autoSpaceDN w:val="0"/>
              <w:rPr>
                <w:rFonts w:ascii="仿宋" w:hAnsi="仿宋" w:eastAsia="仿宋" w:cs="Times New Roman"/>
                <w:color w:val="auto"/>
                <w:sz w:val="24"/>
                <w:szCs w:val="24"/>
                <w:highlight w:val="none"/>
              </w:rPr>
            </w:pPr>
          </w:p>
        </w:tc>
      </w:tr>
    </w:tbl>
    <w:p w14:paraId="76BD46D7">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56538CD5">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5E4EA26A">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09B9B0F3">
      <w:pPr>
        <w:autoSpaceDN w:val="0"/>
        <w:spacing w:line="360" w:lineRule="auto"/>
        <w:rPr>
          <w:rFonts w:ascii="仿宋" w:hAnsi="仿宋" w:eastAsia="仿宋" w:cs="Times New Roman"/>
          <w:color w:val="auto"/>
          <w:sz w:val="24"/>
          <w:szCs w:val="24"/>
          <w:highlight w:val="none"/>
        </w:rPr>
      </w:pPr>
    </w:p>
    <w:p w14:paraId="33C61818">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519724F0">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2E70EB52">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14:paraId="14951657">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14:paraId="57E2492F">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2-7.商务技术偏离表</w:t>
      </w:r>
    </w:p>
    <w:p w14:paraId="1F1E7DC6">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47C573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6FCBC56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776114A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6261230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438A9D5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37C2D07F">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14:paraId="345A1CA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7CE61329">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217A0E32">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27F693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CF3F650">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63D2FA8">
            <w:pPr>
              <w:autoSpaceDN w:val="0"/>
              <w:spacing w:line="400" w:lineRule="exact"/>
              <w:jc w:val="center"/>
              <w:rPr>
                <w:rFonts w:ascii="仿宋" w:hAnsi="仿宋" w:eastAsia="仿宋" w:cs="Times New Roman"/>
                <w:b/>
                <w:color w:val="auto"/>
                <w:kern w:val="0"/>
                <w:sz w:val="24"/>
                <w:szCs w:val="24"/>
                <w:highlight w:val="none"/>
              </w:rPr>
            </w:pPr>
          </w:p>
        </w:tc>
      </w:tr>
      <w:tr w14:paraId="6E2072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009ACE7">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0E3ACDEC">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0FA8C77">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6EB5511">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D2B386D">
            <w:pPr>
              <w:autoSpaceDN w:val="0"/>
              <w:spacing w:line="400" w:lineRule="exact"/>
              <w:jc w:val="center"/>
              <w:rPr>
                <w:rFonts w:ascii="仿宋" w:hAnsi="仿宋" w:eastAsia="仿宋" w:cs="Times New Roman"/>
                <w:b/>
                <w:color w:val="auto"/>
                <w:kern w:val="0"/>
                <w:sz w:val="24"/>
                <w:szCs w:val="24"/>
                <w:highlight w:val="none"/>
              </w:rPr>
            </w:pPr>
          </w:p>
        </w:tc>
      </w:tr>
      <w:tr w14:paraId="10A9CA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DE0B8FC">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61259F0B">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B5360CE">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8B5A9AF">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C3B794F">
            <w:pPr>
              <w:autoSpaceDN w:val="0"/>
              <w:spacing w:line="400" w:lineRule="exact"/>
              <w:jc w:val="center"/>
              <w:rPr>
                <w:rFonts w:ascii="仿宋" w:hAnsi="仿宋" w:eastAsia="仿宋" w:cs="Times New Roman"/>
                <w:b/>
                <w:color w:val="auto"/>
                <w:kern w:val="0"/>
                <w:sz w:val="24"/>
                <w:szCs w:val="24"/>
                <w:highlight w:val="none"/>
              </w:rPr>
            </w:pPr>
          </w:p>
        </w:tc>
      </w:tr>
      <w:tr w14:paraId="298264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5CCF50F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860E7D9">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8AB2F72">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A480A6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8C49B2F">
            <w:pPr>
              <w:autoSpaceDN w:val="0"/>
              <w:spacing w:line="400" w:lineRule="exact"/>
              <w:jc w:val="center"/>
              <w:rPr>
                <w:rFonts w:ascii="仿宋" w:hAnsi="仿宋" w:eastAsia="仿宋" w:cs="Times New Roman"/>
                <w:b/>
                <w:color w:val="auto"/>
                <w:kern w:val="0"/>
                <w:sz w:val="24"/>
                <w:szCs w:val="24"/>
                <w:highlight w:val="none"/>
              </w:rPr>
            </w:pPr>
          </w:p>
        </w:tc>
      </w:tr>
      <w:tr w14:paraId="70E911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A69352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0127BFBB">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CF317C3">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4E381D6">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6F8C6A2">
            <w:pPr>
              <w:autoSpaceDN w:val="0"/>
              <w:spacing w:line="400" w:lineRule="exact"/>
              <w:jc w:val="center"/>
              <w:rPr>
                <w:rFonts w:ascii="仿宋" w:hAnsi="仿宋" w:eastAsia="仿宋" w:cs="Times New Roman"/>
                <w:b/>
                <w:color w:val="auto"/>
                <w:kern w:val="0"/>
                <w:sz w:val="24"/>
                <w:szCs w:val="24"/>
                <w:highlight w:val="none"/>
              </w:rPr>
            </w:pPr>
          </w:p>
        </w:tc>
      </w:tr>
      <w:tr w14:paraId="20CAC3D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84449B5">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ECC695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2F1039E">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324B145">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1B17B0F">
            <w:pPr>
              <w:autoSpaceDN w:val="0"/>
              <w:spacing w:line="400" w:lineRule="exact"/>
              <w:jc w:val="center"/>
              <w:rPr>
                <w:rFonts w:ascii="仿宋" w:hAnsi="仿宋" w:eastAsia="仿宋" w:cs="Times New Roman"/>
                <w:b/>
                <w:color w:val="auto"/>
                <w:kern w:val="0"/>
                <w:sz w:val="24"/>
                <w:szCs w:val="24"/>
                <w:highlight w:val="none"/>
              </w:rPr>
            </w:pPr>
          </w:p>
        </w:tc>
      </w:tr>
      <w:tr w14:paraId="4B066E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DC8F83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1E6096D">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104791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3A5F658">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0E84E08">
            <w:pPr>
              <w:autoSpaceDN w:val="0"/>
              <w:spacing w:line="400" w:lineRule="exact"/>
              <w:jc w:val="center"/>
              <w:rPr>
                <w:rFonts w:ascii="仿宋" w:hAnsi="仿宋" w:eastAsia="仿宋" w:cs="Times New Roman"/>
                <w:b/>
                <w:color w:val="auto"/>
                <w:kern w:val="0"/>
                <w:sz w:val="24"/>
                <w:szCs w:val="24"/>
                <w:highlight w:val="none"/>
              </w:rPr>
            </w:pPr>
          </w:p>
        </w:tc>
      </w:tr>
      <w:tr w14:paraId="367934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50C49703">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0E234E5">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113F0C3">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5082BD4">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5862653">
            <w:pPr>
              <w:autoSpaceDN w:val="0"/>
              <w:spacing w:line="400" w:lineRule="exact"/>
              <w:jc w:val="center"/>
              <w:rPr>
                <w:rFonts w:ascii="仿宋" w:hAnsi="仿宋" w:eastAsia="仿宋" w:cs="Times New Roman"/>
                <w:b/>
                <w:color w:val="auto"/>
                <w:kern w:val="0"/>
                <w:sz w:val="24"/>
                <w:szCs w:val="24"/>
                <w:highlight w:val="none"/>
              </w:rPr>
            </w:pPr>
          </w:p>
        </w:tc>
      </w:tr>
      <w:tr w14:paraId="5A4FBB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2ECEB2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36062936">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567C1A1">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87BFC22">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7845221">
            <w:pPr>
              <w:autoSpaceDN w:val="0"/>
              <w:spacing w:line="400" w:lineRule="exact"/>
              <w:jc w:val="center"/>
              <w:rPr>
                <w:rFonts w:ascii="仿宋" w:hAnsi="仿宋" w:eastAsia="仿宋" w:cs="Times New Roman"/>
                <w:b/>
                <w:color w:val="auto"/>
                <w:kern w:val="0"/>
                <w:sz w:val="24"/>
                <w:szCs w:val="24"/>
                <w:highlight w:val="none"/>
              </w:rPr>
            </w:pPr>
          </w:p>
        </w:tc>
      </w:tr>
      <w:tr w14:paraId="443E77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3FD996A3">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1974C355">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2F765EBC">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6B1D1761">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5616D035">
            <w:pPr>
              <w:autoSpaceDN w:val="0"/>
              <w:spacing w:line="400" w:lineRule="exact"/>
              <w:jc w:val="center"/>
              <w:rPr>
                <w:rFonts w:ascii="仿宋" w:hAnsi="仿宋" w:eastAsia="仿宋" w:cs="Times New Roman"/>
                <w:b/>
                <w:color w:val="auto"/>
                <w:kern w:val="0"/>
                <w:sz w:val="24"/>
                <w:szCs w:val="24"/>
                <w:highlight w:val="none"/>
              </w:rPr>
            </w:pPr>
          </w:p>
        </w:tc>
      </w:tr>
    </w:tbl>
    <w:p w14:paraId="2B8387FD">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14:paraId="7004CCF3">
      <w:pPr>
        <w:autoSpaceDN w:val="0"/>
        <w:rPr>
          <w:rFonts w:ascii="仿宋" w:hAnsi="仿宋" w:eastAsia="仿宋" w:cs="Times New Roman"/>
          <w:color w:val="auto"/>
          <w:szCs w:val="24"/>
          <w:highlight w:val="none"/>
        </w:rPr>
      </w:pPr>
    </w:p>
    <w:p w14:paraId="03377088">
      <w:pPr>
        <w:autoSpaceDE w:val="0"/>
        <w:autoSpaceDN w:val="0"/>
        <w:adjustRightInd w:val="0"/>
        <w:jc w:val="left"/>
        <w:rPr>
          <w:rFonts w:ascii="仿宋" w:hAnsi="仿宋" w:eastAsia="仿宋" w:cs="..ì."/>
          <w:color w:val="auto"/>
          <w:sz w:val="24"/>
          <w:szCs w:val="24"/>
          <w:highlight w:val="none"/>
        </w:rPr>
      </w:pPr>
    </w:p>
    <w:p w14:paraId="00E4B467">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60E9803A">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519372A4">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14:paraId="2098F63C">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2-8.施工组织设计</w:t>
      </w:r>
    </w:p>
    <w:p w14:paraId="272B23A8">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3D039EED">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14:paraId="4EF4BB18">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  拟投入的主要施工设备表</w:t>
      </w:r>
    </w:p>
    <w:p w14:paraId="1DBA6F1F">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  拟配备的试验和检测仪器设备表</w:t>
      </w:r>
    </w:p>
    <w:p w14:paraId="1445C537">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  项目管理班子配备情况表</w:t>
      </w:r>
    </w:p>
    <w:p w14:paraId="53AB975C">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附表四、项目经理简历表</w:t>
      </w:r>
    </w:p>
    <w:p w14:paraId="78DA9017">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附表五、技术负责人简历表</w:t>
      </w:r>
    </w:p>
    <w:p w14:paraId="73D6C33B">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附表六：计划开、竣工日期和施工进度网络图</w:t>
      </w:r>
    </w:p>
    <w:p w14:paraId="110C9876">
      <w:pPr>
        <w:tabs>
          <w:tab w:val="left" w:pos="720"/>
        </w:tabs>
        <w:autoSpaceDN w:val="0"/>
        <w:spacing w:line="440" w:lineRule="exact"/>
        <w:jc w:val="left"/>
        <w:rPr>
          <w:rFonts w:ascii="仿宋" w:hAnsi="仿宋" w:eastAsia="仿宋" w:cs="Times New Roman"/>
          <w:color w:val="auto"/>
          <w:sz w:val="22"/>
          <w:highlight w:val="none"/>
        </w:rPr>
      </w:pPr>
      <w:bookmarkStart w:id="531" w:name="_Toc152042586"/>
      <w:bookmarkStart w:id="532" w:name="_Toc246392155"/>
      <w:bookmarkStart w:id="533" w:name="_Toc144974865"/>
      <w:bookmarkStart w:id="534" w:name="_Toc152045797"/>
      <w:bookmarkStart w:id="535" w:name="_Toc179632817"/>
      <w:r>
        <w:rPr>
          <w:rFonts w:hint="eastAsia" w:ascii="仿宋" w:hAnsi="仿宋" w:eastAsia="仿宋" w:cs="Times New Roman"/>
          <w:b/>
          <w:bCs/>
          <w:color w:val="auto"/>
          <w:sz w:val="22"/>
          <w:highlight w:val="none"/>
        </w:rPr>
        <w:t>附表一：拟投入的主要施工设备表</w:t>
      </w:r>
      <w:bookmarkEnd w:id="531"/>
      <w:bookmarkEnd w:id="532"/>
      <w:bookmarkEnd w:id="533"/>
      <w:bookmarkEnd w:id="534"/>
      <w:bookmarkEnd w:id="535"/>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73E9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2B419B3E">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0EED721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463EAAA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6D25C1C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5C86D0F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3B0B9B6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47567C9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5BF58397">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74C62B8B">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71815EB7">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0B1B8FF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14:paraId="3B6F99FA">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4372E715">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2A17F39C">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1AEB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5FCCB3C0">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4B18C8C2">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10DA858F">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2A427294">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52325103">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F5AB13C">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054E4023">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25FF4393">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4CD03578">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6AA018FA">
            <w:pPr>
              <w:autoSpaceDN w:val="0"/>
              <w:spacing w:line="440" w:lineRule="exact"/>
              <w:jc w:val="center"/>
              <w:rPr>
                <w:rFonts w:ascii="仿宋" w:hAnsi="仿宋" w:eastAsia="仿宋" w:cs="Times New Roman"/>
                <w:color w:val="auto"/>
                <w:sz w:val="22"/>
                <w:highlight w:val="none"/>
              </w:rPr>
            </w:pPr>
          </w:p>
        </w:tc>
      </w:tr>
      <w:tr w14:paraId="5A0C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4B412D4F">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1E740AAA">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64C9E2DD">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30112096">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1C1BEE57">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6933CE5">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09940D5D">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0FD1591E">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6D548D71">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5FC31512">
            <w:pPr>
              <w:autoSpaceDN w:val="0"/>
              <w:spacing w:line="440" w:lineRule="exact"/>
              <w:jc w:val="center"/>
              <w:rPr>
                <w:rFonts w:ascii="仿宋" w:hAnsi="仿宋" w:eastAsia="仿宋" w:cs="Times New Roman"/>
                <w:color w:val="auto"/>
                <w:sz w:val="22"/>
                <w:highlight w:val="none"/>
              </w:rPr>
            </w:pPr>
          </w:p>
        </w:tc>
      </w:tr>
      <w:tr w14:paraId="688A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21DF20C6">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14:paraId="07F902DB">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76EF4480">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14:paraId="5423E480">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14:paraId="0001E20A">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14:paraId="63493D72">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14:paraId="0BC737E1">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14:paraId="74B75E92">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14:paraId="39B3EAD8">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14:paraId="46453836">
            <w:pPr>
              <w:autoSpaceDN w:val="0"/>
              <w:spacing w:line="440" w:lineRule="exact"/>
              <w:jc w:val="center"/>
              <w:rPr>
                <w:rFonts w:ascii="仿宋" w:hAnsi="仿宋" w:eastAsia="仿宋" w:cs="Times New Roman"/>
                <w:color w:val="auto"/>
                <w:sz w:val="22"/>
                <w:highlight w:val="none"/>
              </w:rPr>
            </w:pPr>
          </w:p>
        </w:tc>
      </w:tr>
    </w:tbl>
    <w:p w14:paraId="1A7912F7">
      <w:pPr>
        <w:autoSpaceDN w:val="0"/>
        <w:spacing w:line="440" w:lineRule="exact"/>
        <w:rPr>
          <w:rFonts w:ascii="仿宋" w:hAnsi="仿宋" w:eastAsia="仿宋" w:cs="Times New Roman"/>
          <w:color w:val="auto"/>
          <w:sz w:val="22"/>
          <w:highlight w:val="none"/>
        </w:rPr>
      </w:pPr>
    </w:p>
    <w:p w14:paraId="31D95178">
      <w:pPr>
        <w:tabs>
          <w:tab w:val="left" w:pos="720"/>
        </w:tabs>
        <w:autoSpaceDN w:val="0"/>
        <w:spacing w:line="440" w:lineRule="exact"/>
        <w:jc w:val="left"/>
        <w:rPr>
          <w:rFonts w:ascii="仿宋" w:hAnsi="仿宋" w:eastAsia="仿宋" w:cs="Times New Roman"/>
          <w:b/>
          <w:bCs/>
          <w:color w:val="auto"/>
          <w:sz w:val="22"/>
          <w:highlight w:val="none"/>
        </w:rPr>
      </w:pPr>
      <w:bookmarkStart w:id="536" w:name="_Toc152042587"/>
      <w:bookmarkStart w:id="537" w:name="_Toc144974866"/>
      <w:bookmarkStart w:id="538" w:name="_Toc179632818"/>
      <w:bookmarkStart w:id="539" w:name="_Toc152045798"/>
      <w:bookmarkStart w:id="540" w:name="_Toc246392156"/>
      <w:r>
        <w:rPr>
          <w:rFonts w:hint="eastAsia" w:ascii="仿宋" w:hAnsi="仿宋" w:eastAsia="仿宋" w:cs="Times New Roman"/>
          <w:b/>
          <w:bCs/>
          <w:color w:val="auto"/>
          <w:sz w:val="22"/>
          <w:highlight w:val="none"/>
        </w:rPr>
        <w:t>附表二：拟配备的试验和检测仪器设备表</w:t>
      </w:r>
      <w:bookmarkEnd w:id="536"/>
      <w:bookmarkEnd w:id="537"/>
      <w:bookmarkEnd w:id="538"/>
      <w:bookmarkEnd w:id="539"/>
      <w:bookmarkEnd w:id="540"/>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6E3F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791723DC">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07C7A2C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10BBE5CA">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136B2CC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11A1C98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06BDF85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40ED24C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64A9CEB2">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616B7707">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72C224C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1D08D875">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7764B9F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7E6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120C435B">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7B80A789">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11A83CCA">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7E30DB55">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35B56CC">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521DA0F5">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55B4B078">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0FE2C0CA">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090ACD05">
            <w:pPr>
              <w:autoSpaceDN w:val="0"/>
              <w:spacing w:line="440" w:lineRule="exact"/>
              <w:jc w:val="center"/>
              <w:rPr>
                <w:rFonts w:ascii="仿宋" w:hAnsi="仿宋" w:eastAsia="仿宋" w:cs="Times New Roman"/>
                <w:color w:val="auto"/>
                <w:sz w:val="22"/>
                <w:highlight w:val="none"/>
              </w:rPr>
            </w:pPr>
          </w:p>
        </w:tc>
      </w:tr>
      <w:tr w14:paraId="424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71DB6232">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0852FE98">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72FDCC61">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0D96AA2A">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80AC9B9">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00E9AE74">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1FD64F5D">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7BAF779A">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158C4BF7">
            <w:pPr>
              <w:autoSpaceDN w:val="0"/>
              <w:spacing w:line="440" w:lineRule="exact"/>
              <w:jc w:val="center"/>
              <w:rPr>
                <w:rFonts w:ascii="仿宋" w:hAnsi="仿宋" w:eastAsia="仿宋" w:cs="Times New Roman"/>
                <w:color w:val="auto"/>
                <w:sz w:val="22"/>
                <w:highlight w:val="none"/>
              </w:rPr>
            </w:pPr>
          </w:p>
        </w:tc>
      </w:tr>
      <w:tr w14:paraId="7E20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541B7B29">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3D50C590">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5EB7EDD7">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512C4AB7">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2B3B20C1">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16645087">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2171F84D">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2C4F70B9">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7EA43F5F">
            <w:pPr>
              <w:autoSpaceDN w:val="0"/>
              <w:spacing w:line="440" w:lineRule="exact"/>
              <w:jc w:val="center"/>
              <w:rPr>
                <w:rFonts w:ascii="仿宋" w:hAnsi="仿宋" w:eastAsia="仿宋" w:cs="Times New Roman"/>
                <w:color w:val="auto"/>
                <w:sz w:val="22"/>
                <w:highlight w:val="none"/>
              </w:rPr>
            </w:pPr>
          </w:p>
        </w:tc>
      </w:tr>
      <w:tr w14:paraId="236B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30C6C8BB">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550F70D8">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4C68F02D">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70D2C2CA">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087B46B">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51216295">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08CFD5AF">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28454F1A">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05F85896">
            <w:pPr>
              <w:autoSpaceDN w:val="0"/>
              <w:spacing w:line="440" w:lineRule="exact"/>
              <w:jc w:val="center"/>
              <w:rPr>
                <w:rFonts w:ascii="仿宋" w:hAnsi="仿宋" w:eastAsia="仿宋" w:cs="Times New Roman"/>
                <w:color w:val="auto"/>
                <w:sz w:val="22"/>
                <w:highlight w:val="none"/>
              </w:rPr>
            </w:pPr>
          </w:p>
        </w:tc>
      </w:tr>
    </w:tbl>
    <w:p w14:paraId="63654CB1">
      <w:pPr>
        <w:autoSpaceDN w:val="0"/>
        <w:spacing w:line="440" w:lineRule="exact"/>
        <w:rPr>
          <w:rFonts w:ascii="仿宋" w:hAnsi="仿宋" w:eastAsia="仿宋" w:cs="Times New Roman"/>
          <w:color w:val="auto"/>
          <w:sz w:val="22"/>
          <w:highlight w:val="none"/>
        </w:rPr>
      </w:pPr>
    </w:p>
    <w:p w14:paraId="403C097A">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71AD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5A446BBB">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0DE5B9A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41110C65">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461563C5">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3DA157A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14:paraId="7EE6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289134AC">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59E7F3A">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C83BE9F">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3534987A">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14:paraId="3DCA5B6F">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1722865F">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2289A435">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156D59DA">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1F1CB672">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2B8FFA5F">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4D84E8E0">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14:paraId="3252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3CC52C5">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009046C8">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39F819D5">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E03DC8A">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5308F78">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2FCD9D0">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193CFE12">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53EBB588">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149FF6B4">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57C81821">
            <w:pPr>
              <w:autoSpaceDN w:val="0"/>
              <w:spacing w:line="360" w:lineRule="auto"/>
              <w:rPr>
                <w:rFonts w:ascii="仿宋" w:hAnsi="仿宋" w:eastAsia="仿宋" w:cs="Times New Roman"/>
                <w:color w:val="auto"/>
                <w:kern w:val="0"/>
                <w:sz w:val="22"/>
                <w:highlight w:val="none"/>
              </w:rPr>
            </w:pPr>
          </w:p>
        </w:tc>
      </w:tr>
      <w:tr w14:paraId="4AFF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223C31D4">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7A5055D3">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76F96840">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59214EF8">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DDF5356">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B8D02E1">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5BB4364C">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2B93E32B">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37EAF20">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0E115BE9">
            <w:pPr>
              <w:autoSpaceDN w:val="0"/>
              <w:spacing w:line="360" w:lineRule="auto"/>
              <w:rPr>
                <w:rFonts w:ascii="仿宋" w:hAnsi="仿宋" w:eastAsia="仿宋" w:cs="Times New Roman"/>
                <w:color w:val="auto"/>
                <w:kern w:val="0"/>
                <w:sz w:val="22"/>
                <w:highlight w:val="none"/>
              </w:rPr>
            </w:pPr>
          </w:p>
        </w:tc>
      </w:tr>
      <w:tr w14:paraId="6B7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4BEC6397">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46B57DD5">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3BA9366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5983DE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1C8C44E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4C3D08CC">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5C8745A3">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4C875BA6">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7FD3DC8C">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7DC0E09D">
            <w:pPr>
              <w:autoSpaceDN w:val="0"/>
              <w:spacing w:line="360" w:lineRule="auto"/>
              <w:rPr>
                <w:rFonts w:ascii="仿宋" w:hAnsi="仿宋" w:eastAsia="仿宋" w:cs="Times New Roman"/>
                <w:color w:val="auto"/>
                <w:kern w:val="0"/>
                <w:sz w:val="22"/>
                <w:highlight w:val="none"/>
              </w:rPr>
            </w:pPr>
          </w:p>
        </w:tc>
      </w:tr>
      <w:tr w14:paraId="03C3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262C15C9">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044C9751">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0955A2F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355AB654">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4117600">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5CE8D4C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B3712EE">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3ADE295A">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77E522F4">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2C7AF2DD">
            <w:pPr>
              <w:autoSpaceDN w:val="0"/>
              <w:spacing w:line="360" w:lineRule="auto"/>
              <w:rPr>
                <w:rFonts w:ascii="仿宋" w:hAnsi="仿宋" w:eastAsia="仿宋" w:cs="Times New Roman"/>
                <w:color w:val="auto"/>
                <w:kern w:val="0"/>
                <w:sz w:val="22"/>
                <w:highlight w:val="none"/>
              </w:rPr>
            </w:pPr>
          </w:p>
        </w:tc>
      </w:tr>
      <w:tr w14:paraId="2986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08546A83">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37FD95EE">
      <w:pPr>
        <w:autoSpaceDN w:val="0"/>
        <w:spacing w:line="440" w:lineRule="exact"/>
        <w:rPr>
          <w:rFonts w:ascii="仿宋" w:hAnsi="仿宋" w:eastAsia="仿宋" w:cs="Times New Roman"/>
          <w:b/>
          <w:bCs/>
          <w:color w:val="auto"/>
          <w:sz w:val="22"/>
          <w:highlight w:val="none"/>
        </w:rPr>
      </w:pPr>
    </w:p>
    <w:p w14:paraId="166DA4B4">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9F4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7544DA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4834E035">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F8A1C7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6073829C">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A66720A">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5731BB87">
            <w:pPr>
              <w:autoSpaceDN w:val="0"/>
              <w:spacing w:line="360" w:lineRule="auto"/>
              <w:jc w:val="center"/>
              <w:rPr>
                <w:rFonts w:ascii="仿宋" w:hAnsi="仿宋" w:eastAsia="仿宋" w:cs="Times New Roman"/>
                <w:color w:val="auto"/>
                <w:kern w:val="0"/>
                <w:sz w:val="22"/>
                <w:highlight w:val="none"/>
              </w:rPr>
            </w:pPr>
          </w:p>
        </w:tc>
      </w:tr>
      <w:tr w14:paraId="46DE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1456837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55FE5F78">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AA1665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3CE113F1">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1C6DEB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6559F37B">
            <w:pPr>
              <w:autoSpaceDN w:val="0"/>
              <w:spacing w:line="360" w:lineRule="auto"/>
              <w:jc w:val="center"/>
              <w:rPr>
                <w:rFonts w:ascii="仿宋" w:hAnsi="仿宋" w:eastAsia="仿宋" w:cs="Times New Roman"/>
                <w:color w:val="auto"/>
                <w:kern w:val="0"/>
                <w:sz w:val="22"/>
                <w:highlight w:val="none"/>
              </w:rPr>
            </w:pPr>
          </w:p>
        </w:tc>
      </w:tr>
      <w:tr w14:paraId="601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666AF45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302D77D1">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5B5A5335">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333700A1">
            <w:pPr>
              <w:autoSpaceDN w:val="0"/>
              <w:spacing w:line="360" w:lineRule="auto"/>
              <w:jc w:val="center"/>
              <w:rPr>
                <w:rFonts w:ascii="仿宋" w:hAnsi="仿宋" w:eastAsia="仿宋" w:cs="Times New Roman"/>
                <w:color w:val="auto"/>
                <w:kern w:val="0"/>
                <w:sz w:val="22"/>
                <w:highlight w:val="none"/>
              </w:rPr>
            </w:pPr>
          </w:p>
        </w:tc>
      </w:tr>
      <w:tr w14:paraId="207A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45F89882">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6CFF7D67">
            <w:pPr>
              <w:autoSpaceDN w:val="0"/>
              <w:spacing w:line="360" w:lineRule="auto"/>
              <w:jc w:val="center"/>
              <w:rPr>
                <w:rFonts w:ascii="仿宋" w:hAnsi="仿宋" w:eastAsia="仿宋" w:cs="Times New Roman"/>
                <w:color w:val="auto"/>
                <w:kern w:val="0"/>
                <w:sz w:val="22"/>
                <w:highlight w:val="none"/>
              </w:rPr>
            </w:pPr>
          </w:p>
        </w:tc>
      </w:tr>
      <w:tr w14:paraId="7D1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22D26926">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6D4A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364EE65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0BE7BA9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53ED75D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57CF7EAB">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4E3B48BA">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5361E2E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38F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68F05320">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6B1EEC7">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532247AC">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6524633B">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FFFAECB">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EE16BD9">
            <w:pPr>
              <w:autoSpaceDN w:val="0"/>
              <w:spacing w:line="360" w:lineRule="auto"/>
              <w:rPr>
                <w:rFonts w:ascii="仿宋" w:hAnsi="仿宋" w:eastAsia="仿宋" w:cs="Times New Roman"/>
                <w:color w:val="auto"/>
                <w:kern w:val="0"/>
                <w:sz w:val="22"/>
                <w:highlight w:val="none"/>
              </w:rPr>
            </w:pPr>
          </w:p>
        </w:tc>
      </w:tr>
      <w:tr w14:paraId="6F11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6A43769B">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92A0AF3">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CF2E2AC">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2CEEA48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5A2A597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5B6C0DC">
            <w:pPr>
              <w:autoSpaceDN w:val="0"/>
              <w:spacing w:line="360" w:lineRule="auto"/>
              <w:rPr>
                <w:rFonts w:ascii="仿宋" w:hAnsi="仿宋" w:eastAsia="仿宋" w:cs="Times New Roman"/>
                <w:color w:val="auto"/>
                <w:kern w:val="0"/>
                <w:sz w:val="22"/>
                <w:highlight w:val="none"/>
              </w:rPr>
            </w:pPr>
          </w:p>
        </w:tc>
      </w:tr>
      <w:tr w14:paraId="4C54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F3D0116">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25F5A1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F0F3D68">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56B38297">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FA5C37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554828DC">
            <w:pPr>
              <w:autoSpaceDN w:val="0"/>
              <w:spacing w:line="360" w:lineRule="auto"/>
              <w:rPr>
                <w:rFonts w:ascii="仿宋" w:hAnsi="仿宋" w:eastAsia="仿宋" w:cs="Times New Roman"/>
                <w:color w:val="auto"/>
                <w:kern w:val="0"/>
                <w:sz w:val="22"/>
                <w:highlight w:val="none"/>
              </w:rPr>
            </w:pPr>
          </w:p>
        </w:tc>
      </w:tr>
    </w:tbl>
    <w:p w14:paraId="5A048B05">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14:paraId="7B562DB5">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78CF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3424725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75442C21">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535DDFBB">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535CD895">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BEDA93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57808734">
            <w:pPr>
              <w:autoSpaceDN w:val="0"/>
              <w:spacing w:line="360" w:lineRule="auto"/>
              <w:jc w:val="center"/>
              <w:rPr>
                <w:rFonts w:ascii="仿宋" w:hAnsi="仿宋" w:eastAsia="仿宋" w:cs="Times New Roman"/>
                <w:color w:val="auto"/>
                <w:kern w:val="0"/>
                <w:sz w:val="22"/>
                <w:highlight w:val="none"/>
              </w:rPr>
            </w:pPr>
          </w:p>
        </w:tc>
      </w:tr>
      <w:tr w14:paraId="4BF3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54B4B22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3323C31C">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E00D87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017C6E00">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1D94AEB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6BFFB5F0">
            <w:pPr>
              <w:autoSpaceDN w:val="0"/>
              <w:spacing w:line="360" w:lineRule="auto"/>
              <w:jc w:val="center"/>
              <w:rPr>
                <w:rFonts w:ascii="仿宋" w:hAnsi="仿宋" w:eastAsia="仿宋" w:cs="Times New Roman"/>
                <w:color w:val="auto"/>
                <w:kern w:val="0"/>
                <w:sz w:val="22"/>
                <w:highlight w:val="none"/>
              </w:rPr>
            </w:pPr>
          </w:p>
        </w:tc>
      </w:tr>
      <w:tr w14:paraId="67FA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5EA1057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625A7326">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4300745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037CDB6C">
            <w:pPr>
              <w:autoSpaceDN w:val="0"/>
              <w:spacing w:line="360" w:lineRule="auto"/>
              <w:jc w:val="center"/>
              <w:rPr>
                <w:rFonts w:ascii="仿宋" w:hAnsi="仿宋" w:eastAsia="仿宋" w:cs="Times New Roman"/>
                <w:color w:val="auto"/>
                <w:kern w:val="0"/>
                <w:sz w:val="22"/>
                <w:highlight w:val="none"/>
              </w:rPr>
            </w:pPr>
          </w:p>
        </w:tc>
      </w:tr>
      <w:tr w14:paraId="764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0BE3BC12">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3AB2BE74">
            <w:pPr>
              <w:autoSpaceDN w:val="0"/>
              <w:spacing w:line="360" w:lineRule="auto"/>
              <w:jc w:val="center"/>
              <w:rPr>
                <w:rFonts w:ascii="仿宋" w:hAnsi="仿宋" w:eastAsia="仿宋" w:cs="Times New Roman"/>
                <w:color w:val="auto"/>
                <w:kern w:val="0"/>
                <w:sz w:val="22"/>
                <w:highlight w:val="none"/>
              </w:rPr>
            </w:pPr>
          </w:p>
        </w:tc>
      </w:tr>
      <w:tr w14:paraId="2385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4033EFD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53A3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60A5C716">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52D37F1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16BE947B">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2852FC5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12A75E4A">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39D8F7B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61D3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4235BA6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23C814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637FFF9">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2D63A702">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630AD05D">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0E87B6B">
            <w:pPr>
              <w:autoSpaceDN w:val="0"/>
              <w:spacing w:line="360" w:lineRule="auto"/>
              <w:rPr>
                <w:rFonts w:ascii="仿宋" w:hAnsi="仿宋" w:eastAsia="仿宋" w:cs="Times New Roman"/>
                <w:color w:val="auto"/>
                <w:kern w:val="0"/>
                <w:sz w:val="22"/>
                <w:highlight w:val="none"/>
              </w:rPr>
            </w:pPr>
          </w:p>
        </w:tc>
      </w:tr>
      <w:tr w14:paraId="36A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ADA9831">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F0D472B">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B7045BE">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5D304D1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10A0E46">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19D25FA2">
            <w:pPr>
              <w:autoSpaceDN w:val="0"/>
              <w:spacing w:line="360" w:lineRule="auto"/>
              <w:rPr>
                <w:rFonts w:ascii="仿宋" w:hAnsi="仿宋" w:eastAsia="仿宋" w:cs="Times New Roman"/>
                <w:color w:val="auto"/>
                <w:kern w:val="0"/>
                <w:sz w:val="22"/>
                <w:highlight w:val="none"/>
              </w:rPr>
            </w:pPr>
          </w:p>
        </w:tc>
      </w:tr>
      <w:tr w14:paraId="2753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02400F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045410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BDD2A05">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EA1F8A8">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6CCFBC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0E4DF35">
            <w:pPr>
              <w:autoSpaceDN w:val="0"/>
              <w:spacing w:line="360" w:lineRule="auto"/>
              <w:rPr>
                <w:rFonts w:ascii="仿宋" w:hAnsi="仿宋" w:eastAsia="仿宋" w:cs="Times New Roman"/>
                <w:color w:val="auto"/>
                <w:kern w:val="0"/>
                <w:sz w:val="22"/>
                <w:highlight w:val="none"/>
              </w:rPr>
            </w:pPr>
          </w:p>
        </w:tc>
      </w:tr>
    </w:tbl>
    <w:p w14:paraId="56976F0F">
      <w:pPr>
        <w:autoSpaceDN w:val="0"/>
        <w:spacing w:line="360" w:lineRule="auto"/>
        <w:rPr>
          <w:rFonts w:ascii="仿宋" w:hAnsi="仿宋" w:eastAsia="仿宋" w:cs="Times New Roman"/>
          <w:b/>
          <w:bCs/>
          <w:color w:val="auto"/>
          <w:kern w:val="0"/>
          <w:sz w:val="22"/>
          <w:highlight w:val="none"/>
        </w:rPr>
      </w:pPr>
    </w:p>
    <w:p w14:paraId="0A8C8312">
      <w:pPr>
        <w:tabs>
          <w:tab w:val="left" w:pos="720"/>
        </w:tabs>
        <w:autoSpaceDN w:val="0"/>
        <w:spacing w:line="440" w:lineRule="exact"/>
        <w:jc w:val="left"/>
        <w:rPr>
          <w:rFonts w:ascii="仿宋" w:hAnsi="仿宋" w:eastAsia="仿宋" w:cs="Times New Roman"/>
          <w:b/>
          <w:bCs/>
          <w:color w:val="auto"/>
          <w:sz w:val="22"/>
          <w:highlight w:val="none"/>
        </w:rPr>
      </w:pPr>
      <w:bookmarkStart w:id="541" w:name="_Toc246392157"/>
      <w:bookmarkStart w:id="542" w:name="_Toc152042588"/>
      <w:bookmarkStart w:id="543" w:name="_Toc144974867"/>
      <w:bookmarkStart w:id="544" w:name="_Toc152045799"/>
      <w:bookmarkStart w:id="545" w:name="_Toc179632819"/>
      <w:r>
        <w:rPr>
          <w:rFonts w:hint="eastAsia" w:ascii="仿宋" w:hAnsi="仿宋" w:eastAsia="仿宋" w:cs="Times New Roman"/>
          <w:b/>
          <w:bCs/>
          <w:color w:val="auto"/>
          <w:sz w:val="22"/>
          <w:highlight w:val="none"/>
        </w:rPr>
        <w:t>附表五：劳动力计划表</w:t>
      </w:r>
      <w:bookmarkEnd w:id="541"/>
      <w:bookmarkEnd w:id="542"/>
      <w:bookmarkEnd w:id="543"/>
      <w:bookmarkEnd w:id="544"/>
      <w:bookmarkEnd w:id="545"/>
    </w:p>
    <w:p w14:paraId="4B8CFD3D">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39CA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7ADBF3BC">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632266AF">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14:paraId="1E1A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1E9E0113">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2E9BEA6E">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E7D3E1A">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5C43182">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22ABF556">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9EFA50E">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99BE87F">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2D3324E2">
            <w:pPr>
              <w:autoSpaceDN w:val="0"/>
              <w:spacing w:line="440" w:lineRule="exact"/>
              <w:jc w:val="center"/>
              <w:rPr>
                <w:rFonts w:ascii="仿宋" w:hAnsi="仿宋" w:eastAsia="仿宋" w:cs="Times New Roman"/>
                <w:color w:val="auto"/>
                <w:sz w:val="22"/>
                <w:highlight w:val="none"/>
              </w:rPr>
            </w:pPr>
          </w:p>
        </w:tc>
      </w:tr>
      <w:tr w14:paraId="049F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01CFF39A">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21C10FB2">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683F4B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F4FBAD1">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00BEAF7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E5DD29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60643EA6">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0C44535">
            <w:pPr>
              <w:autoSpaceDN w:val="0"/>
              <w:spacing w:line="440" w:lineRule="exact"/>
              <w:jc w:val="center"/>
              <w:rPr>
                <w:rFonts w:ascii="仿宋" w:hAnsi="仿宋" w:eastAsia="仿宋" w:cs="Times New Roman"/>
                <w:color w:val="auto"/>
                <w:sz w:val="22"/>
                <w:highlight w:val="none"/>
              </w:rPr>
            </w:pPr>
          </w:p>
        </w:tc>
      </w:tr>
      <w:tr w14:paraId="72A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B73967A">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1C60CA7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8438F98">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62E890A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0F037AF2">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1390429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056BEC5">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3AE15C57">
            <w:pPr>
              <w:autoSpaceDN w:val="0"/>
              <w:spacing w:line="440" w:lineRule="exact"/>
              <w:jc w:val="center"/>
              <w:rPr>
                <w:rFonts w:ascii="仿宋" w:hAnsi="仿宋" w:eastAsia="仿宋" w:cs="Times New Roman"/>
                <w:color w:val="auto"/>
                <w:sz w:val="22"/>
                <w:highlight w:val="none"/>
              </w:rPr>
            </w:pPr>
          </w:p>
        </w:tc>
      </w:tr>
      <w:tr w14:paraId="4C12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09FAE6C3">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79738E18">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611F24F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02D996C3">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70795C7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7ADCAF06">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7F3364B3">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71AB1A0A">
            <w:pPr>
              <w:autoSpaceDN w:val="0"/>
              <w:spacing w:line="440" w:lineRule="exact"/>
              <w:jc w:val="center"/>
              <w:rPr>
                <w:rFonts w:ascii="仿宋" w:hAnsi="仿宋" w:eastAsia="仿宋" w:cs="Times New Roman"/>
                <w:color w:val="auto"/>
                <w:sz w:val="22"/>
                <w:highlight w:val="none"/>
              </w:rPr>
            </w:pPr>
          </w:p>
        </w:tc>
      </w:tr>
      <w:tr w14:paraId="0F93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0CCBFC64">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089E3DD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39B6BC0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3257C2AA">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6BD3CC19">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3749BAD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291A957">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491A4346">
            <w:pPr>
              <w:autoSpaceDN w:val="0"/>
              <w:spacing w:line="440" w:lineRule="exact"/>
              <w:jc w:val="center"/>
              <w:rPr>
                <w:rFonts w:ascii="仿宋" w:hAnsi="仿宋" w:eastAsia="仿宋" w:cs="Times New Roman"/>
                <w:color w:val="auto"/>
                <w:sz w:val="22"/>
                <w:highlight w:val="none"/>
              </w:rPr>
            </w:pPr>
          </w:p>
        </w:tc>
      </w:tr>
    </w:tbl>
    <w:p w14:paraId="31070DED">
      <w:pPr>
        <w:topLinePunct/>
        <w:autoSpaceDN w:val="0"/>
        <w:spacing w:line="440" w:lineRule="exact"/>
        <w:jc w:val="center"/>
        <w:rPr>
          <w:rFonts w:ascii="仿宋" w:hAnsi="仿宋" w:eastAsia="仿宋" w:cs="Times New Roman"/>
          <w:color w:val="auto"/>
          <w:sz w:val="22"/>
          <w:highlight w:val="none"/>
        </w:rPr>
      </w:pPr>
    </w:p>
    <w:p w14:paraId="76AE17D5">
      <w:pPr>
        <w:tabs>
          <w:tab w:val="left" w:pos="720"/>
        </w:tabs>
        <w:autoSpaceDN w:val="0"/>
        <w:spacing w:line="440" w:lineRule="exact"/>
        <w:jc w:val="left"/>
        <w:rPr>
          <w:rFonts w:ascii="仿宋" w:hAnsi="仿宋" w:eastAsia="仿宋" w:cs="Times New Roman"/>
          <w:b/>
          <w:bCs/>
          <w:color w:val="auto"/>
          <w:sz w:val="22"/>
          <w:highlight w:val="none"/>
        </w:rPr>
      </w:pPr>
      <w:bookmarkStart w:id="546" w:name="_Toc152042589"/>
      <w:bookmarkStart w:id="547" w:name="_Toc179632820"/>
      <w:bookmarkStart w:id="548" w:name="_Toc246392158"/>
      <w:bookmarkStart w:id="549" w:name="_Toc144974868"/>
      <w:bookmarkStart w:id="550" w:name="_Toc152045800"/>
      <w:r>
        <w:rPr>
          <w:rFonts w:hint="eastAsia" w:ascii="仿宋" w:hAnsi="仿宋" w:eastAsia="仿宋" w:cs="Times New Roman"/>
          <w:b/>
          <w:bCs/>
          <w:color w:val="auto"/>
          <w:sz w:val="22"/>
          <w:highlight w:val="none"/>
        </w:rPr>
        <w:t>附表六：计划开、竣工日期和施工进度网络图</w:t>
      </w:r>
      <w:bookmarkEnd w:id="546"/>
      <w:bookmarkEnd w:id="547"/>
      <w:bookmarkEnd w:id="548"/>
      <w:bookmarkEnd w:id="549"/>
      <w:bookmarkEnd w:id="550"/>
    </w:p>
    <w:p w14:paraId="0FD54550">
      <w:pPr>
        <w:autoSpaceDN w:val="0"/>
        <w:spacing w:line="440" w:lineRule="exact"/>
        <w:rPr>
          <w:rFonts w:ascii="仿宋" w:hAnsi="仿宋" w:eastAsia="仿宋" w:cs="Times New Roman"/>
          <w:color w:val="auto"/>
          <w:sz w:val="22"/>
          <w:highlight w:val="none"/>
        </w:rPr>
      </w:pPr>
    </w:p>
    <w:p w14:paraId="03D0B627">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14:paraId="78E8B076">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14:paraId="67BCFBE9">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14:paraId="07E3348E">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 技术（服务）方案</w:t>
      </w:r>
    </w:p>
    <w:p w14:paraId="3263D625">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14:paraId="3B1B29E0">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14:paraId="1C224773">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7D8BDD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6A1BCEC8">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14:paraId="60F81CF3">
      <w:pPr>
        <w:autoSpaceDN w:val="0"/>
        <w:spacing w:line="360" w:lineRule="auto"/>
        <w:rPr>
          <w:rFonts w:ascii="仿宋" w:hAnsi="仿宋" w:eastAsia="仿宋" w:cs="Times New Roman"/>
          <w:color w:val="auto"/>
          <w:szCs w:val="24"/>
          <w:highlight w:val="none"/>
        </w:rPr>
      </w:pPr>
    </w:p>
    <w:p w14:paraId="297B7E6E">
      <w:pPr>
        <w:autoSpaceDN w:val="0"/>
        <w:spacing w:line="200" w:lineRule="exact"/>
        <w:ind w:firstLine="301"/>
        <w:rPr>
          <w:rFonts w:ascii="宋体" w:hAnsi="Courier New" w:eastAsia="宋体" w:cs="Times New Roman"/>
          <w:color w:val="auto"/>
          <w:spacing w:val="-4"/>
          <w:kern w:val="0"/>
          <w:sz w:val="18"/>
          <w:szCs w:val="20"/>
          <w:highlight w:val="none"/>
        </w:rPr>
      </w:pPr>
    </w:p>
    <w:p w14:paraId="01AE07E0">
      <w:pPr>
        <w:autoSpaceDN w:val="0"/>
        <w:spacing w:line="200" w:lineRule="exact"/>
        <w:ind w:firstLine="301"/>
        <w:rPr>
          <w:rFonts w:ascii="宋体" w:hAnsi="Courier New" w:eastAsia="宋体" w:cs="Times New Roman"/>
          <w:color w:val="auto"/>
          <w:spacing w:val="-4"/>
          <w:kern w:val="0"/>
          <w:sz w:val="18"/>
          <w:szCs w:val="20"/>
          <w:highlight w:val="none"/>
        </w:rPr>
      </w:pPr>
    </w:p>
    <w:p w14:paraId="0C70BB8C">
      <w:pPr>
        <w:autoSpaceDN w:val="0"/>
        <w:spacing w:line="200" w:lineRule="exact"/>
        <w:ind w:firstLine="301"/>
        <w:rPr>
          <w:rFonts w:ascii="宋体" w:hAnsi="Courier New" w:eastAsia="宋体" w:cs="Times New Roman"/>
          <w:color w:val="auto"/>
          <w:spacing w:val="-4"/>
          <w:kern w:val="0"/>
          <w:sz w:val="18"/>
          <w:szCs w:val="20"/>
          <w:highlight w:val="none"/>
        </w:rPr>
      </w:pPr>
    </w:p>
    <w:p w14:paraId="5BD7B2EA">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2-10. 节能、环保产品证明材料</w:t>
      </w:r>
    </w:p>
    <w:p w14:paraId="7CF7AFA9">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14:paraId="451AD031">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30B1D3EC">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14:paraId="311BE2B2">
      <w:pPr>
        <w:autoSpaceDN w:val="0"/>
        <w:spacing w:line="360" w:lineRule="auto"/>
        <w:rPr>
          <w:rFonts w:ascii="仿宋" w:hAnsi="仿宋" w:eastAsia="仿宋" w:cs="Times New Roman"/>
          <w:color w:val="auto"/>
          <w:sz w:val="24"/>
          <w:highlight w:val="none"/>
        </w:rPr>
      </w:pPr>
    </w:p>
    <w:p w14:paraId="15D497F7">
      <w:pPr>
        <w:autoSpaceDN w:val="0"/>
        <w:spacing w:line="360" w:lineRule="auto"/>
        <w:rPr>
          <w:rFonts w:ascii="仿宋" w:hAnsi="仿宋" w:eastAsia="仿宋" w:cs="Times New Roman"/>
          <w:color w:val="auto"/>
          <w:sz w:val="24"/>
          <w:highlight w:val="none"/>
        </w:rPr>
      </w:pPr>
    </w:p>
    <w:p w14:paraId="17D69548">
      <w:pPr>
        <w:autoSpaceDN w:val="0"/>
        <w:spacing w:line="360" w:lineRule="auto"/>
        <w:rPr>
          <w:rFonts w:ascii="仿宋" w:hAnsi="仿宋" w:eastAsia="仿宋" w:cs="Times New Roman"/>
          <w:color w:val="auto"/>
          <w:sz w:val="24"/>
          <w:highlight w:val="none"/>
        </w:rPr>
      </w:pPr>
    </w:p>
    <w:p w14:paraId="1E29A7A0">
      <w:pPr>
        <w:autoSpaceDN w:val="0"/>
        <w:spacing w:line="360" w:lineRule="auto"/>
        <w:rPr>
          <w:rFonts w:ascii="仿宋" w:hAnsi="仿宋" w:eastAsia="仿宋" w:cs="Times New Roman"/>
          <w:color w:val="auto"/>
          <w:sz w:val="24"/>
          <w:highlight w:val="none"/>
        </w:rPr>
      </w:pPr>
    </w:p>
    <w:p w14:paraId="3F106F01">
      <w:pPr>
        <w:autoSpaceDN w:val="0"/>
        <w:spacing w:line="200" w:lineRule="exact"/>
        <w:ind w:firstLine="301"/>
        <w:rPr>
          <w:rFonts w:ascii="宋体" w:hAnsi="Courier New" w:eastAsia="宋体" w:cs="Times New Roman"/>
          <w:color w:val="auto"/>
          <w:spacing w:val="-4"/>
          <w:kern w:val="0"/>
          <w:sz w:val="18"/>
          <w:szCs w:val="20"/>
          <w:highlight w:val="none"/>
        </w:rPr>
      </w:pPr>
    </w:p>
    <w:p w14:paraId="747F56F2">
      <w:pPr>
        <w:autoSpaceDN w:val="0"/>
        <w:spacing w:line="200" w:lineRule="exact"/>
        <w:ind w:firstLine="301"/>
        <w:rPr>
          <w:rFonts w:ascii="宋体" w:hAnsi="Courier New" w:eastAsia="宋体" w:cs="Times New Roman"/>
          <w:color w:val="auto"/>
          <w:spacing w:val="-4"/>
          <w:kern w:val="0"/>
          <w:sz w:val="18"/>
          <w:szCs w:val="20"/>
          <w:highlight w:val="none"/>
        </w:rPr>
      </w:pPr>
    </w:p>
    <w:p w14:paraId="54377D18">
      <w:pPr>
        <w:autoSpaceDN w:val="0"/>
        <w:spacing w:line="200" w:lineRule="exact"/>
        <w:ind w:firstLine="301"/>
        <w:rPr>
          <w:rFonts w:ascii="宋体" w:hAnsi="Courier New" w:eastAsia="宋体" w:cs="Times New Roman"/>
          <w:color w:val="auto"/>
          <w:spacing w:val="-4"/>
          <w:kern w:val="0"/>
          <w:sz w:val="18"/>
          <w:szCs w:val="20"/>
          <w:highlight w:val="none"/>
        </w:rPr>
      </w:pPr>
    </w:p>
    <w:p w14:paraId="6FC6F33C">
      <w:pPr>
        <w:autoSpaceDN w:val="0"/>
        <w:spacing w:line="200" w:lineRule="exact"/>
        <w:ind w:firstLine="301"/>
        <w:rPr>
          <w:rFonts w:ascii="宋体" w:hAnsi="Courier New" w:eastAsia="宋体" w:cs="Times New Roman"/>
          <w:color w:val="auto"/>
          <w:spacing w:val="-4"/>
          <w:kern w:val="0"/>
          <w:sz w:val="18"/>
          <w:szCs w:val="20"/>
          <w:highlight w:val="none"/>
        </w:rPr>
      </w:pPr>
    </w:p>
    <w:p w14:paraId="3E6E25C1">
      <w:pPr>
        <w:autoSpaceDN w:val="0"/>
        <w:spacing w:line="200" w:lineRule="exact"/>
        <w:ind w:firstLine="301"/>
        <w:rPr>
          <w:rFonts w:ascii="宋体" w:hAnsi="Courier New" w:eastAsia="宋体" w:cs="Times New Roman"/>
          <w:color w:val="auto"/>
          <w:spacing w:val="-4"/>
          <w:kern w:val="0"/>
          <w:sz w:val="18"/>
          <w:szCs w:val="20"/>
          <w:highlight w:val="none"/>
        </w:rPr>
      </w:pPr>
    </w:p>
    <w:p w14:paraId="22AB38C1">
      <w:pPr>
        <w:autoSpaceDN w:val="0"/>
        <w:spacing w:line="200" w:lineRule="exact"/>
        <w:ind w:firstLine="301"/>
        <w:rPr>
          <w:rFonts w:ascii="宋体" w:hAnsi="Courier New" w:eastAsia="宋体" w:cs="Times New Roman"/>
          <w:color w:val="auto"/>
          <w:spacing w:val="-4"/>
          <w:kern w:val="0"/>
          <w:sz w:val="18"/>
          <w:szCs w:val="20"/>
          <w:highlight w:val="none"/>
        </w:rPr>
      </w:pPr>
    </w:p>
    <w:p w14:paraId="1DACFD36">
      <w:pPr>
        <w:autoSpaceDN w:val="0"/>
        <w:spacing w:line="200" w:lineRule="exact"/>
        <w:ind w:firstLine="301"/>
        <w:rPr>
          <w:rFonts w:ascii="宋体" w:hAnsi="Courier New" w:eastAsia="宋体" w:cs="Times New Roman"/>
          <w:color w:val="auto"/>
          <w:spacing w:val="-4"/>
          <w:kern w:val="0"/>
          <w:sz w:val="18"/>
          <w:szCs w:val="20"/>
          <w:highlight w:val="none"/>
        </w:rPr>
      </w:pPr>
    </w:p>
    <w:p w14:paraId="107AC3D5">
      <w:pPr>
        <w:autoSpaceDN w:val="0"/>
        <w:spacing w:line="200" w:lineRule="exact"/>
        <w:ind w:firstLine="301"/>
        <w:rPr>
          <w:rFonts w:ascii="宋体" w:hAnsi="Courier New" w:eastAsia="宋体" w:cs="Times New Roman"/>
          <w:color w:val="auto"/>
          <w:spacing w:val="-4"/>
          <w:kern w:val="0"/>
          <w:sz w:val="18"/>
          <w:szCs w:val="20"/>
          <w:highlight w:val="none"/>
        </w:rPr>
      </w:pPr>
    </w:p>
    <w:p w14:paraId="50B7733B">
      <w:pPr>
        <w:autoSpaceDN w:val="0"/>
        <w:spacing w:line="200" w:lineRule="exact"/>
        <w:ind w:firstLine="301"/>
        <w:rPr>
          <w:rFonts w:ascii="宋体" w:hAnsi="Courier New" w:eastAsia="宋体" w:cs="Times New Roman"/>
          <w:color w:val="auto"/>
          <w:spacing w:val="-4"/>
          <w:kern w:val="0"/>
          <w:sz w:val="18"/>
          <w:szCs w:val="20"/>
          <w:highlight w:val="none"/>
        </w:rPr>
      </w:pPr>
    </w:p>
    <w:p w14:paraId="28CC88C2">
      <w:pPr>
        <w:autoSpaceDN w:val="0"/>
        <w:spacing w:line="200" w:lineRule="exact"/>
        <w:ind w:firstLine="301"/>
        <w:rPr>
          <w:rFonts w:ascii="宋体" w:hAnsi="Courier New" w:eastAsia="宋体" w:cs="Times New Roman"/>
          <w:color w:val="auto"/>
          <w:spacing w:val="-4"/>
          <w:kern w:val="0"/>
          <w:sz w:val="18"/>
          <w:szCs w:val="20"/>
          <w:highlight w:val="none"/>
        </w:rPr>
      </w:pPr>
    </w:p>
    <w:p w14:paraId="49A74AA6">
      <w:pPr>
        <w:autoSpaceDN w:val="0"/>
        <w:spacing w:line="200" w:lineRule="exact"/>
        <w:ind w:firstLine="301"/>
        <w:rPr>
          <w:rFonts w:ascii="宋体" w:hAnsi="Courier New" w:eastAsia="宋体" w:cs="Times New Roman"/>
          <w:color w:val="auto"/>
          <w:spacing w:val="-4"/>
          <w:kern w:val="0"/>
          <w:sz w:val="18"/>
          <w:szCs w:val="20"/>
          <w:highlight w:val="none"/>
        </w:rPr>
      </w:pPr>
    </w:p>
    <w:p w14:paraId="31E7A9C8">
      <w:pPr>
        <w:autoSpaceDN w:val="0"/>
        <w:spacing w:line="200" w:lineRule="exact"/>
        <w:ind w:firstLine="301"/>
        <w:rPr>
          <w:rFonts w:ascii="宋体" w:hAnsi="Courier New" w:eastAsia="宋体" w:cs="Times New Roman"/>
          <w:color w:val="auto"/>
          <w:spacing w:val="-4"/>
          <w:kern w:val="0"/>
          <w:sz w:val="18"/>
          <w:szCs w:val="20"/>
          <w:highlight w:val="none"/>
        </w:rPr>
      </w:pPr>
    </w:p>
    <w:p w14:paraId="1F693194">
      <w:pPr>
        <w:autoSpaceDN w:val="0"/>
        <w:spacing w:line="200" w:lineRule="exact"/>
        <w:ind w:firstLine="301"/>
        <w:rPr>
          <w:rFonts w:ascii="宋体" w:hAnsi="Courier New" w:eastAsia="宋体" w:cs="Times New Roman"/>
          <w:color w:val="auto"/>
          <w:spacing w:val="-4"/>
          <w:kern w:val="0"/>
          <w:sz w:val="18"/>
          <w:szCs w:val="20"/>
          <w:highlight w:val="none"/>
        </w:rPr>
      </w:pPr>
    </w:p>
    <w:p w14:paraId="219FBF07">
      <w:pPr>
        <w:autoSpaceDN w:val="0"/>
        <w:spacing w:line="200" w:lineRule="exact"/>
        <w:ind w:firstLine="301"/>
        <w:rPr>
          <w:rFonts w:ascii="宋体" w:hAnsi="Courier New" w:eastAsia="宋体" w:cs="Times New Roman"/>
          <w:color w:val="auto"/>
          <w:spacing w:val="-4"/>
          <w:kern w:val="0"/>
          <w:sz w:val="18"/>
          <w:szCs w:val="20"/>
          <w:highlight w:val="none"/>
        </w:rPr>
      </w:pPr>
    </w:p>
    <w:p w14:paraId="0870353B">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53B6C910">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264C403C">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530"/>
      <w:r>
        <w:rPr>
          <w:rFonts w:hint="eastAsia" w:ascii="仿宋" w:hAnsi="仿宋" w:eastAsia="仿宋" w:cs="Times New Roman"/>
          <w:b/>
          <w:bCs/>
          <w:color w:val="auto"/>
          <w:kern w:val="0"/>
          <w:sz w:val="28"/>
          <w:szCs w:val="28"/>
          <w:highlight w:val="none"/>
        </w:rPr>
        <w:t>2-11.主要材料推荐品牌（如有）</w:t>
      </w:r>
    </w:p>
    <w:p w14:paraId="5648F3F8">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14:paraId="47C45772">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525B8EE6">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14:paraId="5794E361">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E94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52BC2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08237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447DA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47240E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E22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26874F9">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C5C36C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8ADF3E5">
            <w:pPr>
              <w:snapToGrid w:val="0"/>
              <w:jc w:val="center"/>
              <w:rPr>
                <w:rFonts w:ascii="仿宋" w:hAnsi="仿宋" w:eastAsia="仿宋" w:cs="仿宋"/>
                <w:color w:val="auto"/>
                <w:szCs w:val="21"/>
                <w:highlight w:val="none"/>
              </w:rPr>
            </w:pPr>
          </w:p>
        </w:tc>
      </w:tr>
      <w:tr w14:paraId="48B85DA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C36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68A4E2">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8A30D2">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67F9D09">
            <w:pPr>
              <w:snapToGrid w:val="0"/>
              <w:jc w:val="center"/>
              <w:rPr>
                <w:rFonts w:ascii="仿宋" w:hAnsi="仿宋" w:eastAsia="仿宋" w:cs="仿宋"/>
                <w:color w:val="auto"/>
                <w:szCs w:val="21"/>
                <w:highlight w:val="none"/>
              </w:rPr>
            </w:pPr>
          </w:p>
        </w:tc>
      </w:tr>
      <w:tr w14:paraId="260D410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95E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2F9B9E0">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15CA2FC">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E58ADD">
            <w:pPr>
              <w:snapToGrid w:val="0"/>
              <w:jc w:val="center"/>
              <w:rPr>
                <w:rFonts w:ascii="仿宋" w:hAnsi="仿宋" w:eastAsia="仿宋" w:cs="仿宋"/>
                <w:color w:val="auto"/>
                <w:szCs w:val="21"/>
                <w:highlight w:val="none"/>
              </w:rPr>
            </w:pPr>
          </w:p>
        </w:tc>
      </w:tr>
      <w:tr w14:paraId="5FBE491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EC2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085D42">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8EE5777">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9E2355">
            <w:pPr>
              <w:snapToGrid w:val="0"/>
              <w:jc w:val="center"/>
              <w:rPr>
                <w:rFonts w:ascii="仿宋" w:hAnsi="仿宋" w:eastAsia="仿宋" w:cs="仿宋"/>
                <w:color w:val="auto"/>
                <w:szCs w:val="21"/>
                <w:highlight w:val="none"/>
              </w:rPr>
            </w:pPr>
          </w:p>
        </w:tc>
      </w:tr>
      <w:tr w14:paraId="43E8D42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258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DAC51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C9139F">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02A10B">
            <w:pPr>
              <w:snapToGrid w:val="0"/>
              <w:jc w:val="center"/>
              <w:rPr>
                <w:rFonts w:ascii="仿宋" w:hAnsi="仿宋" w:eastAsia="仿宋" w:cs="仿宋"/>
                <w:color w:val="auto"/>
                <w:szCs w:val="21"/>
                <w:highlight w:val="none"/>
              </w:rPr>
            </w:pPr>
          </w:p>
        </w:tc>
      </w:tr>
      <w:tr w14:paraId="744744E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95A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BC7445">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CC53DAE">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5DC020B">
            <w:pPr>
              <w:snapToGrid w:val="0"/>
              <w:jc w:val="center"/>
              <w:rPr>
                <w:rFonts w:ascii="仿宋" w:hAnsi="仿宋" w:eastAsia="仿宋" w:cs="仿宋"/>
                <w:color w:val="auto"/>
                <w:szCs w:val="21"/>
                <w:highlight w:val="none"/>
              </w:rPr>
            </w:pPr>
          </w:p>
        </w:tc>
      </w:tr>
      <w:tr w14:paraId="4737609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054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CD32BDD">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C46AA9B">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E0BD6AD">
            <w:pPr>
              <w:snapToGrid w:val="0"/>
              <w:jc w:val="center"/>
              <w:rPr>
                <w:rFonts w:ascii="仿宋" w:hAnsi="仿宋" w:eastAsia="仿宋" w:cs="仿宋"/>
                <w:color w:val="auto"/>
                <w:szCs w:val="21"/>
                <w:highlight w:val="none"/>
              </w:rPr>
            </w:pPr>
          </w:p>
        </w:tc>
      </w:tr>
      <w:tr w14:paraId="2049130B">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A3F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1E4BC4">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14D514F">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34F288">
            <w:pPr>
              <w:snapToGrid w:val="0"/>
              <w:jc w:val="center"/>
              <w:rPr>
                <w:rFonts w:ascii="仿宋" w:hAnsi="仿宋" w:eastAsia="仿宋" w:cs="仿宋"/>
                <w:color w:val="auto"/>
                <w:szCs w:val="21"/>
                <w:highlight w:val="none"/>
              </w:rPr>
            </w:pPr>
          </w:p>
        </w:tc>
      </w:tr>
      <w:tr w14:paraId="089F552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C3E7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A6070F">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1698AC7">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8FDB898">
            <w:pPr>
              <w:snapToGrid w:val="0"/>
              <w:jc w:val="center"/>
              <w:rPr>
                <w:rFonts w:ascii="仿宋" w:hAnsi="仿宋" w:eastAsia="仿宋" w:cs="仿宋"/>
                <w:color w:val="auto"/>
                <w:szCs w:val="21"/>
                <w:highlight w:val="none"/>
              </w:rPr>
            </w:pPr>
          </w:p>
        </w:tc>
      </w:tr>
      <w:tr w14:paraId="15C0DBB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241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EDB8B07">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713FC4">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A83331">
            <w:pPr>
              <w:snapToGrid w:val="0"/>
              <w:jc w:val="center"/>
              <w:rPr>
                <w:rFonts w:ascii="仿宋" w:hAnsi="仿宋" w:eastAsia="仿宋" w:cs="仿宋"/>
                <w:color w:val="auto"/>
                <w:szCs w:val="21"/>
                <w:highlight w:val="none"/>
              </w:rPr>
            </w:pPr>
          </w:p>
        </w:tc>
      </w:tr>
      <w:tr w14:paraId="0D6A7C6B">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80C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18F0E57">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825FF97">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CB117B">
            <w:pPr>
              <w:snapToGrid w:val="0"/>
              <w:jc w:val="center"/>
              <w:rPr>
                <w:rFonts w:ascii="仿宋" w:hAnsi="仿宋" w:eastAsia="仿宋" w:cs="仿宋"/>
                <w:color w:val="auto"/>
                <w:szCs w:val="21"/>
                <w:highlight w:val="none"/>
              </w:rPr>
            </w:pPr>
          </w:p>
        </w:tc>
      </w:tr>
      <w:tr w14:paraId="630D357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3DB7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76CF06">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F109E0">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F14910B">
            <w:pPr>
              <w:snapToGrid w:val="0"/>
              <w:jc w:val="center"/>
              <w:rPr>
                <w:rFonts w:ascii="仿宋" w:hAnsi="仿宋" w:eastAsia="仿宋" w:cs="仿宋"/>
                <w:color w:val="auto"/>
                <w:szCs w:val="21"/>
                <w:highlight w:val="none"/>
              </w:rPr>
            </w:pPr>
          </w:p>
        </w:tc>
      </w:tr>
      <w:tr w14:paraId="12DFB8D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708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925054">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820531A">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20C2D8">
            <w:pPr>
              <w:snapToGrid w:val="0"/>
              <w:jc w:val="center"/>
              <w:rPr>
                <w:rFonts w:ascii="仿宋" w:hAnsi="仿宋" w:eastAsia="仿宋" w:cs="仿宋"/>
                <w:color w:val="auto"/>
                <w:szCs w:val="21"/>
                <w:highlight w:val="none"/>
              </w:rPr>
            </w:pPr>
          </w:p>
        </w:tc>
      </w:tr>
      <w:tr w14:paraId="205C562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D71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31F8146">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AF0DD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B26F15">
            <w:pPr>
              <w:snapToGrid w:val="0"/>
              <w:jc w:val="center"/>
              <w:rPr>
                <w:rFonts w:ascii="仿宋" w:hAnsi="仿宋" w:eastAsia="仿宋" w:cs="仿宋"/>
                <w:color w:val="auto"/>
                <w:szCs w:val="21"/>
                <w:highlight w:val="none"/>
              </w:rPr>
            </w:pPr>
          </w:p>
        </w:tc>
      </w:tr>
      <w:tr w14:paraId="00873C8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170E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23629BC">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2EBF1E1">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AB23BF">
            <w:pPr>
              <w:snapToGrid w:val="0"/>
              <w:jc w:val="center"/>
              <w:rPr>
                <w:rFonts w:ascii="仿宋" w:hAnsi="仿宋" w:eastAsia="仿宋" w:cs="仿宋"/>
                <w:color w:val="auto"/>
                <w:szCs w:val="21"/>
                <w:highlight w:val="none"/>
              </w:rPr>
            </w:pPr>
          </w:p>
        </w:tc>
      </w:tr>
      <w:tr w14:paraId="6CF258A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5D8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0F6127B">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B2FE974">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81BC8C7">
            <w:pPr>
              <w:snapToGrid w:val="0"/>
              <w:jc w:val="center"/>
              <w:rPr>
                <w:rFonts w:ascii="仿宋" w:hAnsi="仿宋" w:eastAsia="仿宋" w:cs="仿宋"/>
                <w:color w:val="auto"/>
                <w:szCs w:val="21"/>
                <w:highlight w:val="none"/>
              </w:rPr>
            </w:pPr>
          </w:p>
        </w:tc>
      </w:tr>
      <w:tr w14:paraId="7F291F5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E64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148729">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91FC2B">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183FA60">
            <w:pPr>
              <w:snapToGrid w:val="0"/>
              <w:jc w:val="center"/>
              <w:rPr>
                <w:rFonts w:ascii="仿宋" w:hAnsi="仿宋" w:eastAsia="仿宋" w:cs="仿宋"/>
                <w:color w:val="auto"/>
                <w:szCs w:val="21"/>
                <w:highlight w:val="none"/>
              </w:rPr>
            </w:pPr>
          </w:p>
        </w:tc>
      </w:tr>
      <w:tr w14:paraId="7D3CFDB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777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870949">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7C0A2F">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9FB705">
            <w:pPr>
              <w:snapToGrid w:val="0"/>
              <w:jc w:val="center"/>
              <w:rPr>
                <w:rFonts w:ascii="仿宋" w:hAnsi="仿宋" w:eastAsia="仿宋" w:cs="仿宋"/>
                <w:color w:val="auto"/>
                <w:szCs w:val="21"/>
                <w:highlight w:val="none"/>
              </w:rPr>
            </w:pPr>
          </w:p>
        </w:tc>
      </w:tr>
      <w:tr w14:paraId="52077B3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AA47">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373A3D">
            <w:pPr>
              <w:snapToGrid w:val="0"/>
              <w:jc w:val="center"/>
              <w:rPr>
                <w:rFonts w:ascii="仿宋" w:hAnsi="仿宋" w:eastAsia="仿宋" w:cs="仿宋"/>
                <w:b/>
                <w:bCs/>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C204D5">
            <w:pPr>
              <w:snapToGrid w:val="0"/>
              <w:jc w:val="center"/>
              <w:rPr>
                <w:rFonts w:ascii="仿宋" w:hAnsi="仿宋" w:eastAsia="仿宋" w:cs="仿宋"/>
                <w:b/>
                <w:bCs/>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4054F1">
            <w:pPr>
              <w:snapToGrid w:val="0"/>
              <w:jc w:val="center"/>
              <w:rPr>
                <w:rFonts w:ascii="仿宋" w:hAnsi="仿宋" w:eastAsia="仿宋" w:cs="仿宋"/>
                <w:b/>
                <w:bCs/>
                <w:color w:val="auto"/>
                <w:szCs w:val="21"/>
                <w:highlight w:val="none"/>
              </w:rPr>
            </w:pPr>
          </w:p>
        </w:tc>
      </w:tr>
    </w:tbl>
    <w:p w14:paraId="040FBD43">
      <w:pPr>
        <w:snapToGrid w:val="0"/>
        <w:spacing w:line="360" w:lineRule="auto"/>
        <w:jc w:val="left"/>
        <w:rPr>
          <w:rFonts w:ascii="宋体" w:hAnsi="宋体" w:eastAsia="宋体" w:cs="Times New Roman"/>
          <w:color w:val="auto"/>
          <w:sz w:val="24"/>
          <w:szCs w:val="24"/>
          <w:highlight w:val="none"/>
          <w:u w:val="single"/>
        </w:rPr>
      </w:pPr>
    </w:p>
    <w:p w14:paraId="6ADC6E9B">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14:paraId="258C2426">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14:paraId="0C5398C1">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7E17DA82">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14:paraId="7426A87B">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14:paraId="0A1A6F3F">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14:paraId="419CEC1C">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14:paraId="00B32B22">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2-12.其他资料</w:t>
      </w:r>
    </w:p>
    <w:p w14:paraId="748A5B3D">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14:paraId="7ADB3396">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14:paraId="4656F39C">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0E806810">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10CC73BA">
            <w:pPr>
              <w:autoSpaceDN w:val="0"/>
              <w:spacing w:line="360" w:lineRule="auto"/>
              <w:rPr>
                <w:rFonts w:ascii="仿宋" w:hAnsi="仿宋" w:eastAsia="仿宋" w:cs="Times New Roman"/>
                <w:color w:val="auto"/>
                <w:sz w:val="22"/>
                <w:szCs w:val="21"/>
                <w:highlight w:val="none"/>
              </w:rPr>
            </w:pPr>
          </w:p>
        </w:tc>
      </w:tr>
    </w:tbl>
    <w:p w14:paraId="6F24D7D8">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737975D9">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5AAF3C1">
      <w:pPr>
        <w:autoSpaceDN w:val="0"/>
        <w:rPr>
          <w:rFonts w:ascii="Times New Roman" w:hAnsi="Times New Roman" w:eastAsia="宋体" w:cs="Times New Roman"/>
          <w:color w:val="auto"/>
          <w:szCs w:val="24"/>
          <w:highlight w:val="none"/>
        </w:rPr>
      </w:pPr>
    </w:p>
    <w:p w14:paraId="5A55F892">
      <w:pPr>
        <w:autoSpaceDN w:val="0"/>
        <w:rPr>
          <w:rFonts w:ascii="Times New Roman" w:hAnsi="Times New Roman" w:eastAsia="宋体" w:cs="Times New Roman"/>
          <w:color w:val="auto"/>
          <w:szCs w:val="24"/>
          <w:highlight w:val="none"/>
        </w:rPr>
      </w:pPr>
    </w:p>
    <w:p w14:paraId="2F2DE17E">
      <w:pPr>
        <w:rPr>
          <w:color w:val="auto"/>
          <w:highlight w:val="none"/>
        </w:rPr>
      </w:pPr>
    </w:p>
    <w:p w14:paraId="0E305A32">
      <w:pPr>
        <w:autoSpaceDN w:val="0"/>
        <w:rPr>
          <w:rFonts w:ascii="Times New Roman" w:hAnsi="Times New Roman" w:eastAsia="宋体" w:cs="Times New Roman"/>
          <w:color w:val="auto"/>
          <w:szCs w:val="24"/>
          <w:highlight w:val="none"/>
        </w:rPr>
      </w:pPr>
    </w:p>
    <w:p w14:paraId="7000E536">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551" w:name="_Toc96947081"/>
      <w:bookmarkStart w:id="552" w:name="_Toc11526"/>
      <w:r>
        <w:rPr>
          <w:rFonts w:hint="eastAsia" w:ascii="仿宋" w:hAnsi="仿宋" w:eastAsia="仿宋" w:cs="Times New Roman"/>
          <w:b/>
          <w:bCs/>
          <w:color w:val="auto"/>
          <w:sz w:val="32"/>
          <w:szCs w:val="32"/>
          <w:highlight w:val="none"/>
        </w:rPr>
        <w:t>三、报价文件部分格式</w:t>
      </w:r>
      <w:bookmarkEnd w:id="551"/>
      <w:bookmarkEnd w:id="552"/>
    </w:p>
    <w:p w14:paraId="6D663988">
      <w:pPr>
        <w:autoSpaceDN w:val="0"/>
        <w:rPr>
          <w:rFonts w:ascii="Times New Roman" w:hAnsi="Times New Roman" w:eastAsia="宋体" w:cs="Times New Roman"/>
          <w:color w:val="auto"/>
          <w:szCs w:val="24"/>
          <w:highlight w:val="none"/>
        </w:rPr>
      </w:pPr>
    </w:p>
    <w:p w14:paraId="05BA0C6C">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4D7B4202">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0CA0181A">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浙江工业大学屏峰校区室外运动场改造工程</w:t>
      </w:r>
    </w:p>
    <w:p w14:paraId="74C95AF5">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14:paraId="6BB36E13">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14:paraId="5D92BF85">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61CA2B74">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23F1EEB0">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14:paraId="135E9ED9">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30009432">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2141FFD5">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C0054A9">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33BCBFC5">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6B15C374">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3CF81FA5">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15E2C301">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1719E269">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14:paraId="6C1BA4C5">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14:paraId="7B8CF7F9">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14:paraId="6A120690">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14:paraId="5092ACEF">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日历天（其中设计工期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日历天，施工工期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14:paraId="260138DF">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仿宋"/>
          <w:color w:val="auto"/>
          <w:sz w:val="24"/>
          <w:szCs w:val="24"/>
          <w:highlight w:val="none"/>
        </w:rPr>
        <w:t>在竞争性磋商有效期内不修改、撤销磋商响应文件。</w:t>
      </w:r>
    </w:p>
    <w:p w14:paraId="17EF9A02">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14:paraId="5DF3EDC8">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14:paraId="71F5EE31">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14:paraId="02BFB428">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14:paraId="0F6F1AC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14:paraId="34641420">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14:paraId="7E64DE72">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14:paraId="7EB6BEE9">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43C6E874">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0D09510">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1CF3685F">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0F7CB05">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7D3455BB">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14:paraId="5BC9DBBF">
      <w:pPr>
        <w:numPr>
          <w:ilvl w:val="0"/>
          <w:numId w:val="7"/>
        </w:numPr>
        <w:tabs>
          <w:tab w:val="center" w:pos="4755"/>
          <w:tab w:val="right" w:pos="9070"/>
        </w:tabs>
        <w:autoSpaceDN w:val="0"/>
        <w:spacing w:line="440" w:lineRule="exact"/>
        <w:ind w:firstLine="640" w:firstLineChars="200"/>
        <w:rPr>
          <w:rFonts w:ascii="仿宋" w:hAnsi="仿宋" w:eastAsia="仿宋" w:cs="Times New Roman"/>
          <w:b/>
          <w:bCs/>
          <w:color w:val="auto"/>
          <w:kern w:val="0"/>
          <w:sz w:val="32"/>
          <w:szCs w:val="24"/>
          <w:highlight w:val="none"/>
        </w:rPr>
      </w:pPr>
      <w:r>
        <w:rPr>
          <w:rFonts w:hint="eastAsia" w:ascii="仿宋" w:hAnsi="仿宋" w:eastAsia="仿宋" w:cs="Times New Roman"/>
          <w:b/>
          <w:bCs/>
          <w:color w:val="auto"/>
          <w:kern w:val="0"/>
          <w:sz w:val="32"/>
          <w:szCs w:val="24"/>
          <w:highlight w:val="none"/>
        </w:rPr>
        <w:t>初次报价一栏表</w:t>
      </w:r>
    </w:p>
    <w:p w14:paraId="6A000F1E">
      <w:pPr>
        <w:spacing w:line="360" w:lineRule="auto"/>
        <w:jc w:val="center"/>
        <w:rPr>
          <w:rFonts w:ascii="仿宋" w:hAnsi="仿宋" w:eastAsia="仿宋" w:cs="仿宋"/>
          <w:bCs/>
          <w:color w:val="auto"/>
          <w:spacing w:val="-6"/>
          <w:sz w:val="28"/>
          <w:szCs w:val="28"/>
          <w:highlight w:val="none"/>
        </w:rPr>
      </w:pPr>
      <w:r>
        <w:rPr>
          <w:rFonts w:hint="eastAsia" w:ascii="仿宋" w:hAnsi="仿宋" w:eastAsia="仿宋" w:cs="Times New Roman"/>
          <w:b/>
          <w:bCs/>
          <w:color w:val="auto"/>
          <w:kern w:val="0"/>
          <w:sz w:val="28"/>
          <w:szCs w:val="28"/>
          <w:highlight w:val="none"/>
        </w:rPr>
        <w:t>初次报价一栏表</w:t>
      </w:r>
    </w:p>
    <w:p w14:paraId="1F50DED9">
      <w:pPr>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w:t>
      </w:r>
    </w:p>
    <w:p w14:paraId="7C81E25A">
      <w:pPr>
        <w:spacing w:line="360" w:lineRule="auto"/>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项目名称：</w:t>
      </w:r>
    </w:p>
    <w:p w14:paraId="1DD58764">
      <w:pPr>
        <w:spacing w:line="360" w:lineRule="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项目编号：</w:t>
      </w:r>
    </w:p>
    <w:tbl>
      <w:tblPr>
        <w:tblStyle w:val="61"/>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4206"/>
        <w:gridCol w:w="756"/>
        <w:gridCol w:w="756"/>
        <w:gridCol w:w="2964"/>
      </w:tblGrid>
      <w:tr w14:paraId="48004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23B7C200">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4206" w:type="dxa"/>
            <w:tcBorders>
              <w:top w:val="single" w:color="auto" w:sz="4" w:space="0"/>
              <w:left w:val="single" w:color="auto" w:sz="4" w:space="0"/>
              <w:bottom w:val="single" w:color="auto" w:sz="4" w:space="0"/>
              <w:right w:val="single" w:color="auto" w:sz="4" w:space="0"/>
            </w:tcBorders>
            <w:vAlign w:val="center"/>
          </w:tcPr>
          <w:p w14:paraId="5B9A3617">
            <w:pPr>
              <w:jc w:val="center"/>
              <w:rPr>
                <w:rFonts w:ascii="仿宋" w:hAnsi="仿宋" w:eastAsia="仿宋" w:cs="仿宋"/>
                <w:b/>
                <w:bCs/>
                <w:color w:val="auto"/>
                <w:highlight w:val="none"/>
              </w:rPr>
            </w:pPr>
            <w:r>
              <w:rPr>
                <w:rFonts w:hint="eastAsia" w:ascii="仿宋" w:hAnsi="仿宋" w:eastAsia="仿宋" w:cs="仿宋"/>
                <w:b/>
                <w:bCs/>
                <w:color w:val="auto"/>
                <w:highlight w:val="none"/>
              </w:rPr>
              <w:t>项目内容</w:t>
            </w:r>
          </w:p>
        </w:tc>
        <w:tc>
          <w:tcPr>
            <w:tcW w:w="756" w:type="dxa"/>
            <w:tcBorders>
              <w:top w:val="single" w:color="auto" w:sz="4" w:space="0"/>
              <w:left w:val="single" w:color="auto" w:sz="4" w:space="0"/>
              <w:bottom w:val="single" w:color="auto" w:sz="4" w:space="0"/>
              <w:right w:val="single" w:color="auto" w:sz="4" w:space="0"/>
            </w:tcBorders>
            <w:vAlign w:val="center"/>
          </w:tcPr>
          <w:p w14:paraId="461A041F">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单位</w:t>
            </w:r>
          </w:p>
        </w:tc>
        <w:tc>
          <w:tcPr>
            <w:tcW w:w="756" w:type="dxa"/>
            <w:tcBorders>
              <w:top w:val="single" w:color="auto" w:sz="4" w:space="0"/>
              <w:left w:val="single" w:color="auto" w:sz="4" w:space="0"/>
              <w:bottom w:val="single" w:color="auto" w:sz="4" w:space="0"/>
              <w:right w:val="single" w:color="auto" w:sz="4" w:space="0"/>
            </w:tcBorders>
            <w:vAlign w:val="center"/>
          </w:tcPr>
          <w:p w14:paraId="6F1CE516">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数量</w:t>
            </w:r>
          </w:p>
        </w:tc>
        <w:tc>
          <w:tcPr>
            <w:tcW w:w="2964" w:type="dxa"/>
            <w:tcBorders>
              <w:top w:val="single" w:color="auto" w:sz="4" w:space="0"/>
              <w:left w:val="single" w:color="auto" w:sz="4" w:space="0"/>
              <w:bottom w:val="single" w:color="auto" w:sz="4" w:space="0"/>
              <w:right w:val="single" w:color="auto" w:sz="4" w:space="0"/>
            </w:tcBorders>
            <w:vAlign w:val="center"/>
          </w:tcPr>
          <w:p w14:paraId="428D764D">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金额</w:t>
            </w:r>
          </w:p>
        </w:tc>
      </w:tr>
      <w:tr w14:paraId="15A3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4D5C9510">
            <w:pPr>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4206" w:type="dxa"/>
            <w:tcBorders>
              <w:top w:val="single" w:color="auto" w:sz="4" w:space="0"/>
              <w:left w:val="single" w:color="auto" w:sz="4" w:space="0"/>
              <w:bottom w:val="single" w:color="auto" w:sz="4" w:space="0"/>
              <w:right w:val="single" w:color="auto" w:sz="4" w:space="0"/>
            </w:tcBorders>
            <w:vAlign w:val="center"/>
          </w:tcPr>
          <w:p w14:paraId="73CF54CF">
            <w:pPr>
              <w:jc w:val="center"/>
              <w:rPr>
                <w:rFonts w:ascii="仿宋" w:hAnsi="仿宋" w:eastAsia="仿宋" w:cs="仿宋"/>
                <w:color w:val="auto"/>
                <w:highlight w:val="none"/>
              </w:rPr>
            </w:pPr>
            <w:r>
              <w:rPr>
                <w:rFonts w:hint="eastAsia" w:ascii="仿宋" w:hAnsi="仿宋" w:eastAsia="仿宋" w:cs="仿宋"/>
                <w:color w:val="auto"/>
                <w:szCs w:val="21"/>
                <w:highlight w:val="none"/>
              </w:rPr>
              <w:t>设计费</w:t>
            </w:r>
          </w:p>
        </w:tc>
        <w:tc>
          <w:tcPr>
            <w:tcW w:w="756" w:type="dxa"/>
            <w:tcBorders>
              <w:top w:val="single" w:color="auto" w:sz="4" w:space="0"/>
              <w:left w:val="single" w:color="auto" w:sz="4" w:space="0"/>
              <w:bottom w:val="single" w:color="auto" w:sz="4" w:space="0"/>
              <w:right w:val="single" w:color="auto" w:sz="4" w:space="0"/>
            </w:tcBorders>
            <w:vAlign w:val="center"/>
          </w:tcPr>
          <w:p w14:paraId="73F58CC5">
            <w:pPr>
              <w:jc w:val="center"/>
              <w:rPr>
                <w:rFonts w:ascii="仿宋" w:hAnsi="仿宋" w:eastAsia="仿宋" w:cs="仿宋"/>
                <w:color w:val="auto"/>
                <w:highlight w:val="none"/>
              </w:rPr>
            </w:pPr>
            <w:r>
              <w:rPr>
                <w:rFonts w:hint="eastAsia" w:ascii="仿宋" w:hAnsi="仿宋" w:eastAsia="仿宋" w:cs="仿宋"/>
                <w:color w:val="auto"/>
                <w:szCs w:val="21"/>
                <w:highlight w:val="none"/>
              </w:rPr>
              <w:t>项</w:t>
            </w:r>
          </w:p>
        </w:tc>
        <w:tc>
          <w:tcPr>
            <w:tcW w:w="756" w:type="dxa"/>
            <w:tcBorders>
              <w:top w:val="single" w:color="auto" w:sz="4" w:space="0"/>
              <w:left w:val="single" w:color="auto" w:sz="4" w:space="0"/>
              <w:bottom w:val="single" w:color="auto" w:sz="4" w:space="0"/>
              <w:right w:val="single" w:color="auto" w:sz="4" w:space="0"/>
            </w:tcBorders>
            <w:vAlign w:val="center"/>
          </w:tcPr>
          <w:p w14:paraId="2E266046">
            <w:pPr>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2964" w:type="dxa"/>
            <w:tcBorders>
              <w:top w:val="single" w:color="auto" w:sz="4" w:space="0"/>
              <w:left w:val="single" w:color="auto" w:sz="4" w:space="0"/>
              <w:bottom w:val="single" w:color="auto" w:sz="4" w:space="0"/>
              <w:right w:val="single" w:color="auto" w:sz="4" w:space="0"/>
            </w:tcBorders>
            <w:vAlign w:val="center"/>
          </w:tcPr>
          <w:p w14:paraId="114816E7">
            <w:pPr>
              <w:jc w:val="center"/>
              <w:rPr>
                <w:rFonts w:ascii="仿宋" w:hAnsi="仿宋" w:eastAsia="仿宋" w:cs="仿宋"/>
                <w:color w:val="auto"/>
                <w:highlight w:val="none"/>
              </w:rPr>
            </w:pPr>
          </w:p>
        </w:tc>
      </w:tr>
      <w:tr w14:paraId="12F7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36FE3249">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206" w:type="dxa"/>
            <w:tcBorders>
              <w:top w:val="single" w:color="auto" w:sz="4" w:space="0"/>
              <w:left w:val="single" w:color="auto" w:sz="4" w:space="0"/>
              <w:bottom w:val="single" w:color="auto" w:sz="4" w:space="0"/>
              <w:right w:val="single" w:color="auto" w:sz="4" w:space="0"/>
            </w:tcBorders>
            <w:vAlign w:val="center"/>
          </w:tcPr>
          <w:p w14:paraId="50DBE05A">
            <w:pPr>
              <w:jc w:val="center"/>
              <w:rPr>
                <w:rFonts w:ascii="仿宋" w:hAnsi="仿宋" w:eastAsia="仿宋" w:cs="仿宋"/>
                <w:color w:val="auto"/>
                <w:highlight w:val="none"/>
              </w:rPr>
            </w:pPr>
            <w:r>
              <w:rPr>
                <w:rFonts w:hint="eastAsia" w:ascii="仿宋" w:hAnsi="仿宋" w:eastAsia="仿宋" w:cs="仿宋"/>
                <w:color w:val="auto"/>
                <w:szCs w:val="21"/>
                <w:highlight w:val="none"/>
              </w:rPr>
              <w:t>建安工程费</w:t>
            </w:r>
          </w:p>
        </w:tc>
        <w:tc>
          <w:tcPr>
            <w:tcW w:w="756" w:type="dxa"/>
            <w:tcBorders>
              <w:top w:val="single" w:color="auto" w:sz="4" w:space="0"/>
              <w:left w:val="single" w:color="auto" w:sz="4" w:space="0"/>
              <w:bottom w:val="single" w:color="auto" w:sz="4" w:space="0"/>
              <w:right w:val="single" w:color="auto" w:sz="4" w:space="0"/>
            </w:tcBorders>
            <w:vAlign w:val="center"/>
          </w:tcPr>
          <w:p w14:paraId="1E3AC1A0">
            <w:pPr>
              <w:jc w:val="center"/>
              <w:rPr>
                <w:rFonts w:ascii="仿宋" w:hAnsi="仿宋" w:eastAsia="仿宋" w:cs="仿宋"/>
                <w:color w:val="auto"/>
                <w:highlight w:val="none"/>
              </w:rPr>
            </w:pPr>
            <w:r>
              <w:rPr>
                <w:rFonts w:hint="eastAsia" w:ascii="仿宋" w:hAnsi="仿宋" w:eastAsia="仿宋" w:cs="仿宋"/>
                <w:color w:val="auto"/>
                <w:szCs w:val="21"/>
                <w:highlight w:val="none"/>
              </w:rPr>
              <w:t>项</w:t>
            </w:r>
          </w:p>
        </w:tc>
        <w:tc>
          <w:tcPr>
            <w:tcW w:w="756" w:type="dxa"/>
            <w:tcBorders>
              <w:top w:val="single" w:color="auto" w:sz="4" w:space="0"/>
              <w:left w:val="single" w:color="auto" w:sz="4" w:space="0"/>
              <w:bottom w:val="single" w:color="auto" w:sz="4" w:space="0"/>
              <w:right w:val="single" w:color="auto" w:sz="4" w:space="0"/>
            </w:tcBorders>
            <w:vAlign w:val="center"/>
          </w:tcPr>
          <w:p w14:paraId="4F22E44D">
            <w:pPr>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2964" w:type="dxa"/>
            <w:tcBorders>
              <w:top w:val="single" w:color="auto" w:sz="4" w:space="0"/>
              <w:left w:val="single" w:color="auto" w:sz="4" w:space="0"/>
              <w:bottom w:val="single" w:color="auto" w:sz="4" w:space="0"/>
              <w:right w:val="single" w:color="auto" w:sz="4" w:space="0"/>
            </w:tcBorders>
            <w:vAlign w:val="center"/>
          </w:tcPr>
          <w:p w14:paraId="089D3B43">
            <w:pPr>
              <w:jc w:val="center"/>
              <w:rPr>
                <w:rFonts w:ascii="仿宋" w:hAnsi="仿宋" w:eastAsia="仿宋" w:cs="仿宋"/>
                <w:color w:val="auto"/>
                <w:highlight w:val="none"/>
              </w:rPr>
            </w:pPr>
          </w:p>
        </w:tc>
      </w:tr>
      <w:tr w14:paraId="3F74D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14:paraId="3050F628">
            <w:pPr>
              <w:adjustRightInd w:val="0"/>
              <w:snapToGrid w:val="0"/>
              <w:spacing w:line="288" w:lineRule="auto"/>
              <w:jc w:val="center"/>
              <w:rPr>
                <w:rFonts w:ascii="仿宋" w:hAnsi="仿宋" w:eastAsia="仿宋" w:cs="仿宋"/>
                <w:b/>
                <w:bCs/>
                <w:color w:val="auto"/>
                <w:szCs w:val="21"/>
                <w:highlight w:val="none"/>
              </w:rPr>
            </w:pPr>
          </w:p>
          <w:p w14:paraId="2D003BFE">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响应报价（人民币元）</w:t>
            </w:r>
          </w:p>
          <w:p w14:paraId="7D0A427B">
            <w:pPr>
              <w:adjustRightInd w:val="0"/>
              <w:snapToGrid w:val="0"/>
              <w:spacing w:line="288" w:lineRule="auto"/>
              <w:rPr>
                <w:rFonts w:ascii="仿宋" w:hAnsi="仿宋" w:eastAsia="仿宋" w:cs="仿宋"/>
                <w:b/>
                <w:bCs/>
                <w:color w:val="auto"/>
                <w:szCs w:val="21"/>
                <w:highlight w:val="none"/>
              </w:rPr>
            </w:pPr>
          </w:p>
          <w:p w14:paraId="0DA56644">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1D5102AA">
            <w:pPr>
              <w:adjustRightInd w:val="0"/>
              <w:snapToGrid w:val="0"/>
              <w:spacing w:line="288" w:lineRule="auto"/>
              <w:rPr>
                <w:rFonts w:ascii="仿宋" w:hAnsi="仿宋" w:eastAsia="仿宋" w:cs="仿宋"/>
                <w:b/>
                <w:bCs/>
                <w:color w:val="auto"/>
                <w:szCs w:val="21"/>
                <w:highlight w:val="none"/>
              </w:rPr>
            </w:pPr>
          </w:p>
          <w:p w14:paraId="47E003EE">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7803A8EF">
            <w:pPr>
              <w:adjustRightInd w:val="0"/>
              <w:snapToGrid w:val="0"/>
              <w:spacing w:line="288" w:lineRule="auto"/>
              <w:rPr>
                <w:rFonts w:ascii="仿宋" w:hAnsi="仿宋" w:eastAsia="仿宋" w:cs="仿宋"/>
                <w:b/>
                <w:bCs/>
                <w:color w:val="auto"/>
                <w:szCs w:val="21"/>
                <w:highlight w:val="none"/>
              </w:rPr>
            </w:pPr>
          </w:p>
        </w:tc>
      </w:tr>
    </w:tbl>
    <w:p w14:paraId="7FD39D6E">
      <w:pPr>
        <w:adjustRightInd w:val="0"/>
        <w:snapToGrid w:val="0"/>
        <w:spacing w:line="360" w:lineRule="auto"/>
        <w:rPr>
          <w:rFonts w:ascii="仿宋" w:hAnsi="仿宋" w:eastAsia="仿宋" w:cs="仿宋"/>
          <w:color w:val="auto"/>
          <w:spacing w:val="-6"/>
          <w:szCs w:val="21"/>
          <w:highlight w:val="none"/>
        </w:rPr>
      </w:pPr>
    </w:p>
    <w:p w14:paraId="744B7101">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0D3B30DF">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1.有关本项目实施所涉及的一切费用均计入报价；</w:t>
      </w:r>
    </w:p>
    <w:p w14:paraId="32CE9814">
      <w:pPr>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b/>
          <w:bCs/>
          <w:color w:val="auto"/>
          <w:spacing w:val="-6"/>
          <w:sz w:val="18"/>
          <w:szCs w:val="18"/>
          <w:highlight w:val="none"/>
        </w:rPr>
        <w:t>▲2.采购人将以合同形式有偿取得服务，不接受供应商给予的回扣或者与采购无关的其他商品或服务。</w:t>
      </w:r>
    </w:p>
    <w:p w14:paraId="3AAD1287">
      <w:pPr>
        <w:adjustRightInd w:val="0"/>
        <w:snapToGrid w:val="0"/>
        <w:spacing w:line="360" w:lineRule="auto"/>
        <w:rPr>
          <w:rFonts w:ascii="仿宋" w:hAnsi="仿宋" w:eastAsia="仿宋" w:cs="仿宋"/>
          <w:color w:val="auto"/>
          <w:szCs w:val="21"/>
          <w:highlight w:val="none"/>
        </w:rPr>
      </w:pPr>
    </w:p>
    <w:p w14:paraId="1CACA807">
      <w:pPr>
        <w:adjustRightInd w:val="0"/>
        <w:snapToGrid w:val="0"/>
        <w:spacing w:line="360" w:lineRule="auto"/>
        <w:rPr>
          <w:rFonts w:ascii="仿宋" w:hAnsi="仿宋" w:eastAsia="仿宋" w:cs="仿宋"/>
          <w:b/>
          <w:bCs/>
          <w:color w:val="auto"/>
          <w:spacing w:val="-6"/>
          <w:szCs w:val="21"/>
          <w:highlight w:val="none"/>
        </w:rPr>
      </w:pPr>
    </w:p>
    <w:p w14:paraId="26B6C5FF">
      <w:pPr>
        <w:adjustRightInd w:val="0"/>
        <w:snapToGrid w:val="0"/>
        <w:spacing w:line="360" w:lineRule="auto"/>
        <w:rPr>
          <w:rFonts w:ascii="仿宋" w:hAnsi="仿宋" w:eastAsia="仿宋" w:cs="仿宋"/>
          <w:b/>
          <w:bCs/>
          <w:color w:val="auto"/>
          <w:spacing w:val="-6"/>
          <w:szCs w:val="21"/>
          <w:highlight w:val="none"/>
        </w:rPr>
      </w:pPr>
    </w:p>
    <w:p w14:paraId="4CD69CF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磋商响应供应商（盖章）：</w:t>
      </w:r>
    </w:p>
    <w:p w14:paraId="60511EC0">
      <w:pPr>
        <w:pStyle w:val="2"/>
        <w:ind w:firstLine="0"/>
        <w:rPr>
          <w:color w:val="auto"/>
          <w:highlight w:val="none"/>
        </w:rPr>
      </w:pPr>
      <w:r>
        <w:rPr>
          <w:rFonts w:hint="eastAsia" w:ascii="仿宋" w:hAnsi="仿宋" w:eastAsia="仿宋" w:cs="仿宋"/>
          <w:b/>
          <w:bCs/>
          <w:color w:val="auto"/>
          <w:spacing w:val="-6"/>
          <w:sz w:val="21"/>
          <w:szCs w:val="21"/>
          <w:highlight w:val="none"/>
        </w:rPr>
        <w:t>日期：     年   月   日</w:t>
      </w:r>
    </w:p>
    <w:p w14:paraId="2315963A">
      <w:pPr>
        <w:pStyle w:val="2"/>
        <w:rPr>
          <w:color w:val="auto"/>
          <w:highlight w:val="none"/>
        </w:rPr>
      </w:pPr>
    </w:p>
    <w:p w14:paraId="5A8EB824">
      <w:pPr>
        <w:pStyle w:val="2"/>
        <w:numPr>
          <w:ilvl w:val="0"/>
          <w:numId w:val="7"/>
        </w:numPr>
        <w:ind w:firstLine="344" w:firstLineChars="200"/>
        <w:rPr>
          <w:color w:val="auto"/>
          <w:highlight w:val="none"/>
        </w:rPr>
        <w:sectPr>
          <w:headerReference r:id="rId9" w:type="default"/>
          <w:footerReference r:id="rId10" w:type="default"/>
          <w:pgSz w:w="11906" w:h="16838"/>
          <w:pgMar w:top="1361" w:right="1191" w:bottom="1361" w:left="1411" w:header="851" w:footer="1077" w:gutter="0"/>
          <w:cols w:space="720" w:num="1"/>
          <w:docGrid w:type="linesAndChars" w:linePitch="312" w:charSpace="0"/>
        </w:sectPr>
      </w:pPr>
    </w:p>
    <w:p w14:paraId="0513BF2A">
      <w:pPr>
        <w:autoSpaceDN w:val="0"/>
        <w:spacing w:line="312" w:lineRule="auto"/>
        <w:rPr>
          <w:rFonts w:ascii="仿宋" w:hAnsi="仿宋" w:eastAsia="仿宋" w:cs="Times New Roman"/>
          <w:b/>
          <w:bCs/>
          <w:color w:val="auto"/>
          <w:kern w:val="0"/>
          <w:sz w:val="32"/>
          <w:szCs w:val="24"/>
          <w:highlight w:val="none"/>
        </w:rPr>
      </w:pPr>
      <w:r>
        <w:rPr>
          <w:rFonts w:hint="eastAsia" w:ascii="仿宋" w:hAnsi="仿宋" w:eastAsia="仿宋" w:cs="Times New Roman"/>
          <w:b/>
          <w:bCs/>
          <w:color w:val="auto"/>
          <w:kern w:val="0"/>
          <w:sz w:val="32"/>
          <w:szCs w:val="24"/>
          <w:highlight w:val="none"/>
        </w:rPr>
        <w:t>（3）中小企业声明函</w:t>
      </w:r>
    </w:p>
    <w:p w14:paraId="61995C90">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14:paraId="5380E3E4">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浙江工业大学屏峰校区室外运动场改造工程</w:t>
      </w:r>
      <w:r>
        <w:rPr>
          <w:rFonts w:hint="eastAsia" w:ascii="仿宋" w:hAnsi="仿宋" w:eastAsia="仿宋" w:cs="Arial"/>
          <w:color w:val="auto"/>
          <w:kern w:val="0"/>
          <w:sz w:val="28"/>
          <w:szCs w:val="28"/>
          <w:highlight w:val="none"/>
        </w:rPr>
        <w:t>采购活动，工程的施工单位全部为符合政策要求的中小企业。企业具体情况如下：</w:t>
      </w:r>
    </w:p>
    <w:p w14:paraId="12B38B08">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0CE96649">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7105B0B8">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14:paraId="02597783">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14:paraId="3D4A8906">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14:paraId="6F777A01">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14:paraId="55906C80">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14:paraId="209F5952">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14:paraId="1C326B12">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14:paraId="55424191">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14:paraId="69DA4212">
      <w:pPr>
        <w:autoSpaceDN w:val="0"/>
        <w:spacing w:line="312" w:lineRule="auto"/>
        <w:rPr>
          <w:rFonts w:ascii="仿宋" w:hAnsi="仿宋" w:eastAsia="仿宋" w:cs="Times New Roman"/>
          <w:b/>
          <w:color w:val="auto"/>
          <w:sz w:val="36"/>
          <w:szCs w:val="36"/>
          <w:highlight w:val="none"/>
        </w:rPr>
      </w:pPr>
    </w:p>
    <w:p w14:paraId="7525AA0B">
      <w:pPr>
        <w:autoSpaceDN w:val="0"/>
        <w:spacing w:line="312" w:lineRule="auto"/>
        <w:rPr>
          <w:rFonts w:ascii="仿宋" w:hAnsi="仿宋" w:eastAsia="仿宋" w:cs="Times New Roman"/>
          <w:b/>
          <w:color w:val="auto"/>
          <w:sz w:val="28"/>
          <w:szCs w:val="28"/>
          <w:highlight w:val="none"/>
        </w:rPr>
      </w:pPr>
    </w:p>
    <w:p w14:paraId="40F94B5A">
      <w:pPr>
        <w:autoSpaceDN w:val="0"/>
        <w:spacing w:line="312" w:lineRule="auto"/>
        <w:rPr>
          <w:rFonts w:ascii="仿宋" w:hAnsi="仿宋" w:eastAsia="仿宋" w:cs="Times New Roman"/>
          <w:b/>
          <w:color w:val="auto"/>
          <w:sz w:val="28"/>
          <w:szCs w:val="28"/>
          <w:highlight w:val="none"/>
        </w:rPr>
      </w:pPr>
    </w:p>
    <w:p w14:paraId="36CC9024">
      <w:pPr>
        <w:autoSpaceDN w:val="0"/>
        <w:spacing w:line="312" w:lineRule="auto"/>
        <w:rPr>
          <w:rFonts w:ascii="仿宋" w:hAnsi="仿宋" w:eastAsia="仿宋" w:cs="Times New Roman"/>
          <w:b/>
          <w:color w:val="auto"/>
          <w:sz w:val="28"/>
          <w:szCs w:val="28"/>
          <w:highlight w:val="none"/>
        </w:rPr>
      </w:pPr>
    </w:p>
    <w:p w14:paraId="60C283C0">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残疾人福利性单位声明函（如是）</w:t>
      </w:r>
    </w:p>
    <w:p w14:paraId="21455251">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14:paraId="7B73A0AC">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浙江工业大学屏峰校区室外运动场改造工程</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HSZB-2024-1155</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14:paraId="1DE7EFFB">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14:paraId="65EE2FA5">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14:paraId="7DA6C75F">
      <w:pPr>
        <w:autoSpaceDN w:val="0"/>
        <w:spacing w:line="360" w:lineRule="auto"/>
        <w:ind w:firstLine="504" w:firstLineChars="200"/>
        <w:rPr>
          <w:rFonts w:ascii="仿宋" w:hAnsi="仿宋" w:eastAsia="仿宋" w:cs="Times New Roman"/>
          <w:color w:val="auto"/>
          <w:spacing w:val="6"/>
          <w:sz w:val="24"/>
          <w:szCs w:val="24"/>
          <w:highlight w:val="none"/>
        </w:rPr>
      </w:pPr>
    </w:p>
    <w:p w14:paraId="023B8013">
      <w:pPr>
        <w:autoSpaceDN w:val="0"/>
        <w:spacing w:line="360" w:lineRule="auto"/>
        <w:ind w:firstLine="504" w:firstLineChars="200"/>
        <w:rPr>
          <w:rFonts w:ascii="仿宋" w:hAnsi="仿宋" w:eastAsia="仿宋" w:cs="Times New Roman"/>
          <w:color w:val="auto"/>
          <w:spacing w:val="6"/>
          <w:sz w:val="24"/>
          <w:szCs w:val="24"/>
          <w:highlight w:val="none"/>
        </w:rPr>
      </w:pPr>
    </w:p>
    <w:p w14:paraId="3FAD166B">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14:paraId="6E41E595">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14:paraId="7111666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4391B51D">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47DDE896">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仿宋" w:hAnsi="仿宋" w:eastAsia="仿宋" w:cs="Times New Roman"/>
          <w:b/>
          <w:bCs/>
          <w:color w:val="auto"/>
          <w:sz w:val="28"/>
          <w:szCs w:val="28"/>
          <w:highlight w:val="none"/>
        </w:rPr>
        <w:t>监狱企业证明文件（如是）</w:t>
      </w:r>
    </w:p>
    <w:p w14:paraId="27308E2C">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AFA7AE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0CCAF2FF">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14:paraId="60D8DF46">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5136E5F4">
      <w:pPr>
        <w:widowControl/>
        <w:jc w:val="left"/>
        <w:rPr>
          <w:rFonts w:ascii="仿宋_GB2312" w:hAnsi="仿宋" w:eastAsia="仿宋_GB2312" w:cs="仿宋_GB2312"/>
          <w:color w:val="auto"/>
          <w:kern w:val="0"/>
          <w:sz w:val="24"/>
          <w:szCs w:val="20"/>
          <w:highlight w:val="none"/>
        </w:rPr>
        <w:sectPr>
          <w:headerReference r:id="rId11" w:type="default"/>
          <w:footerReference r:id="rId12" w:type="default"/>
          <w:pgSz w:w="11910" w:h="16840"/>
          <w:pgMar w:top="1418" w:right="1418" w:bottom="1418" w:left="1418" w:header="851" w:footer="1077" w:gutter="0"/>
          <w:cols w:space="720" w:num="1"/>
          <w:docGrid w:linePitch="286" w:charSpace="0"/>
        </w:sectPr>
      </w:pPr>
    </w:p>
    <w:p w14:paraId="3B71B687">
      <w:pPr>
        <w:tabs>
          <w:tab w:val="center" w:pos="4755"/>
          <w:tab w:val="right" w:pos="9070"/>
        </w:tabs>
        <w:autoSpaceDN w:val="0"/>
        <w:spacing w:line="440" w:lineRule="exact"/>
        <w:ind w:firstLine="160" w:firstLineChars="50"/>
        <w:rPr>
          <w:rFonts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（4）工程量清单及计价表式</w:t>
      </w:r>
    </w:p>
    <w:p w14:paraId="14743F2C">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14:paraId="4AA84490">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14:paraId="345B3064">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14:paraId="295C2B45">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14:paraId="4FF4BFB8">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14:paraId="7B6BE4E2">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14:paraId="7538B9A5">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14:paraId="1C36DF69">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14:paraId="00258B5A">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14:paraId="3B5FA4C2">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14:paraId="5F406EA2">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14:paraId="45E12201">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14:paraId="68E26271">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14:paraId="4FE78056">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CB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7F3343AC">
            <w:pPr>
              <w:autoSpaceDN w:val="0"/>
              <w:rPr>
                <w:rFonts w:ascii="仿宋" w:hAnsi="仿宋" w:eastAsia="仿宋" w:cs="Times New Roman"/>
                <w:color w:val="auto"/>
                <w:sz w:val="24"/>
                <w:szCs w:val="24"/>
                <w:highlight w:val="none"/>
              </w:rPr>
            </w:pPr>
          </w:p>
        </w:tc>
      </w:tr>
    </w:tbl>
    <w:p w14:paraId="6D0769E3">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14:paraId="507626AB">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14:paraId="5FB65C0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153D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1F5D761">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F5485B7">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689AC9D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14:paraId="0B36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80906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5531D2C2">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736F2D9F">
            <w:pPr>
              <w:autoSpaceDN w:val="0"/>
              <w:rPr>
                <w:rFonts w:ascii="仿宋" w:hAnsi="仿宋" w:eastAsia="仿宋" w:cs="仿宋"/>
                <w:color w:val="auto"/>
                <w:sz w:val="24"/>
                <w:szCs w:val="24"/>
                <w:highlight w:val="none"/>
              </w:rPr>
            </w:pPr>
          </w:p>
        </w:tc>
      </w:tr>
      <w:tr w14:paraId="1B85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6C7044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BFCFB68">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3457ACF">
            <w:pPr>
              <w:autoSpaceDN w:val="0"/>
              <w:rPr>
                <w:rFonts w:ascii="仿宋" w:hAnsi="仿宋" w:eastAsia="仿宋" w:cs="仿宋"/>
                <w:color w:val="auto"/>
                <w:sz w:val="24"/>
                <w:szCs w:val="24"/>
                <w:highlight w:val="none"/>
              </w:rPr>
            </w:pPr>
          </w:p>
        </w:tc>
      </w:tr>
      <w:tr w14:paraId="43DE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9C0C2F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304E2C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7D7D1D6C">
            <w:pPr>
              <w:autoSpaceDN w:val="0"/>
              <w:rPr>
                <w:rFonts w:ascii="仿宋" w:hAnsi="仿宋" w:eastAsia="仿宋" w:cs="仿宋"/>
                <w:color w:val="auto"/>
                <w:sz w:val="24"/>
                <w:szCs w:val="24"/>
                <w:highlight w:val="none"/>
              </w:rPr>
            </w:pPr>
          </w:p>
        </w:tc>
      </w:tr>
      <w:tr w14:paraId="752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EE11A44">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CB9865C">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4644139">
            <w:pPr>
              <w:autoSpaceDN w:val="0"/>
              <w:rPr>
                <w:rFonts w:ascii="仿宋" w:hAnsi="仿宋" w:eastAsia="仿宋" w:cs="仿宋"/>
                <w:color w:val="auto"/>
                <w:sz w:val="24"/>
                <w:szCs w:val="24"/>
                <w:highlight w:val="none"/>
              </w:rPr>
            </w:pPr>
          </w:p>
        </w:tc>
      </w:tr>
      <w:tr w14:paraId="213F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9B74CE0">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080D1E98">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7A5B7260">
            <w:pPr>
              <w:autoSpaceDN w:val="0"/>
              <w:rPr>
                <w:rFonts w:ascii="仿宋" w:hAnsi="仿宋" w:eastAsia="仿宋" w:cs="仿宋"/>
                <w:color w:val="auto"/>
                <w:sz w:val="24"/>
                <w:szCs w:val="24"/>
                <w:highlight w:val="none"/>
              </w:rPr>
            </w:pPr>
          </w:p>
        </w:tc>
      </w:tr>
      <w:tr w14:paraId="6ED1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5AE80F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3296DEA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60E93CE1">
            <w:pPr>
              <w:autoSpaceDN w:val="0"/>
              <w:rPr>
                <w:rFonts w:ascii="仿宋" w:hAnsi="仿宋" w:eastAsia="仿宋" w:cs="仿宋"/>
                <w:color w:val="auto"/>
                <w:sz w:val="24"/>
                <w:szCs w:val="24"/>
                <w:highlight w:val="none"/>
              </w:rPr>
            </w:pPr>
          </w:p>
        </w:tc>
      </w:tr>
      <w:tr w14:paraId="1055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62CECD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3485F9C0">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2CAFCEA">
            <w:pPr>
              <w:autoSpaceDN w:val="0"/>
              <w:rPr>
                <w:rFonts w:ascii="仿宋" w:hAnsi="仿宋" w:eastAsia="仿宋" w:cs="仿宋"/>
                <w:color w:val="auto"/>
                <w:sz w:val="24"/>
                <w:szCs w:val="24"/>
                <w:highlight w:val="none"/>
              </w:rPr>
            </w:pPr>
          </w:p>
        </w:tc>
      </w:tr>
      <w:tr w14:paraId="5DE4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6397CF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567C9A7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53F0660">
            <w:pPr>
              <w:autoSpaceDN w:val="0"/>
              <w:rPr>
                <w:rFonts w:ascii="仿宋" w:hAnsi="仿宋" w:eastAsia="仿宋" w:cs="仿宋"/>
                <w:color w:val="auto"/>
                <w:sz w:val="24"/>
                <w:szCs w:val="24"/>
                <w:highlight w:val="none"/>
              </w:rPr>
            </w:pPr>
          </w:p>
        </w:tc>
      </w:tr>
      <w:tr w14:paraId="1EED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B388A3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631A0317">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F57746">
            <w:pPr>
              <w:autoSpaceDN w:val="0"/>
              <w:rPr>
                <w:rFonts w:ascii="仿宋" w:hAnsi="仿宋" w:eastAsia="仿宋" w:cs="仿宋"/>
                <w:color w:val="auto"/>
                <w:sz w:val="24"/>
                <w:szCs w:val="24"/>
                <w:highlight w:val="none"/>
              </w:rPr>
            </w:pPr>
          </w:p>
        </w:tc>
      </w:tr>
      <w:tr w14:paraId="1004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DC033F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7196F1A8">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46C1B331">
            <w:pPr>
              <w:autoSpaceDN w:val="0"/>
              <w:rPr>
                <w:rFonts w:ascii="仿宋" w:hAnsi="仿宋" w:eastAsia="仿宋" w:cs="仿宋"/>
                <w:color w:val="auto"/>
                <w:sz w:val="24"/>
                <w:szCs w:val="24"/>
                <w:highlight w:val="none"/>
              </w:rPr>
            </w:pPr>
          </w:p>
        </w:tc>
      </w:tr>
      <w:tr w14:paraId="6555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B5A102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929B59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028B932">
            <w:pPr>
              <w:autoSpaceDN w:val="0"/>
              <w:rPr>
                <w:rFonts w:ascii="仿宋" w:hAnsi="仿宋" w:eastAsia="仿宋" w:cs="仿宋"/>
                <w:color w:val="auto"/>
                <w:sz w:val="24"/>
                <w:szCs w:val="24"/>
                <w:highlight w:val="none"/>
              </w:rPr>
            </w:pPr>
          </w:p>
        </w:tc>
      </w:tr>
      <w:tr w14:paraId="3BD2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402AC9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15A31996">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2D1939FA">
            <w:pPr>
              <w:autoSpaceDN w:val="0"/>
              <w:rPr>
                <w:rFonts w:ascii="仿宋" w:hAnsi="仿宋" w:eastAsia="仿宋" w:cs="仿宋"/>
                <w:color w:val="auto"/>
                <w:sz w:val="24"/>
                <w:szCs w:val="24"/>
                <w:highlight w:val="none"/>
              </w:rPr>
            </w:pPr>
          </w:p>
        </w:tc>
      </w:tr>
      <w:tr w14:paraId="378D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32196B8">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3A9FB21D">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1B80CEE4">
            <w:pPr>
              <w:autoSpaceDN w:val="0"/>
              <w:rPr>
                <w:rFonts w:ascii="仿宋" w:hAnsi="仿宋" w:eastAsia="仿宋" w:cs="仿宋"/>
                <w:color w:val="auto"/>
                <w:sz w:val="24"/>
                <w:szCs w:val="24"/>
                <w:highlight w:val="none"/>
              </w:rPr>
            </w:pPr>
          </w:p>
        </w:tc>
      </w:tr>
      <w:tr w14:paraId="1BC5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5644783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749F98E6">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B9B501">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14:paraId="5461AE2B">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14:paraId="42639A69">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14:paraId="0227927A">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14:paraId="432B0E1D">
      <w:pPr>
        <w:autoSpaceDN w:val="0"/>
        <w:rPr>
          <w:rFonts w:ascii="仿宋" w:hAnsi="仿宋" w:eastAsia="仿宋" w:cs="仿宋"/>
          <w:color w:val="auto"/>
          <w:sz w:val="24"/>
          <w:szCs w:val="24"/>
          <w:highlight w:val="none"/>
        </w:rPr>
      </w:pPr>
    </w:p>
    <w:p w14:paraId="65C9466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00BCFBE2">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411" w:header="851" w:footer="1077" w:gutter="0"/>
          <w:cols w:space="720" w:num="1"/>
          <w:docGrid w:type="linesAndChars" w:linePitch="312" w:charSpace="0"/>
        </w:sectPr>
      </w:pPr>
    </w:p>
    <w:p w14:paraId="0B38F764">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14:paraId="23777C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9FB137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68F8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7026C45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1A48724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68554B6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14:paraId="2B3BD74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1BDFB6F">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60639FD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14:paraId="0CB3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14417D5D">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2F7314CE">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6CF1E944">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78ECC0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5C35881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14:paraId="742C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C39B8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5D5E8C9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0F44B482">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9CD9A6B">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3FA9E7BE">
            <w:pPr>
              <w:widowControl/>
              <w:tabs>
                <w:tab w:val="center" w:pos="4755"/>
                <w:tab w:val="right" w:pos="9070"/>
              </w:tabs>
              <w:autoSpaceDN w:val="0"/>
              <w:jc w:val="center"/>
              <w:rPr>
                <w:rFonts w:ascii="仿宋" w:hAnsi="仿宋" w:eastAsia="仿宋" w:cs="仿宋"/>
                <w:color w:val="auto"/>
                <w:sz w:val="24"/>
                <w:szCs w:val="24"/>
                <w:highlight w:val="none"/>
              </w:rPr>
            </w:pPr>
          </w:p>
        </w:tc>
      </w:tr>
      <w:tr w14:paraId="7CB1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FDDFE0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626626BB">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03E8C0E2">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33C55A0">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0CADA575">
            <w:pPr>
              <w:widowControl/>
              <w:tabs>
                <w:tab w:val="center" w:pos="4755"/>
                <w:tab w:val="right" w:pos="9070"/>
              </w:tabs>
              <w:autoSpaceDN w:val="0"/>
              <w:jc w:val="center"/>
              <w:rPr>
                <w:rFonts w:ascii="仿宋" w:hAnsi="仿宋" w:eastAsia="仿宋" w:cs="仿宋"/>
                <w:color w:val="auto"/>
                <w:sz w:val="24"/>
                <w:szCs w:val="24"/>
                <w:highlight w:val="none"/>
              </w:rPr>
            </w:pPr>
          </w:p>
        </w:tc>
      </w:tr>
      <w:tr w14:paraId="651D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52B5E71">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5BD2E29A">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444C07B6">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3D09BD2">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64F6A4CC">
            <w:pPr>
              <w:widowControl/>
              <w:tabs>
                <w:tab w:val="center" w:pos="4755"/>
                <w:tab w:val="right" w:pos="9070"/>
              </w:tabs>
              <w:autoSpaceDN w:val="0"/>
              <w:jc w:val="center"/>
              <w:rPr>
                <w:rFonts w:ascii="仿宋" w:hAnsi="仿宋" w:eastAsia="仿宋" w:cs="仿宋"/>
                <w:color w:val="auto"/>
                <w:sz w:val="24"/>
                <w:szCs w:val="24"/>
                <w:highlight w:val="none"/>
              </w:rPr>
            </w:pPr>
          </w:p>
        </w:tc>
      </w:tr>
      <w:tr w14:paraId="7564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887B16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8AE832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9EB5AB8">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5042AF9">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BF15C09">
            <w:pPr>
              <w:widowControl/>
              <w:tabs>
                <w:tab w:val="center" w:pos="4755"/>
                <w:tab w:val="right" w:pos="9070"/>
              </w:tabs>
              <w:autoSpaceDN w:val="0"/>
              <w:jc w:val="center"/>
              <w:rPr>
                <w:rFonts w:ascii="仿宋" w:hAnsi="仿宋" w:eastAsia="仿宋" w:cs="仿宋"/>
                <w:color w:val="auto"/>
                <w:sz w:val="24"/>
                <w:szCs w:val="24"/>
                <w:highlight w:val="none"/>
              </w:rPr>
            </w:pPr>
          </w:p>
        </w:tc>
      </w:tr>
      <w:tr w14:paraId="773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25AEE5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65769D0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1273077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61F10AC2">
            <w:pPr>
              <w:widowControl/>
              <w:tabs>
                <w:tab w:val="center" w:pos="4755"/>
                <w:tab w:val="right" w:pos="9070"/>
              </w:tabs>
              <w:autoSpaceDN w:val="0"/>
              <w:jc w:val="center"/>
              <w:rPr>
                <w:rFonts w:ascii="仿宋" w:hAnsi="仿宋" w:eastAsia="仿宋" w:cs="仿宋"/>
                <w:color w:val="auto"/>
                <w:sz w:val="24"/>
                <w:szCs w:val="24"/>
                <w:highlight w:val="none"/>
              </w:rPr>
            </w:pPr>
          </w:p>
        </w:tc>
      </w:tr>
      <w:tr w14:paraId="2C7C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05E7099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0B68393B">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38684F92">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14C1644A">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5A3132F6">
            <w:pPr>
              <w:widowControl/>
              <w:tabs>
                <w:tab w:val="center" w:pos="4755"/>
                <w:tab w:val="right" w:pos="9070"/>
              </w:tabs>
              <w:autoSpaceDN w:val="0"/>
              <w:jc w:val="center"/>
              <w:rPr>
                <w:rFonts w:ascii="仿宋" w:hAnsi="仿宋" w:eastAsia="仿宋" w:cs="仿宋"/>
                <w:color w:val="auto"/>
                <w:sz w:val="24"/>
                <w:szCs w:val="24"/>
                <w:highlight w:val="none"/>
              </w:rPr>
            </w:pPr>
          </w:p>
        </w:tc>
      </w:tr>
      <w:tr w14:paraId="3060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2170F0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59A8DB28">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3DEC7648">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3827F73">
            <w:pPr>
              <w:widowControl/>
              <w:tabs>
                <w:tab w:val="center" w:pos="4755"/>
                <w:tab w:val="right" w:pos="9070"/>
              </w:tabs>
              <w:autoSpaceDN w:val="0"/>
              <w:jc w:val="center"/>
              <w:rPr>
                <w:rFonts w:ascii="仿宋" w:hAnsi="仿宋" w:eastAsia="仿宋" w:cs="仿宋"/>
                <w:color w:val="auto"/>
                <w:sz w:val="24"/>
                <w:szCs w:val="24"/>
                <w:highlight w:val="none"/>
              </w:rPr>
            </w:pPr>
          </w:p>
        </w:tc>
      </w:tr>
      <w:tr w14:paraId="7E7A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742CD0C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765356AF">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6316E7C">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1686F13">
            <w:pPr>
              <w:widowControl/>
              <w:jc w:val="left"/>
              <w:rPr>
                <w:rFonts w:ascii="仿宋" w:hAnsi="仿宋" w:eastAsia="仿宋" w:cs="仿宋"/>
                <w:color w:val="auto"/>
                <w:sz w:val="24"/>
                <w:szCs w:val="24"/>
                <w:highlight w:val="none"/>
              </w:rPr>
            </w:pPr>
          </w:p>
        </w:tc>
      </w:tr>
      <w:tr w14:paraId="45F2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2D0F7B1B">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05CA7B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14:paraId="43E3459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14:paraId="00F14AB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14:paraId="43CCCD76">
      <w:pPr>
        <w:autoSpaceDN w:val="0"/>
        <w:rPr>
          <w:rFonts w:ascii="仿宋" w:hAnsi="仿宋" w:eastAsia="仿宋" w:cs="仿宋"/>
          <w:color w:val="auto"/>
          <w:sz w:val="24"/>
          <w:szCs w:val="24"/>
          <w:highlight w:val="none"/>
        </w:rPr>
      </w:pPr>
    </w:p>
    <w:p w14:paraId="22F3066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2AF26D35">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14:paraId="22FA6050">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14:paraId="7A4DB22E">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C8E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11B975B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12E6A436">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35366936">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36EFBF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53C3C5F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88E2272">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1FCC2C1C">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76C4E69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7ACF267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80292F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15CE014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1B14B78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04D14D4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35F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26B0A685">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61F116C1">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7902CD2A">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7B85C967">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68C6C14">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641B1840">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7E7E390C">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4B5F6D7B">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F7E5B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0F349C1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7055B6F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2358DE93">
            <w:pPr>
              <w:widowControl/>
              <w:jc w:val="left"/>
              <w:rPr>
                <w:rFonts w:ascii="仿宋" w:hAnsi="仿宋" w:eastAsia="仿宋" w:cs="仿宋"/>
                <w:color w:val="auto"/>
                <w:sz w:val="24"/>
                <w:szCs w:val="24"/>
                <w:highlight w:val="none"/>
              </w:rPr>
            </w:pPr>
          </w:p>
        </w:tc>
      </w:tr>
      <w:tr w14:paraId="6AC1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FE8C8D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406CF6F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2F4BDB1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0C20EE6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6665BD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682C75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0C96C7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0F6FBEF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CFE82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DB37A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6F382D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6EE9B1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059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D36A9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52168C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DBE3E6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66E30D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C54A68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684B37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BE6188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547B84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B754F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7184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3F0A46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1DFE6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722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05E03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F78BDD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617166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EC3439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404A6F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186F5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3173D5F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43E3D08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5C2A23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6D51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172C38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68994E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63B3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05CAB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E296E8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5681390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674DC0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C295A9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9847A1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4BAEA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477F34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8BD47A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073CA5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2525FC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3D61958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659E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BD4E62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18D4A9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47465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077A08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856039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6D428D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7430CBC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0F05EAC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10CC6B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22FF5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4EE0BD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B49B48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5F98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1CB47C3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530D8AF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99908C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EF2E5C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766E11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60D4D26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14:paraId="6C0DECA9">
      <w:pPr>
        <w:autoSpaceDN w:val="0"/>
        <w:rPr>
          <w:rFonts w:ascii="仿宋" w:hAnsi="仿宋" w:eastAsia="仿宋" w:cs="仿宋"/>
          <w:color w:val="auto"/>
          <w:sz w:val="24"/>
          <w:szCs w:val="24"/>
          <w:highlight w:val="none"/>
        </w:rPr>
      </w:pPr>
    </w:p>
    <w:p w14:paraId="6D3CF0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29B898AE">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14:paraId="0B4B1875">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14:paraId="5AF5ED4F">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4007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279DE15E">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6EDB9BA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79F03574">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0F3F9BDA">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164AC5A7">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4D8D47C5">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15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717940D8">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53B982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14:paraId="0EC4AF61">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14:paraId="2A88CF57">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5D8711CC">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21C2AD1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4477B129">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3ED44F41">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14:paraId="71F156E3">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14:paraId="529F4058">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14:paraId="42744FCD">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03265187">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70126AA7">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0D9274DF">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69A3E4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26548E5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4E4E02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2B77A4B0">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27F5C51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14:paraId="1A96ABF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101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172E60F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694AC85B">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74F54916">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B001CBA">
      <w:pPr>
        <w:autoSpaceDN w:val="0"/>
        <w:rPr>
          <w:rFonts w:ascii="仿宋" w:hAnsi="仿宋" w:eastAsia="仿宋" w:cs="Times New Roman"/>
          <w:color w:val="auto"/>
          <w:sz w:val="22"/>
          <w:highlight w:val="none"/>
        </w:rPr>
      </w:pPr>
    </w:p>
    <w:p w14:paraId="0E5AD5E7">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4DCCC50D">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43B05E29">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14:paraId="60192DF3">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14:paraId="4104A21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69CA11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4330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07FC5C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776A6A9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48872C8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04C4B1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08E12A3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411E51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9F8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34BE6B12">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081E6B75">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120D19C9">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1BA2E2ED">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52E86CB2">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14:paraId="399ED742">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14:paraId="1DB4DCB7">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3E8414E0">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6C219849">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5FDC0A39">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14:paraId="17812784">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50D5C1A1">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33720CB0">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395D958D">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14:paraId="563F255A">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14:paraId="4F88D373">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4F24AF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4D7C21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2E0CF98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2CD183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5126D8F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14:paraId="5A5E2D2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1978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72BF937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3A881A2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12607515">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AFFDA24">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04607B09">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14:paraId="045CC797">
      <w:pPr>
        <w:widowControl/>
        <w:tabs>
          <w:tab w:val="center" w:pos="4755"/>
          <w:tab w:val="right" w:pos="9070"/>
        </w:tabs>
        <w:autoSpaceDN w:val="0"/>
        <w:rPr>
          <w:rFonts w:ascii="仿宋" w:hAnsi="仿宋" w:eastAsia="仿宋" w:cs="仿宋"/>
          <w:color w:val="auto"/>
          <w:sz w:val="24"/>
          <w:szCs w:val="24"/>
          <w:highlight w:val="none"/>
        </w:rPr>
      </w:pPr>
    </w:p>
    <w:p w14:paraId="1DD37BF3">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14:paraId="17365391">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14:paraId="1A309E7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6634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63B3AC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394BBDF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29C2768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2449164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22E9168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3115C3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C0B351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44FFC8E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23CA5BA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52B999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14B03A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47BA87C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9F6A56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CE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15206DFB">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827EA90">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E5E4884">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210BE42">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75F9656">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917291A">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28908557">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4B582B9A">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08D9A5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236715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4A859E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098DB83B">
            <w:pPr>
              <w:widowControl/>
              <w:jc w:val="left"/>
              <w:rPr>
                <w:rFonts w:ascii="仿宋" w:hAnsi="仿宋" w:eastAsia="仿宋" w:cs="仿宋"/>
                <w:color w:val="auto"/>
                <w:sz w:val="24"/>
                <w:szCs w:val="24"/>
                <w:highlight w:val="none"/>
              </w:rPr>
            </w:pPr>
          </w:p>
        </w:tc>
      </w:tr>
      <w:tr w14:paraId="503C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0DB6352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2221F3D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B9403F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4869603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0D9DFCDF">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00FAC265">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F0045D4">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883A52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63343A">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1D764A5">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F3CE40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E04FBC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337C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C625872">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3E7D067">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F32C1B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93EF34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F06FA0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B2AA38">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563911DD">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66F3E4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4B5E2D8">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0CC4E43">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8E3395B">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01C29CE">
            <w:pPr>
              <w:autoSpaceDN w:val="0"/>
              <w:rPr>
                <w:rFonts w:ascii="仿宋" w:hAnsi="仿宋" w:eastAsia="仿宋" w:cs="仿宋"/>
                <w:color w:val="auto"/>
                <w:sz w:val="24"/>
                <w:szCs w:val="24"/>
                <w:highlight w:val="none"/>
              </w:rPr>
            </w:pPr>
          </w:p>
        </w:tc>
      </w:tr>
      <w:tr w14:paraId="1CF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4FB3DC44">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42160F3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351B99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14AD50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DBB70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094B95">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15A543E9">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02AFEA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778783">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0966D54">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5ED1556">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3584906">
            <w:pPr>
              <w:autoSpaceDN w:val="0"/>
              <w:rPr>
                <w:rFonts w:ascii="仿宋" w:hAnsi="仿宋" w:eastAsia="仿宋" w:cs="仿宋"/>
                <w:color w:val="auto"/>
                <w:sz w:val="24"/>
                <w:szCs w:val="24"/>
                <w:highlight w:val="none"/>
              </w:rPr>
            </w:pPr>
          </w:p>
        </w:tc>
      </w:tr>
      <w:tr w14:paraId="4342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30CB129">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8F550E8">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2D940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D9559F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5A8344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0E9D3A4">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5692A9A">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2E93F84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DA80385">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19BF5B6">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72E0C47">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C99CC5F">
            <w:pPr>
              <w:autoSpaceDN w:val="0"/>
              <w:rPr>
                <w:rFonts w:ascii="仿宋" w:hAnsi="仿宋" w:eastAsia="仿宋" w:cs="仿宋"/>
                <w:color w:val="auto"/>
                <w:sz w:val="24"/>
                <w:szCs w:val="24"/>
                <w:highlight w:val="none"/>
              </w:rPr>
            </w:pPr>
          </w:p>
        </w:tc>
      </w:tr>
      <w:tr w14:paraId="413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B7BD06C">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7F797E0">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08A41A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4305258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77E0DB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E1764D">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59847117">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8F368C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D0789F0">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5438863">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AD433C0">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9D23B44">
            <w:pPr>
              <w:autoSpaceDN w:val="0"/>
              <w:rPr>
                <w:rFonts w:ascii="仿宋" w:hAnsi="仿宋" w:eastAsia="仿宋" w:cs="仿宋"/>
                <w:color w:val="auto"/>
                <w:sz w:val="24"/>
                <w:szCs w:val="24"/>
                <w:highlight w:val="none"/>
              </w:rPr>
            </w:pPr>
          </w:p>
        </w:tc>
      </w:tr>
      <w:tr w14:paraId="0539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3E85E21">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46FD667">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181130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4FC38C5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EBEA8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912B30">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1032AABB">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2CC76B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F224F6">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C80E834">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85906F4">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A6CA66B">
            <w:pPr>
              <w:autoSpaceDN w:val="0"/>
              <w:rPr>
                <w:rFonts w:ascii="仿宋" w:hAnsi="仿宋" w:eastAsia="仿宋" w:cs="仿宋"/>
                <w:color w:val="auto"/>
                <w:sz w:val="24"/>
                <w:szCs w:val="24"/>
                <w:highlight w:val="none"/>
              </w:rPr>
            </w:pPr>
          </w:p>
        </w:tc>
      </w:tr>
      <w:tr w14:paraId="3AD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7B9BE3FB">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2685FD9C">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D5F130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4369C6B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F925E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31184B">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67DC03F">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1452A4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737CCC">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A876EE2">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8B5B210">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D7CE11B">
            <w:pPr>
              <w:autoSpaceDN w:val="0"/>
              <w:rPr>
                <w:rFonts w:ascii="仿宋" w:hAnsi="仿宋" w:eastAsia="仿宋" w:cs="仿宋"/>
                <w:color w:val="auto"/>
                <w:sz w:val="24"/>
                <w:szCs w:val="24"/>
                <w:highlight w:val="none"/>
              </w:rPr>
            </w:pPr>
          </w:p>
        </w:tc>
      </w:tr>
      <w:tr w14:paraId="596F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10A62476">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50D18CB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1158F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8F1D47">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1362F7F3">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56CEDFDF">
            <w:pPr>
              <w:autoSpaceDN w:val="0"/>
              <w:rPr>
                <w:rFonts w:ascii="仿宋" w:hAnsi="仿宋" w:eastAsia="仿宋" w:cs="仿宋"/>
                <w:color w:val="auto"/>
                <w:sz w:val="24"/>
                <w:szCs w:val="24"/>
                <w:highlight w:val="none"/>
              </w:rPr>
            </w:pPr>
          </w:p>
        </w:tc>
      </w:tr>
    </w:tbl>
    <w:p w14:paraId="1D638506">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14:paraId="0DF302A3">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3EB8D752">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54292FCB">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14:paraId="2D848780">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14:paraId="721CAFEE">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14:paraId="5196349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19DFB8A6">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A6CA43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04E52C5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66E22B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0D9EE13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2333F27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AE8E0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730B76F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79DE9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B86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2D7AC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CBBD8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D335F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3A1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C3B37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94662">
            <w:pPr>
              <w:autoSpaceDN w:val="0"/>
              <w:spacing w:line="300" w:lineRule="exact"/>
              <w:ind w:left="-53" w:leftChars="-25" w:right="-53" w:rightChars="-25"/>
              <w:jc w:val="center"/>
              <w:rPr>
                <w:rFonts w:ascii="仿宋" w:hAnsi="仿宋" w:eastAsia="仿宋" w:cs="仿宋"/>
                <w:color w:val="auto"/>
                <w:szCs w:val="21"/>
                <w:highlight w:val="none"/>
              </w:rPr>
            </w:pPr>
          </w:p>
        </w:tc>
      </w:tr>
      <w:tr w14:paraId="39F0CC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5746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1C50407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4DC6823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7ED93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5FED4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1E4530">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751031A">
            <w:pPr>
              <w:autoSpaceDN w:val="0"/>
              <w:spacing w:line="300" w:lineRule="exact"/>
              <w:ind w:left="-53" w:leftChars="-25" w:right="-53" w:rightChars="-25"/>
              <w:jc w:val="center"/>
              <w:rPr>
                <w:rFonts w:ascii="仿宋" w:hAnsi="仿宋" w:eastAsia="仿宋" w:cs="仿宋"/>
                <w:b/>
                <w:bCs/>
                <w:color w:val="auto"/>
                <w:szCs w:val="21"/>
                <w:highlight w:val="none"/>
              </w:rPr>
            </w:pPr>
          </w:p>
        </w:tc>
      </w:tr>
      <w:tr w14:paraId="0453EB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F2305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1735FCD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0D3249A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41762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5F474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3E7211">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BAAD902">
            <w:pPr>
              <w:autoSpaceDN w:val="0"/>
              <w:spacing w:line="300" w:lineRule="exact"/>
              <w:ind w:left="-53" w:leftChars="-25" w:right="-53" w:rightChars="-25"/>
              <w:jc w:val="center"/>
              <w:rPr>
                <w:rFonts w:ascii="仿宋" w:hAnsi="仿宋" w:eastAsia="仿宋" w:cs="仿宋"/>
                <w:b/>
                <w:bCs/>
                <w:color w:val="auto"/>
                <w:szCs w:val="21"/>
                <w:highlight w:val="none"/>
              </w:rPr>
            </w:pPr>
          </w:p>
        </w:tc>
      </w:tr>
      <w:tr w14:paraId="3A0C9E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8276E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21804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6E5EB23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E8D5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C52C24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F2E0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A21501">
            <w:pPr>
              <w:autoSpaceDN w:val="0"/>
              <w:spacing w:line="300" w:lineRule="exact"/>
              <w:ind w:left="-53" w:leftChars="-25" w:right="-53" w:rightChars="-25"/>
              <w:jc w:val="center"/>
              <w:rPr>
                <w:rFonts w:ascii="仿宋" w:hAnsi="仿宋" w:eastAsia="仿宋" w:cs="仿宋"/>
                <w:color w:val="auto"/>
                <w:szCs w:val="21"/>
                <w:highlight w:val="none"/>
              </w:rPr>
            </w:pPr>
          </w:p>
        </w:tc>
      </w:tr>
      <w:tr w14:paraId="083338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11B3ED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D478D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1D00294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A3D580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66AAF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BA3FF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35C0D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317C0F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82BB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48243A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546A49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C97E89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C335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E7B23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CAC85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330B41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F7699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3E29A3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2743525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BB11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A5B2E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CDC0F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712E5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383B1B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EA33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0BDA73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26C40D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4A51FC6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4D35E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1A2FD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A94EA6">
            <w:pPr>
              <w:autoSpaceDN w:val="0"/>
              <w:spacing w:line="300" w:lineRule="exact"/>
              <w:ind w:left="-53" w:leftChars="-25" w:right="-53" w:rightChars="-25"/>
              <w:jc w:val="center"/>
              <w:rPr>
                <w:rFonts w:ascii="仿宋" w:hAnsi="仿宋" w:eastAsia="仿宋" w:cs="仿宋"/>
                <w:color w:val="auto"/>
                <w:szCs w:val="21"/>
                <w:highlight w:val="none"/>
              </w:rPr>
            </w:pPr>
          </w:p>
        </w:tc>
      </w:tr>
      <w:tr w14:paraId="1777AF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99399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4300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1073C2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440A68A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5C8A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F2C032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682EAD4">
            <w:pPr>
              <w:autoSpaceDN w:val="0"/>
              <w:spacing w:line="300" w:lineRule="exact"/>
              <w:ind w:left="-53" w:leftChars="-25" w:right="-53" w:rightChars="-25"/>
              <w:jc w:val="center"/>
              <w:rPr>
                <w:rFonts w:ascii="仿宋" w:hAnsi="仿宋" w:eastAsia="仿宋" w:cs="仿宋"/>
                <w:color w:val="auto"/>
                <w:szCs w:val="21"/>
                <w:highlight w:val="none"/>
              </w:rPr>
            </w:pPr>
          </w:p>
        </w:tc>
      </w:tr>
      <w:tr w14:paraId="42DACD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87CAA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57748A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C2C226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4300E5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A44D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42910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C258F1">
            <w:pPr>
              <w:autoSpaceDN w:val="0"/>
              <w:spacing w:line="300" w:lineRule="exact"/>
              <w:ind w:left="-53" w:leftChars="-25" w:right="-53" w:rightChars="-25"/>
              <w:jc w:val="center"/>
              <w:rPr>
                <w:rFonts w:ascii="仿宋" w:hAnsi="仿宋" w:eastAsia="仿宋" w:cs="仿宋"/>
                <w:color w:val="auto"/>
                <w:szCs w:val="21"/>
                <w:highlight w:val="none"/>
              </w:rPr>
            </w:pPr>
          </w:p>
        </w:tc>
      </w:tr>
      <w:tr w14:paraId="79EBE2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FCFC1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A604E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4BAADBE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4C283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43945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9EA27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CCDAA0">
            <w:pPr>
              <w:autoSpaceDN w:val="0"/>
              <w:spacing w:line="300" w:lineRule="exact"/>
              <w:ind w:left="-53" w:leftChars="-25" w:right="-53" w:rightChars="-25"/>
              <w:jc w:val="center"/>
              <w:rPr>
                <w:rFonts w:ascii="仿宋" w:hAnsi="仿宋" w:eastAsia="仿宋" w:cs="仿宋"/>
                <w:color w:val="auto"/>
                <w:szCs w:val="21"/>
                <w:highlight w:val="none"/>
              </w:rPr>
            </w:pPr>
          </w:p>
        </w:tc>
      </w:tr>
      <w:tr w14:paraId="4743BC7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960E37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5025A9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0659317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CB4BF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2E233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0AB33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68995C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385D27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A33FB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DD0E2D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019B404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BFCB1B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398F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55ED8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285F6E3">
            <w:pPr>
              <w:autoSpaceDN w:val="0"/>
              <w:spacing w:line="300" w:lineRule="exact"/>
              <w:ind w:left="-53" w:leftChars="-25" w:right="-53" w:rightChars="-25"/>
              <w:jc w:val="center"/>
              <w:rPr>
                <w:rFonts w:ascii="仿宋" w:hAnsi="仿宋" w:eastAsia="仿宋" w:cs="仿宋"/>
                <w:color w:val="auto"/>
                <w:szCs w:val="21"/>
                <w:highlight w:val="none"/>
              </w:rPr>
            </w:pPr>
          </w:p>
        </w:tc>
      </w:tr>
      <w:tr w14:paraId="4F837E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8D19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B1CBC2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186C315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9AE91F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2311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6F4B4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5A7C027">
            <w:pPr>
              <w:autoSpaceDN w:val="0"/>
              <w:spacing w:line="300" w:lineRule="exact"/>
              <w:ind w:left="-53" w:leftChars="-25" w:right="-53" w:rightChars="-25"/>
              <w:jc w:val="center"/>
              <w:rPr>
                <w:rFonts w:ascii="仿宋" w:hAnsi="仿宋" w:eastAsia="仿宋" w:cs="仿宋"/>
                <w:color w:val="auto"/>
                <w:szCs w:val="21"/>
                <w:highlight w:val="none"/>
              </w:rPr>
            </w:pPr>
          </w:p>
        </w:tc>
      </w:tr>
      <w:tr w14:paraId="5649D6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96B2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A5B344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47F207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B0EEE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E3D39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3A608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95753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77BE302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5E0E7B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9BBBA9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1F17C4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083AB3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4F06DB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18D45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9721F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4FECD16">
            <w:pPr>
              <w:autoSpaceDN w:val="0"/>
              <w:spacing w:line="300" w:lineRule="exact"/>
              <w:ind w:left="-53" w:leftChars="-25" w:right="-53" w:rightChars="-25"/>
              <w:jc w:val="center"/>
              <w:rPr>
                <w:rFonts w:ascii="仿宋" w:hAnsi="仿宋" w:eastAsia="仿宋" w:cs="仿宋"/>
                <w:color w:val="auto"/>
                <w:szCs w:val="21"/>
                <w:highlight w:val="none"/>
              </w:rPr>
            </w:pPr>
          </w:p>
        </w:tc>
      </w:tr>
      <w:tr w14:paraId="723215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B77F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56972BF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007E0F7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F247B0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8FE4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459ED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5EB629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5B663E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7340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0E892D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3FA235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CE1BE3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4B991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3C5E3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F76EE6">
            <w:pPr>
              <w:autoSpaceDN w:val="0"/>
              <w:spacing w:line="300" w:lineRule="exact"/>
              <w:ind w:left="-53" w:leftChars="-25" w:right="-53" w:rightChars="-25"/>
              <w:jc w:val="center"/>
              <w:rPr>
                <w:rFonts w:ascii="仿宋" w:hAnsi="仿宋" w:eastAsia="仿宋" w:cs="仿宋"/>
                <w:color w:val="auto"/>
                <w:szCs w:val="21"/>
                <w:highlight w:val="none"/>
              </w:rPr>
            </w:pPr>
          </w:p>
        </w:tc>
      </w:tr>
      <w:tr w14:paraId="1F926E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74CEE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2831894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F6CF05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4C26B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7746A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DD4EC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023FC4A">
            <w:pPr>
              <w:autoSpaceDN w:val="0"/>
              <w:spacing w:line="300" w:lineRule="exact"/>
              <w:ind w:left="-53" w:leftChars="-25" w:right="-53" w:rightChars="-25"/>
              <w:jc w:val="center"/>
              <w:rPr>
                <w:rFonts w:ascii="仿宋" w:hAnsi="仿宋" w:eastAsia="仿宋" w:cs="仿宋"/>
                <w:b/>
                <w:bCs/>
                <w:color w:val="auto"/>
                <w:szCs w:val="21"/>
                <w:highlight w:val="none"/>
              </w:rPr>
            </w:pPr>
          </w:p>
        </w:tc>
      </w:tr>
      <w:tr w14:paraId="1D9619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9710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151667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5AD41BA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63683D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6D316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0C921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94D17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6C9086F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5F954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7EEE18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324F6B0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BCA146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EA9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46437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972C70">
            <w:pPr>
              <w:autoSpaceDN w:val="0"/>
              <w:spacing w:line="300" w:lineRule="exact"/>
              <w:ind w:left="-53" w:leftChars="-25" w:right="-53" w:rightChars="-25"/>
              <w:jc w:val="center"/>
              <w:rPr>
                <w:rFonts w:ascii="仿宋" w:hAnsi="仿宋" w:eastAsia="仿宋" w:cs="仿宋"/>
                <w:color w:val="auto"/>
                <w:szCs w:val="21"/>
                <w:highlight w:val="none"/>
              </w:rPr>
            </w:pPr>
          </w:p>
        </w:tc>
      </w:tr>
      <w:tr w14:paraId="1DC49D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F97DB5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FC5CE3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62846C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D48C1F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47152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023D0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EBE533">
            <w:pPr>
              <w:autoSpaceDN w:val="0"/>
              <w:spacing w:line="300" w:lineRule="exact"/>
              <w:ind w:left="-53" w:leftChars="-25" w:right="-53" w:rightChars="-25"/>
              <w:jc w:val="center"/>
              <w:rPr>
                <w:rFonts w:ascii="仿宋" w:hAnsi="仿宋" w:eastAsia="仿宋" w:cs="仿宋"/>
                <w:color w:val="auto"/>
                <w:szCs w:val="21"/>
                <w:highlight w:val="none"/>
              </w:rPr>
            </w:pPr>
          </w:p>
        </w:tc>
      </w:tr>
      <w:tr w14:paraId="3BDA37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CB1A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CBFB6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61C3A6F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29E9066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A791D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9362B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FC0F5">
            <w:pPr>
              <w:autoSpaceDN w:val="0"/>
              <w:spacing w:line="300" w:lineRule="exact"/>
              <w:ind w:left="-53" w:leftChars="-25" w:right="-53" w:rightChars="-25"/>
              <w:jc w:val="center"/>
              <w:rPr>
                <w:rFonts w:ascii="仿宋" w:hAnsi="仿宋" w:eastAsia="仿宋" w:cs="仿宋"/>
                <w:color w:val="auto"/>
                <w:szCs w:val="21"/>
                <w:highlight w:val="none"/>
              </w:rPr>
            </w:pPr>
          </w:p>
        </w:tc>
      </w:tr>
      <w:tr w14:paraId="668622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994B7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CF0ED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01C49BE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9D626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D5DF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E5109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BAA62E">
            <w:pPr>
              <w:autoSpaceDN w:val="0"/>
              <w:spacing w:line="300" w:lineRule="exact"/>
              <w:ind w:left="-53" w:leftChars="-25" w:right="-53" w:rightChars="-25"/>
              <w:jc w:val="center"/>
              <w:rPr>
                <w:rFonts w:ascii="仿宋" w:hAnsi="仿宋" w:eastAsia="仿宋" w:cs="仿宋"/>
                <w:color w:val="auto"/>
                <w:szCs w:val="21"/>
                <w:highlight w:val="none"/>
              </w:rPr>
            </w:pPr>
          </w:p>
        </w:tc>
      </w:tr>
      <w:tr w14:paraId="07FA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E3A93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32DF288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36228774">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B340C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C8479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6F4206">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544B5AD">
            <w:pPr>
              <w:autoSpaceDN w:val="0"/>
              <w:spacing w:line="300" w:lineRule="exact"/>
              <w:ind w:left="-53" w:leftChars="-25" w:right="-53" w:rightChars="-25"/>
              <w:jc w:val="center"/>
              <w:rPr>
                <w:rFonts w:ascii="仿宋" w:hAnsi="仿宋" w:eastAsia="仿宋" w:cs="仿宋"/>
                <w:b/>
                <w:bCs/>
                <w:color w:val="auto"/>
                <w:szCs w:val="21"/>
                <w:highlight w:val="none"/>
              </w:rPr>
            </w:pPr>
          </w:p>
        </w:tc>
      </w:tr>
      <w:tr w14:paraId="5E4ACD8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E74E2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AD99F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5EF764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D2AF0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92B9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EDCD4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8E94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14BD4A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BC2B8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BDED8A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1F2B176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32E7B6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3FF65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DACAC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5A27709">
            <w:pPr>
              <w:autoSpaceDN w:val="0"/>
              <w:spacing w:line="300" w:lineRule="exact"/>
              <w:ind w:left="-53" w:leftChars="-25" w:right="-53" w:rightChars="-25"/>
              <w:jc w:val="center"/>
              <w:rPr>
                <w:rFonts w:ascii="仿宋" w:hAnsi="仿宋" w:eastAsia="仿宋" w:cs="仿宋"/>
                <w:color w:val="auto"/>
                <w:szCs w:val="21"/>
                <w:highlight w:val="none"/>
              </w:rPr>
            </w:pPr>
          </w:p>
        </w:tc>
      </w:tr>
      <w:tr w14:paraId="579FA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CF1D68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BEAE2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422B530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1DE78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46E1C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51808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8BD0CC5">
            <w:pPr>
              <w:autoSpaceDN w:val="0"/>
              <w:spacing w:line="300" w:lineRule="exact"/>
              <w:ind w:left="-53" w:leftChars="-25" w:right="-53" w:rightChars="-25"/>
              <w:jc w:val="center"/>
              <w:rPr>
                <w:rFonts w:ascii="仿宋" w:hAnsi="仿宋" w:eastAsia="仿宋" w:cs="仿宋"/>
                <w:color w:val="auto"/>
                <w:szCs w:val="21"/>
                <w:highlight w:val="none"/>
              </w:rPr>
            </w:pPr>
          </w:p>
        </w:tc>
      </w:tr>
      <w:tr w14:paraId="698D2FA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841D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4167F87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4CB2D79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05EC8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50297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52E6EA">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715315">
            <w:pPr>
              <w:autoSpaceDN w:val="0"/>
              <w:spacing w:line="300" w:lineRule="exact"/>
              <w:ind w:left="-53" w:leftChars="-25" w:right="-53" w:rightChars="-25"/>
              <w:jc w:val="center"/>
              <w:rPr>
                <w:rFonts w:ascii="仿宋" w:hAnsi="仿宋" w:eastAsia="仿宋" w:cs="仿宋"/>
                <w:b/>
                <w:bCs/>
                <w:color w:val="auto"/>
                <w:szCs w:val="21"/>
                <w:highlight w:val="none"/>
              </w:rPr>
            </w:pPr>
          </w:p>
        </w:tc>
      </w:tr>
      <w:tr w14:paraId="24AC20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B2B8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270F9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731C18A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7EB198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3F664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436C8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A7AD31">
            <w:pPr>
              <w:autoSpaceDN w:val="0"/>
              <w:spacing w:line="300" w:lineRule="exact"/>
              <w:ind w:left="-53" w:leftChars="-25" w:right="-53" w:rightChars="-25"/>
              <w:jc w:val="center"/>
              <w:rPr>
                <w:rFonts w:ascii="仿宋" w:hAnsi="仿宋" w:eastAsia="仿宋" w:cs="仿宋"/>
                <w:color w:val="auto"/>
                <w:szCs w:val="21"/>
                <w:highlight w:val="none"/>
              </w:rPr>
            </w:pPr>
          </w:p>
        </w:tc>
      </w:tr>
      <w:tr w14:paraId="0EC0EC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A6581C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330199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07518FB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042B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F6CF2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74E56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F926887">
            <w:pPr>
              <w:autoSpaceDN w:val="0"/>
              <w:spacing w:line="300" w:lineRule="exact"/>
              <w:ind w:left="-53" w:leftChars="-25" w:right="-53" w:rightChars="-25"/>
              <w:jc w:val="center"/>
              <w:rPr>
                <w:rFonts w:ascii="仿宋" w:hAnsi="仿宋" w:eastAsia="仿宋" w:cs="仿宋"/>
                <w:color w:val="auto"/>
                <w:szCs w:val="21"/>
                <w:highlight w:val="none"/>
              </w:rPr>
            </w:pPr>
          </w:p>
        </w:tc>
      </w:tr>
      <w:tr w14:paraId="4B642E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39A10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2FE273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1D7CF5F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F5B696">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6A83D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519A4A">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98DD06">
            <w:pPr>
              <w:autoSpaceDN w:val="0"/>
              <w:spacing w:line="300" w:lineRule="exact"/>
              <w:ind w:left="-53" w:leftChars="-25" w:right="-53" w:rightChars="-25"/>
              <w:jc w:val="center"/>
              <w:rPr>
                <w:rFonts w:ascii="仿宋" w:hAnsi="仿宋" w:eastAsia="仿宋" w:cs="仿宋"/>
                <w:b/>
                <w:bCs/>
                <w:color w:val="auto"/>
                <w:szCs w:val="21"/>
                <w:highlight w:val="none"/>
              </w:rPr>
            </w:pPr>
          </w:p>
        </w:tc>
      </w:tr>
      <w:tr w14:paraId="5BD52C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0B57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D61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1C3DE6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7D9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B709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4A876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33A3A23">
            <w:pPr>
              <w:autoSpaceDN w:val="0"/>
              <w:spacing w:line="300" w:lineRule="exact"/>
              <w:ind w:left="-53" w:leftChars="-25" w:right="-53" w:rightChars="-25"/>
              <w:jc w:val="center"/>
              <w:rPr>
                <w:rFonts w:ascii="仿宋" w:hAnsi="仿宋" w:eastAsia="仿宋" w:cs="仿宋"/>
                <w:color w:val="auto"/>
                <w:szCs w:val="21"/>
                <w:highlight w:val="none"/>
              </w:rPr>
            </w:pPr>
          </w:p>
        </w:tc>
      </w:tr>
      <w:tr w14:paraId="7BA02B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2777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1169EF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BDDB6A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3B5431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DABC9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80D4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746DAC">
            <w:pPr>
              <w:autoSpaceDN w:val="0"/>
              <w:spacing w:line="300" w:lineRule="exact"/>
              <w:ind w:left="-53" w:leftChars="-25" w:right="-53" w:rightChars="-25"/>
              <w:jc w:val="center"/>
              <w:rPr>
                <w:rFonts w:ascii="仿宋" w:hAnsi="仿宋" w:eastAsia="仿宋" w:cs="仿宋"/>
                <w:color w:val="auto"/>
                <w:szCs w:val="21"/>
                <w:highlight w:val="none"/>
              </w:rPr>
            </w:pPr>
          </w:p>
        </w:tc>
      </w:tr>
      <w:tr w14:paraId="106DA2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B03A3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5B61CA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167545B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00A00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06F90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8BE03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24E4E3">
            <w:pPr>
              <w:autoSpaceDN w:val="0"/>
              <w:spacing w:line="300" w:lineRule="exact"/>
              <w:ind w:left="-53" w:leftChars="-25" w:right="-53" w:rightChars="-25"/>
              <w:jc w:val="center"/>
              <w:rPr>
                <w:rFonts w:ascii="仿宋" w:hAnsi="仿宋" w:eastAsia="仿宋" w:cs="仿宋"/>
                <w:color w:val="auto"/>
                <w:szCs w:val="21"/>
                <w:highlight w:val="none"/>
              </w:rPr>
            </w:pPr>
          </w:p>
        </w:tc>
      </w:tr>
      <w:tr w14:paraId="446335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902872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5108451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454EDC8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6F96E3">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FC6CD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E9316D">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1A05F4">
            <w:pPr>
              <w:autoSpaceDN w:val="0"/>
              <w:spacing w:line="300" w:lineRule="exact"/>
              <w:ind w:left="-53" w:leftChars="-25" w:right="-53" w:rightChars="-25"/>
              <w:jc w:val="center"/>
              <w:rPr>
                <w:rFonts w:ascii="仿宋" w:hAnsi="仿宋" w:eastAsia="仿宋" w:cs="仿宋"/>
                <w:b/>
                <w:bCs/>
                <w:color w:val="auto"/>
                <w:szCs w:val="21"/>
                <w:highlight w:val="none"/>
              </w:rPr>
            </w:pPr>
          </w:p>
        </w:tc>
      </w:tr>
      <w:tr w14:paraId="328B87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18F8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12738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08E74E0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2CA819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302C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BF3BD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67072F">
            <w:pPr>
              <w:autoSpaceDN w:val="0"/>
              <w:spacing w:line="300" w:lineRule="exact"/>
              <w:ind w:left="-53" w:leftChars="-25" w:right="-53" w:rightChars="-25"/>
              <w:jc w:val="center"/>
              <w:rPr>
                <w:rFonts w:ascii="仿宋" w:hAnsi="仿宋" w:eastAsia="仿宋" w:cs="仿宋"/>
                <w:color w:val="auto"/>
                <w:szCs w:val="21"/>
                <w:highlight w:val="none"/>
              </w:rPr>
            </w:pPr>
          </w:p>
        </w:tc>
      </w:tr>
      <w:tr w14:paraId="5FEBEA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34C8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3FCB6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10FEDBA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1C3D5A1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B584E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B7C73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3625F39">
            <w:pPr>
              <w:autoSpaceDN w:val="0"/>
              <w:spacing w:line="300" w:lineRule="exact"/>
              <w:ind w:left="-53" w:leftChars="-25" w:right="-53" w:rightChars="-25"/>
              <w:jc w:val="center"/>
              <w:rPr>
                <w:rFonts w:ascii="仿宋" w:hAnsi="仿宋" w:eastAsia="仿宋" w:cs="仿宋"/>
                <w:color w:val="auto"/>
                <w:szCs w:val="21"/>
                <w:highlight w:val="none"/>
              </w:rPr>
            </w:pPr>
          </w:p>
        </w:tc>
      </w:tr>
      <w:tr w14:paraId="1524EE6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3530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1142FF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5E81186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19931DE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EF475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90AA5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9E30432">
            <w:pPr>
              <w:autoSpaceDN w:val="0"/>
              <w:spacing w:line="300" w:lineRule="exact"/>
              <w:ind w:left="-53" w:leftChars="-25" w:right="-53" w:rightChars="-25"/>
              <w:jc w:val="center"/>
              <w:rPr>
                <w:rFonts w:ascii="仿宋" w:hAnsi="仿宋" w:eastAsia="仿宋" w:cs="仿宋"/>
                <w:color w:val="auto"/>
                <w:szCs w:val="21"/>
                <w:highlight w:val="none"/>
              </w:rPr>
            </w:pPr>
          </w:p>
        </w:tc>
      </w:tr>
      <w:tr w14:paraId="165848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DA78D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C5A12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679A07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330E094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8732B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B1D10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5ADC481">
            <w:pPr>
              <w:autoSpaceDN w:val="0"/>
              <w:spacing w:line="300" w:lineRule="exact"/>
              <w:ind w:left="-53" w:leftChars="-25" w:right="-53" w:rightChars="-25"/>
              <w:jc w:val="center"/>
              <w:rPr>
                <w:rFonts w:ascii="仿宋" w:hAnsi="仿宋" w:eastAsia="仿宋" w:cs="仿宋"/>
                <w:color w:val="auto"/>
                <w:szCs w:val="21"/>
                <w:highlight w:val="none"/>
              </w:rPr>
            </w:pPr>
          </w:p>
        </w:tc>
      </w:tr>
      <w:tr w14:paraId="62AA0D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3D2F2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EC019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0A8C912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4DA8A7A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34BD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6474F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90679">
            <w:pPr>
              <w:autoSpaceDN w:val="0"/>
              <w:spacing w:line="300" w:lineRule="exact"/>
              <w:ind w:left="-53" w:leftChars="-25" w:right="-53" w:rightChars="-25"/>
              <w:jc w:val="center"/>
              <w:rPr>
                <w:rFonts w:ascii="仿宋" w:hAnsi="仿宋" w:eastAsia="仿宋" w:cs="仿宋"/>
                <w:color w:val="auto"/>
                <w:szCs w:val="21"/>
                <w:highlight w:val="none"/>
              </w:rPr>
            </w:pPr>
          </w:p>
        </w:tc>
      </w:tr>
      <w:tr w14:paraId="38B6F85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D0D9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5740357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5550AFB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372A96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0D969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FAA62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6968D48">
            <w:pPr>
              <w:autoSpaceDN w:val="0"/>
              <w:spacing w:line="300" w:lineRule="exact"/>
              <w:ind w:left="-53" w:leftChars="-25" w:right="-53" w:rightChars="-25"/>
              <w:jc w:val="center"/>
              <w:rPr>
                <w:rFonts w:ascii="仿宋" w:hAnsi="仿宋" w:eastAsia="仿宋" w:cs="仿宋"/>
                <w:color w:val="auto"/>
                <w:szCs w:val="21"/>
                <w:highlight w:val="none"/>
              </w:rPr>
            </w:pPr>
          </w:p>
        </w:tc>
      </w:tr>
      <w:tr w14:paraId="5C3E6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62251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76364E2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C621E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B3C65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1415C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952F6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48DC75">
            <w:pPr>
              <w:autoSpaceDN w:val="0"/>
              <w:spacing w:line="300" w:lineRule="exact"/>
              <w:ind w:left="-53" w:leftChars="-25" w:right="-53" w:rightChars="-25"/>
              <w:jc w:val="center"/>
              <w:rPr>
                <w:rFonts w:ascii="仿宋" w:hAnsi="仿宋" w:eastAsia="仿宋" w:cs="仿宋"/>
                <w:color w:val="auto"/>
                <w:szCs w:val="21"/>
                <w:highlight w:val="none"/>
              </w:rPr>
            </w:pPr>
          </w:p>
        </w:tc>
      </w:tr>
      <w:tr w14:paraId="629C3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9D71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131CA3D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4CC59E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F030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D3F2F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1CDC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3A5A05">
            <w:pPr>
              <w:autoSpaceDN w:val="0"/>
              <w:spacing w:line="300" w:lineRule="exact"/>
              <w:ind w:left="-53" w:leftChars="-25" w:right="-53" w:rightChars="-25"/>
              <w:jc w:val="center"/>
              <w:rPr>
                <w:rFonts w:ascii="仿宋" w:hAnsi="仿宋" w:eastAsia="仿宋" w:cs="仿宋"/>
                <w:color w:val="auto"/>
                <w:szCs w:val="21"/>
                <w:highlight w:val="none"/>
              </w:rPr>
            </w:pPr>
          </w:p>
        </w:tc>
      </w:tr>
      <w:tr w14:paraId="7DA95CF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49692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2454008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5A4B1C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43FED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958EF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9AB7C0">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884419">
            <w:pPr>
              <w:autoSpaceDN w:val="0"/>
              <w:spacing w:line="300" w:lineRule="exact"/>
              <w:ind w:left="-53" w:leftChars="-25" w:right="-53" w:rightChars="-25"/>
              <w:jc w:val="center"/>
              <w:rPr>
                <w:rFonts w:ascii="仿宋" w:hAnsi="仿宋" w:eastAsia="仿宋" w:cs="仿宋"/>
                <w:b/>
                <w:bCs/>
                <w:color w:val="auto"/>
                <w:szCs w:val="21"/>
                <w:highlight w:val="none"/>
              </w:rPr>
            </w:pPr>
          </w:p>
        </w:tc>
      </w:tr>
      <w:tr w14:paraId="7E1F5D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5FEFB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C7CB2C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46E3279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373185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79697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CFEC5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AADE4F">
            <w:pPr>
              <w:autoSpaceDN w:val="0"/>
              <w:spacing w:line="300" w:lineRule="exact"/>
              <w:ind w:left="-53" w:leftChars="-25" w:right="-53" w:rightChars="-25"/>
              <w:jc w:val="center"/>
              <w:rPr>
                <w:rFonts w:ascii="仿宋" w:hAnsi="仿宋" w:eastAsia="仿宋" w:cs="仿宋"/>
                <w:color w:val="auto"/>
                <w:szCs w:val="21"/>
                <w:highlight w:val="none"/>
              </w:rPr>
            </w:pPr>
          </w:p>
        </w:tc>
      </w:tr>
      <w:tr w14:paraId="6EDB02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55F1A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02442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4A292F5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90A900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44FBF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832A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CF85B7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516FB7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2F09AB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6D76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59554F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C91FA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D0C0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86542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9587439">
            <w:pPr>
              <w:autoSpaceDN w:val="0"/>
              <w:spacing w:line="300" w:lineRule="exact"/>
              <w:ind w:left="-53" w:leftChars="-25" w:right="-53" w:rightChars="-25"/>
              <w:jc w:val="center"/>
              <w:rPr>
                <w:rFonts w:ascii="仿宋" w:hAnsi="仿宋" w:eastAsia="仿宋" w:cs="仿宋"/>
                <w:color w:val="auto"/>
                <w:szCs w:val="21"/>
                <w:highlight w:val="none"/>
              </w:rPr>
            </w:pPr>
          </w:p>
        </w:tc>
      </w:tr>
      <w:tr w14:paraId="29D7C7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5D224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9C246A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D1D8E5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11EAB4B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2395C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3640E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647B38">
            <w:pPr>
              <w:autoSpaceDN w:val="0"/>
              <w:spacing w:line="300" w:lineRule="exact"/>
              <w:ind w:left="-53" w:leftChars="-25" w:right="-53" w:rightChars="-25"/>
              <w:jc w:val="center"/>
              <w:rPr>
                <w:rFonts w:ascii="仿宋" w:hAnsi="仿宋" w:eastAsia="仿宋" w:cs="仿宋"/>
                <w:color w:val="auto"/>
                <w:szCs w:val="21"/>
                <w:highlight w:val="none"/>
              </w:rPr>
            </w:pPr>
          </w:p>
        </w:tc>
      </w:tr>
      <w:tr w14:paraId="370FFC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12D68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2BBD4CF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183D871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74CA3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A7E44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0FDB4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05CE6D2">
            <w:pPr>
              <w:autoSpaceDN w:val="0"/>
              <w:spacing w:line="300" w:lineRule="exact"/>
              <w:ind w:left="-53" w:leftChars="-25" w:right="-53" w:rightChars="-25"/>
              <w:jc w:val="center"/>
              <w:rPr>
                <w:rFonts w:ascii="仿宋" w:hAnsi="仿宋" w:eastAsia="仿宋" w:cs="仿宋"/>
                <w:color w:val="auto"/>
                <w:szCs w:val="21"/>
                <w:highlight w:val="none"/>
              </w:rPr>
            </w:pPr>
          </w:p>
        </w:tc>
      </w:tr>
      <w:tr w14:paraId="2175B0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43739F">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65B7A2F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50F459B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2295D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DB93E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C5D83D">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057567">
            <w:pPr>
              <w:autoSpaceDN w:val="0"/>
              <w:spacing w:line="300" w:lineRule="exact"/>
              <w:ind w:left="-53" w:leftChars="-25" w:right="-53" w:rightChars="-25"/>
              <w:jc w:val="center"/>
              <w:rPr>
                <w:rFonts w:ascii="仿宋" w:hAnsi="仿宋" w:eastAsia="仿宋" w:cs="仿宋"/>
                <w:b/>
                <w:bCs/>
                <w:color w:val="auto"/>
                <w:szCs w:val="21"/>
                <w:highlight w:val="none"/>
              </w:rPr>
            </w:pPr>
          </w:p>
        </w:tc>
      </w:tr>
      <w:tr w14:paraId="3D932F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08E3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F1607F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B3CE9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AE01BC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958D2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5533C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5AF9FD4">
            <w:pPr>
              <w:autoSpaceDN w:val="0"/>
              <w:spacing w:line="300" w:lineRule="exact"/>
              <w:ind w:left="-53" w:leftChars="-25" w:right="-53" w:rightChars="-25"/>
              <w:jc w:val="center"/>
              <w:rPr>
                <w:rFonts w:ascii="仿宋" w:hAnsi="仿宋" w:eastAsia="仿宋" w:cs="仿宋"/>
                <w:color w:val="auto"/>
                <w:szCs w:val="21"/>
                <w:highlight w:val="none"/>
              </w:rPr>
            </w:pPr>
          </w:p>
        </w:tc>
      </w:tr>
      <w:tr w14:paraId="4F7D2D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89978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386DCA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67CAC40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68CE7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E1F6E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C9DE6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64D646">
            <w:pPr>
              <w:autoSpaceDN w:val="0"/>
              <w:spacing w:line="300" w:lineRule="exact"/>
              <w:ind w:left="-53" w:leftChars="-25" w:right="-53" w:rightChars="-25"/>
              <w:jc w:val="center"/>
              <w:rPr>
                <w:rFonts w:ascii="仿宋" w:hAnsi="仿宋" w:eastAsia="仿宋" w:cs="仿宋"/>
                <w:color w:val="auto"/>
                <w:szCs w:val="21"/>
                <w:highlight w:val="none"/>
              </w:rPr>
            </w:pPr>
          </w:p>
        </w:tc>
      </w:tr>
      <w:tr w14:paraId="239419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4BFFB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E9D9F8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0FFD5F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0652D9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80427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831E2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329BF1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19E725D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9445E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A49822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2112317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FF5C6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8960B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4F4EC0">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68CFD87">
            <w:pPr>
              <w:autoSpaceDN w:val="0"/>
              <w:spacing w:line="300" w:lineRule="exact"/>
              <w:ind w:left="-53" w:leftChars="-25" w:right="-53" w:rightChars="-25"/>
              <w:jc w:val="center"/>
              <w:rPr>
                <w:rFonts w:ascii="仿宋" w:hAnsi="仿宋" w:eastAsia="仿宋" w:cs="仿宋"/>
                <w:b/>
                <w:bCs/>
                <w:color w:val="auto"/>
                <w:szCs w:val="21"/>
                <w:highlight w:val="none"/>
              </w:rPr>
            </w:pPr>
          </w:p>
        </w:tc>
      </w:tr>
      <w:tr w14:paraId="798391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3A2B3D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23DA350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0531BD1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2FE9E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2C445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4785A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CDEC6F6">
            <w:pPr>
              <w:autoSpaceDN w:val="0"/>
              <w:spacing w:line="300" w:lineRule="exact"/>
              <w:ind w:left="-53" w:leftChars="-25" w:right="-53" w:rightChars="-25"/>
              <w:jc w:val="center"/>
              <w:rPr>
                <w:rFonts w:ascii="仿宋" w:hAnsi="仿宋" w:eastAsia="仿宋" w:cs="仿宋"/>
                <w:b/>
                <w:bCs/>
                <w:color w:val="auto"/>
                <w:szCs w:val="21"/>
                <w:highlight w:val="none"/>
              </w:rPr>
            </w:pPr>
          </w:p>
        </w:tc>
      </w:tr>
      <w:tr w14:paraId="1CBFA5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7D356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97742E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5F4D98F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EF3074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6B728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14A9C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0C2659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6250BA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F3445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35535C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46FD1A6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6EA34E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FCAC8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73A7D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0F99833">
            <w:pPr>
              <w:autoSpaceDN w:val="0"/>
              <w:spacing w:line="300" w:lineRule="exact"/>
              <w:ind w:left="-53" w:leftChars="-25" w:right="-53" w:rightChars="-25"/>
              <w:jc w:val="center"/>
              <w:rPr>
                <w:rFonts w:ascii="仿宋" w:hAnsi="仿宋" w:eastAsia="仿宋" w:cs="仿宋"/>
                <w:color w:val="auto"/>
                <w:szCs w:val="21"/>
                <w:highlight w:val="none"/>
              </w:rPr>
            </w:pPr>
          </w:p>
        </w:tc>
      </w:tr>
      <w:tr w14:paraId="5B23814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1D7E0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C79F4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4D97079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60B7D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DD806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9440B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782AC94">
            <w:pPr>
              <w:autoSpaceDN w:val="0"/>
              <w:spacing w:line="300" w:lineRule="exact"/>
              <w:ind w:left="-53" w:leftChars="-25" w:right="-53" w:rightChars="-25"/>
              <w:jc w:val="center"/>
              <w:rPr>
                <w:rFonts w:ascii="仿宋" w:hAnsi="仿宋" w:eastAsia="仿宋" w:cs="仿宋"/>
                <w:color w:val="auto"/>
                <w:szCs w:val="21"/>
                <w:highlight w:val="none"/>
              </w:rPr>
            </w:pPr>
          </w:p>
        </w:tc>
      </w:tr>
      <w:tr w14:paraId="607BDA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2386F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9FE7DF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33332F7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DB1C8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6A39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1B97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9EDC72">
            <w:pPr>
              <w:autoSpaceDN w:val="0"/>
              <w:spacing w:line="300" w:lineRule="exact"/>
              <w:ind w:left="-53" w:leftChars="-25" w:right="-53" w:rightChars="-25"/>
              <w:jc w:val="center"/>
              <w:rPr>
                <w:rFonts w:ascii="仿宋" w:hAnsi="仿宋" w:eastAsia="仿宋" w:cs="仿宋"/>
                <w:color w:val="auto"/>
                <w:szCs w:val="21"/>
                <w:highlight w:val="none"/>
              </w:rPr>
            </w:pPr>
          </w:p>
        </w:tc>
      </w:tr>
      <w:tr w14:paraId="112CBAB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749FD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724B93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16E2897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F5D5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6C894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DC3FB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1861DAA">
            <w:pPr>
              <w:autoSpaceDN w:val="0"/>
              <w:spacing w:line="300" w:lineRule="exact"/>
              <w:ind w:left="-53" w:leftChars="-25" w:right="-53" w:rightChars="-25"/>
              <w:jc w:val="center"/>
              <w:rPr>
                <w:rFonts w:ascii="仿宋" w:hAnsi="仿宋" w:eastAsia="仿宋" w:cs="仿宋"/>
                <w:color w:val="auto"/>
                <w:szCs w:val="21"/>
                <w:highlight w:val="none"/>
              </w:rPr>
            </w:pPr>
          </w:p>
        </w:tc>
      </w:tr>
      <w:tr w14:paraId="0318781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0465B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FBECAE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7BB33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681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01EE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AE38D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C68CE8">
            <w:pPr>
              <w:autoSpaceDN w:val="0"/>
              <w:spacing w:line="300" w:lineRule="exact"/>
              <w:ind w:left="-53" w:leftChars="-25" w:right="-53" w:rightChars="-25"/>
              <w:jc w:val="center"/>
              <w:rPr>
                <w:rFonts w:ascii="仿宋" w:hAnsi="仿宋" w:eastAsia="仿宋" w:cs="仿宋"/>
                <w:color w:val="auto"/>
                <w:szCs w:val="21"/>
                <w:highlight w:val="none"/>
              </w:rPr>
            </w:pPr>
          </w:p>
        </w:tc>
      </w:tr>
      <w:tr w14:paraId="7E16B9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C42C6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927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077B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4E3C5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6DB5A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DF0F5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5CCC4F">
            <w:pPr>
              <w:autoSpaceDN w:val="0"/>
              <w:spacing w:line="300" w:lineRule="exact"/>
              <w:ind w:left="-53" w:leftChars="-25" w:right="-53" w:rightChars="-25"/>
              <w:jc w:val="center"/>
              <w:rPr>
                <w:rFonts w:ascii="仿宋" w:hAnsi="仿宋" w:eastAsia="仿宋" w:cs="仿宋"/>
                <w:color w:val="auto"/>
                <w:szCs w:val="21"/>
                <w:highlight w:val="none"/>
              </w:rPr>
            </w:pPr>
          </w:p>
        </w:tc>
      </w:tr>
      <w:tr w14:paraId="46F372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DD3C6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62CA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B0FD6F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B5A42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676C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C6896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9241CF">
            <w:pPr>
              <w:autoSpaceDN w:val="0"/>
              <w:spacing w:line="300" w:lineRule="exact"/>
              <w:ind w:left="-53" w:leftChars="-25" w:right="-53" w:rightChars="-25"/>
              <w:jc w:val="center"/>
              <w:rPr>
                <w:rFonts w:ascii="仿宋" w:hAnsi="仿宋" w:eastAsia="仿宋" w:cs="仿宋"/>
                <w:color w:val="auto"/>
                <w:szCs w:val="21"/>
                <w:highlight w:val="none"/>
              </w:rPr>
            </w:pPr>
          </w:p>
        </w:tc>
      </w:tr>
      <w:tr w14:paraId="6DF201F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4830D7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89E6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D14E7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BB6FB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BA76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7271E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78900D7">
            <w:pPr>
              <w:autoSpaceDN w:val="0"/>
              <w:spacing w:line="300" w:lineRule="exact"/>
              <w:ind w:left="-53" w:leftChars="-25" w:right="-53" w:rightChars="-25"/>
              <w:jc w:val="center"/>
              <w:rPr>
                <w:rFonts w:ascii="仿宋" w:hAnsi="仿宋" w:eastAsia="仿宋" w:cs="仿宋"/>
                <w:color w:val="auto"/>
                <w:szCs w:val="21"/>
                <w:highlight w:val="none"/>
              </w:rPr>
            </w:pPr>
          </w:p>
        </w:tc>
      </w:tr>
      <w:tr w14:paraId="5BBE0D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42FE2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1C333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DE6CA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9E36B7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9D591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6EAF8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518DEA">
            <w:pPr>
              <w:autoSpaceDN w:val="0"/>
              <w:spacing w:line="300" w:lineRule="exact"/>
              <w:ind w:left="-53" w:leftChars="-25" w:right="-53" w:rightChars="-25"/>
              <w:jc w:val="center"/>
              <w:rPr>
                <w:rFonts w:ascii="仿宋" w:hAnsi="仿宋" w:eastAsia="仿宋" w:cs="仿宋"/>
                <w:color w:val="auto"/>
                <w:szCs w:val="21"/>
                <w:highlight w:val="none"/>
              </w:rPr>
            </w:pPr>
          </w:p>
        </w:tc>
      </w:tr>
      <w:tr w14:paraId="3948594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52213A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758E18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7D00B0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43B40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5D677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86AD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C08D10B">
            <w:pPr>
              <w:autoSpaceDN w:val="0"/>
              <w:spacing w:line="300" w:lineRule="exact"/>
              <w:ind w:left="-53" w:leftChars="-25" w:right="-53" w:rightChars="-25"/>
              <w:jc w:val="center"/>
              <w:rPr>
                <w:rFonts w:ascii="仿宋" w:hAnsi="仿宋" w:eastAsia="仿宋" w:cs="仿宋"/>
                <w:color w:val="auto"/>
                <w:szCs w:val="21"/>
                <w:highlight w:val="none"/>
              </w:rPr>
            </w:pPr>
          </w:p>
        </w:tc>
      </w:tr>
      <w:tr w14:paraId="7A1B7DC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95E12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EC096F">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32C6D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03B0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87A88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59A0D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7BD809">
            <w:pPr>
              <w:autoSpaceDN w:val="0"/>
              <w:spacing w:line="300" w:lineRule="exact"/>
              <w:ind w:left="-53" w:leftChars="-25" w:right="-53" w:rightChars="-25"/>
              <w:jc w:val="center"/>
              <w:rPr>
                <w:rFonts w:ascii="仿宋" w:hAnsi="仿宋" w:eastAsia="仿宋" w:cs="仿宋"/>
                <w:color w:val="auto"/>
                <w:szCs w:val="21"/>
                <w:highlight w:val="none"/>
              </w:rPr>
            </w:pPr>
          </w:p>
        </w:tc>
      </w:tr>
      <w:tr w14:paraId="5A16AD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B5111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C5D521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22C8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6CB43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4A1F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B037E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65D7321">
            <w:pPr>
              <w:autoSpaceDN w:val="0"/>
              <w:spacing w:line="300" w:lineRule="exact"/>
              <w:ind w:left="-53" w:leftChars="-25" w:right="-53" w:rightChars="-25"/>
              <w:jc w:val="center"/>
              <w:rPr>
                <w:rFonts w:ascii="仿宋" w:hAnsi="仿宋" w:eastAsia="仿宋" w:cs="仿宋"/>
                <w:color w:val="auto"/>
                <w:szCs w:val="21"/>
                <w:highlight w:val="none"/>
              </w:rPr>
            </w:pPr>
          </w:p>
        </w:tc>
      </w:tr>
      <w:tr w14:paraId="3B038B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0AF2A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0B9A6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2F41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00F9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629DF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52D5F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4E61D6B">
            <w:pPr>
              <w:autoSpaceDN w:val="0"/>
              <w:spacing w:line="300" w:lineRule="exact"/>
              <w:ind w:left="-53" w:leftChars="-25" w:right="-53" w:rightChars="-25"/>
              <w:jc w:val="center"/>
              <w:rPr>
                <w:rFonts w:ascii="仿宋" w:hAnsi="仿宋" w:eastAsia="仿宋" w:cs="仿宋"/>
                <w:color w:val="auto"/>
                <w:szCs w:val="21"/>
                <w:highlight w:val="none"/>
              </w:rPr>
            </w:pPr>
          </w:p>
        </w:tc>
      </w:tr>
      <w:tr w14:paraId="775CA7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163F8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A8F65D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A4306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69DA7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FE7B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985BE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0B58DB">
            <w:pPr>
              <w:autoSpaceDN w:val="0"/>
              <w:spacing w:line="300" w:lineRule="exact"/>
              <w:ind w:left="-53" w:leftChars="-25" w:right="-53" w:rightChars="-25"/>
              <w:jc w:val="center"/>
              <w:rPr>
                <w:rFonts w:ascii="仿宋" w:hAnsi="仿宋" w:eastAsia="仿宋" w:cs="仿宋"/>
                <w:color w:val="auto"/>
                <w:szCs w:val="21"/>
                <w:highlight w:val="none"/>
              </w:rPr>
            </w:pPr>
          </w:p>
        </w:tc>
      </w:tr>
      <w:tr w14:paraId="08AE96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936A9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6DE60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1E37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3486E2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B6D27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B5FD1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BA788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381C49E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CFB27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6FD770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4CB7F6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E2D5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33D53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871C3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F5201CF">
            <w:pPr>
              <w:autoSpaceDN w:val="0"/>
              <w:spacing w:line="300" w:lineRule="exact"/>
              <w:ind w:left="-53" w:leftChars="-25" w:right="-53" w:rightChars="-25"/>
              <w:jc w:val="center"/>
              <w:rPr>
                <w:rFonts w:ascii="仿宋" w:hAnsi="仿宋" w:eastAsia="仿宋" w:cs="仿宋"/>
                <w:color w:val="auto"/>
                <w:szCs w:val="21"/>
                <w:highlight w:val="none"/>
              </w:rPr>
            </w:pPr>
          </w:p>
        </w:tc>
      </w:tr>
      <w:tr w14:paraId="3B1107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4BE5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AB987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4062D4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04FC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93BF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DE1C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81C2701">
            <w:pPr>
              <w:autoSpaceDN w:val="0"/>
              <w:spacing w:line="300" w:lineRule="exact"/>
              <w:ind w:left="-53" w:leftChars="-25" w:right="-53" w:rightChars="-25"/>
              <w:jc w:val="center"/>
              <w:rPr>
                <w:rFonts w:ascii="仿宋" w:hAnsi="仿宋" w:eastAsia="仿宋" w:cs="仿宋"/>
                <w:color w:val="auto"/>
                <w:szCs w:val="21"/>
                <w:highlight w:val="none"/>
              </w:rPr>
            </w:pPr>
          </w:p>
        </w:tc>
      </w:tr>
      <w:tr w14:paraId="4B8CD7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75259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D40BB1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55A27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B47866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FBF3F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AF65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A593680">
            <w:pPr>
              <w:autoSpaceDN w:val="0"/>
              <w:spacing w:line="300" w:lineRule="exact"/>
              <w:ind w:left="-53" w:leftChars="-25" w:right="-53" w:rightChars="-25"/>
              <w:jc w:val="center"/>
              <w:rPr>
                <w:rFonts w:ascii="仿宋" w:hAnsi="仿宋" w:eastAsia="仿宋" w:cs="仿宋"/>
                <w:color w:val="auto"/>
                <w:szCs w:val="21"/>
                <w:highlight w:val="none"/>
              </w:rPr>
            </w:pPr>
          </w:p>
        </w:tc>
      </w:tr>
      <w:tr w14:paraId="2206EE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22954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C61EF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9F80F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2442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22901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FF1E0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307B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793F30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FE47F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1BE3F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50634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0BB4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26E7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7D396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00FCD2F">
            <w:pPr>
              <w:autoSpaceDN w:val="0"/>
              <w:spacing w:line="300" w:lineRule="exact"/>
              <w:ind w:left="-53" w:leftChars="-25" w:right="-53" w:rightChars="-25"/>
              <w:jc w:val="center"/>
              <w:rPr>
                <w:rFonts w:ascii="仿宋" w:hAnsi="仿宋" w:eastAsia="仿宋" w:cs="仿宋"/>
                <w:color w:val="auto"/>
                <w:szCs w:val="21"/>
                <w:highlight w:val="none"/>
              </w:rPr>
            </w:pPr>
          </w:p>
        </w:tc>
      </w:tr>
      <w:tr w14:paraId="3CC49B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2EFA5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59BD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794E1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B5BC4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047C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35C21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637D25">
            <w:pPr>
              <w:autoSpaceDN w:val="0"/>
              <w:spacing w:line="300" w:lineRule="exact"/>
              <w:ind w:left="-53" w:leftChars="-25" w:right="-53" w:rightChars="-25"/>
              <w:jc w:val="center"/>
              <w:rPr>
                <w:rFonts w:ascii="仿宋" w:hAnsi="仿宋" w:eastAsia="仿宋" w:cs="仿宋"/>
                <w:color w:val="auto"/>
                <w:szCs w:val="21"/>
                <w:highlight w:val="none"/>
              </w:rPr>
            </w:pPr>
          </w:p>
        </w:tc>
      </w:tr>
      <w:tr w14:paraId="2F0A07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9EC8B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87B4E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32FAC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CA57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8C2C8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5457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9764F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7E1820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D10E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5209A3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CA06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76A3AB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5C7E0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5C188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24E2A9">
            <w:pPr>
              <w:autoSpaceDN w:val="0"/>
              <w:spacing w:line="300" w:lineRule="exact"/>
              <w:ind w:left="-53" w:leftChars="-25" w:right="-53" w:rightChars="-25"/>
              <w:jc w:val="center"/>
              <w:rPr>
                <w:rFonts w:ascii="仿宋" w:hAnsi="仿宋" w:eastAsia="仿宋" w:cs="仿宋"/>
                <w:color w:val="auto"/>
                <w:szCs w:val="21"/>
                <w:highlight w:val="none"/>
              </w:rPr>
            </w:pPr>
          </w:p>
        </w:tc>
      </w:tr>
      <w:tr w14:paraId="48864B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951D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ABDC0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25F60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85B53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AFF44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3B3CC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96A6B5">
            <w:pPr>
              <w:autoSpaceDN w:val="0"/>
              <w:spacing w:line="300" w:lineRule="exact"/>
              <w:ind w:left="-53" w:leftChars="-25" w:right="-53" w:rightChars="-25"/>
              <w:jc w:val="center"/>
              <w:rPr>
                <w:rFonts w:ascii="仿宋" w:hAnsi="仿宋" w:eastAsia="仿宋" w:cs="仿宋"/>
                <w:color w:val="auto"/>
                <w:szCs w:val="21"/>
                <w:highlight w:val="none"/>
              </w:rPr>
            </w:pPr>
          </w:p>
        </w:tc>
      </w:tr>
      <w:tr w14:paraId="3EFFE9F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0ADD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D37D8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83AC1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6EA8F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5573F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4D6DF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817EC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18E908B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3A32B14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AC047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8038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167A5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60BC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3F1E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73F19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D0815A1">
            <w:pPr>
              <w:autoSpaceDN w:val="0"/>
              <w:spacing w:line="300" w:lineRule="exact"/>
              <w:ind w:left="-53" w:leftChars="-25" w:right="-53" w:rightChars="-25"/>
              <w:jc w:val="center"/>
              <w:rPr>
                <w:rFonts w:ascii="仿宋" w:hAnsi="仿宋" w:eastAsia="仿宋" w:cs="仿宋"/>
                <w:color w:val="auto"/>
                <w:szCs w:val="21"/>
                <w:highlight w:val="none"/>
              </w:rPr>
            </w:pPr>
          </w:p>
        </w:tc>
      </w:tr>
      <w:tr w14:paraId="497457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C7F14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80B7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17AFA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ABA696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6A055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5C60B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4F6C1C4">
            <w:pPr>
              <w:autoSpaceDN w:val="0"/>
              <w:spacing w:line="300" w:lineRule="exact"/>
              <w:ind w:left="-53" w:leftChars="-25" w:right="-53" w:rightChars="-25"/>
              <w:jc w:val="center"/>
              <w:rPr>
                <w:rFonts w:ascii="仿宋" w:hAnsi="仿宋" w:eastAsia="仿宋" w:cs="仿宋"/>
                <w:color w:val="auto"/>
                <w:szCs w:val="21"/>
                <w:highlight w:val="none"/>
              </w:rPr>
            </w:pPr>
          </w:p>
        </w:tc>
      </w:tr>
      <w:tr w14:paraId="5CB5BA8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3DF3D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C104F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E8E4A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298C1D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5159E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F1E17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A64163C">
            <w:pPr>
              <w:autoSpaceDN w:val="0"/>
              <w:spacing w:line="300" w:lineRule="exact"/>
              <w:ind w:left="-53" w:leftChars="-25" w:right="-53" w:rightChars="-25"/>
              <w:jc w:val="center"/>
              <w:rPr>
                <w:rFonts w:ascii="仿宋" w:hAnsi="仿宋" w:eastAsia="仿宋" w:cs="仿宋"/>
                <w:color w:val="auto"/>
                <w:szCs w:val="21"/>
                <w:highlight w:val="none"/>
              </w:rPr>
            </w:pPr>
          </w:p>
        </w:tc>
      </w:tr>
      <w:tr w14:paraId="37F894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C10E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DE47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41156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2BC23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5D4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809D4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1D7AB0">
            <w:pPr>
              <w:autoSpaceDN w:val="0"/>
              <w:spacing w:line="300" w:lineRule="exact"/>
              <w:ind w:left="-53" w:leftChars="-25" w:right="-53" w:rightChars="-25"/>
              <w:jc w:val="center"/>
              <w:rPr>
                <w:rFonts w:ascii="仿宋" w:hAnsi="仿宋" w:eastAsia="仿宋" w:cs="仿宋"/>
                <w:color w:val="auto"/>
                <w:szCs w:val="21"/>
                <w:highlight w:val="none"/>
              </w:rPr>
            </w:pPr>
          </w:p>
        </w:tc>
      </w:tr>
      <w:tr w14:paraId="43BCD5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678B30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F7A17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9EAF76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622F7A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82859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4C1B9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ACA7379">
            <w:pPr>
              <w:autoSpaceDN w:val="0"/>
              <w:spacing w:line="300" w:lineRule="exact"/>
              <w:ind w:left="-53" w:leftChars="-25" w:right="-53" w:rightChars="-25"/>
              <w:jc w:val="center"/>
              <w:rPr>
                <w:rFonts w:ascii="仿宋" w:hAnsi="仿宋" w:eastAsia="仿宋" w:cs="仿宋"/>
                <w:color w:val="auto"/>
                <w:szCs w:val="21"/>
                <w:highlight w:val="none"/>
              </w:rPr>
            </w:pPr>
          </w:p>
        </w:tc>
      </w:tr>
      <w:tr w14:paraId="3CA9DA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473E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2DE83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3344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901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EAB86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136C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8EADAF">
            <w:pPr>
              <w:autoSpaceDN w:val="0"/>
              <w:spacing w:line="300" w:lineRule="exact"/>
              <w:ind w:left="-53" w:leftChars="-25" w:right="-53" w:rightChars="-25"/>
              <w:jc w:val="center"/>
              <w:rPr>
                <w:rFonts w:ascii="仿宋" w:hAnsi="仿宋" w:eastAsia="仿宋" w:cs="仿宋"/>
                <w:color w:val="auto"/>
                <w:szCs w:val="21"/>
                <w:highlight w:val="none"/>
              </w:rPr>
            </w:pPr>
          </w:p>
        </w:tc>
      </w:tr>
      <w:tr w14:paraId="30EC97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1F2F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7C16E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86E7F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7ED9D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77A33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BD188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619DB8">
            <w:pPr>
              <w:autoSpaceDN w:val="0"/>
              <w:spacing w:line="300" w:lineRule="exact"/>
              <w:ind w:left="-53" w:leftChars="-25" w:right="-53" w:rightChars="-25"/>
              <w:jc w:val="center"/>
              <w:rPr>
                <w:rFonts w:ascii="仿宋" w:hAnsi="仿宋" w:eastAsia="仿宋" w:cs="仿宋"/>
                <w:color w:val="auto"/>
                <w:szCs w:val="21"/>
                <w:highlight w:val="none"/>
              </w:rPr>
            </w:pPr>
          </w:p>
        </w:tc>
      </w:tr>
      <w:tr w14:paraId="41C9C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6AB2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5637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A0AA6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B5EA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F28D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241B3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834EF3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65686A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43258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02E4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0177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15122F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B644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5D920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B7B35B">
            <w:pPr>
              <w:autoSpaceDN w:val="0"/>
              <w:spacing w:line="300" w:lineRule="exact"/>
              <w:ind w:left="-53" w:leftChars="-25" w:right="-53" w:rightChars="-25"/>
              <w:jc w:val="center"/>
              <w:rPr>
                <w:rFonts w:ascii="仿宋" w:hAnsi="仿宋" w:eastAsia="仿宋" w:cs="仿宋"/>
                <w:color w:val="auto"/>
                <w:szCs w:val="21"/>
                <w:highlight w:val="none"/>
              </w:rPr>
            </w:pPr>
          </w:p>
        </w:tc>
      </w:tr>
      <w:tr w14:paraId="265D9D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CEBBD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0A50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DBB32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190CD6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23EC1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5E15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42810D">
            <w:pPr>
              <w:autoSpaceDN w:val="0"/>
              <w:spacing w:line="300" w:lineRule="exact"/>
              <w:ind w:left="-53" w:leftChars="-25" w:right="-53" w:rightChars="-25"/>
              <w:jc w:val="center"/>
              <w:rPr>
                <w:rFonts w:ascii="仿宋" w:hAnsi="仿宋" w:eastAsia="仿宋" w:cs="仿宋"/>
                <w:color w:val="auto"/>
                <w:szCs w:val="21"/>
                <w:highlight w:val="none"/>
              </w:rPr>
            </w:pPr>
          </w:p>
        </w:tc>
      </w:tr>
      <w:tr w14:paraId="25F6F4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6760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E228D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46AA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D949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3B3C8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8ECE2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889633">
            <w:pPr>
              <w:autoSpaceDN w:val="0"/>
              <w:spacing w:line="300" w:lineRule="exact"/>
              <w:ind w:left="-53" w:leftChars="-25" w:right="-53" w:rightChars="-25"/>
              <w:jc w:val="center"/>
              <w:rPr>
                <w:rFonts w:ascii="仿宋" w:hAnsi="仿宋" w:eastAsia="仿宋" w:cs="仿宋"/>
                <w:color w:val="auto"/>
                <w:szCs w:val="21"/>
                <w:highlight w:val="none"/>
              </w:rPr>
            </w:pPr>
          </w:p>
        </w:tc>
      </w:tr>
      <w:tr w14:paraId="41B527F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FD622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AC2ED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8CD2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84C7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E59D6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D4BC4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047E8A7">
            <w:pPr>
              <w:autoSpaceDN w:val="0"/>
              <w:spacing w:line="300" w:lineRule="exact"/>
              <w:ind w:left="-53" w:leftChars="-25" w:right="-53" w:rightChars="-25"/>
              <w:jc w:val="center"/>
              <w:rPr>
                <w:rFonts w:ascii="仿宋" w:hAnsi="仿宋" w:eastAsia="仿宋" w:cs="仿宋"/>
                <w:color w:val="auto"/>
                <w:szCs w:val="21"/>
                <w:highlight w:val="none"/>
              </w:rPr>
            </w:pPr>
          </w:p>
        </w:tc>
      </w:tr>
      <w:tr w14:paraId="4A6F7D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CBB5C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0A6FB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A6C64B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B60CB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64F8E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ACC5B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2B33D0">
            <w:pPr>
              <w:autoSpaceDN w:val="0"/>
              <w:spacing w:line="300" w:lineRule="exact"/>
              <w:ind w:left="-53" w:leftChars="-25" w:right="-53" w:rightChars="-25"/>
              <w:jc w:val="center"/>
              <w:rPr>
                <w:rFonts w:ascii="仿宋" w:hAnsi="仿宋" w:eastAsia="仿宋" w:cs="仿宋"/>
                <w:color w:val="auto"/>
                <w:szCs w:val="21"/>
                <w:highlight w:val="none"/>
              </w:rPr>
            </w:pPr>
          </w:p>
        </w:tc>
      </w:tr>
      <w:tr w14:paraId="3B70DA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1FB77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CE730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C2088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17C08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41437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C54EC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36CAE8B">
            <w:pPr>
              <w:autoSpaceDN w:val="0"/>
              <w:spacing w:line="300" w:lineRule="exact"/>
              <w:ind w:left="-53" w:leftChars="-25" w:right="-53" w:rightChars="-25"/>
              <w:jc w:val="center"/>
              <w:rPr>
                <w:rFonts w:ascii="仿宋" w:hAnsi="仿宋" w:eastAsia="仿宋" w:cs="仿宋"/>
                <w:color w:val="auto"/>
                <w:szCs w:val="21"/>
                <w:highlight w:val="none"/>
              </w:rPr>
            </w:pPr>
          </w:p>
        </w:tc>
      </w:tr>
      <w:tr w14:paraId="0361FDD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37919F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E6B8D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94D869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E31261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8E6A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A6708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437FFED">
            <w:pPr>
              <w:autoSpaceDN w:val="0"/>
              <w:spacing w:line="300" w:lineRule="exact"/>
              <w:ind w:left="-53" w:leftChars="-25" w:right="-53" w:rightChars="-25"/>
              <w:jc w:val="center"/>
              <w:rPr>
                <w:rFonts w:ascii="仿宋" w:hAnsi="仿宋" w:eastAsia="仿宋" w:cs="仿宋"/>
                <w:color w:val="auto"/>
                <w:szCs w:val="21"/>
                <w:highlight w:val="none"/>
              </w:rPr>
            </w:pPr>
          </w:p>
        </w:tc>
      </w:tr>
      <w:tr w14:paraId="42A56D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54EE2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4183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69E7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7F524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865C2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8B191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E4E732E">
            <w:pPr>
              <w:autoSpaceDN w:val="0"/>
              <w:spacing w:line="300" w:lineRule="exact"/>
              <w:ind w:left="-53" w:leftChars="-25" w:right="-53" w:rightChars="-25"/>
              <w:jc w:val="center"/>
              <w:rPr>
                <w:rFonts w:ascii="仿宋" w:hAnsi="仿宋" w:eastAsia="仿宋" w:cs="仿宋"/>
                <w:color w:val="auto"/>
                <w:szCs w:val="21"/>
                <w:highlight w:val="none"/>
              </w:rPr>
            </w:pPr>
          </w:p>
        </w:tc>
      </w:tr>
      <w:tr w14:paraId="56CF2C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720C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65623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76AF1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2761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E14B3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0EB20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D18459">
            <w:pPr>
              <w:autoSpaceDN w:val="0"/>
              <w:spacing w:line="300" w:lineRule="exact"/>
              <w:ind w:left="-53" w:leftChars="-25" w:right="-53" w:rightChars="-25"/>
              <w:jc w:val="center"/>
              <w:rPr>
                <w:rFonts w:ascii="仿宋" w:hAnsi="仿宋" w:eastAsia="仿宋" w:cs="仿宋"/>
                <w:color w:val="auto"/>
                <w:szCs w:val="21"/>
                <w:highlight w:val="none"/>
              </w:rPr>
            </w:pPr>
          </w:p>
        </w:tc>
      </w:tr>
      <w:tr w14:paraId="401AA07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DF1D7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E79DA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B41E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F9940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AFD5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AD320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659BE5">
            <w:pPr>
              <w:autoSpaceDN w:val="0"/>
              <w:spacing w:line="300" w:lineRule="exact"/>
              <w:ind w:left="-53" w:leftChars="-25" w:right="-53" w:rightChars="-25"/>
              <w:jc w:val="center"/>
              <w:rPr>
                <w:rFonts w:ascii="仿宋" w:hAnsi="仿宋" w:eastAsia="仿宋" w:cs="仿宋"/>
                <w:color w:val="auto"/>
                <w:szCs w:val="21"/>
                <w:highlight w:val="none"/>
              </w:rPr>
            </w:pPr>
          </w:p>
        </w:tc>
      </w:tr>
      <w:tr w14:paraId="4C98C1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88AF43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5C877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68C95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5ABB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D8E16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4C824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E2E2D9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222D54F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B4D6A7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FA4C4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44CC2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FC584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71FA8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A5FF6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445993">
            <w:pPr>
              <w:autoSpaceDN w:val="0"/>
              <w:spacing w:line="300" w:lineRule="exact"/>
              <w:ind w:left="-53" w:leftChars="-25" w:right="-53" w:rightChars="-25"/>
              <w:jc w:val="center"/>
              <w:rPr>
                <w:rFonts w:ascii="仿宋" w:hAnsi="仿宋" w:eastAsia="仿宋" w:cs="仿宋"/>
                <w:color w:val="auto"/>
                <w:szCs w:val="21"/>
                <w:highlight w:val="none"/>
              </w:rPr>
            </w:pPr>
          </w:p>
        </w:tc>
      </w:tr>
      <w:tr w14:paraId="74943A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21452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780B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C22DF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69769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7DC0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C173A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F7DB4F6">
            <w:pPr>
              <w:autoSpaceDN w:val="0"/>
              <w:spacing w:line="300" w:lineRule="exact"/>
              <w:ind w:left="-53" w:leftChars="-25" w:right="-53" w:rightChars="-25"/>
              <w:jc w:val="center"/>
              <w:rPr>
                <w:rFonts w:ascii="仿宋" w:hAnsi="仿宋" w:eastAsia="仿宋" w:cs="仿宋"/>
                <w:color w:val="auto"/>
                <w:szCs w:val="21"/>
                <w:highlight w:val="none"/>
              </w:rPr>
            </w:pPr>
          </w:p>
        </w:tc>
      </w:tr>
      <w:tr w14:paraId="542B36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BDB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744C4B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43B80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9C1E2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21BFF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CD6A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D24D7">
            <w:pPr>
              <w:autoSpaceDN w:val="0"/>
              <w:spacing w:line="300" w:lineRule="exact"/>
              <w:ind w:left="-53" w:leftChars="-25" w:right="-53" w:rightChars="-25"/>
              <w:jc w:val="center"/>
              <w:rPr>
                <w:rFonts w:ascii="仿宋" w:hAnsi="仿宋" w:eastAsia="仿宋" w:cs="仿宋"/>
                <w:color w:val="auto"/>
                <w:szCs w:val="21"/>
                <w:highlight w:val="none"/>
              </w:rPr>
            </w:pPr>
          </w:p>
        </w:tc>
      </w:tr>
      <w:tr w14:paraId="7F3EB9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D3EA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CCE1B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FB5FD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0980CA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2A24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D3C1C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BD53A5">
            <w:pPr>
              <w:autoSpaceDN w:val="0"/>
              <w:spacing w:line="300" w:lineRule="exact"/>
              <w:ind w:left="-53" w:leftChars="-25" w:right="-53" w:rightChars="-25"/>
              <w:jc w:val="center"/>
              <w:rPr>
                <w:rFonts w:ascii="仿宋" w:hAnsi="仿宋" w:eastAsia="仿宋" w:cs="仿宋"/>
                <w:color w:val="auto"/>
                <w:szCs w:val="21"/>
                <w:highlight w:val="none"/>
              </w:rPr>
            </w:pPr>
          </w:p>
        </w:tc>
      </w:tr>
      <w:tr w14:paraId="4B4861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6AFE0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9F7B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4DEEB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CCBE1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A4AAA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33BB0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9A1C9B">
            <w:pPr>
              <w:autoSpaceDN w:val="0"/>
              <w:spacing w:line="300" w:lineRule="exact"/>
              <w:ind w:left="-53" w:leftChars="-25" w:right="-53" w:rightChars="-25"/>
              <w:jc w:val="center"/>
              <w:rPr>
                <w:rFonts w:ascii="仿宋" w:hAnsi="仿宋" w:eastAsia="仿宋" w:cs="仿宋"/>
                <w:color w:val="auto"/>
                <w:szCs w:val="21"/>
                <w:highlight w:val="none"/>
              </w:rPr>
            </w:pPr>
          </w:p>
        </w:tc>
      </w:tr>
      <w:tr w14:paraId="1BD909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C56A7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A91627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67C55C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F2F97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5881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7D301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AA0D9C">
            <w:pPr>
              <w:autoSpaceDN w:val="0"/>
              <w:spacing w:line="300" w:lineRule="exact"/>
              <w:ind w:left="-53" w:leftChars="-25" w:right="-53" w:rightChars="-25"/>
              <w:jc w:val="center"/>
              <w:rPr>
                <w:rFonts w:ascii="仿宋" w:hAnsi="仿宋" w:eastAsia="仿宋" w:cs="仿宋"/>
                <w:color w:val="auto"/>
                <w:szCs w:val="21"/>
                <w:highlight w:val="none"/>
              </w:rPr>
            </w:pPr>
          </w:p>
        </w:tc>
      </w:tr>
      <w:tr w14:paraId="1CC203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4174E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2E002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C7DFE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BE5B3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11F52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F78CD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E24D72">
            <w:pPr>
              <w:autoSpaceDN w:val="0"/>
              <w:spacing w:line="300" w:lineRule="exact"/>
              <w:ind w:left="-53" w:leftChars="-25" w:right="-53" w:rightChars="-25"/>
              <w:jc w:val="center"/>
              <w:rPr>
                <w:rFonts w:ascii="仿宋" w:hAnsi="仿宋" w:eastAsia="仿宋" w:cs="仿宋"/>
                <w:color w:val="auto"/>
                <w:szCs w:val="21"/>
                <w:highlight w:val="none"/>
              </w:rPr>
            </w:pPr>
          </w:p>
        </w:tc>
      </w:tr>
      <w:tr w14:paraId="7A0711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A1108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A6FDF0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CAE6E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308247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6B1A0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D27EF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B5DD6D3">
            <w:pPr>
              <w:autoSpaceDN w:val="0"/>
              <w:spacing w:line="300" w:lineRule="exact"/>
              <w:ind w:left="-53" w:leftChars="-25" w:right="-53" w:rightChars="-25"/>
              <w:jc w:val="center"/>
              <w:rPr>
                <w:rFonts w:ascii="仿宋" w:hAnsi="仿宋" w:eastAsia="仿宋" w:cs="仿宋"/>
                <w:color w:val="auto"/>
                <w:szCs w:val="21"/>
                <w:highlight w:val="none"/>
              </w:rPr>
            </w:pPr>
          </w:p>
        </w:tc>
      </w:tr>
      <w:tr w14:paraId="2FA6F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0919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4E32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E8174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D2EA4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72383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E3D6C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32B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078FB88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0225CE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84042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9FCBDF">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5CE7F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53C43F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08A5B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CA138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5B144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4388DC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709F4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E9B544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FC8DA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2BDB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C520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75D9E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23482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64CC9D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8BE1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68A8B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B1DEC4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DE0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A786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EA3EA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71AB7D">
            <w:pPr>
              <w:autoSpaceDN w:val="0"/>
              <w:spacing w:line="300" w:lineRule="exact"/>
              <w:ind w:left="-53" w:leftChars="-25" w:right="-53" w:rightChars="-25"/>
              <w:jc w:val="center"/>
              <w:rPr>
                <w:rFonts w:ascii="仿宋" w:hAnsi="仿宋" w:eastAsia="仿宋" w:cs="仿宋"/>
                <w:color w:val="auto"/>
                <w:szCs w:val="21"/>
                <w:highlight w:val="none"/>
              </w:rPr>
            </w:pPr>
          </w:p>
        </w:tc>
      </w:tr>
      <w:tr w14:paraId="2C4248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CA9F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304E9E40">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319BD1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77EBE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A1E0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3CB0B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533C6E">
            <w:pPr>
              <w:autoSpaceDN w:val="0"/>
              <w:spacing w:line="300" w:lineRule="exact"/>
              <w:ind w:left="-53" w:leftChars="-25" w:right="-53" w:rightChars="-25"/>
              <w:jc w:val="center"/>
              <w:rPr>
                <w:rFonts w:ascii="仿宋" w:hAnsi="仿宋" w:eastAsia="仿宋" w:cs="仿宋"/>
                <w:color w:val="auto"/>
                <w:szCs w:val="21"/>
                <w:highlight w:val="none"/>
              </w:rPr>
            </w:pPr>
          </w:p>
        </w:tc>
      </w:tr>
      <w:tr w14:paraId="6B2E723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5EE43F9">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0B266D9">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77205F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0D2A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68A8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CC787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373665">
            <w:pPr>
              <w:autoSpaceDN w:val="0"/>
              <w:spacing w:line="300" w:lineRule="exact"/>
              <w:ind w:left="-53" w:leftChars="-25" w:right="-53" w:rightChars="-25"/>
              <w:jc w:val="center"/>
              <w:rPr>
                <w:rFonts w:ascii="仿宋" w:hAnsi="仿宋" w:eastAsia="仿宋" w:cs="仿宋"/>
                <w:color w:val="auto"/>
                <w:szCs w:val="21"/>
                <w:highlight w:val="none"/>
              </w:rPr>
            </w:pPr>
          </w:p>
        </w:tc>
      </w:tr>
      <w:tr w14:paraId="488B7314">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FE0AAA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FFC07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687F33F">
            <w:pPr>
              <w:autoSpaceDN w:val="0"/>
              <w:spacing w:line="300" w:lineRule="exact"/>
              <w:ind w:left="-53" w:leftChars="-25" w:right="-53" w:rightChars="-25"/>
              <w:jc w:val="center"/>
              <w:rPr>
                <w:rFonts w:ascii="仿宋" w:hAnsi="仿宋" w:eastAsia="仿宋" w:cs="仿宋"/>
                <w:color w:val="auto"/>
                <w:szCs w:val="21"/>
                <w:highlight w:val="none"/>
              </w:rPr>
            </w:pPr>
          </w:p>
        </w:tc>
      </w:tr>
    </w:tbl>
    <w:p w14:paraId="28CAB323">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14:paraId="03471CA3">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14:paraId="5A22414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6F3007A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1A07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0A1A879">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74C8DC8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58C13E8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0889657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999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3CB7A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502DF64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0E4E84F9">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550033E">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14:paraId="7D1D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83201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1A72F9C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7E454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1D87C8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14:paraId="5AF2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42787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2B7EA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49A952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9591E7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14:paraId="3F9B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FD33B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059866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2AD8DE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1729F4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52BC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D00502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500F171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6DF5DF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C87D9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309B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66187A7">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569DE344">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02247A21">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C6DEFF9">
            <w:pPr>
              <w:autoSpaceDN w:val="0"/>
              <w:rPr>
                <w:rFonts w:ascii="仿宋" w:hAnsi="仿宋" w:eastAsia="仿宋" w:cs="仿宋"/>
                <w:color w:val="auto"/>
                <w:sz w:val="24"/>
                <w:szCs w:val="24"/>
                <w:highlight w:val="none"/>
              </w:rPr>
            </w:pPr>
          </w:p>
        </w:tc>
      </w:tr>
      <w:tr w14:paraId="3F3B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9266E3E">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02602CF3">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3EA91362">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7597DC7">
            <w:pPr>
              <w:autoSpaceDN w:val="0"/>
              <w:rPr>
                <w:rFonts w:ascii="仿宋" w:hAnsi="仿宋" w:eastAsia="仿宋" w:cs="仿宋"/>
                <w:color w:val="auto"/>
                <w:sz w:val="24"/>
                <w:szCs w:val="24"/>
                <w:highlight w:val="none"/>
              </w:rPr>
            </w:pPr>
          </w:p>
        </w:tc>
      </w:tr>
    </w:tbl>
    <w:p w14:paraId="5CC85B81">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14:paraId="0D6B563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69D6E9C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3F6AD1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74D3257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6350826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22A8346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29EE9AE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41BA2B3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1E18FB3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794906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002C7F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05BCE6D5">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3AF0260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29F018D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7AF583E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7D17382">
            <w:pPr>
              <w:tabs>
                <w:tab w:val="left" w:pos="3780"/>
              </w:tabs>
              <w:autoSpaceDN w:val="0"/>
              <w:jc w:val="center"/>
              <w:rPr>
                <w:rFonts w:ascii="仿宋" w:hAnsi="仿宋" w:eastAsia="仿宋" w:cs="仿宋"/>
                <w:color w:val="auto"/>
                <w:sz w:val="24"/>
                <w:szCs w:val="24"/>
                <w:highlight w:val="none"/>
              </w:rPr>
            </w:pPr>
          </w:p>
        </w:tc>
      </w:tr>
      <w:tr w14:paraId="70B297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17F2F9D">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07525B4D">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7D85547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F06471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EE2F8B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546CE5A4">
            <w:pPr>
              <w:tabs>
                <w:tab w:val="left" w:pos="3780"/>
              </w:tabs>
              <w:autoSpaceDN w:val="0"/>
              <w:jc w:val="center"/>
              <w:rPr>
                <w:rFonts w:ascii="仿宋" w:hAnsi="仿宋" w:eastAsia="仿宋" w:cs="仿宋"/>
                <w:color w:val="auto"/>
                <w:sz w:val="24"/>
                <w:szCs w:val="24"/>
                <w:highlight w:val="none"/>
              </w:rPr>
            </w:pPr>
          </w:p>
        </w:tc>
      </w:tr>
      <w:tr w14:paraId="5CA550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E7A2BC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FEEF178">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CB289E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861E9FE">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5A8526">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EB2CE68">
            <w:pPr>
              <w:tabs>
                <w:tab w:val="left" w:pos="3780"/>
              </w:tabs>
              <w:autoSpaceDN w:val="0"/>
              <w:jc w:val="center"/>
              <w:rPr>
                <w:rFonts w:ascii="仿宋" w:hAnsi="仿宋" w:eastAsia="仿宋" w:cs="仿宋"/>
                <w:color w:val="auto"/>
                <w:sz w:val="24"/>
                <w:szCs w:val="24"/>
                <w:highlight w:val="none"/>
              </w:rPr>
            </w:pPr>
          </w:p>
        </w:tc>
      </w:tr>
      <w:tr w14:paraId="121D32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D02043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6167EC4C">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AE0FC4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3BBD89">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E3070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2A90DA8E">
            <w:pPr>
              <w:tabs>
                <w:tab w:val="left" w:pos="3780"/>
              </w:tabs>
              <w:autoSpaceDN w:val="0"/>
              <w:jc w:val="center"/>
              <w:rPr>
                <w:rFonts w:ascii="仿宋" w:hAnsi="仿宋" w:eastAsia="仿宋" w:cs="仿宋"/>
                <w:color w:val="auto"/>
                <w:sz w:val="24"/>
                <w:szCs w:val="24"/>
                <w:highlight w:val="none"/>
              </w:rPr>
            </w:pPr>
          </w:p>
        </w:tc>
      </w:tr>
      <w:tr w14:paraId="5432CB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052B46E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684C5A58">
            <w:pPr>
              <w:tabs>
                <w:tab w:val="left" w:pos="3780"/>
              </w:tabs>
              <w:autoSpaceDN w:val="0"/>
              <w:jc w:val="center"/>
              <w:rPr>
                <w:rFonts w:ascii="仿宋" w:hAnsi="仿宋" w:eastAsia="仿宋" w:cs="仿宋"/>
                <w:color w:val="auto"/>
                <w:sz w:val="24"/>
                <w:szCs w:val="24"/>
                <w:highlight w:val="none"/>
              </w:rPr>
            </w:pPr>
          </w:p>
        </w:tc>
      </w:tr>
      <w:tr w14:paraId="02B8B0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BC5CA1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2DE5C3E5">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6298FA3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1C4CC0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5D4088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0257F0AC">
            <w:pPr>
              <w:tabs>
                <w:tab w:val="left" w:pos="3780"/>
              </w:tabs>
              <w:autoSpaceDN w:val="0"/>
              <w:jc w:val="center"/>
              <w:rPr>
                <w:rFonts w:ascii="仿宋" w:hAnsi="仿宋" w:eastAsia="仿宋" w:cs="仿宋"/>
                <w:color w:val="auto"/>
                <w:sz w:val="24"/>
                <w:szCs w:val="24"/>
                <w:highlight w:val="none"/>
              </w:rPr>
            </w:pPr>
          </w:p>
        </w:tc>
      </w:tr>
      <w:tr w14:paraId="70A5A5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265882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0C24C1F7">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7931DA5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8931D4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ED7B4C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043E99F9">
            <w:pPr>
              <w:tabs>
                <w:tab w:val="left" w:pos="3780"/>
              </w:tabs>
              <w:autoSpaceDN w:val="0"/>
              <w:jc w:val="center"/>
              <w:rPr>
                <w:rFonts w:ascii="仿宋" w:hAnsi="仿宋" w:eastAsia="仿宋" w:cs="仿宋"/>
                <w:color w:val="auto"/>
                <w:sz w:val="24"/>
                <w:szCs w:val="24"/>
                <w:highlight w:val="none"/>
              </w:rPr>
            </w:pPr>
          </w:p>
        </w:tc>
      </w:tr>
      <w:tr w14:paraId="74DF02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DDD03F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42EF0C80">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7BF73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6C0B506">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9ED87F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86C276">
            <w:pPr>
              <w:tabs>
                <w:tab w:val="left" w:pos="3780"/>
              </w:tabs>
              <w:autoSpaceDN w:val="0"/>
              <w:jc w:val="center"/>
              <w:rPr>
                <w:rFonts w:ascii="仿宋" w:hAnsi="仿宋" w:eastAsia="仿宋" w:cs="仿宋"/>
                <w:color w:val="auto"/>
                <w:sz w:val="24"/>
                <w:szCs w:val="24"/>
                <w:highlight w:val="none"/>
              </w:rPr>
            </w:pPr>
          </w:p>
        </w:tc>
      </w:tr>
      <w:tr w14:paraId="0C8B40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A74CB8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DB1E42B">
            <w:pPr>
              <w:tabs>
                <w:tab w:val="left" w:pos="3780"/>
              </w:tabs>
              <w:autoSpaceDN w:val="0"/>
              <w:jc w:val="center"/>
              <w:rPr>
                <w:rFonts w:ascii="仿宋" w:hAnsi="仿宋" w:eastAsia="仿宋" w:cs="仿宋"/>
                <w:color w:val="auto"/>
                <w:sz w:val="24"/>
                <w:szCs w:val="24"/>
                <w:highlight w:val="none"/>
              </w:rPr>
            </w:pPr>
          </w:p>
        </w:tc>
      </w:tr>
      <w:tr w14:paraId="6B4EC2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541E9FD">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5CBA6FD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7762732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6E7D73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7390A9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258FF81">
            <w:pPr>
              <w:tabs>
                <w:tab w:val="left" w:pos="3780"/>
              </w:tabs>
              <w:autoSpaceDN w:val="0"/>
              <w:jc w:val="center"/>
              <w:rPr>
                <w:rFonts w:ascii="仿宋" w:hAnsi="仿宋" w:eastAsia="仿宋" w:cs="仿宋"/>
                <w:color w:val="auto"/>
                <w:sz w:val="24"/>
                <w:szCs w:val="24"/>
                <w:highlight w:val="none"/>
              </w:rPr>
            </w:pPr>
          </w:p>
        </w:tc>
      </w:tr>
      <w:tr w14:paraId="2096CE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79691A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65F30D9">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CE1EBF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2265BB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9A48E9">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DEBF806">
            <w:pPr>
              <w:tabs>
                <w:tab w:val="left" w:pos="3780"/>
              </w:tabs>
              <w:autoSpaceDN w:val="0"/>
              <w:jc w:val="center"/>
              <w:rPr>
                <w:rFonts w:ascii="仿宋" w:hAnsi="仿宋" w:eastAsia="仿宋" w:cs="仿宋"/>
                <w:color w:val="auto"/>
                <w:sz w:val="24"/>
                <w:szCs w:val="24"/>
                <w:highlight w:val="none"/>
              </w:rPr>
            </w:pPr>
          </w:p>
        </w:tc>
      </w:tr>
      <w:tr w14:paraId="51F15B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4887965">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12A5F940">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457D2C3">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83D336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EE9782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DB2DDBB">
            <w:pPr>
              <w:tabs>
                <w:tab w:val="left" w:pos="3780"/>
              </w:tabs>
              <w:autoSpaceDN w:val="0"/>
              <w:jc w:val="center"/>
              <w:rPr>
                <w:rFonts w:ascii="仿宋" w:hAnsi="仿宋" w:eastAsia="仿宋" w:cs="仿宋"/>
                <w:color w:val="auto"/>
                <w:sz w:val="24"/>
                <w:szCs w:val="24"/>
                <w:highlight w:val="none"/>
              </w:rPr>
            </w:pPr>
          </w:p>
        </w:tc>
      </w:tr>
      <w:tr w14:paraId="58214A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3476E8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56676883">
            <w:pPr>
              <w:tabs>
                <w:tab w:val="left" w:pos="3780"/>
              </w:tabs>
              <w:autoSpaceDN w:val="0"/>
              <w:jc w:val="center"/>
              <w:rPr>
                <w:rFonts w:ascii="仿宋" w:hAnsi="仿宋" w:eastAsia="仿宋" w:cs="仿宋"/>
                <w:color w:val="auto"/>
                <w:sz w:val="24"/>
                <w:szCs w:val="24"/>
                <w:highlight w:val="none"/>
              </w:rPr>
            </w:pPr>
          </w:p>
        </w:tc>
      </w:tr>
      <w:tr w14:paraId="69670E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021994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74011A9E">
            <w:pPr>
              <w:tabs>
                <w:tab w:val="left" w:pos="3780"/>
              </w:tabs>
              <w:autoSpaceDN w:val="0"/>
              <w:jc w:val="center"/>
              <w:rPr>
                <w:rFonts w:ascii="仿宋" w:hAnsi="仿宋" w:eastAsia="仿宋" w:cs="仿宋"/>
                <w:color w:val="auto"/>
                <w:sz w:val="24"/>
                <w:szCs w:val="24"/>
                <w:highlight w:val="none"/>
              </w:rPr>
            </w:pPr>
          </w:p>
        </w:tc>
      </w:tr>
    </w:tbl>
    <w:p w14:paraId="31A7A5F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14:paraId="0797299C">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14:paraId="4D240B9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87759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7ADD18A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0F07FAD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402DDB4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3A42D55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31003A1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70C033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77556E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5C39A9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2C0DA93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23212BC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4A9821E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49590A0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7E3C04E">
            <w:pPr>
              <w:autoSpaceDN w:val="0"/>
              <w:rPr>
                <w:rFonts w:ascii="仿宋" w:hAnsi="仿宋" w:eastAsia="仿宋" w:cs="仿宋"/>
                <w:color w:val="auto"/>
                <w:sz w:val="24"/>
                <w:szCs w:val="24"/>
                <w:highlight w:val="none"/>
              </w:rPr>
            </w:pPr>
          </w:p>
        </w:tc>
      </w:tr>
      <w:tr w14:paraId="30CF25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8BF2B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4AEB919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4A3CA39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35CED5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09E464">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98BBC99">
            <w:pPr>
              <w:autoSpaceDN w:val="0"/>
              <w:rPr>
                <w:rFonts w:ascii="仿宋" w:hAnsi="仿宋" w:eastAsia="仿宋" w:cs="仿宋"/>
                <w:color w:val="auto"/>
                <w:sz w:val="24"/>
                <w:szCs w:val="24"/>
                <w:highlight w:val="none"/>
              </w:rPr>
            </w:pPr>
          </w:p>
        </w:tc>
      </w:tr>
      <w:tr w14:paraId="38BC90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5E0889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61E5A23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418CCDC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1BF35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F677F59">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08D532C">
            <w:pPr>
              <w:autoSpaceDN w:val="0"/>
              <w:rPr>
                <w:rFonts w:ascii="仿宋" w:hAnsi="仿宋" w:eastAsia="仿宋" w:cs="仿宋"/>
                <w:color w:val="auto"/>
                <w:sz w:val="24"/>
                <w:szCs w:val="24"/>
                <w:highlight w:val="none"/>
              </w:rPr>
            </w:pPr>
          </w:p>
        </w:tc>
      </w:tr>
      <w:tr w14:paraId="736533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506566C">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F2E3B75">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BABE99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D2E44BD">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30FE78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4329405">
            <w:pPr>
              <w:autoSpaceDN w:val="0"/>
              <w:rPr>
                <w:rFonts w:ascii="仿宋" w:hAnsi="仿宋" w:eastAsia="仿宋" w:cs="仿宋"/>
                <w:color w:val="auto"/>
                <w:sz w:val="24"/>
                <w:szCs w:val="24"/>
                <w:highlight w:val="none"/>
              </w:rPr>
            </w:pPr>
          </w:p>
        </w:tc>
      </w:tr>
      <w:tr w14:paraId="2CA8BA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C66282B">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61FA441">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6ED3904">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B11B6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6752D29">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8526992">
            <w:pPr>
              <w:autoSpaceDN w:val="0"/>
              <w:rPr>
                <w:rFonts w:ascii="仿宋" w:hAnsi="仿宋" w:eastAsia="仿宋" w:cs="仿宋"/>
                <w:color w:val="auto"/>
                <w:sz w:val="24"/>
                <w:szCs w:val="24"/>
                <w:highlight w:val="none"/>
              </w:rPr>
            </w:pPr>
          </w:p>
        </w:tc>
      </w:tr>
      <w:tr w14:paraId="1E9435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FFBAD76">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53A6288">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BE2CD0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6DF71C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51CFE5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4572788">
            <w:pPr>
              <w:autoSpaceDN w:val="0"/>
              <w:rPr>
                <w:rFonts w:ascii="仿宋" w:hAnsi="仿宋" w:eastAsia="仿宋" w:cs="仿宋"/>
                <w:color w:val="auto"/>
                <w:sz w:val="24"/>
                <w:szCs w:val="24"/>
                <w:highlight w:val="none"/>
              </w:rPr>
            </w:pPr>
          </w:p>
        </w:tc>
      </w:tr>
      <w:tr w14:paraId="4EF591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6D6E49F">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D0D7A68">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1DCF0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79C4B6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206BFE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7FC23C8">
            <w:pPr>
              <w:autoSpaceDN w:val="0"/>
              <w:rPr>
                <w:rFonts w:ascii="仿宋" w:hAnsi="仿宋" w:eastAsia="仿宋" w:cs="仿宋"/>
                <w:color w:val="auto"/>
                <w:sz w:val="24"/>
                <w:szCs w:val="24"/>
                <w:highlight w:val="none"/>
              </w:rPr>
            </w:pPr>
          </w:p>
        </w:tc>
      </w:tr>
      <w:tr w14:paraId="51EDF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DED7032">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F6023B">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0C089F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57AB914">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01B0C0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8A8771A">
            <w:pPr>
              <w:autoSpaceDN w:val="0"/>
              <w:rPr>
                <w:rFonts w:ascii="仿宋" w:hAnsi="仿宋" w:eastAsia="仿宋" w:cs="仿宋"/>
                <w:color w:val="auto"/>
                <w:sz w:val="24"/>
                <w:szCs w:val="24"/>
                <w:highlight w:val="none"/>
              </w:rPr>
            </w:pPr>
          </w:p>
        </w:tc>
      </w:tr>
      <w:tr w14:paraId="58323C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A79431">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4ECF532">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187270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8F1034D">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118469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B58C960">
            <w:pPr>
              <w:autoSpaceDN w:val="0"/>
              <w:rPr>
                <w:rFonts w:ascii="仿宋" w:hAnsi="仿宋" w:eastAsia="仿宋" w:cs="仿宋"/>
                <w:color w:val="auto"/>
                <w:sz w:val="24"/>
                <w:szCs w:val="24"/>
                <w:highlight w:val="none"/>
              </w:rPr>
            </w:pPr>
          </w:p>
        </w:tc>
      </w:tr>
      <w:tr w14:paraId="717E15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A43C456">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4CFE252">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62A3DC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90DAE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92AA11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371D826">
            <w:pPr>
              <w:autoSpaceDN w:val="0"/>
              <w:rPr>
                <w:rFonts w:ascii="仿宋" w:hAnsi="仿宋" w:eastAsia="仿宋" w:cs="仿宋"/>
                <w:color w:val="auto"/>
                <w:sz w:val="24"/>
                <w:szCs w:val="24"/>
                <w:highlight w:val="none"/>
              </w:rPr>
            </w:pPr>
          </w:p>
        </w:tc>
      </w:tr>
      <w:tr w14:paraId="15961E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CF984B0">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B641101">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8ED2EA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22931B">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724A9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EA5B177">
            <w:pPr>
              <w:autoSpaceDN w:val="0"/>
              <w:rPr>
                <w:rFonts w:ascii="仿宋" w:hAnsi="仿宋" w:eastAsia="仿宋" w:cs="仿宋"/>
                <w:color w:val="auto"/>
                <w:sz w:val="24"/>
                <w:szCs w:val="24"/>
                <w:highlight w:val="none"/>
              </w:rPr>
            </w:pPr>
          </w:p>
        </w:tc>
      </w:tr>
      <w:tr w14:paraId="06F36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B12D53D">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C8B5F26">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9CE1469">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1F1F7A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AB6B70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E978C70">
            <w:pPr>
              <w:autoSpaceDN w:val="0"/>
              <w:rPr>
                <w:rFonts w:ascii="仿宋" w:hAnsi="仿宋" w:eastAsia="仿宋" w:cs="仿宋"/>
                <w:color w:val="auto"/>
                <w:sz w:val="24"/>
                <w:szCs w:val="24"/>
                <w:highlight w:val="none"/>
              </w:rPr>
            </w:pPr>
          </w:p>
        </w:tc>
      </w:tr>
      <w:tr w14:paraId="71934F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43C8CF8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09CF5241">
            <w:pPr>
              <w:autoSpaceDN w:val="0"/>
              <w:rPr>
                <w:rFonts w:ascii="仿宋" w:hAnsi="仿宋" w:eastAsia="仿宋" w:cs="仿宋"/>
                <w:color w:val="auto"/>
                <w:sz w:val="24"/>
                <w:szCs w:val="24"/>
                <w:highlight w:val="none"/>
              </w:rPr>
            </w:pPr>
          </w:p>
        </w:tc>
      </w:tr>
    </w:tbl>
    <w:p w14:paraId="3B4B50A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14:paraId="5360F3D9">
      <w:pPr>
        <w:autoSpaceDN w:val="0"/>
        <w:rPr>
          <w:rFonts w:ascii="仿宋" w:hAnsi="仿宋" w:eastAsia="仿宋" w:cs="Times New Roman"/>
          <w:color w:val="auto"/>
          <w:sz w:val="22"/>
          <w:highlight w:val="none"/>
        </w:rPr>
      </w:pPr>
    </w:p>
    <w:p w14:paraId="4977B0F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14:paraId="0FCD95A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751F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5CF2126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4DB9269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309CCD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3A041C1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4AB74D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1F75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1AAA11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69F1F59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267C20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618C53E6">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F7B7CF7">
            <w:pPr>
              <w:autoSpaceDN w:val="0"/>
              <w:rPr>
                <w:rFonts w:ascii="仿宋" w:hAnsi="仿宋" w:eastAsia="仿宋" w:cs="仿宋"/>
                <w:color w:val="auto"/>
                <w:sz w:val="24"/>
                <w:szCs w:val="24"/>
                <w:highlight w:val="none"/>
              </w:rPr>
            </w:pPr>
          </w:p>
        </w:tc>
      </w:tr>
      <w:tr w14:paraId="2556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0C3D58CE">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884966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0189BBEB">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BFACE16">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FC0DFCE">
            <w:pPr>
              <w:autoSpaceDN w:val="0"/>
              <w:rPr>
                <w:rFonts w:ascii="仿宋" w:hAnsi="仿宋" w:eastAsia="仿宋" w:cs="仿宋"/>
                <w:color w:val="auto"/>
                <w:sz w:val="24"/>
                <w:szCs w:val="24"/>
                <w:highlight w:val="none"/>
              </w:rPr>
            </w:pPr>
          </w:p>
        </w:tc>
      </w:tr>
      <w:tr w14:paraId="207F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20C113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3FC5113">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31BF42A9">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16D1182">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0455FFA">
            <w:pPr>
              <w:autoSpaceDN w:val="0"/>
              <w:rPr>
                <w:rFonts w:ascii="仿宋" w:hAnsi="仿宋" w:eastAsia="仿宋" w:cs="仿宋"/>
                <w:color w:val="auto"/>
                <w:sz w:val="24"/>
                <w:szCs w:val="24"/>
                <w:highlight w:val="none"/>
              </w:rPr>
            </w:pPr>
          </w:p>
        </w:tc>
      </w:tr>
      <w:tr w14:paraId="4B6A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DF704F8">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88681AC">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0B298CB0">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406F050">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93E05A1">
            <w:pPr>
              <w:autoSpaceDN w:val="0"/>
              <w:rPr>
                <w:rFonts w:ascii="仿宋" w:hAnsi="仿宋" w:eastAsia="仿宋" w:cs="仿宋"/>
                <w:color w:val="auto"/>
                <w:sz w:val="24"/>
                <w:szCs w:val="24"/>
                <w:highlight w:val="none"/>
              </w:rPr>
            </w:pPr>
          </w:p>
        </w:tc>
      </w:tr>
      <w:tr w14:paraId="569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94C7B1A">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61B82AA">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8709504">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22118B7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61FA22E">
            <w:pPr>
              <w:autoSpaceDN w:val="0"/>
              <w:rPr>
                <w:rFonts w:ascii="仿宋" w:hAnsi="仿宋" w:eastAsia="仿宋" w:cs="仿宋"/>
                <w:color w:val="auto"/>
                <w:sz w:val="24"/>
                <w:szCs w:val="24"/>
                <w:highlight w:val="none"/>
              </w:rPr>
            </w:pPr>
          </w:p>
        </w:tc>
      </w:tr>
      <w:tr w14:paraId="1BC5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503C12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C154763">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7607B8E">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B70C137">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FB13187">
            <w:pPr>
              <w:autoSpaceDN w:val="0"/>
              <w:rPr>
                <w:rFonts w:ascii="仿宋" w:hAnsi="仿宋" w:eastAsia="仿宋" w:cs="仿宋"/>
                <w:color w:val="auto"/>
                <w:sz w:val="24"/>
                <w:szCs w:val="24"/>
                <w:highlight w:val="none"/>
              </w:rPr>
            </w:pPr>
          </w:p>
        </w:tc>
      </w:tr>
      <w:tr w14:paraId="7714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0A89DC92">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5DF8AC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BDBE7E8">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E5C9389">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094C9F5">
            <w:pPr>
              <w:autoSpaceDN w:val="0"/>
              <w:rPr>
                <w:rFonts w:ascii="仿宋" w:hAnsi="仿宋" w:eastAsia="仿宋" w:cs="仿宋"/>
                <w:color w:val="auto"/>
                <w:sz w:val="24"/>
                <w:szCs w:val="24"/>
                <w:highlight w:val="none"/>
              </w:rPr>
            </w:pPr>
          </w:p>
        </w:tc>
      </w:tr>
      <w:tr w14:paraId="7B14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C18AD6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9C0AA6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3F54DEA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35EE3B81">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F6D9C5B">
            <w:pPr>
              <w:autoSpaceDN w:val="0"/>
              <w:rPr>
                <w:rFonts w:ascii="仿宋" w:hAnsi="仿宋" w:eastAsia="仿宋" w:cs="仿宋"/>
                <w:color w:val="auto"/>
                <w:sz w:val="24"/>
                <w:szCs w:val="24"/>
                <w:highlight w:val="none"/>
              </w:rPr>
            </w:pPr>
          </w:p>
        </w:tc>
      </w:tr>
      <w:tr w14:paraId="3BAC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CABD12B">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6844C8A">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C7935E1">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114DA5E">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80A3BFC">
            <w:pPr>
              <w:autoSpaceDN w:val="0"/>
              <w:rPr>
                <w:rFonts w:ascii="仿宋" w:hAnsi="仿宋" w:eastAsia="仿宋" w:cs="仿宋"/>
                <w:color w:val="auto"/>
                <w:sz w:val="24"/>
                <w:szCs w:val="24"/>
                <w:highlight w:val="none"/>
              </w:rPr>
            </w:pPr>
          </w:p>
        </w:tc>
      </w:tr>
      <w:tr w14:paraId="4BAE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7158DA7">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E823C5">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4B1302F">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C92390A">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40A316CA">
            <w:pPr>
              <w:autoSpaceDN w:val="0"/>
              <w:rPr>
                <w:rFonts w:ascii="仿宋" w:hAnsi="仿宋" w:eastAsia="仿宋" w:cs="仿宋"/>
                <w:color w:val="auto"/>
                <w:sz w:val="24"/>
                <w:szCs w:val="24"/>
                <w:highlight w:val="none"/>
              </w:rPr>
            </w:pPr>
          </w:p>
        </w:tc>
      </w:tr>
      <w:tr w14:paraId="1B89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15EE87B">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109A64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A3BD0EC">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73CAC83F">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457102E9">
            <w:pPr>
              <w:autoSpaceDN w:val="0"/>
              <w:rPr>
                <w:rFonts w:ascii="仿宋" w:hAnsi="仿宋" w:eastAsia="仿宋" w:cs="仿宋"/>
                <w:color w:val="auto"/>
                <w:sz w:val="24"/>
                <w:szCs w:val="24"/>
                <w:highlight w:val="none"/>
              </w:rPr>
            </w:pPr>
          </w:p>
        </w:tc>
      </w:tr>
    </w:tbl>
    <w:p w14:paraId="04E8AB2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14:paraId="6CFB5EEB">
      <w:pPr>
        <w:autoSpaceDN w:val="0"/>
        <w:rPr>
          <w:rFonts w:ascii="仿宋" w:hAnsi="仿宋" w:eastAsia="仿宋" w:cs="仿宋"/>
          <w:color w:val="auto"/>
          <w:sz w:val="24"/>
          <w:szCs w:val="24"/>
          <w:highlight w:val="none"/>
        </w:rPr>
      </w:pPr>
    </w:p>
    <w:p w14:paraId="02755676">
      <w:pPr>
        <w:autoSpaceDN w:val="0"/>
        <w:rPr>
          <w:rFonts w:ascii="仿宋" w:hAnsi="仿宋" w:eastAsia="仿宋" w:cs="仿宋"/>
          <w:color w:val="auto"/>
          <w:sz w:val="24"/>
          <w:szCs w:val="24"/>
          <w:highlight w:val="none"/>
        </w:rPr>
      </w:pPr>
    </w:p>
    <w:p w14:paraId="04661D88">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14:paraId="2D9C40AF">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14:paraId="5E6A3B3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6A4B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2C6E64F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2223B26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4E807B2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3202520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1E129B5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4ADEDBB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29F8CF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1DEEB96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306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5A93D25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3F8C63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29D8324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660E680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51BA776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7983FC4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7729A7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29CC38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79FB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2AD93B7">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8088E3A">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B450A2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2A283A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A0AA34">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AE6A4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B2EFF8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0DB590">
            <w:pPr>
              <w:autoSpaceDN w:val="0"/>
              <w:rPr>
                <w:rFonts w:ascii="仿宋" w:hAnsi="仿宋" w:eastAsia="仿宋" w:cs="仿宋"/>
                <w:color w:val="auto"/>
                <w:sz w:val="24"/>
                <w:szCs w:val="24"/>
                <w:highlight w:val="none"/>
              </w:rPr>
            </w:pPr>
          </w:p>
        </w:tc>
      </w:tr>
      <w:tr w14:paraId="07E6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F72F4B6">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822ACE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54F078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DFE2E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F10F8F0">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92ABF1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F0CBA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BC10B9A">
            <w:pPr>
              <w:autoSpaceDN w:val="0"/>
              <w:rPr>
                <w:rFonts w:ascii="仿宋" w:hAnsi="仿宋" w:eastAsia="仿宋" w:cs="仿宋"/>
                <w:color w:val="auto"/>
                <w:sz w:val="24"/>
                <w:szCs w:val="24"/>
                <w:highlight w:val="none"/>
              </w:rPr>
            </w:pPr>
          </w:p>
        </w:tc>
      </w:tr>
      <w:tr w14:paraId="1F1C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CA73FC7">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74678E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598236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8942F1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E06AEB">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77264C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90207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63A8C0F">
            <w:pPr>
              <w:autoSpaceDN w:val="0"/>
              <w:rPr>
                <w:rFonts w:ascii="仿宋" w:hAnsi="仿宋" w:eastAsia="仿宋" w:cs="仿宋"/>
                <w:color w:val="auto"/>
                <w:sz w:val="24"/>
                <w:szCs w:val="24"/>
                <w:highlight w:val="none"/>
              </w:rPr>
            </w:pPr>
          </w:p>
        </w:tc>
      </w:tr>
      <w:tr w14:paraId="0990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24F9F0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393DC02">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A6BE8C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CD1E8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0185EBB">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1F70F4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125E2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1B3CB74">
            <w:pPr>
              <w:autoSpaceDN w:val="0"/>
              <w:rPr>
                <w:rFonts w:ascii="仿宋" w:hAnsi="仿宋" w:eastAsia="仿宋" w:cs="仿宋"/>
                <w:color w:val="auto"/>
                <w:sz w:val="24"/>
                <w:szCs w:val="24"/>
                <w:highlight w:val="none"/>
              </w:rPr>
            </w:pPr>
          </w:p>
        </w:tc>
      </w:tr>
      <w:tr w14:paraId="4856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752DF61">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1504CC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09D4AA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D45A78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38F575">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82D564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54CF2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9B8BFD">
            <w:pPr>
              <w:autoSpaceDN w:val="0"/>
              <w:rPr>
                <w:rFonts w:ascii="仿宋" w:hAnsi="仿宋" w:eastAsia="仿宋" w:cs="仿宋"/>
                <w:color w:val="auto"/>
                <w:sz w:val="24"/>
                <w:szCs w:val="24"/>
                <w:highlight w:val="none"/>
              </w:rPr>
            </w:pPr>
          </w:p>
        </w:tc>
      </w:tr>
      <w:tr w14:paraId="72FC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6086F7D">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CA9D37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A2374B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D42937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20DC8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DBA0BA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5CE35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78BA314">
            <w:pPr>
              <w:autoSpaceDN w:val="0"/>
              <w:rPr>
                <w:rFonts w:ascii="仿宋" w:hAnsi="仿宋" w:eastAsia="仿宋" w:cs="仿宋"/>
                <w:color w:val="auto"/>
                <w:sz w:val="24"/>
                <w:szCs w:val="24"/>
                <w:highlight w:val="none"/>
              </w:rPr>
            </w:pPr>
          </w:p>
        </w:tc>
      </w:tr>
      <w:tr w14:paraId="42B7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DABEED4">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7F6293C">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998C40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4A61E1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3DCF308">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E6446D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7FF2E4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A02BA5">
            <w:pPr>
              <w:autoSpaceDN w:val="0"/>
              <w:rPr>
                <w:rFonts w:ascii="仿宋" w:hAnsi="仿宋" w:eastAsia="仿宋" w:cs="仿宋"/>
                <w:color w:val="auto"/>
                <w:sz w:val="24"/>
                <w:szCs w:val="24"/>
                <w:highlight w:val="none"/>
              </w:rPr>
            </w:pPr>
          </w:p>
        </w:tc>
      </w:tr>
      <w:tr w14:paraId="1A7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93DD32B">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3DACCEC">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BF44B5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FACE4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1C93253">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E9C3F2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B30241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E69F64">
            <w:pPr>
              <w:autoSpaceDN w:val="0"/>
              <w:rPr>
                <w:rFonts w:ascii="仿宋" w:hAnsi="仿宋" w:eastAsia="仿宋" w:cs="仿宋"/>
                <w:color w:val="auto"/>
                <w:sz w:val="24"/>
                <w:szCs w:val="24"/>
                <w:highlight w:val="none"/>
              </w:rPr>
            </w:pPr>
          </w:p>
        </w:tc>
      </w:tr>
      <w:tr w14:paraId="00F5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CFCF43A">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F32364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45825A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4A8F01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0FE21A">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C61AC0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11654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68363A">
            <w:pPr>
              <w:autoSpaceDN w:val="0"/>
              <w:rPr>
                <w:rFonts w:ascii="仿宋" w:hAnsi="仿宋" w:eastAsia="仿宋" w:cs="仿宋"/>
                <w:color w:val="auto"/>
                <w:sz w:val="24"/>
                <w:szCs w:val="24"/>
                <w:highlight w:val="none"/>
              </w:rPr>
            </w:pPr>
          </w:p>
        </w:tc>
      </w:tr>
      <w:tr w14:paraId="6176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CC6EF6C">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6DBDE19">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BE43E8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40560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321EB7">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7ED1453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D586C8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448371C">
            <w:pPr>
              <w:autoSpaceDN w:val="0"/>
              <w:rPr>
                <w:rFonts w:ascii="仿宋" w:hAnsi="仿宋" w:eastAsia="仿宋" w:cs="仿宋"/>
                <w:color w:val="auto"/>
                <w:sz w:val="24"/>
                <w:szCs w:val="24"/>
                <w:highlight w:val="none"/>
              </w:rPr>
            </w:pPr>
          </w:p>
        </w:tc>
      </w:tr>
      <w:tr w14:paraId="68B4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A529DE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E819A43">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D07DE4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1E6E66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225930">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AC4306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3819F1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C1B7C8">
            <w:pPr>
              <w:autoSpaceDN w:val="0"/>
              <w:rPr>
                <w:rFonts w:ascii="仿宋" w:hAnsi="仿宋" w:eastAsia="仿宋" w:cs="仿宋"/>
                <w:color w:val="auto"/>
                <w:sz w:val="24"/>
                <w:szCs w:val="24"/>
                <w:highlight w:val="none"/>
              </w:rPr>
            </w:pPr>
          </w:p>
        </w:tc>
      </w:tr>
    </w:tbl>
    <w:p w14:paraId="6ACE131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14:paraId="7EC07FC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14:paraId="39F3B8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14:paraId="44AB9C7B">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14:paraId="46F0B34F">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14:paraId="1B1BB9CA">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15C8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1B336E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234EF2F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26CB076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5E6E96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6960EF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179B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4BB0156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3D32902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7D0D95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022DFEA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98DFFD1">
            <w:pPr>
              <w:autoSpaceDN w:val="0"/>
              <w:rPr>
                <w:rFonts w:ascii="仿宋" w:hAnsi="仿宋" w:eastAsia="仿宋" w:cs="仿宋"/>
                <w:color w:val="auto"/>
                <w:sz w:val="24"/>
                <w:szCs w:val="24"/>
                <w:highlight w:val="none"/>
              </w:rPr>
            </w:pPr>
          </w:p>
        </w:tc>
      </w:tr>
      <w:tr w14:paraId="63A5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BDD05F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93AD6F4">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155430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EF85AA7">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8BA719D">
            <w:pPr>
              <w:autoSpaceDN w:val="0"/>
              <w:rPr>
                <w:rFonts w:ascii="仿宋" w:hAnsi="仿宋" w:eastAsia="仿宋" w:cs="仿宋"/>
                <w:color w:val="auto"/>
                <w:sz w:val="24"/>
                <w:szCs w:val="24"/>
                <w:highlight w:val="none"/>
              </w:rPr>
            </w:pPr>
          </w:p>
        </w:tc>
      </w:tr>
      <w:tr w14:paraId="6F92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CB9F8F1">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5901F1F">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06E5D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4AC536E">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097322">
            <w:pPr>
              <w:autoSpaceDN w:val="0"/>
              <w:rPr>
                <w:rFonts w:ascii="仿宋" w:hAnsi="仿宋" w:eastAsia="仿宋" w:cs="仿宋"/>
                <w:color w:val="auto"/>
                <w:sz w:val="24"/>
                <w:szCs w:val="24"/>
                <w:highlight w:val="none"/>
              </w:rPr>
            </w:pPr>
          </w:p>
        </w:tc>
      </w:tr>
      <w:tr w14:paraId="5D2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E28702">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9624964">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5AA6704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2EEDD3">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96685CE">
            <w:pPr>
              <w:autoSpaceDN w:val="0"/>
              <w:rPr>
                <w:rFonts w:ascii="仿宋" w:hAnsi="仿宋" w:eastAsia="仿宋" w:cs="仿宋"/>
                <w:color w:val="auto"/>
                <w:sz w:val="24"/>
                <w:szCs w:val="24"/>
                <w:highlight w:val="none"/>
              </w:rPr>
            </w:pPr>
          </w:p>
        </w:tc>
      </w:tr>
      <w:tr w14:paraId="15B2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0E047DC">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731A36F">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6578B0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77C694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ADE8575">
            <w:pPr>
              <w:autoSpaceDN w:val="0"/>
              <w:rPr>
                <w:rFonts w:ascii="仿宋" w:hAnsi="仿宋" w:eastAsia="仿宋" w:cs="仿宋"/>
                <w:color w:val="auto"/>
                <w:sz w:val="24"/>
                <w:szCs w:val="24"/>
                <w:highlight w:val="none"/>
              </w:rPr>
            </w:pPr>
          </w:p>
        </w:tc>
      </w:tr>
      <w:tr w14:paraId="7980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0808C36">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E8F9509">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55548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99D287">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92E8A6B">
            <w:pPr>
              <w:autoSpaceDN w:val="0"/>
              <w:rPr>
                <w:rFonts w:ascii="仿宋" w:hAnsi="仿宋" w:eastAsia="仿宋" w:cs="仿宋"/>
                <w:color w:val="auto"/>
                <w:sz w:val="24"/>
                <w:szCs w:val="24"/>
                <w:highlight w:val="none"/>
              </w:rPr>
            </w:pPr>
          </w:p>
        </w:tc>
      </w:tr>
      <w:tr w14:paraId="14DD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1B638CB">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6ADABF9">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FAB3C5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3670A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E8CA68A">
            <w:pPr>
              <w:autoSpaceDN w:val="0"/>
              <w:rPr>
                <w:rFonts w:ascii="仿宋" w:hAnsi="仿宋" w:eastAsia="仿宋" w:cs="仿宋"/>
                <w:color w:val="auto"/>
                <w:sz w:val="24"/>
                <w:szCs w:val="24"/>
                <w:highlight w:val="none"/>
              </w:rPr>
            </w:pPr>
          </w:p>
        </w:tc>
      </w:tr>
      <w:tr w14:paraId="0310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8BD98CD">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C9BB9C1">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D31ED5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6A0BDA">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2557259">
            <w:pPr>
              <w:autoSpaceDN w:val="0"/>
              <w:rPr>
                <w:rFonts w:ascii="仿宋" w:hAnsi="仿宋" w:eastAsia="仿宋" w:cs="仿宋"/>
                <w:color w:val="auto"/>
                <w:sz w:val="24"/>
                <w:szCs w:val="24"/>
                <w:highlight w:val="none"/>
              </w:rPr>
            </w:pPr>
          </w:p>
        </w:tc>
      </w:tr>
      <w:tr w14:paraId="0643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4413EBF">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610E7ED">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19E44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FC897B6">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D71151B">
            <w:pPr>
              <w:autoSpaceDN w:val="0"/>
              <w:rPr>
                <w:rFonts w:ascii="仿宋" w:hAnsi="仿宋" w:eastAsia="仿宋" w:cs="仿宋"/>
                <w:color w:val="auto"/>
                <w:sz w:val="24"/>
                <w:szCs w:val="24"/>
                <w:highlight w:val="none"/>
              </w:rPr>
            </w:pPr>
          </w:p>
        </w:tc>
      </w:tr>
      <w:tr w14:paraId="1D85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899D414">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069E126">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8EF5F8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22F6C2C">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0559013">
            <w:pPr>
              <w:autoSpaceDN w:val="0"/>
              <w:rPr>
                <w:rFonts w:ascii="仿宋" w:hAnsi="仿宋" w:eastAsia="仿宋" w:cs="仿宋"/>
                <w:color w:val="auto"/>
                <w:sz w:val="24"/>
                <w:szCs w:val="24"/>
                <w:highlight w:val="none"/>
              </w:rPr>
            </w:pPr>
          </w:p>
        </w:tc>
      </w:tr>
      <w:tr w14:paraId="216E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6A9AEF4">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6A99086">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21A1BE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EAD41B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7BFBAD0">
            <w:pPr>
              <w:autoSpaceDN w:val="0"/>
              <w:rPr>
                <w:rFonts w:ascii="仿宋" w:hAnsi="仿宋" w:eastAsia="仿宋" w:cs="仿宋"/>
                <w:color w:val="auto"/>
                <w:sz w:val="24"/>
                <w:szCs w:val="24"/>
                <w:highlight w:val="none"/>
              </w:rPr>
            </w:pPr>
          </w:p>
        </w:tc>
      </w:tr>
      <w:tr w14:paraId="33D9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BC42FC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06AC35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AD56BE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9846D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4E29778">
            <w:pPr>
              <w:autoSpaceDN w:val="0"/>
              <w:rPr>
                <w:rFonts w:ascii="仿宋" w:hAnsi="仿宋" w:eastAsia="仿宋" w:cs="仿宋"/>
                <w:color w:val="auto"/>
                <w:sz w:val="24"/>
                <w:szCs w:val="24"/>
                <w:highlight w:val="none"/>
              </w:rPr>
            </w:pPr>
          </w:p>
        </w:tc>
      </w:tr>
      <w:tr w14:paraId="223A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60C8D8D">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A9F2AFE">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7414B2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EEC30AB">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613D760">
            <w:pPr>
              <w:autoSpaceDN w:val="0"/>
              <w:rPr>
                <w:rFonts w:ascii="仿宋" w:hAnsi="仿宋" w:eastAsia="仿宋" w:cs="仿宋"/>
                <w:color w:val="auto"/>
                <w:sz w:val="24"/>
                <w:szCs w:val="24"/>
                <w:highlight w:val="none"/>
              </w:rPr>
            </w:pPr>
          </w:p>
        </w:tc>
      </w:tr>
      <w:tr w14:paraId="0895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7854823">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F2D4B1F">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57A7A70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BF64F3">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A909AF7">
            <w:pPr>
              <w:autoSpaceDN w:val="0"/>
              <w:rPr>
                <w:rFonts w:ascii="仿宋" w:hAnsi="仿宋" w:eastAsia="仿宋" w:cs="仿宋"/>
                <w:color w:val="auto"/>
                <w:sz w:val="24"/>
                <w:szCs w:val="24"/>
                <w:highlight w:val="none"/>
              </w:rPr>
            </w:pPr>
          </w:p>
        </w:tc>
      </w:tr>
    </w:tbl>
    <w:p w14:paraId="747FDA45">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14:paraId="67E58BE4">
      <w:pPr>
        <w:autoSpaceDN w:val="0"/>
        <w:rPr>
          <w:rFonts w:ascii="仿宋" w:hAnsi="仿宋" w:eastAsia="仿宋" w:cs="Times New Roman"/>
          <w:color w:val="auto"/>
          <w:sz w:val="22"/>
          <w:highlight w:val="none"/>
        </w:rPr>
      </w:pPr>
    </w:p>
    <w:p w14:paraId="6C34895C">
      <w:pPr>
        <w:autoSpaceDN w:val="0"/>
        <w:rPr>
          <w:rFonts w:ascii="仿宋" w:hAnsi="仿宋" w:eastAsia="仿宋" w:cs="Times New Roman"/>
          <w:color w:val="auto"/>
          <w:sz w:val="22"/>
          <w:highlight w:val="none"/>
        </w:rPr>
      </w:pPr>
    </w:p>
    <w:p w14:paraId="36867EF7">
      <w:pPr>
        <w:autoSpaceDN w:val="0"/>
        <w:rPr>
          <w:rFonts w:ascii="仿宋" w:hAnsi="仿宋" w:eastAsia="仿宋" w:cs="Times New Roman"/>
          <w:color w:val="auto"/>
          <w:sz w:val="22"/>
          <w:highlight w:val="none"/>
        </w:rPr>
      </w:pPr>
    </w:p>
    <w:p w14:paraId="5E6E4534">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14:paraId="7EAFF517">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14:paraId="3F5A5E2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1D4D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08D9EBB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2B336E4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6F1B054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AA6E41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6F8A0C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E14D7C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20A60D03">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14:paraId="5A91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ED8829">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D8D7797">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31CEDF">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DA13F6">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3C7AC4">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C3E86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25AB3F3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35A48A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046ADD7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12BDB95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137B825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0445022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666F6562">
            <w:pPr>
              <w:widowControl/>
              <w:jc w:val="left"/>
              <w:rPr>
                <w:rFonts w:ascii="仿宋" w:hAnsi="仿宋" w:eastAsia="仿宋" w:cs="仿宋"/>
                <w:color w:val="auto"/>
                <w:sz w:val="24"/>
                <w:szCs w:val="24"/>
                <w:highlight w:val="none"/>
              </w:rPr>
            </w:pPr>
          </w:p>
        </w:tc>
      </w:tr>
      <w:tr w14:paraId="7BD3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114509AC">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090D0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EAC960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6E035FC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127E572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13E1F80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5EF56A0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07F26D7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7A5D06B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5DD6F6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ACA580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F9FDE28">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131A87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6687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2EA32E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DAFC4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7B18E4F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0514691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B115C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420C63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61CF8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B633ED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96DAA6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2FCA8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577A4A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98820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655D98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32A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04DB154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63CB0C0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7F98F88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2A823AC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162DA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AE12F9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EB6C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BCAFF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EB80B8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59ED74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9B51F6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48261C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8EDBAF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F5B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5EADE5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505A5C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3596162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59DCC31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5360D6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5ADB29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3A81F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C7556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125042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41CFF9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7854E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02AAC8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6029D19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216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36B189D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54024F3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77A5640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1EFADD6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0C53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8FC2B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13F7A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210FE3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0F4519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7EA61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5BC702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9288AC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7361982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6D76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2FEEA8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71D434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74F54C0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017376F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5A7153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5E640D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D5162B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6443F8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345D0F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6F8D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2AA35A1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7C309C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705AFBB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56AA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00684D3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C678DC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6BB7C23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03A3CBC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DCD192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04B168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BAB402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3CA257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D0B24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F77170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6BA609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718A25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571834B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660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6A3392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57983CC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DC174A">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14:paraId="1C764E7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01AE251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4873F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10D1E416">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5F27D5B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163EC76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01740F1D">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14:paraId="5C747F7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C4AA6F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56F50409">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10A8BC1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34448AA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14:paraId="67F702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139217ED">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66AC8FE0">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051867BC">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450453B">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667CA92B">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772D46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6B4C3276">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6538C30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4D9F3F4F">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714C8A0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2057D73B">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14:paraId="64E8BE2F">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FD5036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39F0DA64">
            <w:pPr>
              <w:widowControl/>
              <w:jc w:val="left"/>
              <w:rPr>
                <w:rFonts w:ascii="仿宋" w:hAnsi="仿宋" w:eastAsia="仿宋" w:cs="仿宋"/>
                <w:color w:val="auto"/>
                <w:sz w:val="24"/>
                <w:szCs w:val="24"/>
                <w:highlight w:val="none"/>
              </w:rPr>
            </w:pPr>
          </w:p>
        </w:tc>
      </w:tr>
      <w:tr w14:paraId="3E2C70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0A35147B">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15F576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1A8BE0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318F8B9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6AEB8A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692B79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43E0288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09803391">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1646F7B4">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3B996671">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06FBE3C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085E2442">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1EA1BF1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6B1719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49F52E4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DFE49FD">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7F695F1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087158E3">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F6BAF0A">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612703C6">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30C8A78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1CD0F09E">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6ABA4CF">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1DE50A5">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8C8B3AA">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26A165EA">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8CF7DBA">
            <w:pPr>
              <w:tabs>
                <w:tab w:val="left" w:pos="3780"/>
              </w:tabs>
              <w:autoSpaceDN w:val="0"/>
              <w:ind w:firstLine="360"/>
              <w:jc w:val="center"/>
              <w:rPr>
                <w:rFonts w:ascii="仿宋" w:hAnsi="仿宋" w:eastAsia="仿宋" w:cs="仿宋"/>
                <w:color w:val="auto"/>
                <w:sz w:val="24"/>
                <w:szCs w:val="24"/>
                <w:highlight w:val="none"/>
              </w:rPr>
            </w:pPr>
          </w:p>
        </w:tc>
      </w:tr>
      <w:tr w14:paraId="11D10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7039D734">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7601DD66">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40978778">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034D259">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55766C4F">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B25F395">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39FE6FA6">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710E08F2">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427A1D5B">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1C50632">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E8B99B5">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2C94A406">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5D6549E7">
            <w:pPr>
              <w:tabs>
                <w:tab w:val="left" w:pos="3780"/>
              </w:tabs>
              <w:autoSpaceDN w:val="0"/>
              <w:ind w:firstLine="360"/>
              <w:jc w:val="center"/>
              <w:rPr>
                <w:rFonts w:ascii="仿宋" w:hAnsi="仿宋" w:eastAsia="仿宋" w:cs="仿宋"/>
                <w:color w:val="auto"/>
                <w:sz w:val="24"/>
                <w:szCs w:val="24"/>
                <w:highlight w:val="none"/>
              </w:rPr>
            </w:pPr>
          </w:p>
        </w:tc>
      </w:tr>
      <w:tr w14:paraId="02D3A4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1B045E90">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11AC7C54">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212A56F8">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70572143">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59A3F7E2">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2696C5A">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216E649B">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231652B9">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A704778">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0728C47">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57C56C9">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7E1A326F">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4E0DCF39">
            <w:pPr>
              <w:tabs>
                <w:tab w:val="left" w:pos="3780"/>
              </w:tabs>
              <w:autoSpaceDN w:val="0"/>
              <w:ind w:firstLine="360"/>
              <w:jc w:val="center"/>
              <w:rPr>
                <w:rFonts w:ascii="仿宋" w:hAnsi="仿宋" w:eastAsia="仿宋" w:cs="仿宋"/>
                <w:color w:val="auto"/>
                <w:sz w:val="24"/>
                <w:szCs w:val="24"/>
                <w:highlight w:val="none"/>
              </w:rPr>
            </w:pPr>
          </w:p>
        </w:tc>
      </w:tr>
      <w:tr w14:paraId="3BB0A9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0C4C91CF">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7082636D">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552D4A64">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58BCE59">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F77F50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7FF5545">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9772875">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B57FC0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96C6532">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E73021C">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24C8EF">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73D4DB7">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5DB5DF7">
            <w:pPr>
              <w:tabs>
                <w:tab w:val="left" w:pos="3780"/>
              </w:tabs>
              <w:autoSpaceDN w:val="0"/>
              <w:ind w:firstLine="360"/>
              <w:jc w:val="center"/>
              <w:rPr>
                <w:rFonts w:ascii="仿宋" w:hAnsi="仿宋" w:eastAsia="仿宋" w:cs="仿宋"/>
                <w:color w:val="auto"/>
                <w:sz w:val="24"/>
                <w:szCs w:val="24"/>
                <w:highlight w:val="none"/>
              </w:rPr>
            </w:pPr>
          </w:p>
        </w:tc>
      </w:tr>
      <w:tr w14:paraId="02C484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0365FB8B">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7A6FAB2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9051490">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2F2B0A7">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36FD66C">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481F2AF">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2847EA62">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9F77E07">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6AAB6DF">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E366B2A">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8BA2883">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8B105FA">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A3F203D">
            <w:pPr>
              <w:tabs>
                <w:tab w:val="left" w:pos="3780"/>
              </w:tabs>
              <w:autoSpaceDN w:val="0"/>
              <w:ind w:firstLine="360"/>
              <w:jc w:val="center"/>
              <w:rPr>
                <w:rFonts w:ascii="仿宋" w:hAnsi="仿宋" w:eastAsia="仿宋" w:cs="仿宋"/>
                <w:color w:val="auto"/>
                <w:sz w:val="24"/>
                <w:szCs w:val="24"/>
                <w:highlight w:val="none"/>
              </w:rPr>
            </w:pPr>
          </w:p>
        </w:tc>
      </w:tr>
      <w:tr w14:paraId="742952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481CE3A4">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1755F80E">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5819E3A9">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743FBB89">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4C0A5B3F">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445B700E">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2E69FB5">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4899554">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0D32A8AA">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B7D3083">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CBAF89E">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BE095F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1E548DF">
            <w:pPr>
              <w:tabs>
                <w:tab w:val="left" w:pos="3780"/>
              </w:tabs>
              <w:autoSpaceDN w:val="0"/>
              <w:ind w:firstLine="360"/>
              <w:jc w:val="center"/>
              <w:rPr>
                <w:rFonts w:ascii="仿宋" w:hAnsi="仿宋" w:eastAsia="仿宋" w:cs="仿宋"/>
                <w:color w:val="auto"/>
                <w:sz w:val="24"/>
                <w:szCs w:val="24"/>
                <w:highlight w:val="none"/>
              </w:rPr>
            </w:pPr>
          </w:p>
        </w:tc>
      </w:tr>
      <w:tr w14:paraId="5ECC24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704DE663">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78C5CAC">
            <w:pPr>
              <w:tabs>
                <w:tab w:val="left" w:pos="3780"/>
              </w:tabs>
              <w:autoSpaceDN w:val="0"/>
              <w:ind w:firstLine="360"/>
              <w:jc w:val="center"/>
              <w:rPr>
                <w:rFonts w:ascii="仿宋" w:hAnsi="仿宋" w:eastAsia="仿宋" w:cs="仿宋"/>
                <w:color w:val="auto"/>
                <w:sz w:val="24"/>
                <w:szCs w:val="24"/>
                <w:highlight w:val="none"/>
              </w:rPr>
            </w:pPr>
          </w:p>
        </w:tc>
      </w:tr>
    </w:tbl>
    <w:p w14:paraId="58997483">
      <w:pPr>
        <w:widowControl/>
        <w:tabs>
          <w:tab w:val="center" w:pos="4755"/>
          <w:tab w:val="right" w:pos="9070"/>
        </w:tabs>
        <w:autoSpaceDN w:val="0"/>
        <w:rPr>
          <w:rFonts w:ascii="仿宋" w:hAnsi="仿宋" w:eastAsia="仿宋" w:cs="仿宋"/>
          <w:color w:val="auto"/>
          <w:sz w:val="24"/>
          <w:szCs w:val="24"/>
          <w:highlight w:val="none"/>
        </w:rPr>
      </w:pPr>
    </w:p>
    <w:p w14:paraId="1217BDE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14:paraId="1B88C823">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14:paraId="661949BD">
      <w:pPr>
        <w:widowControl/>
        <w:tabs>
          <w:tab w:val="center" w:pos="4755"/>
          <w:tab w:val="right" w:pos="9070"/>
        </w:tabs>
        <w:autoSpaceDN w:val="0"/>
        <w:rPr>
          <w:rFonts w:ascii="仿宋" w:hAnsi="仿宋" w:eastAsia="仿宋" w:cs="仿宋"/>
          <w:color w:val="auto"/>
          <w:sz w:val="24"/>
          <w:szCs w:val="24"/>
          <w:highlight w:val="none"/>
        </w:rPr>
      </w:pPr>
    </w:p>
    <w:p w14:paraId="6160C928">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14:paraId="653920AF">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14:paraId="5BA7B4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14:paraId="4BD4389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2B4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78BF2E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3EF2D0B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043E419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6368204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2CAAB0B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7417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FFFE0C">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2DC1D8F1">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00AC7371">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72D55A03">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DEB2C7C">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42167F1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79B6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42FB9E74">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9FAAAAC">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30725CDB">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E610544">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B13D506">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E0206C">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B488F87">
            <w:pPr>
              <w:widowControl/>
              <w:tabs>
                <w:tab w:val="center" w:pos="4755"/>
                <w:tab w:val="right" w:pos="9070"/>
              </w:tabs>
              <w:autoSpaceDN w:val="0"/>
              <w:jc w:val="left"/>
              <w:rPr>
                <w:rFonts w:ascii="仿宋" w:hAnsi="仿宋" w:eastAsia="仿宋" w:cs="仿宋"/>
                <w:color w:val="auto"/>
                <w:sz w:val="24"/>
                <w:szCs w:val="24"/>
                <w:highlight w:val="none"/>
              </w:rPr>
            </w:pPr>
          </w:p>
        </w:tc>
      </w:tr>
      <w:tr w14:paraId="14F2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7164713">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CB18BD4">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24E1B75">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7980305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5CC7052">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EFDE27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CE5BF8D">
            <w:pPr>
              <w:widowControl/>
              <w:tabs>
                <w:tab w:val="center" w:pos="4755"/>
                <w:tab w:val="right" w:pos="9070"/>
              </w:tabs>
              <w:autoSpaceDN w:val="0"/>
              <w:jc w:val="left"/>
              <w:rPr>
                <w:rFonts w:ascii="仿宋" w:hAnsi="仿宋" w:eastAsia="仿宋" w:cs="仿宋"/>
                <w:color w:val="auto"/>
                <w:sz w:val="24"/>
                <w:szCs w:val="24"/>
                <w:highlight w:val="none"/>
              </w:rPr>
            </w:pPr>
          </w:p>
        </w:tc>
      </w:tr>
      <w:tr w14:paraId="0DFF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312DF8">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3ABD4F12">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B8F466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128D71C2">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751CEC1">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7875B38D">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6762893">
            <w:pPr>
              <w:widowControl/>
              <w:tabs>
                <w:tab w:val="center" w:pos="4755"/>
                <w:tab w:val="right" w:pos="9070"/>
              </w:tabs>
              <w:autoSpaceDN w:val="0"/>
              <w:jc w:val="left"/>
              <w:rPr>
                <w:rFonts w:ascii="仿宋" w:hAnsi="仿宋" w:eastAsia="仿宋" w:cs="仿宋"/>
                <w:color w:val="auto"/>
                <w:sz w:val="24"/>
                <w:szCs w:val="24"/>
                <w:highlight w:val="none"/>
              </w:rPr>
            </w:pPr>
          </w:p>
        </w:tc>
      </w:tr>
      <w:tr w14:paraId="6CF2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B55771C">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8C73807">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4DBD29A0">
            <w:pPr>
              <w:widowControl/>
              <w:tabs>
                <w:tab w:val="center" w:pos="4755"/>
                <w:tab w:val="right" w:pos="9070"/>
              </w:tabs>
              <w:autoSpaceDN w:val="0"/>
              <w:jc w:val="left"/>
              <w:rPr>
                <w:rFonts w:ascii="仿宋" w:hAnsi="仿宋" w:eastAsia="仿宋" w:cs="仿宋"/>
                <w:color w:val="auto"/>
                <w:sz w:val="24"/>
                <w:szCs w:val="24"/>
                <w:highlight w:val="none"/>
              </w:rPr>
            </w:pPr>
          </w:p>
        </w:tc>
      </w:tr>
      <w:tr w14:paraId="0F19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39664E1B">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4CF3B5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3D24A17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415448A6">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5973D508">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BC06DBF">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03F0A0F">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D71BAD6">
            <w:pPr>
              <w:widowControl/>
              <w:tabs>
                <w:tab w:val="center" w:pos="4755"/>
                <w:tab w:val="right" w:pos="9070"/>
              </w:tabs>
              <w:autoSpaceDN w:val="0"/>
              <w:jc w:val="left"/>
              <w:rPr>
                <w:rFonts w:ascii="仿宋" w:hAnsi="仿宋" w:eastAsia="仿宋" w:cs="仿宋"/>
                <w:color w:val="auto"/>
                <w:sz w:val="24"/>
                <w:szCs w:val="24"/>
                <w:highlight w:val="none"/>
              </w:rPr>
            </w:pPr>
          </w:p>
        </w:tc>
      </w:tr>
      <w:tr w14:paraId="1C61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F5C0A1">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5EBD2D4">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2303EFE6">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9171F12">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370FF18C">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79B252EF">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9249B2D">
            <w:pPr>
              <w:widowControl/>
              <w:tabs>
                <w:tab w:val="center" w:pos="4755"/>
                <w:tab w:val="right" w:pos="9070"/>
              </w:tabs>
              <w:autoSpaceDN w:val="0"/>
              <w:jc w:val="left"/>
              <w:rPr>
                <w:rFonts w:ascii="仿宋" w:hAnsi="仿宋" w:eastAsia="仿宋" w:cs="仿宋"/>
                <w:color w:val="auto"/>
                <w:sz w:val="24"/>
                <w:szCs w:val="24"/>
                <w:highlight w:val="none"/>
              </w:rPr>
            </w:pPr>
          </w:p>
        </w:tc>
      </w:tr>
      <w:tr w14:paraId="4DB2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CF2405">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CA5C508">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2E84AF6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334ADB9D">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9D7E8E8">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B0EE213">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503CBEC">
            <w:pPr>
              <w:widowControl/>
              <w:tabs>
                <w:tab w:val="center" w:pos="4755"/>
                <w:tab w:val="right" w:pos="9070"/>
              </w:tabs>
              <w:autoSpaceDN w:val="0"/>
              <w:jc w:val="left"/>
              <w:rPr>
                <w:rFonts w:ascii="仿宋" w:hAnsi="仿宋" w:eastAsia="仿宋" w:cs="仿宋"/>
                <w:color w:val="auto"/>
                <w:sz w:val="24"/>
                <w:szCs w:val="24"/>
                <w:highlight w:val="none"/>
              </w:rPr>
            </w:pPr>
          </w:p>
        </w:tc>
      </w:tr>
      <w:tr w14:paraId="66FB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EB40741">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B873915">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4DA5A6C1">
            <w:pPr>
              <w:widowControl/>
              <w:tabs>
                <w:tab w:val="center" w:pos="4755"/>
                <w:tab w:val="right" w:pos="9070"/>
              </w:tabs>
              <w:autoSpaceDN w:val="0"/>
              <w:jc w:val="left"/>
              <w:rPr>
                <w:rFonts w:ascii="仿宋" w:hAnsi="仿宋" w:eastAsia="仿宋" w:cs="仿宋"/>
                <w:color w:val="auto"/>
                <w:sz w:val="24"/>
                <w:szCs w:val="24"/>
                <w:highlight w:val="none"/>
              </w:rPr>
            </w:pPr>
          </w:p>
        </w:tc>
      </w:tr>
      <w:tr w14:paraId="50C2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C5E251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C22CD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7E3EF823">
            <w:pPr>
              <w:widowControl/>
              <w:tabs>
                <w:tab w:val="center" w:pos="4755"/>
                <w:tab w:val="right" w:pos="9070"/>
              </w:tabs>
              <w:autoSpaceDN w:val="0"/>
              <w:jc w:val="left"/>
              <w:rPr>
                <w:rFonts w:ascii="仿宋" w:hAnsi="仿宋" w:eastAsia="仿宋" w:cs="仿宋"/>
                <w:color w:val="auto"/>
                <w:sz w:val="24"/>
                <w:szCs w:val="24"/>
                <w:highlight w:val="none"/>
              </w:rPr>
            </w:pPr>
          </w:p>
        </w:tc>
      </w:tr>
      <w:tr w14:paraId="29F8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A25CBC6">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7074632">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5D1CA8C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2F83D879">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70146F4C">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AFEB28A">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81442C1">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3C51D229">
            <w:pPr>
              <w:widowControl/>
              <w:tabs>
                <w:tab w:val="center" w:pos="4755"/>
                <w:tab w:val="right" w:pos="9070"/>
              </w:tabs>
              <w:autoSpaceDN w:val="0"/>
              <w:jc w:val="left"/>
              <w:rPr>
                <w:rFonts w:ascii="仿宋" w:hAnsi="仿宋" w:eastAsia="仿宋" w:cs="仿宋"/>
                <w:color w:val="auto"/>
                <w:sz w:val="24"/>
                <w:szCs w:val="24"/>
                <w:highlight w:val="none"/>
              </w:rPr>
            </w:pPr>
          </w:p>
        </w:tc>
      </w:tr>
      <w:tr w14:paraId="626D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4A3AAA0">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5D5906C">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D123FF8">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702D0AE5">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B07F280">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AEEBCFD">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3D5215B">
            <w:pPr>
              <w:widowControl/>
              <w:tabs>
                <w:tab w:val="center" w:pos="4755"/>
                <w:tab w:val="right" w:pos="9070"/>
              </w:tabs>
              <w:autoSpaceDN w:val="0"/>
              <w:jc w:val="left"/>
              <w:rPr>
                <w:rFonts w:ascii="仿宋" w:hAnsi="仿宋" w:eastAsia="仿宋" w:cs="仿宋"/>
                <w:color w:val="auto"/>
                <w:sz w:val="24"/>
                <w:szCs w:val="24"/>
                <w:highlight w:val="none"/>
              </w:rPr>
            </w:pPr>
          </w:p>
        </w:tc>
      </w:tr>
      <w:tr w14:paraId="7685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FA1DEEF">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FF22A01">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8421E2A">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0B8BF4C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339F64C">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31AA751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5A9EA9">
            <w:pPr>
              <w:widowControl/>
              <w:tabs>
                <w:tab w:val="center" w:pos="4755"/>
                <w:tab w:val="right" w:pos="9070"/>
              </w:tabs>
              <w:autoSpaceDN w:val="0"/>
              <w:jc w:val="left"/>
              <w:rPr>
                <w:rFonts w:ascii="仿宋" w:hAnsi="仿宋" w:eastAsia="仿宋" w:cs="仿宋"/>
                <w:color w:val="auto"/>
                <w:sz w:val="24"/>
                <w:szCs w:val="24"/>
                <w:highlight w:val="none"/>
              </w:rPr>
            </w:pPr>
          </w:p>
        </w:tc>
      </w:tr>
      <w:tr w14:paraId="529B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31CB51C">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F5C9F9A">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1F63CC23">
            <w:pPr>
              <w:widowControl/>
              <w:tabs>
                <w:tab w:val="center" w:pos="4755"/>
                <w:tab w:val="right" w:pos="9070"/>
              </w:tabs>
              <w:autoSpaceDN w:val="0"/>
              <w:jc w:val="left"/>
              <w:rPr>
                <w:rFonts w:ascii="仿宋" w:hAnsi="仿宋" w:eastAsia="仿宋" w:cs="仿宋"/>
                <w:color w:val="auto"/>
                <w:sz w:val="24"/>
                <w:szCs w:val="24"/>
                <w:highlight w:val="none"/>
              </w:rPr>
            </w:pPr>
          </w:p>
        </w:tc>
      </w:tr>
      <w:tr w14:paraId="0768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57011F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76D77D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1D9C11EF">
            <w:pPr>
              <w:widowControl/>
              <w:tabs>
                <w:tab w:val="center" w:pos="4755"/>
                <w:tab w:val="right" w:pos="9070"/>
              </w:tabs>
              <w:autoSpaceDN w:val="0"/>
              <w:jc w:val="left"/>
              <w:rPr>
                <w:rFonts w:ascii="仿宋" w:hAnsi="仿宋" w:eastAsia="仿宋" w:cs="仿宋"/>
                <w:color w:val="auto"/>
                <w:sz w:val="24"/>
                <w:szCs w:val="24"/>
                <w:highlight w:val="none"/>
              </w:rPr>
            </w:pPr>
          </w:p>
        </w:tc>
      </w:tr>
      <w:tr w14:paraId="134D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83E136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07C716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21173B5C">
            <w:pPr>
              <w:widowControl/>
              <w:tabs>
                <w:tab w:val="center" w:pos="4755"/>
                <w:tab w:val="right" w:pos="9070"/>
              </w:tabs>
              <w:autoSpaceDN w:val="0"/>
              <w:jc w:val="left"/>
              <w:rPr>
                <w:rFonts w:ascii="仿宋" w:hAnsi="仿宋" w:eastAsia="仿宋" w:cs="仿宋"/>
                <w:color w:val="auto"/>
                <w:sz w:val="24"/>
                <w:szCs w:val="24"/>
                <w:highlight w:val="none"/>
              </w:rPr>
            </w:pPr>
          </w:p>
        </w:tc>
      </w:tr>
      <w:tr w14:paraId="7EC3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C5581F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7670219">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55C8431C">
            <w:pPr>
              <w:widowControl/>
              <w:tabs>
                <w:tab w:val="center" w:pos="4755"/>
                <w:tab w:val="right" w:pos="9070"/>
              </w:tabs>
              <w:autoSpaceDN w:val="0"/>
              <w:jc w:val="left"/>
              <w:rPr>
                <w:rFonts w:ascii="仿宋" w:hAnsi="仿宋" w:eastAsia="仿宋" w:cs="仿宋"/>
                <w:color w:val="auto"/>
                <w:sz w:val="24"/>
                <w:szCs w:val="24"/>
                <w:highlight w:val="none"/>
              </w:rPr>
            </w:pPr>
          </w:p>
        </w:tc>
      </w:tr>
      <w:tr w14:paraId="5D61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B609D3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47D1F94">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3F313241">
            <w:pPr>
              <w:widowControl/>
              <w:tabs>
                <w:tab w:val="center" w:pos="4755"/>
                <w:tab w:val="right" w:pos="9070"/>
              </w:tabs>
              <w:autoSpaceDN w:val="0"/>
              <w:jc w:val="left"/>
              <w:rPr>
                <w:rFonts w:ascii="仿宋" w:hAnsi="仿宋" w:eastAsia="仿宋" w:cs="仿宋"/>
                <w:color w:val="auto"/>
                <w:sz w:val="24"/>
                <w:szCs w:val="24"/>
                <w:highlight w:val="none"/>
              </w:rPr>
            </w:pPr>
          </w:p>
        </w:tc>
      </w:tr>
      <w:tr w14:paraId="374E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8DD211C">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4BF6BB">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B452951">
            <w:pPr>
              <w:widowControl/>
              <w:tabs>
                <w:tab w:val="center" w:pos="4755"/>
                <w:tab w:val="right" w:pos="9070"/>
              </w:tabs>
              <w:autoSpaceDN w:val="0"/>
              <w:jc w:val="left"/>
              <w:rPr>
                <w:rFonts w:ascii="仿宋" w:hAnsi="仿宋" w:eastAsia="仿宋" w:cs="仿宋"/>
                <w:color w:val="auto"/>
                <w:sz w:val="24"/>
                <w:szCs w:val="24"/>
                <w:highlight w:val="none"/>
              </w:rPr>
            </w:pPr>
          </w:p>
        </w:tc>
      </w:tr>
      <w:tr w14:paraId="735A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9704F2E">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9A991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09F0BB9D">
            <w:pPr>
              <w:widowControl/>
              <w:tabs>
                <w:tab w:val="center" w:pos="4755"/>
                <w:tab w:val="right" w:pos="9070"/>
              </w:tabs>
              <w:autoSpaceDN w:val="0"/>
              <w:jc w:val="left"/>
              <w:rPr>
                <w:rFonts w:ascii="仿宋" w:hAnsi="仿宋" w:eastAsia="仿宋" w:cs="仿宋"/>
                <w:color w:val="auto"/>
                <w:sz w:val="24"/>
                <w:szCs w:val="24"/>
                <w:highlight w:val="none"/>
              </w:rPr>
            </w:pPr>
          </w:p>
        </w:tc>
      </w:tr>
    </w:tbl>
    <w:p w14:paraId="6684066A">
      <w:pPr>
        <w:widowControl/>
        <w:tabs>
          <w:tab w:val="center" w:pos="4755"/>
          <w:tab w:val="right" w:pos="9070"/>
        </w:tabs>
        <w:autoSpaceDN w:val="0"/>
        <w:jc w:val="left"/>
        <w:rPr>
          <w:rFonts w:ascii="仿宋" w:hAnsi="仿宋" w:eastAsia="仿宋" w:cs="仿宋"/>
          <w:color w:val="auto"/>
          <w:sz w:val="24"/>
          <w:szCs w:val="24"/>
          <w:highlight w:val="none"/>
        </w:rPr>
      </w:pPr>
    </w:p>
    <w:p w14:paraId="71F6F0A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14:paraId="297A9F24">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14:paraId="603800B7">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14:paraId="5F80681C">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6EA5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C26EF2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5CB0D9F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7A5F6A7">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4F4211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24A525BA">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14:paraId="5D8D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CC6E474">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53704E5">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2AC374FF">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276C3022">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C7F457D">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3999D501">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14:paraId="1DB9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49A50C5">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F19634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0C020F68">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4615CB3E">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4D22E7C8">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F22D0D3">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B22172">
            <w:pPr>
              <w:widowControl/>
              <w:tabs>
                <w:tab w:val="center" w:pos="4755"/>
                <w:tab w:val="right" w:pos="9070"/>
              </w:tabs>
              <w:autoSpaceDN w:val="0"/>
              <w:rPr>
                <w:rFonts w:ascii="仿宋" w:hAnsi="仿宋" w:eastAsia="仿宋" w:cs="新宋体"/>
                <w:color w:val="auto"/>
                <w:sz w:val="24"/>
                <w:szCs w:val="24"/>
                <w:highlight w:val="none"/>
              </w:rPr>
            </w:pPr>
          </w:p>
        </w:tc>
      </w:tr>
      <w:tr w14:paraId="6250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C7BFB64">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B682995">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6101584">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216415E">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3AD699E0">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5DA0156">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7722DB7">
            <w:pPr>
              <w:widowControl/>
              <w:tabs>
                <w:tab w:val="center" w:pos="4755"/>
                <w:tab w:val="right" w:pos="9070"/>
              </w:tabs>
              <w:autoSpaceDN w:val="0"/>
              <w:rPr>
                <w:rFonts w:ascii="仿宋" w:hAnsi="仿宋" w:eastAsia="仿宋" w:cs="新宋体"/>
                <w:color w:val="auto"/>
                <w:sz w:val="24"/>
                <w:szCs w:val="24"/>
                <w:highlight w:val="none"/>
              </w:rPr>
            </w:pPr>
          </w:p>
        </w:tc>
      </w:tr>
      <w:tr w14:paraId="3EF1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67E7B7">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1B313B23">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AB6778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5513FFE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B4E4CC3">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5E3C5F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E2F12D1">
            <w:pPr>
              <w:widowControl/>
              <w:tabs>
                <w:tab w:val="center" w:pos="4755"/>
                <w:tab w:val="right" w:pos="9070"/>
              </w:tabs>
              <w:autoSpaceDN w:val="0"/>
              <w:rPr>
                <w:rFonts w:ascii="仿宋" w:hAnsi="仿宋" w:eastAsia="仿宋" w:cs="新宋体"/>
                <w:color w:val="auto"/>
                <w:sz w:val="24"/>
                <w:szCs w:val="24"/>
                <w:highlight w:val="none"/>
              </w:rPr>
            </w:pPr>
          </w:p>
        </w:tc>
      </w:tr>
      <w:tr w14:paraId="3C64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3C3D7D7">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B3C30EB">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6F2D6ABB">
            <w:pPr>
              <w:widowControl/>
              <w:tabs>
                <w:tab w:val="center" w:pos="4755"/>
                <w:tab w:val="right" w:pos="9070"/>
              </w:tabs>
              <w:autoSpaceDN w:val="0"/>
              <w:rPr>
                <w:rFonts w:ascii="仿宋" w:hAnsi="仿宋" w:eastAsia="仿宋" w:cs="新宋体"/>
                <w:color w:val="auto"/>
                <w:sz w:val="24"/>
                <w:szCs w:val="24"/>
                <w:highlight w:val="none"/>
              </w:rPr>
            </w:pPr>
          </w:p>
        </w:tc>
      </w:tr>
      <w:tr w14:paraId="077F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3B9C738">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91CB49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1D47F705">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CDC3436">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6CBDAB3">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591F232">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B055AF5">
            <w:pPr>
              <w:widowControl/>
              <w:tabs>
                <w:tab w:val="center" w:pos="4755"/>
                <w:tab w:val="right" w:pos="9070"/>
              </w:tabs>
              <w:autoSpaceDN w:val="0"/>
              <w:rPr>
                <w:rFonts w:ascii="仿宋" w:hAnsi="仿宋" w:eastAsia="仿宋" w:cs="新宋体"/>
                <w:color w:val="auto"/>
                <w:sz w:val="24"/>
                <w:szCs w:val="24"/>
                <w:highlight w:val="none"/>
              </w:rPr>
            </w:pPr>
          </w:p>
        </w:tc>
      </w:tr>
      <w:tr w14:paraId="039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406DA40">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5EFA125">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505BE64">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865D3C6">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57A3DC7">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DA0D5E1">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E3A09BB">
            <w:pPr>
              <w:widowControl/>
              <w:tabs>
                <w:tab w:val="center" w:pos="4755"/>
                <w:tab w:val="right" w:pos="9070"/>
              </w:tabs>
              <w:autoSpaceDN w:val="0"/>
              <w:rPr>
                <w:rFonts w:ascii="仿宋" w:hAnsi="仿宋" w:eastAsia="仿宋" w:cs="新宋体"/>
                <w:color w:val="auto"/>
                <w:sz w:val="24"/>
                <w:szCs w:val="24"/>
                <w:highlight w:val="none"/>
              </w:rPr>
            </w:pPr>
          </w:p>
        </w:tc>
      </w:tr>
      <w:tr w14:paraId="401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4D5174A">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DEB6725">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AE0DA8C">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F2CFA1D">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B83E86D">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E7878CA">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EBE9309">
            <w:pPr>
              <w:widowControl/>
              <w:tabs>
                <w:tab w:val="center" w:pos="4755"/>
                <w:tab w:val="right" w:pos="9070"/>
              </w:tabs>
              <w:autoSpaceDN w:val="0"/>
              <w:rPr>
                <w:rFonts w:ascii="仿宋" w:hAnsi="仿宋" w:eastAsia="仿宋" w:cs="新宋体"/>
                <w:color w:val="auto"/>
                <w:sz w:val="24"/>
                <w:szCs w:val="24"/>
                <w:highlight w:val="none"/>
              </w:rPr>
            </w:pPr>
          </w:p>
        </w:tc>
      </w:tr>
      <w:tr w14:paraId="7B4A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884B46F">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60B05C8">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3FE97C15">
            <w:pPr>
              <w:widowControl/>
              <w:tabs>
                <w:tab w:val="center" w:pos="4755"/>
                <w:tab w:val="right" w:pos="9070"/>
              </w:tabs>
              <w:autoSpaceDN w:val="0"/>
              <w:rPr>
                <w:rFonts w:ascii="仿宋" w:hAnsi="仿宋" w:eastAsia="仿宋" w:cs="新宋体"/>
                <w:color w:val="auto"/>
                <w:sz w:val="24"/>
                <w:szCs w:val="24"/>
                <w:highlight w:val="none"/>
              </w:rPr>
            </w:pPr>
          </w:p>
        </w:tc>
      </w:tr>
      <w:tr w14:paraId="2834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40E1C19">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C58DA8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47C33E29">
            <w:pPr>
              <w:widowControl/>
              <w:tabs>
                <w:tab w:val="center" w:pos="4755"/>
                <w:tab w:val="right" w:pos="9070"/>
              </w:tabs>
              <w:autoSpaceDN w:val="0"/>
              <w:rPr>
                <w:rFonts w:ascii="仿宋" w:hAnsi="仿宋" w:eastAsia="仿宋" w:cs="新宋体"/>
                <w:color w:val="auto"/>
                <w:sz w:val="24"/>
                <w:szCs w:val="24"/>
                <w:highlight w:val="none"/>
              </w:rPr>
            </w:pPr>
          </w:p>
        </w:tc>
      </w:tr>
      <w:tr w14:paraId="5CC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21FAE9C">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47A51A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339AD88C">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67246C7">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9122AEA">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9053F0E">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950D33A">
            <w:pPr>
              <w:widowControl/>
              <w:tabs>
                <w:tab w:val="center" w:pos="4755"/>
                <w:tab w:val="right" w:pos="9070"/>
              </w:tabs>
              <w:autoSpaceDN w:val="0"/>
              <w:rPr>
                <w:rFonts w:ascii="仿宋" w:hAnsi="仿宋" w:eastAsia="仿宋" w:cs="新宋体"/>
                <w:color w:val="auto"/>
                <w:sz w:val="24"/>
                <w:szCs w:val="24"/>
                <w:highlight w:val="none"/>
              </w:rPr>
            </w:pPr>
          </w:p>
        </w:tc>
      </w:tr>
      <w:tr w14:paraId="76A1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F2898E4">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37E49EF">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EE706E8">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000A4C9">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3BE76D4">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CE18B9D">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3B5F5C2">
            <w:pPr>
              <w:widowControl/>
              <w:tabs>
                <w:tab w:val="center" w:pos="4755"/>
                <w:tab w:val="right" w:pos="9070"/>
              </w:tabs>
              <w:autoSpaceDN w:val="0"/>
              <w:rPr>
                <w:rFonts w:ascii="仿宋" w:hAnsi="仿宋" w:eastAsia="仿宋" w:cs="新宋体"/>
                <w:color w:val="auto"/>
                <w:sz w:val="24"/>
                <w:szCs w:val="24"/>
                <w:highlight w:val="none"/>
              </w:rPr>
            </w:pPr>
          </w:p>
        </w:tc>
      </w:tr>
      <w:tr w14:paraId="4343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65A7BD3">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84D1642">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05BBC31">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4F71F3">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D3626E">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C73BFB2">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3F8DF02C">
            <w:pPr>
              <w:widowControl/>
              <w:tabs>
                <w:tab w:val="center" w:pos="4755"/>
                <w:tab w:val="right" w:pos="9070"/>
              </w:tabs>
              <w:autoSpaceDN w:val="0"/>
              <w:rPr>
                <w:rFonts w:ascii="仿宋" w:hAnsi="仿宋" w:eastAsia="仿宋" w:cs="新宋体"/>
                <w:color w:val="auto"/>
                <w:sz w:val="24"/>
                <w:szCs w:val="24"/>
                <w:highlight w:val="none"/>
              </w:rPr>
            </w:pPr>
          </w:p>
        </w:tc>
      </w:tr>
      <w:tr w14:paraId="0D73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45EF06E">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93A752B">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72ADB7DA">
            <w:pPr>
              <w:widowControl/>
              <w:tabs>
                <w:tab w:val="center" w:pos="4755"/>
                <w:tab w:val="right" w:pos="9070"/>
              </w:tabs>
              <w:autoSpaceDN w:val="0"/>
              <w:rPr>
                <w:rFonts w:ascii="仿宋" w:hAnsi="仿宋" w:eastAsia="仿宋" w:cs="新宋体"/>
                <w:color w:val="auto"/>
                <w:sz w:val="24"/>
                <w:szCs w:val="24"/>
                <w:highlight w:val="none"/>
              </w:rPr>
            </w:pPr>
          </w:p>
        </w:tc>
      </w:tr>
      <w:tr w14:paraId="560F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4A373AB">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D99220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56BAC473">
            <w:pPr>
              <w:widowControl/>
              <w:tabs>
                <w:tab w:val="center" w:pos="4755"/>
                <w:tab w:val="right" w:pos="9070"/>
              </w:tabs>
              <w:autoSpaceDN w:val="0"/>
              <w:rPr>
                <w:rFonts w:ascii="仿宋" w:hAnsi="仿宋" w:eastAsia="仿宋" w:cs="新宋体"/>
                <w:color w:val="auto"/>
                <w:sz w:val="24"/>
                <w:szCs w:val="24"/>
                <w:highlight w:val="none"/>
              </w:rPr>
            </w:pPr>
          </w:p>
        </w:tc>
      </w:tr>
      <w:tr w14:paraId="0BE6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5904CAA">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BD9DE24">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602BD063">
            <w:pPr>
              <w:widowControl/>
              <w:tabs>
                <w:tab w:val="center" w:pos="4755"/>
                <w:tab w:val="right" w:pos="9070"/>
              </w:tabs>
              <w:autoSpaceDN w:val="0"/>
              <w:rPr>
                <w:rFonts w:ascii="仿宋" w:hAnsi="仿宋" w:eastAsia="仿宋" w:cs="新宋体"/>
                <w:color w:val="auto"/>
                <w:sz w:val="24"/>
                <w:szCs w:val="24"/>
                <w:highlight w:val="none"/>
              </w:rPr>
            </w:pPr>
          </w:p>
        </w:tc>
      </w:tr>
      <w:tr w14:paraId="6761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B447259">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BE374A2">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4FFE3C73">
            <w:pPr>
              <w:widowControl/>
              <w:tabs>
                <w:tab w:val="center" w:pos="4755"/>
                <w:tab w:val="right" w:pos="9070"/>
              </w:tabs>
              <w:autoSpaceDN w:val="0"/>
              <w:rPr>
                <w:rFonts w:ascii="仿宋" w:hAnsi="仿宋" w:eastAsia="仿宋" w:cs="新宋体"/>
                <w:color w:val="auto"/>
                <w:sz w:val="24"/>
                <w:szCs w:val="24"/>
                <w:highlight w:val="none"/>
              </w:rPr>
            </w:pPr>
          </w:p>
        </w:tc>
      </w:tr>
      <w:tr w14:paraId="2B90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FFCA8E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AE764C2">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6A110F9C">
            <w:pPr>
              <w:widowControl/>
              <w:tabs>
                <w:tab w:val="center" w:pos="4755"/>
                <w:tab w:val="right" w:pos="9070"/>
              </w:tabs>
              <w:autoSpaceDN w:val="0"/>
              <w:rPr>
                <w:rFonts w:ascii="仿宋" w:hAnsi="仿宋" w:eastAsia="仿宋" w:cs="新宋体"/>
                <w:color w:val="auto"/>
                <w:sz w:val="24"/>
                <w:szCs w:val="24"/>
                <w:highlight w:val="none"/>
              </w:rPr>
            </w:pPr>
          </w:p>
        </w:tc>
      </w:tr>
      <w:tr w14:paraId="2EFD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C81FC8A">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1C22162">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1F879222">
            <w:pPr>
              <w:widowControl/>
              <w:tabs>
                <w:tab w:val="center" w:pos="4755"/>
                <w:tab w:val="right" w:pos="9070"/>
              </w:tabs>
              <w:autoSpaceDN w:val="0"/>
              <w:rPr>
                <w:rFonts w:ascii="仿宋" w:hAnsi="仿宋" w:eastAsia="仿宋" w:cs="新宋体"/>
                <w:color w:val="auto"/>
                <w:sz w:val="24"/>
                <w:szCs w:val="24"/>
                <w:highlight w:val="none"/>
              </w:rPr>
            </w:pPr>
          </w:p>
        </w:tc>
      </w:tr>
      <w:tr w14:paraId="44AD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BB60F8A">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27F037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0DB3C585">
            <w:pPr>
              <w:widowControl/>
              <w:tabs>
                <w:tab w:val="center" w:pos="4755"/>
                <w:tab w:val="right" w:pos="9070"/>
              </w:tabs>
              <w:autoSpaceDN w:val="0"/>
              <w:rPr>
                <w:rFonts w:ascii="仿宋" w:hAnsi="仿宋" w:eastAsia="仿宋" w:cs="新宋体"/>
                <w:color w:val="auto"/>
                <w:sz w:val="24"/>
                <w:szCs w:val="24"/>
                <w:highlight w:val="none"/>
              </w:rPr>
            </w:pPr>
          </w:p>
        </w:tc>
      </w:tr>
    </w:tbl>
    <w:p w14:paraId="42A7F13F">
      <w:pPr>
        <w:widowControl/>
        <w:tabs>
          <w:tab w:val="center" w:pos="4755"/>
          <w:tab w:val="right" w:pos="9070"/>
        </w:tabs>
        <w:autoSpaceDN w:val="0"/>
        <w:jc w:val="left"/>
        <w:rPr>
          <w:rFonts w:ascii="仿宋" w:hAnsi="仿宋" w:eastAsia="仿宋" w:cs="新宋体"/>
          <w:color w:val="auto"/>
          <w:sz w:val="24"/>
          <w:szCs w:val="24"/>
          <w:highlight w:val="none"/>
        </w:rPr>
      </w:pPr>
    </w:p>
    <w:p w14:paraId="3FDEDD92">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14:paraId="63E70227">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现场监控、临时宿舍取暖降温费用分析表</w:t>
      </w:r>
    </w:p>
    <w:p w14:paraId="304A836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157A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59F320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74FE2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0EAAA6E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43D1C57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6190F5A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112D64A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48CA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3E4729C">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E0D75FB">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2573F793">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CED90A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0D23C3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4C5DE293">
            <w:pPr>
              <w:autoSpaceDN w:val="0"/>
              <w:rPr>
                <w:rFonts w:ascii="仿宋" w:hAnsi="仿宋" w:eastAsia="仿宋" w:cs="仿宋"/>
                <w:color w:val="auto"/>
                <w:sz w:val="24"/>
                <w:szCs w:val="24"/>
                <w:highlight w:val="none"/>
              </w:rPr>
            </w:pPr>
          </w:p>
        </w:tc>
      </w:tr>
      <w:tr w14:paraId="41D3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09D4B2E3">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FDF5A00">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768C79E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62E87B1">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1837E4">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3624EE36">
            <w:pPr>
              <w:autoSpaceDN w:val="0"/>
              <w:rPr>
                <w:rFonts w:ascii="仿宋" w:hAnsi="仿宋" w:eastAsia="仿宋" w:cs="仿宋"/>
                <w:color w:val="auto"/>
                <w:sz w:val="24"/>
                <w:szCs w:val="24"/>
                <w:highlight w:val="none"/>
              </w:rPr>
            </w:pPr>
          </w:p>
        </w:tc>
      </w:tr>
      <w:tr w14:paraId="2163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321289C">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D2B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1E2D155">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585551C">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1F0BF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1D1A9F6E">
            <w:pPr>
              <w:autoSpaceDN w:val="0"/>
              <w:rPr>
                <w:rFonts w:ascii="仿宋" w:hAnsi="仿宋" w:eastAsia="仿宋" w:cs="仿宋"/>
                <w:color w:val="auto"/>
                <w:sz w:val="24"/>
                <w:szCs w:val="24"/>
                <w:highlight w:val="none"/>
              </w:rPr>
            </w:pPr>
          </w:p>
        </w:tc>
      </w:tr>
      <w:tr w14:paraId="1AB0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3FFEB9">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51BF500">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1C92A2C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07C1C83">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45EB477">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03E2221">
            <w:pPr>
              <w:autoSpaceDN w:val="0"/>
              <w:rPr>
                <w:rFonts w:ascii="仿宋" w:hAnsi="仿宋" w:eastAsia="仿宋" w:cs="仿宋"/>
                <w:color w:val="auto"/>
                <w:sz w:val="24"/>
                <w:szCs w:val="24"/>
                <w:highlight w:val="none"/>
              </w:rPr>
            </w:pPr>
          </w:p>
        </w:tc>
      </w:tr>
      <w:tr w14:paraId="3A41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745CF41A">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2D0D8394">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7A7DA199">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0AD6CC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8340F59">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603DB47A">
            <w:pPr>
              <w:autoSpaceDN w:val="0"/>
              <w:rPr>
                <w:rFonts w:ascii="仿宋" w:hAnsi="仿宋" w:eastAsia="仿宋" w:cs="仿宋"/>
                <w:color w:val="auto"/>
                <w:sz w:val="24"/>
                <w:szCs w:val="24"/>
                <w:highlight w:val="none"/>
              </w:rPr>
            </w:pPr>
          </w:p>
        </w:tc>
      </w:tr>
      <w:tr w14:paraId="751F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030EB32B">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65FC2A4C">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15EF8FDD">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26ECB22">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F73938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FEF29AF">
            <w:pPr>
              <w:autoSpaceDN w:val="0"/>
              <w:rPr>
                <w:rFonts w:ascii="仿宋" w:hAnsi="仿宋" w:eastAsia="仿宋" w:cs="仿宋"/>
                <w:color w:val="auto"/>
                <w:sz w:val="24"/>
                <w:szCs w:val="24"/>
                <w:highlight w:val="none"/>
              </w:rPr>
            </w:pPr>
          </w:p>
        </w:tc>
      </w:tr>
      <w:tr w14:paraId="5DAB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4334E943">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FE58894">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3B57C6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472E8DD">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75C57E1">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CA4144E">
            <w:pPr>
              <w:autoSpaceDN w:val="0"/>
              <w:rPr>
                <w:rFonts w:ascii="仿宋" w:hAnsi="仿宋" w:eastAsia="仿宋" w:cs="仿宋"/>
                <w:color w:val="auto"/>
                <w:sz w:val="24"/>
                <w:szCs w:val="24"/>
                <w:highlight w:val="none"/>
              </w:rPr>
            </w:pPr>
          </w:p>
        </w:tc>
      </w:tr>
      <w:tr w14:paraId="0CC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CF2CC8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99C38CC">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93BABF8">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31413C56">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EB470A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B52A676">
            <w:pPr>
              <w:autoSpaceDN w:val="0"/>
              <w:rPr>
                <w:rFonts w:ascii="仿宋" w:hAnsi="仿宋" w:eastAsia="仿宋" w:cs="仿宋"/>
                <w:color w:val="auto"/>
                <w:sz w:val="24"/>
                <w:szCs w:val="24"/>
                <w:highlight w:val="none"/>
              </w:rPr>
            </w:pPr>
          </w:p>
        </w:tc>
      </w:tr>
      <w:tr w14:paraId="52B0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0FED2EE9">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92D698D">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E3715F1">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251C8F2">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3696B24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E41F069">
            <w:pPr>
              <w:autoSpaceDN w:val="0"/>
              <w:rPr>
                <w:rFonts w:ascii="仿宋" w:hAnsi="仿宋" w:eastAsia="仿宋" w:cs="仿宋"/>
                <w:color w:val="auto"/>
                <w:sz w:val="24"/>
                <w:szCs w:val="24"/>
                <w:highlight w:val="none"/>
              </w:rPr>
            </w:pPr>
          </w:p>
        </w:tc>
      </w:tr>
      <w:tr w14:paraId="3C68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22F6BA6">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041AC5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27CD103">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96AFFF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E9553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A77AE5C">
            <w:pPr>
              <w:autoSpaceDN w:val="0"/>
              <w:rPr>
                <w:rFonts w:ascii="仿宋" w:hAnsi="仿宋" w:eastAsia="仿宋" w:cs="仿宋"/>
                <w:color w:val="auto"/>
                <w:sz w:val="24"/>
                <w:szCs w:val="24"/>
                <w:highlight w:val="none"/>
              </w:rPr>
            </w:pPr>
          </w:p>
        </w:tc>
      </w:tr>
      <w:tr w14:paraId="1A28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0494FA6">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781514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717A638">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150B099">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F93B9F7">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1523783">
            <w:pPr>
              <w:autoSpaceDN w:val="0"/>
              <w:rPr>
                <w:rFonts w:ascii="仿宋" w:hAnsi="仿宋" w:eastAsia="仿宋" w:cs="仿宋"/>
                <w:color w:val="auto"/>
                <w:sz w:val="24"/>
                <w:szCs w:val="24"/>
                <w:highlight w:val="none"/>
              </w:rPr>
            </w:pPr>
          </w:p>
        </w:tc>
      </w:tr>
      <w:tr w14:paraId="1FFC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982D79B">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B961C6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8CCF6CF">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A25370B">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0BD84A7">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196C479">
            <w:pPr>
              <w:autoSpaceDN w:val="0"/>
              <w:rPr>
                <w:rFonts w:ascii="仿宋" w:hAnsi="仿宋" w:eastAsia="仿宋" w:cs="仿宋"/>
                <w:color w:val="auto"/>
                <w:sz w:val="24"/>
                <w:szCs w:val="24"/>
                <w:highlight w:val="none"/>
              </w:rPr>
            </w:pPr>
          </w:p>
        </w:tc>
      </w:tr>
      <w:tr w14:paraId="42BE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846DC58">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17FE6BF">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2C411DD">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16EE3B61">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C68C7E3">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6AC92C86">
            <w:pPr>
              <w:autoSpaceDN w:val="0"/>
              <w:rPr>
                <w:rFonts w:ascii="仿宋" w:hAnsi="仿宋" w:eastAsia="仿宋" w:cs="仿宋"/>
                <w:color w:val="auto"/>
                <w:sz w:val="24"/>
                <w:szCs w:val="24"/>
                <w:highlight w:val="none"/>
              </w:rPr>
            </w:pPr>
          </w:p>
        </w:tc>
      </w:tr>
      <w:tr w14:paraId="3234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0E4A5A7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57E52B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6A380022">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A0766">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BAA8EDF">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937F168">
            <w:pPr>
              <w:autoSpaceDN w:val="0"/>
              <w:rPr>
                <w:rFonts w:ascii="仿宋" w:hAnsi="仿宋" w:eastAsia="仿宋" w:cs="仿宋"/>
                <w:color w:val="auto"/>
                <w:sz w:val="24"/>
                <w:szCs w:val="24"/>
                <w:highlight w:val="none"/>
              </w:rPr>
            </w:pPr>
          </w:p>
        </w:tc>
      </w:tr>
    </w:tbl>
    <w:p w14:paraId="346AA15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79BC6829">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4BF4D9C4">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0B530B33">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0BE15296">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5E29FAAA">
      <w:pPr>
        <w:autoSpaceDN w:val="0"/>
        <w:spacing w:before="156" w:beforeLines="50" w:after="156" w:afterLines="50" w:line="400" w:lineRule="exact"/>
        <w:rPr>
          <w:rFonts w:ascii="仿宋" w:hAnsi="仿宋" w:eastAsia="仿宋" w:cs="Times New Roman"/>
          <w:b/>
          <w:bCs/>
          <w:color w:val="auto"/>
          <w:kern w:val="0"/>
          <w:sz w:val="28"/>
          <w:szCs w:val="28"/>
          <w:highlight w:val="none"/>
        </w:rPr>
      </w:pPr>
    </w:p>
    <w:p w14:paraId="0B82321D">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14:paraId="1CC93AA9">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14:paraId="6EDC1ABE">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0D420E4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0CFAD174">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14:paraId="3A2BA4E5">
      <w:pPr>
        <w:autoSpaceDN w:val="0"/>
        <w:rPr>
          <w:rFonts w:ascii="Times New Roman" w:hAnsi="Times New Roman" w:eastAsia="宋体" w:cs="Times New Roman"/>
          <w:color w:val="auto"/>
          <w:szCs w:val="24"/>
          <w:highlight w:val="none"/>
        </w:rPr>
      </w:pPr>
    </w:p>
    <w:p w14:paraId="3761C7DF">
      <w:pPr>
        <w:autoSpaceDN w:val="0"/>
        <w:spacing w:line="200" w:lineRule="exact"/>
        <w:ind w:firstLine="301"/>
        <w:rPr>
          <w:rFonts w:ascii="宋体" w:hAnsi="Courier New" w:eastAsia="宋体" w:cs="Times New Roman"/>
          <w:color w:val="auto"/>
          <w:spacing w:val="-4"/>
          <w:kern w:val="0"/>
          <w:sz w:val="18"/>
          <w:szCs w:val="20"/>
          <w:highlight w:val="none"/>
        </w:rPr>
      </w:pPr>
    </w:p>
    <w:p w14:paraId="3D3D9851">
      <w:pPr>
        <w:autoSpaceDN w:val="0"/>
        <w:spacing w:line="200" w:lineRule="exact"/>
        <w:ind w:firstLine="301"/>
        <w:rPr>
          <w:rFonts w:ascii="宋体" w:hAnsi="Courier New" w:eastAsia="宋体" w:cs="Times New Roman"/>
          <w:color w:val="auto"/>
          <w:spacing w:val="-4"/>
          <w:kern w:val="0"/>
          <w:sz w:val="18"/>
          <w:szCs w:val="20"/>
          <w:highlight w:val="none"/>
        </w:rPr>
      </w:pPr>
    </w:p>
    <w:p w14:paraId="7F094140">
      <w:pPr>
        <w:autoSpaceDN w:val="0"/>
        <w:spacing w:line="200" w:lineRule="exact"/>
        <w:ind w:firstLine="301"/>
        <w:rPr>
          <w:rFonts w:ascii="宋体" w:hAnsi="Courier New" w:eastAsia="宋体" w:cs="Times New Roman"/>
          <w:color w:val="auto"/>
          <w:spacing w:val="-4"/>
          <w:kern w:val="0"/>
          <w:sz w:val="18"/>
          <w:szCs w:val="20"/>
          <w:highlight w:val="none"/>
        </w:rPr>
      </w:pPr>
    </w:p>
    <w:p w14:paraId="21192EAF">
      <w:pPr>
        <w:autoSpaceDN w:val="0"/>
        <w:spacing w:line="200" w:lineRule="exact"/>
        <w:ind w:firstLine="301"/>
        <w:rPr>
          <w:rFonts w:ascii="宋体" w:hAnsi="Courier New" w:eastAsia="宋体" w:cs="Times New Roman"/>
          <w:color w:val="auto"/>
          <w:spacing w:val="-4"/>
          <w:kern w:val="0"/>
          <w:sz w:val="18"/>
          <w:szCs w:val="20"/>
          <w:highlight w:val="none"/>
        </w:rPr>
      </w:pPr>
    </w:p>
    <w:p w14:paraId="5E20C1EB">
      <w:pPr>
        <w:autoSpaceDN w:val="0"/>
        <w:spacing w:line="200" w:lineRule="exact"/>
        <w:ind w:firstLine="301"/>
        <w:rPr>
          <w:rFonts w:ascii="宋体" w:hAnsi="Courier New" w:eastAsia="宋体" w:cs="Times New Roman"/>
          <w:color w:val="auto"/>
          <w:spacing w:val="-4"/>
          <w:kern w:val="0"/>
          <w:sz w:val="18"/>
          <w:szCs w:val="20"/>
          <w:highlight w:val="none"/>
        </w:rPr>
      </w:pPr>
    </w:p>
    <w:p w14:paraId="29BC461D">
      <w:pPr>
        <w:autoSpaceDN w:val="0"/>
        <w:spacing w:line="200" w:lineRule="exact"/>
        <w:ind w:firstLine="301"/>
        <w:rPr>
          <w:rFonts w:ascii="宋体" w:hAnsi="Courier New" w:eastAsia="宋体" w:cs="Times New Roman"/>
          <w:color w:val="auto"/>
          <w:spacing w:val="-4"/>
          <w:kern w:val="0"/>
          <w:sz w:val="18"/>
          <w:szCs w:val="20"/>
          <w:highlight w:val="none"/>
        </w:rPr>
      </w:pPr>
    </w:p>
    <w:p w14:paraId="36DA9609">
      <w:pPr>
        <w:autoSpaceDN w:val="0"/>
        <w:spacing w:line="200" w:lineRule="exact"/>
        <w:ind w:firstLine="301"/>
        <w:rPr>
          <w:rFonts w:ascii="宋体" w:hAnsi="Courier New" w:eastAsia="宋体" w:cs="Times New Roman"/>
          <w:color w:val="auto"/>
          <w:spacing w:val="-4"/>
          <w:kern w:val="0"/>
          <w:sz w:val="18"/>
          <w:szCs w:val="20"/>
          <w:highlight w:val="none"/>
        </w:rPr>
      </w:pPr>
    </w:p>
    <w:p w14:paraId="7ABAA664">
      <w:pPr>
        <w:autoSpaceDN w:val="0"/>
        <w:spacing w:line="200" w:lineRule="exact"/>
        <w:ind w:firstLine="301"/>
        <w:rPr>
          <w:rFonts w:ascii="宋体" w:hAnsi="Courier New" w:eastAsia="宋体" w:cs="Times New Roman"/>
          <w:color w:val="auto"/>
          <w:spacing w:val="-4"/>
          <w:kern w:val="0"/>
          <w:sz w:val="18"/>
          <w:szCs w:val="20"/>
          <w:highlight w:val="none"/>
        </w:rPr>
      </w:pPr>
    </w:p>
    <w:p w14:paraId="658E4356">
      <w:pPr>
        <w:autoSpaceDN w:val="0"/>
        <w:spacing w:line="200" w:lineRule="exact"/>
        <w:ind w:firstLine="301"/>
        <w:rPr>
          <w:rFonts w:ascii="宋体" w:hAnsi="Courier New" w:eastAsia="宋体" w:cs="Times New Roman"/>
          <w:color w:val="auto"/>
          <w:spacing w:val="-4"/>
          <w:kern w:val="0"/>
          <w:sz w:val="18"/>
          <w:szCs w:val="20"/>
          <w:highlight w:val="none"/>
        </w:rPr>
      </w:pPr>
    </w:p>
    <w:p w14:paraId="1DBA2192">
      <w:pPr>
        <w:autoSpaceDN w:val="0"/>
        <w:spacing w:line="200" w:lineRule="exact"/>
        <w:ind w:firstLine="301"/>
        <w:rPr>
          <w:rFonts w:ascii="宋体" w:hAnsi="Courier New" w:eastAsia="宋体" w:cs="Times New Roman"/>
          <w:color w:val="auto"/>
          <w:spacing w:val="-4"/>
          <w:kern w:val="0"/>
          <w:sz w:val="18"/>
          <w:szCs w:val="20"/>
          <w:highlight w:val="none"/>
        </w:rPr>
      </w:pPr>
    </w:p>
    <w:p w14:paraId="08A6A407">
      <w:pPr>
        <w:autoSpaceDN w:val="0"/>
        <w:spacing w:line="200" w:lineRule="exact"/>
        <w:rPr>
          <w:rFonts w:ascii="宋体" w:hAnsi="Courier New" w:eastAsia="宋体" w:cs="Times New Roman"/>
          <w:color w:val="auto"/>
          <w:spacing w:val="-4"/>
          <w:kern w:val="0"/>
          <w:sz w:val="18"/>
          <w:szCs w:val="20"/>
          <w:highlight w:val="none"/>
        </w:rPr>
      </w:pPr>
    </w:p>
    <w:p w14:paraId="7BEF46AE">
      <w:pPr>
        <w:autoSpaceDN w:val="0"/>
        <w:snapToGrid w:val="0"/>
        <w:spacing w:line="360" w:lineRule="auto"/>
        <w:ind w:left="238"/>
        <w:jc w:val="center"/>
        <w:outlineLvl w:val="0"/>
        <w:rPr>
          <w:rFonts w:ascii="仿宋" w:hAnsi="仿宋" w:eastAsia="仿宋" w:cs="宋体"/>
          <w:b/>
          <w:color w:val="auto"/>
          <w:sz w:val="32"/>
          <w:szCs w:val="32"/>
          <w:highlight w:val="none"/>
        </w:rPr>
      </w:pPr>
      <w:bookmarkStart w:id="553" w:name="_Toc5995"/>
      <w:r>
        <w:rPr>
          <w:rFonts w:hint="eastAsia" w:ascii="仿宋" w:hAnsi="仿宋" w:eastAsia="仿宋" w:cs="宋体"/>
          <w:b/>
          <w:color w:val="auto"/>
          <w:sz w:val="32"/>
          <w:szCs w:val="32"/>
          <w:highlight w:val="none"/>
        </w:rPr>
        <w:t>第七章 附件</w:t>
      </w:r>
      <w:bookmarkEnd w:id="553"/>
    </w:p>
    <w:p w14:paraId="25776C83">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14:paraId="718A9542">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554" w:name="_Toc4294377"/>
      <w:bookmarkStart w:id="555" w:name="_Toc25765007"/>
      <w:bookmarkStart w:id="556" w:name="_Toc7542913"/>
      <w:bookmarkStart w:id="557" w:name="_Toc10432455"/>
      <w:bookmarkStart w:id="558" w:name="_Toc7488756"/>
      <w:bookmarkStart w:id="559" w:name="_Toc7988472"/>
      <w:bookmarkStart w:id="560" w:name="_Toc7993638"/>
      <w:bookmarkStart w:id="561" w:name="_Toc7663594"/>
      <w:bookmarkStart w:id="562" w:name="_Toc8007002"/>
      <w:bookmarkStart w:id="563" w:name="_Toc17428251"/>
      <w:bookmarkStart w:id="564" w:name="_Toc7492525"/>
      <w:bookmarkStart w:id="565" w:name="_Toc7574702"/>
      <w:bookmarkStart w:id="566" w:name="_Toc17428346"/>
      <w:bookmarkStart w:id="567" w:name="_Toc24471815"/>
      <w:bookmarkStart w:id="568" w:name="_Toc7988418"/>
      <w:bookmarkStart w:id="569" w:name="_Toc7668947"/>
      <w:bookmarkStart w:id="570" w:name="_Toc7664194"/>
      <w:bookmarkStart w:id="571" w:name="_Toc20358289"/>
      <w:bookmarkStart w:id="572" w:name="_Toc532440701"/>
      <w:bookmarkStart w:id="573" w:name="_Toc522830351"/>
      <w:bookmarkStart w:id="574" w:name="_Toc2002574"/>
      <w:bookmarkStart w:id="575" w:name="_Toc4649580"/>
      <w:bookmarkStart w:id="576" w:name="_Toc522417531"/>
      <w:r>
        <w:rPr>
          <w:rFonts w:hint="eastAsia" w:ascii="仿宋" w:hAnsi="仿宋" w:eastAsia="仿宋" w:cs="宋体"/>
          <w:b/>
          <w:bCs/>
          <w:color w:val="auto"/>
          <w:kern w:val="0"/>
          <w:sz w:val="24"/>
          <w:szCs w:val="24"/>
          <w:highlight w:val="none"/>
        </w:rPr>
        <w:t>一、</w:t>
      </w:r>
      <w:bookmarkEnd w:id="554"/>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26F97486">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C8D039A">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14:paraId="78D02A3F">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14:paraId="64F1A41A">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14:paraId="253164F8">
            <w:pPr>
              <w:autoSpaceDN w:val="0"/>
              <w:spacing w:line="360" w:lineRule="auto"/>
              <w:jc w:val="center"/>
              <w:rPr>
                <w:rFonts w:ascii="仿宋" w:hAnsi="仿宋" w:eastAsia="仿宋" w:cs="宋体"/>
                <w:b/>
                <w:color w:val="auto"/>
                <w:sz w:val="24"/>
                <w:szCs w:val="24"/>
                <w:highlight w:val="none"/>
              </w:rPr>
            </w:pPr>
          </w:p>
          <w:p w14:paraId="72FB4AAB">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2D6C7463">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34B9D3F4">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805173F">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659C365">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CA9EF07">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2E43CA9E">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9C0D886">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763F97AB">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14:paraId="00AA793B">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14:paraId="4AF7F2FA">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14:paraId="25312BF0">
      <w:pPr>
        <w:widowControl/>
        <w:autoSpaceDN w:val="0"/>
        <w:spacing w:line="360" w:lineRule="auto"/>
        <w:jc w:val="right"/>
        <w:rPr>
          <w:rFonts w:ascii="仿宋" w:hAnsi="仿宋" w:eastAsia="仿宋" w:cs="宋体"/>
          <w:color w:val="auto"/>
          <w:kern w:val="0"/>
          <w:sz w:val="24"/>
          <w:szCs w:val="24"/>
          <w:highlight w:val="none"/>
        </w:rPr>
      </w:pPr>
    </w:p>
    <w:p w14:paraId="6A6F6084">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577" w:name="_Toc25765008"/>
      <w:bookmarkStart w:id="578" w:name="_Toc7664195"/>
      <w:bookmarkStart w:id="579" w:name="_Toc7663595"/>
      <w:bookmarkStart w:id="580" w:name="_Toc8007003"/>
      <w:bookmarkStart w:id="581" w:name="_Toc7668948"/>
      <w:bookmarkStart w:id="582" w:name="_Toc24471816"/>
      <w:bookmarkStart w:id="583" w:name="_Toc17428347"/>
      <w:bookmarkStart w:id="584" w:name="_Toc7542914"/>
      <w:bookmarkStart w:id="585" w:name="_Toc7993639"/>
      <w:bookmarkStart w:id="586" w:name="_Toc7574703"/>
      <w:bookmarkStart w:id="587" w:name="_Toc7988419"/>
      <w:bookmarkStart w:id="588" w:name="_Toc20358290"/>
      <w:bookmarkStart w:id="589" w:name="_Toc10432456"/>
      <w:bookmarkStart w:id="590" w:name="_Toc17428252"/>
      <w:bookmarkStart w:id="591" w:name="_Toc7488757"/>
      <w:bookmarkStart w:id="592" w:name="_Toc7988473"/>
      <w:bookmarkStart w:id="593" w:name="_Toc7492526"/>
      <w:r>
        <w:rPr>
          <w:rFonts w:hint="eastAsia" w:ascii="仿宋" w:hAnsi="仿宋" w:eastAsia="仿宋" w:cs="宋体"/>
          <w:b/>
          <w:bCs/>
          <w:color w:val="auto"/>
          <w:kern w:val="0"/>
          <w:sz w:val="24"/>
          <w:szCs w:val="24"/>
          <w:highlight w:val="none"/>
        </w:rPr>
        <w:t>二、关于印发节能产品政府采购品目清单的通知（财库〔2019〕19号）</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5BFFDEEC">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4DD688FC">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14:paraId="3A520E01">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14:paraId="78F009C3">
            <w:pPr>
              <w:widowControl/>
              <w:autoSpaceDN w:val="0"/>
              <w:spacing w:line="360" w:lineRule="auto"/>
              <w:jc w:val="center"/>
              <w:rPr>
                <w:rFonts w:ascii="仿宋" w:hAnsi="仿宋" w:eastAsia="仿宋" w:cs="宋体"/>
                <w:color w:val="auto"/>
                <w:kern w:val="0"/>
                <w:sz w:val="24"/>
                <w:szCs w:val="24"/>
                <w:highlight w:val="none"/>
              </w:rPr>
            </w:pPr>
          </w:p>
          <w:p w14:paraId="2BB37008">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14:paraId="1DDDB5DB">
            <w:pPr>
              <w:widowControl/>
              <w:autoSpaceDN w:val="0"/>
              <w:spacing w:line="360" w:lineRule="auto"/>
              <w:jc w:val="left"/>
              <w:rPr>
                <w:rFonts w:ascii="仿宋" w:hAnsi="仿宋" w:eastAsia="仿宋" w:cs="宋体"/>
                <w:color w:val="auto"/>
                <w:kern w:val="0"/>
                <w:sz w:val="24"/>
                <w:szCs w:val="24"/>
                <w:highlight w:val="none"/>
              </w:rPr>
            </w:pPr>
          </w:p>
          <w:p w14:paraId="5D9648F4">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14:paraId="6979B3E5">
            <w:pPr>
              <w:widowControl/>
              <w:autoSpaceDN w:val="0"/>
              <w:spacing w:line="360" w:lineRule="auto"/>
              <w:jc w:val="left"/>
              <w:rPr>
                <w:rFonts w:ascii="仿宋" w:hAnsi="仿宋" w:eastAsia="仿宋" w:cs="宋体"/>
                <w:color w:val="auto"/>
                <w:kern w:val="0"/>
                <w:sz w:val="24"/>
                <w:szCs w:val="24"/>
                <w:highlight w:val="none"/>
              </w:rPr>
            </w:pPr>
          </w:p>
          <w:p w14:paraId="7CF750AC">
            <w:pPr>
              <w:widowControl/>
              <w:autoSpaceDN w:val="0"/>
              <w:spacing w:line="360" w:lineRule="auto"/>
              <w:jc w:val="left"/>
              <w:rPr>
                <w:rFonts w:ascii="仿宋" w:hAnsi="仿宋" w:eastAsia="仿宋" w:cs="宋体"/>
                <w:color w:val="auto"/>
                <w:kern w:val="0"/>
                <w:sz w:val="24"/>
                <w:szCs w:val="24"/>
                <w:highlight w:val="none"/>
              </w:rPr>
            </w:pPr>
          </w:p>
          <w:p w14:paraId="36DED9AF">
            <w:pPr>
              <w:widowControl/>
              <w:autoSpaceDN w:val="0"/>
              <w:spacing w:line="360" w:lineRule="auto"/>
              <w:jc w:val="left"/>
              <w:rPr>
                <w:rFonts w:ascii="仿宋" w:hAnsi="仿宋" w:eastAsia="仿宋" w:cs="宋体"/>
                <w:color w:val="auto"/>
                <w:kern w:val="0"/>
                <w:sz w:val="24"/>
                <w:szCs w:val="24"/>
                <w:highlight w:val="none"/>
              </w:rPr>
            </w:pPr>
          </w:p>
          <w:p w14:paraId="1E51EA83">
            <w:pPr>
              <w:widowControl/>
              <w:autoSpaceDN w:val="0"/>
              <w:spacing w:line="360" w:lineRule="auto"/>
              <w:jc w:val="left"/>
              <w:rPr>
                <w:rFonts w:ascii="仿宋" w:hAnsi="仿宋" w:eastAsia="仿宋" w:cs="宋体"/>
                <w:color w:val="auto"/>
                <w:kern w:val="0"/>
                <w:sz w:val="24"/>
                <w:szCs w:val="24"/>
                <w:highlight w:val="none"/>
              </w:rPr>
            </w:pPr>
          </w:p>
          <w:p w14:paraId="479E788F">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14:paraId="2583DF0A">
            <w:pPr>
              <w:widowControl/>
              <w:autoSpaceDN w:val="0"/>
              <w:spacing w:line="360" w:lineRule="auto"/>
              <w:jc w:val="left"/>
              <w:rPr>
                <w:rFonts w:ascii="仿宋" w:hAnsi="仿宋" w:eastAsia="仿宋" w:cs="宋体"/>
                <w:color w:val="auto"/>
                <w:kern w:val="0"/>
                <w:sz w:val="24"/>
                <w:szCs w:val="24"/>
                <w:highlight w:val="none"/>
              </w:rPr>
            </w:pPr>
          </w:p>
          <w:p w14:paraId="4F105B59">
            <w:pPr>
              <w:widowControl/>
              <w:autoSpaceDN w:val="0"/>
              <w:spacing w:line="360" w:lineRule="auto"/>
              <w:jc w:val="left"/>
              <w:rPr>
                <w:rFonts w:ascii="仿宋" w:hAnsi="仿宋" w:eastAsia="仿宋" w:cs="宋体"/>
                <w:color w:val="auto"/>
                <w:kern w:val="0"/>
                <w:sz w:val="24"/>
                <w:szCs w:val="24"/>
                <w:highlight w:val="none"/>
              </w:rPr>
            </w:pPr>
          </w:p>
          <w:p w14:paraId="418D4192">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14:paraId="63194884">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14:paraId="0217DDF4">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586D05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8AA816D">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70341DBF">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1A660F7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4BD4D1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986550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617A0A9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F65E5D">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38EDF2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B133B4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03E8FC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E77FD1E">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C363B2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87CCB6">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FC54CE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F239A7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18DC0F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C2C9D3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697F61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C973AD">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1679614">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DF55C2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3A8EC9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D5796B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43F04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0A4A67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792EFB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B03C44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25D1C1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2D1C2A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42422CF">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95818E5">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3BFDDC9">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2AC44A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308ABC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B04FC9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95A1368">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FA73041">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BF325A6">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9F82AB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1DBE14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57D4294">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1701A1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A65EB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D8B80D1">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BD9CDE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14:paraId="1C33C8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0379BDB">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062DCA8">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B7C01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503E5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8756F1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14:paraId="54D9C9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99EEB9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0C05EE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05074D">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EF5F0D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C250FB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14:paraId="7051B1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209DB2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F28AD7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693DA0B">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1209EB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B76316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49251C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91E011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F1C116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D3FAD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94B48A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82EDEC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14:paraId="67DD93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FD3CFD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6BD9753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071F6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F02BA9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6BE26A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14:paraId="06F17B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A7D30F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FCB49DE">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4DDABF4">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71A9578">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1E4F0A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14:paraId="57DFB2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92D2371">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3B5A427">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A6760FA">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B005DD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81CE73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14:paraId="37FE58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CDD4D2">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26A5D78">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2590B4FD">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B7C1312">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1F4661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664203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3A18A63">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746D09B">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2BD9F94">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9FBF5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E7D416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14:paraId="42F052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D9F4A3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2EEE2E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83268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F6A2A3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6E24EA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14:paraId="1E3E0B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8953ACB">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FFD324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7E679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58121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0BB1C8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14:paraId="2543346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14:paraId="121184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D4AB47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5FA7F2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ECE09F">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B720B5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12A62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14:paraId="31E654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504698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551225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9FCD6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196F7A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7A78D5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14:paraId="4F6C72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C3E729B">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2BF9ED1">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3C912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A99DEE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C0964C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14:paraId="6E3141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E73448C">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719609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9C31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A32BCFD">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89027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14:paraId="553A75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2A373F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3A51677">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F5B8235">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49F2730">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8AF20B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14:paraId="418638B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14:paraId="493449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EAB889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5A3E56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BA413AF">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093D8B2">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2ED006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6D5FF3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5ECF46C">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E69D131">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C8B0550">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C57B6F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C12E09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14:paraId="6B3F104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14:paraId="5A641E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1B6C8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81F7200">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65469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52BBFE">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A02D9A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14:paraId="467FED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DEB52F4">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7DA3275">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8CE87D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63E656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2C4E48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14:paraId="78912F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4B9D06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77CD41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AE13392">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C84513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B2D6BE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14:paraId="559EA0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4C9868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23C151B">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602A213">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E1070B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C1171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14:paraId="3589DF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1913F7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C3D03CF">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BC809E5">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4306D0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0D3B9C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14:paraId="5B4C11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55123A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14D1567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EF1827">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87E72D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608D12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14:paraId="52810B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049D592">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B92EDD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BC67D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CE794A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3F32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14:paraId="0EE0D3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AF87C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7F7B26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83271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67EFD1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0BF1DA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14:paraId="2FACA0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218F511">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27E710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C404C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5F8D05D">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5E59E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14:paraId="24949B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8DB31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31B3C8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EE37C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BDF79C1">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74EC97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14:paraId="2272DD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416992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1FF9377">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C90B94">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FCE145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FEE425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14:paraId="2F7AF8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BAAC9BC">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20A04C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65BA6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AABF9A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2952A0D">
            <w:pPr>
              <w:autoSpaceDN w:val="0"/>
              <w:jc w:val="left"/>
              <w:rPr>
                <w:rFonts w:ascii="仿宋" w:hAnsi="仿宋" w:eastAsia="仿宋" w:cs="宋体"/>
                <w:color w:val="auto"/>
                <w:w w:val="90"/>
                <w:sz w:val="24"/>
                <w:szCs w:val="24"/>
                <w:highlight w:val="none"/>
              </w:rPr>
            </w:pPr>
          </w:p>
        </w:tc>
      </w:tr>
      <w:tr w14:paraId="14BD3E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ABC15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2725D88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F0F21B">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384FD0E">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FECD6A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14:paraId="1BF4ADD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14:paraId="1A9216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17C10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955525C">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454FF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319879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73124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14:paraId="31C0E5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178CFE1">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2CBD9B5">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6BCF0B">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FF2AE1D">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C0E758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14:paraId="041B3F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03C2D0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F97692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AA3604">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2E7156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62D54C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14:paraId="3A42B5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469653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A5CDF3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EC6B4B">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3DCF124">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E1BC43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14:paraId="120666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2C348CB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77076A2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7281196F">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5DB9B67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389A499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14:paraId="1A8E504B">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14:paraId="60AAFDF3">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14:paraId="1ADD2FAB">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14:paraId="327A652D">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594" w:name="_Toc7492527"/>
      <w:bookmarkStart w:id="595" w:name="_Toc17428253"/>
      <w:bookmarkStart w:id="596" w:name="_Toc8007004"/>
      <w:bookmarkStart w:id="597" w:name="_Toc7988420"/>
      <w:bookmarkStart w:id="598" w:name="_Toc7988474"/>
      <w:bookmarkStart w:id="599" w:name="_Toc20358291"/>
      <w:bookmarkStart w:id="600" w:name="_Toc7574704"/>
      <w:bookmarkStart w:id="601" w:name="_Toc10432457"/>
      <w:bookmarkStart w:id="602" w:name="_Toc7668949"/>
      <w:bookmarkStart w:id="603" w:name="_Toc25765009"/>
      <w:bookmarkStart w:id="604" w:name="_Toc7664196"/>
      <w:bookmarkStart w:id="605" w:name="_Toc7488758"/>
      <w:bookmarkStart w:id="606" w:name="_Toc7993640"/>
      <w:bookmarkStart w:id="607" w:name="_Toc24471817"/>
      <w:bookmarkStart w:id="608" w:name="_Toc17428348"/>
      <w:bookmarkStart w:id="609" w:name="_Toc7542915"/>
      <w:bookmarkStart w:id="610" w:name="_Toc7663596"/>
      <w:r>
        <w:rPr>
          <w:rFonts w:hint="eastAsia" w:ascii="仿宋" w:hAnsi="仿宋" w:eastAsia="仿宋" w:cs="宋体"/>
          <w:b/>
          <w:bCs/>
          <w:color w:val="auto"/>
          <w:kern w:val="0"/>
          <w:sz w:val="24"/>
          <w:szCs w:val="24"/>
          <w:highlight w:val="none"/>
        </w:rPr>
        <w:t>三、关于印发环境标志产品政府采购品目清单的通知（财库〔2019〕18号）</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1C882FB7">
      <w:pPr>
        <w:autoSpaceDN w:val="0"/>
        <w:jc w:val="center"/>
        <w:rPr>
          <w:rFonts w:ascii="仿宋" w:hAnsi="仿宋" w:eastAsia="仿宋" w:cs="宋体"/>
          <w:color w:val="auto"/>
          <w:kern w:val="0"/>
          <w:sz w:val="24"/>
          <w:szCs w:val="24"/>
          <w:highlight w:val="none"/>
        </w:rPr>
      </w:pPr>
    </w:p>
    <w:p w14:paraId="2F9B3415">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14:paraId="7029D0BC">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14:paraId="0F39A49A">
      <w:pPr>
        <w:autoSpaceDN w:val="0"/>
        <w:spacing w:line="360" w:lineRule="auto"/>
        <w:rPr>
          <w:rFonts w:ascii="仿宋" w:hAnsi="仿宋" w:eastAsia="仿宋" w:cs="宋体"/>
          <w:color w:val="auto"/>
          <w:kern w:val="0"/>
          <w:sz w:val="24"/>
          <w:szCs w:val="24"/>
          <w:highlight w:val="none"/>
        </w:rPr>
      </w:pPr>
    </w:p>
    <w:p w14:paraId="316C556E">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14:paraId="24161A41">
      <w:pPr>
        <w:autoSpaceDN w:val="0"/>
        <w:spacing w:line="360" w:lineRule="auto"/>
        <w:rPr>
          <w:rFonts w:ascii="仿宋" w:hAnsi="仿宋" w:eastAsia="仿宋" w:cs="宋体"/>
          <w:color w:val="auto"/>
          <w:kern w:val="0"/>
          <w:sz w:val="24"/>
          <w:szCs w:val="24"/>
          <w:highlight w:val="none"/>
        </w:rPr>
      </w:pPr>
    </w:p>
    <w:p w14:paraId="7EF9F96A">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56E2547D">
      <w:pPr>
        <w:autoSpaceDN w:val="0"/>
        <w:spacing w:line="360" w:lineRule="auto"/>
        <w:ind w:firstLine="484" w:firstLineChars="202"/>
        <w:rPr>
          <w:rFonts w:ascii="仿宋" w:hAnsi="仿宋" w:eastAsia="仿宋" w:cs="宋体"/>
          <w:color w:val="auto"/>
          <w:kern w:val="0"/>
          <w:sz w:val="24"/>
          <w:szCs w:val="24"/>
          <w:highlight w:val="none"/>
        </w:rPr>
      </w:pPr>
    </w:p>
    <w:p w14:paraId="43D0185A">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14:paraId="2142FF7A">
      <w:pPr>
        <w:autoSpaceDN w:val="0"/>
        <w:spacing w:line="360" w:lineRule="auto"/>
        <w:ind w:firstLine="3360"/>
        <w:rPr>
          <w:rFonts w:ascii="仿宋" w:hAnsi="仿宋" w:eastAsia="仿宋" w:cs="宋体"/>
          <w:color w:val="auto"/>
          <w:kern w:val="0"/>
          <w:sz w:val="24"/>
          <w:szCs w:val="24"/>
          <w:highlight w:val="none"/>
        </w:rPr>
      </w:pPr>
    </w:p>
    <w:p w14:paraId="224FA970">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14:paraId="6523F76A">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14:paraId="2FD79385">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0C20BF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7C433260">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38F07DA5">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7D10E4A6">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5C9F20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F717D1C">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FD98A3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98412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08B24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3AC860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14:paraId="4B7186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FB1734E">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A15140">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8B6DCE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A44EC1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12249A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6F0D10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D4D6A92">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DFE45C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C8660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FEAF9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DA35BF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38C8CA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32F75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48F41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C9FF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564BC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3A7007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06BAE9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A0921E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B66E1B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ED8C1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24E03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9BA9A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9BCDD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BA086A5">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85A4FA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AE2F6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5D60A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52BA2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71989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D9CE8A2">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79571C2">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39F05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C5799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AD777B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3DC6A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9C3303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01CEE8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40F71D9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335EE7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09F3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689095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9E22FD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5522FBB">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CFE1709">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AC6A91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2516B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715558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DC1F4E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DD2E7D">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44D52D2">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6EFAD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9AA91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14B93E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23035F4">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E92D8BD">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2919152">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580B54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5B751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1E9B2D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193BCBD">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BBC5775">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4373F13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1F93F9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2096CA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7DDE3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22C41C4">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E3C8A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B94ACD1">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B6B01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88DED8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0687BE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67548C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C76ED8F">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84884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C6CD30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5E969A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14:paraId="1FBFAE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095DF3E">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0A20C8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C7DAC1">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20090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9077FD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14:paraId="42EF1E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79721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BF0B90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F7488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A7A24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09D2F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358933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A77CD1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1042F8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89FC952">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FB3DF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85B54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76F268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B7B188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C69054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FD4A6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71BBC0F">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E0A949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14:paraId="2DE027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C9076C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D2A69B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F268A1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48D654F">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745B5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9E6F6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B59AF6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AA9D25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F70CA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AC38B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109394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58C43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C78CB4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11C064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2928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509999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C55E05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3F89A3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0F5DEE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37459A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A0DFB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B4681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09518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77EA5D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E5EB23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1E6C1C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A540D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AB6605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19B8FD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62BC87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5099142">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B1685C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17771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41807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EACCB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279571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59AF5E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4D8AB5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31C50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5F8B2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6974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246FE0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B353110">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2A80B27">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C0B6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36812F">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D06AEE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D6059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3057F5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4F441A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88152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A0B02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9244A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14:paraId="11AA6F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457D6A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8D398F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A1229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B7C36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D139F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14:paraId="0A32FF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27FDF9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EB1674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6D46E0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8CFA5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16C137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14:paraId="7476DA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187E5C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586807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FA730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1A9BD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9D8927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0A8F06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E965A3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90FC19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821D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A68CC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73C66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5B4F29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BFB44B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187CCC3">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C73C1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5923B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DBCB3E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14C168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6F003CE">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0CEBC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1C52E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A49CE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1249DA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88FFC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ADBD64D">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EB9384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B1536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DAC06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13617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0556E6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CB6A81">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4C183E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EDC8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32DD39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01AF5D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15071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1E87197">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D5AAD7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BD483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A88DA7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F32220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4B2289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60F2D3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F4650BF">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94B14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6322B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C3728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A3F90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0FCDC3">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4556997">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C07EB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CA7A3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CC059B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4EFEC9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3A539A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4A1FE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A3F91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982D1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F06B29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96C11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8C3590">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0EF99DF">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EEE19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50648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42E25C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8CF3A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1F1922E">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B81B55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17BC0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9438B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50DA2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4ABB70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0F5E3F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437951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5F275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75E15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53B10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412AB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3DE5E7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4DB996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798126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05DB8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C4483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66D4B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B3D2D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5090BA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11F87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76AB0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8B05E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B91C2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9EDA1A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C5F931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9A596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65B1D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564801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8894C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1DC968E">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6889FF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6D095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0D17B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52B2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A05E3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3FE590">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C566767">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C9CD0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CC8ED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90B89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33997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F03E79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3D920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BA8D2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C72D4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20B12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094009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369DABD">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EF9576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9A127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C2F3C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0E50D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0C2926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8AB9D6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AC1F41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BD425D">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A7ABDF">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796BC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6C333E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1A9BD7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7D5B45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74B6CA">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9531E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A878E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2334A9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4E3A71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C8E309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EAE7C5">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CA6560">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A01AE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14:paraId="29FFF7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650785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82696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5DEE03">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80B2BF">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56121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8DA47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BC14E7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1EB7D4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32BF8C">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FEB5020">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6DB58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0CE232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9004C3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B780F2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14:paraId="17E92D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789B14">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E2310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7F761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FAE97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CA7644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CBE06A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1203D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2B354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A72E7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14:paraId="079095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7F3DE62">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1A7087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FD16F8">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67227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A192F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14:paraId="008CA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0B21252">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A75B96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5616DA">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B7AE1F">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79F97BB">
            <w:pPr>
              <w:autoSpaceDN w:val="0"/>
              <w:rPr>
                <w:rFonts w:ascii="仿宋" w:hAnsi="仿宋" w:eastAsia="仿宋" w:cs="宋体"/>
                <w:color w:val="auto"/>
                <w:w w:val="90"/>
                <w:sz w:val="24"/>
                <w:szCs w:val="24"/>
                <w:highlight w:val="none"/>
              </w:rPr>
            </w:pPr>
          </w:p>
        </w:tc>
      </w:tr>
      <w:tr w14:paraId="342CEC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F81CB26">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15B45A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58AE1C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047EE5">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385196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066400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A6766F7">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BE5E1D5">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15628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7186B9">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64A2B1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4DB900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5844955">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EFE156C">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88BE6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FC69A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6EF4F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436255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D57D481">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802F2E">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9EDB23">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49CF57">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0A41FB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70EAF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E65A0D3">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BD794F9">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87AD18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C4DCF1">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D5CEC8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6E10BE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0CE610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86E055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D0B23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524091">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2839C5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14:paraId="7E9667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36DA285">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0008A2D">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C1D39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DF096B">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79253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14:paraId="37B623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AFC727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1BFBB6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857AF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CA5AA0">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03754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HJ2519水泥</w:t>
            </w:r>
          </w:p>
        </w:tc>
      </w:tr>
      <w:tr w14:paraId="38D004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172D943">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E05D41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A5DCF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1A66B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DE4424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HJ/T412预拌混凝土</w:t>
            </w:r>
          </w:p>
        </w:tc>
      </w:tr>
      <w:tr w14:paraId="6AE13F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F520028">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7DCB4E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915E35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BFEC2E">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8D47D8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51C67A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E566A35">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435508A">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5F9D7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27D3AF">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F0E67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1E4EFC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64B43A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07050C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D8226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ACE57F">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ECFA6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28F34E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7495907">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3E9337A">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68ADE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E3736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6CFB22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614397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90AE86B">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283231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E526F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1542E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B54C7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070AEB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9233EC7">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82C580B">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83A92A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19301E">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57B6C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3CB060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8F46CA9">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3F95E5E">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A6273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3B7ED7">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7DBC5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485DFE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5668C1E">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A1A38B5">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FE617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EE6A79">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77860B">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3A4BD7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8FB6E0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0B886E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1BA0D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F5FA92">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9AA22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14:paraId="086D24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A9E37C8">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2CEBA0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C2F46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281D2A">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F3C22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14:paraId="33A4F4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E116E12">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DB88A52">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9F473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7B6071">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02FC4F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14:paraId="631732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A3758A1">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84FF7E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E5089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8870B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59C63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7B2B25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FC53DA">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A297DE0">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CEF69B">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2D7784B">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F2EA2D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4412E8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153D6F8">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86AC62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3FB841">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8C6E66">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74489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410C6E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46DA61B">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D8A111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BF149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85F89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9F805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HJ456刚性防水材料</w:t>
            </w:r>
          </w:p>
        </w:tc>
      </w:tr>
      <w:tr w14:paraId="6671C4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4E931D1">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128EC4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FC3E7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F57F06">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116E59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3E97E6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57C8D16">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63D450F">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8F0F8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53F8B9">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79B81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5C5B72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473AE45">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4F1761E">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E4D29B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4598D5">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05174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4AE10C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3487A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9455E2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39A60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FA34CA9">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6C0BB6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5E15F0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6A55336">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F76144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F4196A">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7FF80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25A525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3B2E11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AAD03DC">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A79BC4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37DF55">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97F91E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E0E06F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 237塑料门窗/HJ459 木质门和钢质门</w:t>
            </w:r>
          </w:p>
        </w:tc>
      </w:tr>
      <w:tr w14:paraId="2784A6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16A671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A02578B">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E53627">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5B5B07">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5BFBB6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HJ/T237塑料门窗</w:t>
            </w:r>
          </w:p>
        </w:tc>
      </w:tr>
      <w:tr w14:paraId="42907D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6EF8071">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D1F35E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637549">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9740A5">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897CC9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2EDE6C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C34C767">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FD28B0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2CE98E">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508CE2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DD927F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HJ2541胶粘剂</w:t>
            </w:r>
          </w:p>
        </w:tc>
      </w:tr>
      <w:tr w14:paraId="5C40FC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25E9889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0B2ACFB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046E9F48">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22E148C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37B2AA6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HJ/T226建筑用塑料管材/HJ/T231 再生塑料制品</w:t>
            </w:r>
          </w:p>
        </w:tc>
      </w:tr>
    </w:tbl>
    <w:p w14:paraId="441634DE">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14:paraId="22F6F42E">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611" w:name="_Toc7542916"/>
      <w:bookmarkStart w:id="612" w:name="_Toc7664197"/>
      <w:bookmarkStart w:id="613" w:name="_Toc24471818"/>
      <w:bookmarkStart w:id="614" w:name="_Toc10432458"/>
      <w:bookmarkStart w:id="615" w:name="_Toc7574705"/>
      <w:bookmarkStart w:id="616" w:name="_Toc8007005"/>
      <w:bookmarkStart w:id="617" w:name="_Toc7663597"/>
      <w:bookmarkStart w:id="618" w:name="_Toc7993641"/>
      <w:bookmarkStart w:id="619" w:name="_Toc20358292"/>
      <w:bookmarkStart w:id="620" w:name="_Toc7988421"/>
      <w:bookmarkStart w:id="621" w:name="_Toc7668950"/>
      <w:bookmarkStart w:id="622" w:name="_Toc7988475"/>
      <w:bookmarkStart w:id="623" w:name="_Toc7492528"/>
      <w:bookmarkStart w:id="624" w:name="_Toc17428254"/>
      <w:bookmarkStart w:id="625" w:name="_Toc7488759"/>
      <w:bookmarkStart w:id="626" w:name="_Toc17428349"/>
      <w:bookmarkStart w:id="627" w:name="_Toc25765010"/>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77023FC8">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14:paraId="2C55C8E7">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14:paraId="72091976">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14:paraId="6222B203">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14:paraId="6813F787">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10BD919">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14:paraId="1E9472DE">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14:paraId="40077FDF">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14:paraId="7AC163F4">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CAC3B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68246E97">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58B386DF">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A4A080D">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0523E246">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14:paraId="585410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666D31E">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1BDC7FE">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58AE278D">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C30229E">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4DACCB6F">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79053876">
            <w:pPr>
              <w:widowControl/>
              <w:jc w:val="left"/>
              <w:rPr>
                <w:rFonts w:ascii="仿宋" w:hAnsi="仿宋" w:eastAsia="仿宋" w:cs="宋体"/>
                <w:b/>
                <w:color w:val="auto"/>
                <w:w w:val="90"/>
                <w:kern w:val="0"/>
                <w:sz w:val="24"/>
                <w:szCs w:val="24"/>
                <w:highlight w:val="none"/>
              </w:rPr>
            </w:pPr>
          </w:p>
        </w:tc>
      </w:tr>
      <w:tr w14:paraId="2B51DF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0D1EF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68ABD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960C7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69CAA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90988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638328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24F6794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14:paraId="1E982AC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14:paraId="4EAF04A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14129A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EF11B29">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2ABF3F3">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9BA7517">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2AB59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E85689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F09BFDE">
            <w:pPr>
              <w:widowControl/>
              <w:jc w:val="left"/>
              <w:rPr>
                <w:rFonts w:ascii="仿宋" w:hAnsi="仿宋" w:eastAsia="仿宋" w:cs="宋体"/>
                <w:color w:val="auto"/>
                <w:w w:val="90"/>
                <w:kern w:val="0"/>
                <w:sz w:val="24"/>
                <w:szCs w:val="24"/>
                <w:highlight w:val="none"/>
              </w:rPr>
            </w:pPr>
          </w:p>
        </w:tc>
      </w:tr>
      <w:tr w14:paraId="41B7E8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8B2FF6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5FD00E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619CDF5">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FEF0A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D63A09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214C435">
            <w:pPr>
              <w:widowControl/>
              <w:jc w:val="left"/>
              <w:rPr>
                <w:rFonts w:ascii="仿宋" w:hAnsi="仿宋" w:eastAsia="仿宋" w:cs="宋体"/>
                <w:color w:val="auto"/>
                <w:w w:val="90"/>
                <w:kern w:val="0"/>
                <w:sz w:val="24"/>
                <w:szCs w:val="24"/>
                <w:highlight w:val="none"/>
              </w:rPr>
            </w:pPr>
          </w:p>
        </w:tc>
      </w:tr>
      <w:tr w14:paraId="3E718A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66940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4AE16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B64A7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52ADF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E899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C4A0367">
            <w:pPr>
              <w:widowControl/>
              <w:jc w:val="left"/>
              <w:rPr>
                <w:rFonts w:ascii="仿宋" w:hAnsi="仿宋" w:eastAsia="仿宋" w:cs="宋体"/>
                <w:color w:val="auto"/>
                <w:w w:val="90"/>
                <w:kern w:val="0"/>
                <w:sz w:val="24"/>
                <w:szCs w:val="24"/>
                <w:highlight w:val="none"/>
              </w:rPr>
            </w:pPr>
          </w:p>
        </w:tc>
      </w:tr>
      <w:tr w14:paraId="6C6FCF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4D60D0B">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2BF311E">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BCC28B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43902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4FE42E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9592866">
            <w:pPr>
              <w:widowControl/>
              <w:jc w:val="left"/>
              <w:rPr>
                <w:rFonts w:ascii="仿宋" w:hAnsi="仿宋" w:eastAsia="仿宋" w:cs="宋体"/>
                <w:color w:val="auto"/>
                <w:w w:val="90"/>
                <w:kern w:val="0"/>
                <w:sz w:val="24"/>
                <w:szCs w:val="24"/>
                <w:highlight w:val="none"/>
              </w:rPr>
            </w:pPr>
          </w:p>
        </w:tc>
      </w:tr>
      <w:tr w14:paraId="59F136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8822550">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3DE2DD3">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90E799">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119A4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D59148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D762EE1">
            <w:pPr>
              <w:widowControl/>
              <w:jc w:val="left"/>
              <w:rPr>
                <w:rFonts w:ascii="仿宋" w:hAnsi="仿宋" w:eastAsia="仿宋" w:cs="宋体"/>
                <w:color w:val="auto"/>
                <w:w w:val="90"/>
                <w:kern w:val="0"/>
                <w:sz w:val="24"/>
                <w:szCs w:val="24"/>
                <w:highlight w:val="none"/>
              </w:rPr>
            </w:pPr>
          </w:p>
        </w:tc>
      </w:tr>
      <w:tr w14:paraId="08CC09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C1880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8D4B1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87830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BBA306">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6A0F72">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4DF6255">
            <w:pPr>
              <w:widowControl/>
              <w:jc w:val="left"/>
              <w:rPr>
                <w:rFonts w:ascii="仿宋" w:hAnsi="仿宋" w:eastAsia="仿宋" w:cs="宋体"/>
                <w:color w:val="auto"/>
                <w:w w:val="90"/>
                <w:kern w:val="0"/>
                <w:sz w:val="24"/>
                <w:szCs w:val="24"/>
                <w:highlight w:val="none"/>
              </w:rPr>
            </w:pPr>
          </w:p>
        </w:tc>
      </w:tr>
      <w:tr w14:paraId="1CD9A5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8818C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2C3F1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7C842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E5EA15">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5230B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4250FBE">
            <w:pPr>
              <w:widowControl/>
              <w:jc w:val="left"/>
              <w:rPr>
                <w:rFonts w:ascii="仿宋" w:hAnsi="仿宋" w:eastAsia="仿宋" w:cs="宋体"/>
                <w:color w:val="auto"/>
                <w:w w:val="90"/>
                <w:kern w:val="0"/>
                <w:sz w:val="24"/>
                <w:szCs w:val="24"/>
                <w:highlight w:val="none"/>
              </w:rPr>
            </w:pPr>
          </w:p>
        </w:tc>
      </w:tr>
      <w:tr w14:paraId="628D83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A8F91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688BD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C9C8E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2DA4F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1F013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C7E27C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EC972E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114A182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253F3B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F434A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96117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29C22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0B030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80E73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3B6A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0F2CD9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DC5875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14:paraId="1DE6405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14:paraId="1C8728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5D1B4F7">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918149C">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BDB9D4F">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2EA41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F5A99C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CACF80">
            <w:pPr>
              <w:widowControl/>
              <w:jc w:val="left"/>
              <w:rPr>
                <w:rFonts w:ascii="仿宋" w:hAnsi="仿宋" w:eastAsia="仿宋" w:cs="宋体"/>
                <w:color w:val="auto"/>
                <w:w w:val="90"/>
                <w:kern w:val="0"/>
                <w:sz w:val="24"/>
                <w:szCs w:val="24"/>
                <w:highlight w:val="none"/>
              </w:rPr>
            </w:pPr>
          </w:p>
        </w:tc>
      </w:tr>
      <w:tr w14:paraId="0D4A52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8222B21">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1DD4EF5">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22AC8C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6611F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CCD665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EDADC82">
            <w:pPr>
              <w:widowControl/>
              <w:jc w:val="left"/>
              <w:rPr>
                <w:rFonts w:ascii="仿宋" w:hAnsi="仿宋" w:eastAsia="仿宋" w:cs="宋体"/>
                <w:color w:val="auto"/>
                <w:w w:val="90"/>
                <w:kern w:val="0"/>
                <w:sz w:val="24"/>
                <w:szCs w:val="24"/>
                <w:highlight w:val="none"/>
              </w:rPr>
            </w:pPr>
          </w:p>
        </w:tc>
      </w:tr>
      <w:tr w14:paraId="0811CC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73B7D7D">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4A156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523E6F5">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603D5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01E01A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A3255C9">
            <w:pPr>
              <w:widowControl/>
              <w:jc w:val="left"/>
              <w:rPr>
                <w:rFonts w:ascii="仿宋" w:hAnsi="仿宋" w:eastAsia="仿宋" w:cs="宋体"/>
                <w:color w:val="auto"/>
                <w:w w:val="90"/>
                <w:kern w:val="0"/>
                <w:sz w:val="24"/>
                <w:szCs w:val="24"/>
                <w:highlight w:val="none"/>
              </w:rPr>
            </w:pPr>
          </w:p>
        </w:tc>
      </w:tr>
      <w:tr w14:paraId="3B0D6F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CEB66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37EAB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34B79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73E36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E81EF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EF8D24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2AA6F05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615FF73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399C44F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14:paraId="02AC3B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8153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038E8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7F312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8C6413">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E829B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F95DC7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33708B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015706C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4CB8B7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80736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D7587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6ABBD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B421A8">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7C16F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78A52B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3093B41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2D706AA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38A85F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71F39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9B006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6B8F1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5D421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BE4DC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CBB36DE">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1534BF7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23A2D3E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3BAD25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E6A1A27">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77A2282">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38AB4F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4E06A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B613B9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C37AEF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3F3F88B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036D295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0DD83D1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14:paraId="4579CE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C8D2024">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170189">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6A2B360">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C80BB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77755C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1821D63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5247EB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441DC77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5AA693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CECA1BC">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059EDC">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BAC379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8DE45C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22778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0F3B0A0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6FB9B2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5D7C42B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031869F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14:paraId="1CA531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77927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3AD4F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08091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520556">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A37462">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B499A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D77BBD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556EF47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519D9C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860458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58835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B29F8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9DF30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8215B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488A93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9D137C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14:paraId="1A55334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5ABBCD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9B659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95B5C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6BCEF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F09A2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558BC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7E01614">
            <w:pPr>
              <w:widowControl/>
              <w:jc w:val="left"/>
              <w:rPr>
                <w:rFonts w:ascii="仿宋" w:hAnsi="仿宋" w:eastAsia="仿宋" w:cs="宋体"/>
                <w:color w:val="auto"/>
                <w:w w:val="90"/>
                <w:kern w:val="0"/>
                <w:sz w:val="24"/>
                <w:szCs w:val="24"/>
                <w:highlight w:val="none"/>
              </w:rPr>
            </w:pPr>
          </w:p>
        </w:tc>
      </w:tr>
      <w:tr w14:paraId="297238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C8090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0F6E1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FE6D4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B1F96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B8E2D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4E4366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220768B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14:paraId="11489B1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14:paraId="686545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E9296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E6BB5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AE182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E078D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87A0B4">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272CC46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B7760EE">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14:paraId="2DCE8F8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7C9FC2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15D13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091E1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D4987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EA294E">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3F7CE3">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76A6EB5A">
            <w:pPr>
              <w:widowControl/>
              <w:jc w:val="left"/>
              <w:rPr>
                <w:rFonts w:ascii="仿宋" w:hAnsi="仿宋" w:eastAsia="仿宋" w:cs="宋体"/>
                <w:color w:val="auto"/>
                <w:w w:val="90"/>
                <w:kern w:val="0"/>
                <w:sz w:val="24"/>
                <w:szCs w:val="24"/>
                <w:highlight w:val="none"/>
              </w:rPr>
            </w:pPr>
          </w:p>
        </w:tc>
      </w:tr>
      <w:tr w14:paraId="25BFBF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E9E49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F3220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6DA16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D639C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74333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61DE3C64">
            <w:pPr>
              <w:widowControl/>
              <w:jc w:val="left"/>
              <w:rPr>
                <w:rFonts w:ascii="仿宋" w:hAnsi="仿宋" w:eastAsia="仿宋" w:cs="宋体"/>
                <w:color w:val="auto"/>
                <w:w w:val="90"/>
                <w:kern w:val="0"/>
                <w:sz w:val="24"/>
                <w:szCs w:val="24"/>
                <w:highlight w:val="none"/>
              </w:rPr>
            </w:pPr>
          </w:p>
        </w:tc>
      </w:tr>
      <w:tr w14:paraId="2C8642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835354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C4A0C5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FC7F86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591C4B0">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433672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30A4859">
            <w:pPr>
              <w:widowControl/>
              <w:jc w:val="left"/>
              <w:rPr>
                <w:rFonts w:ascii="仿宋" w:hAnsi="仿宋" w:eastAsia="仿宋" w:cs="宋体"/>
                <w:color w:val="auto"/>
                <w:w w:val="90"/>
                <w:kern w:val="0"/>
                <w:sz w:val="24"/>
                <w:szCs w:val="24"/>
                <w:highlight w:val="none"/>
              </w:rPr>
            </w:pPr>
          </w:p>
        </w:tc>
      </w:tr>
    </w:tbl>
    <w:p w14:paraId="35BB46A5">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62AE6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6C91F6B0">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36B1BA78">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5B4B633C">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14:paraId="526777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6CF8C26">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3406D7D">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9B52C87">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14:paraId="567A01E5">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14:paraId="21A799A4">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14:paraId="35BDEE30">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572"/>
      <w:bookmarkEnd w:id="573"/>
      <w:bookmarkEnd w:id="574"/>
      <w:bookmarkEnd w:id="575"/>
      <w:bookmarkEnd w:id="576"/>
    </w:tbl>
    <w:p w14:paraId="665EC368">
      <w:pPr>
        <w:autoSpaceDN w:val="0"/>
        <w:rPr>
          <w:rFonts w:ascii="仿宋" w:hAnsi="仿宋" w:eastAsia="仿宋" w:cs="宋体"/>
          <w:b/>
          <w:bCs/>
          <w:color w:val="auto"/>
          <w:sz w:val="24"/>
          <w:szCs w:val="24"/>
          <w:highlight w:val="none"/>
        </w:rPr>
      </w:pPr>
    </w:p>
    <w:p w14:paraId="5C7B48F1">
      <w:pPr>
        <w:rPr>
          <w:rFonts w:ascii="Times New Roman" w:hAnsi="Times New Roman" w:eastAsia="宋体" w:cs="Times New Roman"/>
          <w:color w:val="auto"/>
          <w:szCs w:val="24"/>
          <w:highlight w:val="none"/>
        </w:rPr>
      </w:pPr>
    </w:p>
    <w:p w14:paraId="00AA2F6E">
      <w:pPr>
        <w:rPr>
          <w:rFonts w:ascii="Times New Roman" w:hAnsi="Times New Roman" w:eastAsia="宋体" w:cs="Times New Roman"/>
          <w:color w:val="auto"/>
          <w:szCs w:val="24"/>
          <w:highlight w:val="none"/>
        </w:rPr>
      </w:pPr>
    </w:p>
    <w:bookmarkEnd w:id="0"/>
    <w:p w14:paraId="1BEA3554">
      <w:pPr>
        <w:rPr>
          <w:color w:val="auto"/>
          <w:highlight w:val="none"/>
        </w:rPr>
      </w:pP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E0A1">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F1B9">
    <w:pPr>
      <w:pStyle w:val="37"/>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9A56">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32B2">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45F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4C45F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A756">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39CD0">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3939CD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CE1C">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010F96">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3D010F96">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094A">
    <w:pPr>
      <w:pStyle w:val="38"/>
      <w:tabs>
        <w:tab w:val="left" w:pos="7734"/>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4738A">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76FB">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7E01">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F3D7C"/>
    <w:multiLevelType w:val="singleLevel"/>
    <w:tmpl w:val="996F3D7C"/>
    <w:lvl w:ilvl="0" w:tentative="0">
      <w:start w:val="1"/>
      <w:numFmt w:val="chineseCounting"/>
      <w:suff w:val="nothing"/>
      <w:lvlText w:val="%1、"/>
      <w:lvlJc w:val="left"/>
      <w:rPr>
        <w:rFonts w:hint="eastAsia"/>
      </w:r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6"/>
      <w:lvlText w:val="%1"/>
      <w:lvlJc w:val="left"/>
      <w:pPr>
        <w:ind w:left="704" w:hanging="420"/>
      </w:pPr>
      <w:rPr>
        <w:rFonts w:cs="Times New Roman"/>
      </w:rPr>
    </w:lvl>
    <w:lvl w:ilvl="1" w:tentative="0">
      <w:start w:val="1"/>
      <w:numFmt w:val="lowerLetter"/>
      <w:pStyle w:val="514"/>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26"/>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0C76C4"/>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359DB"/>
    <w:rsid w:val="00874A74"/>
    <w:rsid w:val="00877BE2"/>
    <w:rsid w:val="0088277F"/>
    <w:rsid w:val="008943A5"/>
    <w:rsid w:val="008A75AC"/>
    <w:rsid w:val="008B600D"/>
    <w:rsid w:val="008D2F23"/>
    <w:rsid w:val="008F46A2"/>
    <w:rsid w:val="00913F68"/>
    <w:rsid w:val="009155D9"/>
    <w:rsid w:val="009323A6"/>
    <w:rsid w:val="00A40F4E"/>
    <w:rsid w:val="00A442DC"/>
    <w:rsid w:val="00A66CA9"/>
    <w:rsid w:val="00B07FBC"/>
    <w:rsid w:val="00B206EC"/>
    <w:rsid w:val="00B2192F"/>
    <w:rsid w:val="00B233CB"/>
    <w:rsid w:val="00B30565"/>
    <w:rsid w:val="00B51557"/>
    <w:rsid w:val="00B911CF"/>
    <w:rsid w:val="00B9194C"/>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4E37"/>
    <w:rsid w:val="00DF5F58"/>
    <w:rsid w:val="00E004F8"/>
    <w:rsid w:val="00E5189A"/>
    <w:rsid w:val="00E80370"/>
    <w:rsid w:val="00E95B60"/>
    <w:rsid w:val="00EA058C"/>
    <w:rsid w:val="00EB0C27"/>
    <w:rsid w:val="00EE2410"/>
    <w:rsid w:val="00F03C16"/>
    <w:rsid w:val="00F133AA"/>
    <w:rsid w:val="00F46312"/>
    <w:rsid w:val="00F74272"/>
    <w:rsid w:val="00F85B13"/>
    <w:rsid w:val="00F93DAC"/>
    <w:rsid w:val="00FD0CC6"/>
    <w:rsid w:val="00FD2FBF"/>
    <w:rsid w:val="00FF7E52"/>
    <w:rsid w:val="01791910"/>
    <w:rsid w:val="01AF7562"/>
    <w:rsid w:val="02356D6A"/>
    <w:rsid w:val="028B4E8E"/>
    <w:rsid w:val="02925A61"/>
    <w:rsid w:val="02B96468"/>
    <w:rsid w:val="030B374D"/>
    <w:rsid w:val="0326440A"/>
    <w:rsid w:val="03443858"/>
    <w:rsid w:val="0369158A"/>
    <w:rsid w:val="041D6583"/>
    <w:rsid w:val="048E122E"/>
    <w:rsid w:val="04E23328"/>
    <w:rsid w:val="04F0583E"/>
    <w:rsid w:val="05065269"/>
    <w:rsid w:val="052D36E5"/>
    <w:rsid w:val="05EF03F3"/>
    <w:rsid w:val="0610493F"/>
    <w:rsid w:val="06147E59"/>
    <w:rsid w:val="06286606"/>
    <w:rsid w:val="062F6624"/>
    <w:rsid w:val="06541A9E"/>
    <w:rsid w:val="069F7DB0"/>
    <w:rsid w:val="06AE6004"/>
    <w:rsid w:val="06F2019A"/>
    <w:rsid w:val="06F86E33"/>
    <w:rsid w:val="06FC2DC7"/>
    <w:rsid w:val="07057522"/>
    <w:rsid w:val="071B5392"/>
    <w:rsid w:val="07224AC8"/>
    <w:rsid w:val="07807554"/>
    <w:rsid w:val="079925E1"/>
    <w:rsid w:val="07B54E60"/>
    <w:rsid w:val="07D94EB6"/>
    <w:rsid w:val="08B52B24"/>
    <w:rsid w:val="08F17D67"/>
    <w:rsid w:val="08FF6B9F"/>
    <w:rsid w:val="091F7F85"/>
    <w:rsid w:val="0949606C"/>
    <w:rsid w:val="094D790A"/>
    <w:rsid w:val="098502D3"/>
    <w:rsid w:val="09BE4C65"/>
    <w:rsid w:val="09D27A29"/>
    <w:rsid w:val="0A16757C"/>
    <w:rsid w:val="0A3E36F7"/>
    <w:rsid w:val="0A780FD3"/>
    <w:rsid w:val="0ACD43E8"/>
    <w:rsid w:val="0ADB7197"/>
    <w:rsid w:val="0AF3628F"/>
    <w:rsid w:val="0B064214"/>
    <w:rsid w:val="0B3C7C36"/>
    <w:rsid w:val="0BBC0505"/>
    <w:rsid w:val="0BE43E2A"/>
    <w:rsid w:val="0C6812D0"/>
    <w:rsid w:val="0C851169"/>
    <w:rsid w:val="0D3E56CD"/>
    <w:rsid w:val="0D4D7A24"/>
    <w:rsid w:val="0D4E1EA3"/>
    <w:rsid w:val="0DD979BE"/>
    <w:rsid w:val="0E48092C"/>
    <w:rsid w:val="0E545297"/>
    <w:rsid w:val="0E743B70"/>
    <w:rsid w:val="0E8010F9"/>
    <w:rsid w:val="0E9B1118"/>
    <w:rsid w:val="0EEB2A4C"/>
    <w:rsid w:val="0EF645A0"/>
    <w:rsid w:val="0F9A0092"/>
    <w:rsid w:val="101A2510"/>
    <w:rsid w:val="104B091B"/>
    <w:rsid w:val="1084221D"/>
    <w:rsid w:val="10B72A0C"/>
    <w:rsid w:val="10BB15FD"/>
    <w:rsid w:val="1102547E"/>
    <w:rsid w:val="112C0073"/>
    <w:rsid w:val="1152290F"/>
    <w:rsid w:val="1178361C"/>
    <w:rsid w:val="117A1879"/>
    <w:rsid w:val="118C512A"/>
    <w:rsid w:val="11D164A4"/>
    <w:rsid w:val="11F078CC"/>
    <w:rsid w:val="121B4BF4"/>
    <w:rsid w:val="128D1FAA"/>
    <w:rsid w:val="129975A8"/>
    <w:rsid w:val="129F0AAB"/>
    <w:rsid w:val="12AB56BA"/>
    <w:rsid w:val="13223BB5"/>
    <w:rsid w:val="13547F36"/>
    <w:rsid w:val="136F5004"/>
    <w:rsid w:val="13731A92"/>
    <w:rsid w:val="13B567D8"/>
    <w:rsid w:val="13BD7245"/>
    <w:rsid w:val="141E5A8F"/>
    <w:rsid w:val="14391215"/>
    <w:rsid w:val="14550A82"/>
    <w:rsid w:val="14884E2D"/>
    <w:rsid w:val="14BB6070"/>
    <w:rsid w:val="14D56A06"/>
    <w:rsid w:val="14EF3F6B"/>
    <w:rsid w:val="1518061A"/>
    <w:rsid w:val="151856A7"/>
    <w:rsid w:val="15454D0E"/>
    <w:rsid w:val="15712BD2"/>
    <w:rsid w:val="158F12AA"/>
    <w:rsid w:val="15CC7AFB"/>
    <w:rsid w:val="16414353"/>
    <w:rsid w:val="16A935B1"/>
    <w:rsid w:val="17455FEB"/>
    <w:rsid w:val="17481711"/>
    <w:rsid w:val="1767603B"/>
    <w:rsid w:val="18131D1F"/>
    <w:rsid w:val="182F0E04"/>
    <w:rsid w:val="18C748B7"/>
    <w:rsid w:val="18C80D5B"/>
    <w:rsid w:val="18CE20EA"/>
    <w:rsid w:val="18DA283C"/>
    <w:rsid w:val="19566367"/>
    <w:rsid w:val="19575C3B"/>
    <w:rsid w:val="19894F54"/>
    <w:rsid w:val="19991019"/>
    <w:rsid w:val="19BB441C"/>
    <w:rsid w:val="19D52777"/>
    <w:rsid w:val="1A4C776A"/>
    <w:rsid w:val="1AC6751C"/>
    <w:rsid w:val="1AF1649A"/>
    <w:rsid w:val="1AFC6E58"/>
    <w:rsid w:val="1BEA2178"/>
    <w:rsid w:val="1BEE6D2B"/>
    <w:rsid w:val="1C281B11"/>
    <w:rsid w:val="1C2C7DBA"/>
    <w:rsid w:val="1C7E5859"/>
    <w:rsid w:val="1CE7377A"/>
    <w:rsid w:val="1D040DAB"/>
    <w:rsid w:val="1D4604F3"/>
    <w:rsid w:val="1D7C655F"/>
    <w:rsid w:val="1DF20628"/>
    <w:rsid w:val="1E1E36A6"/>
    <w:rsid w:val="1E4F5A7B"/>
    <w:rsid w:val="1E761FB4"/>
    <w:rsid w:val="1F0B19A2"/>
    <w:rsid w:val="1F15637C"/>
    <w:rsid w:val="1F371E52"/>
    <w:rsid w:val="1F427E7B"/>
    <w:rsid w:val="1F9A50E7"/>
    <w:rsid w:val="1FAE731F"/>
    <w:rsid w:val="1FF64A1D"/>
    <w:rsid w:val="2059498F"/>
    <w:rsid w:val="207B66B3"/>
    <w:rsid w:val="207D68CF"/>
    <w:rsid w:val="20904E15"/>
    <w:rsid w:val="209B6D55"/>
    <w:rsid w:val="21333432"/>
    <w:rsid w:val="21385966"/>
    <w:rsid w:val="217E4766"/>
    <w:rsid w:val="21D00C81"/>
    <w:rsid w:val="21D20555"/>
    <w:rsid w:val="21E8421C"/>
    <w:rsid w:val="22066484"/>
    <w:rsid w:val="223D3B7A"/>
    <w:rsid w:val="226E008B"/>
    <w:rsid w:val="22CE51C0"/>
    <w:rsid w:val="22D958E1"/>
    <w:rsid w:val="22E83DA8"/>
    <w:rsid w:val="22FC115A"/>
    <w:rsid w:val="2312153D"/>
    <w:rsid w:val="23775858"/>
    <w:rsid w:val="238B1783"/>
    <w:rsid w:val="239F5281"/>
    <w:rsid w:val="23CD2307"/>
    <w:rsid w:val="242C042C"/>
    <w:rsid w:val="248F1CB6"/>
    <w:rsid w:val="24E76A0D"/>
    <w:rsid w:val="24FD0A87"/>
    <w:rsid w:val="25CA2314"/>
    <w:rsid w:val="26094761"/>
    <w:rsid w:val="265D4703"/>
    <w:rsid w:val="26704BBE"/>
    <w:rsid w:val="26C64400"/>
    <w:rsid w:val="26E33204"/>
    <w:rsid w:val="26EF2BC4"/>
    <w:rsid w:val="26F1147D"/>
    <w:rsid w:val="27455C6D"/>
    <w:rsid w:val="27572D81"/>
    <w:rsid w:val="27987C58"/>
    <w:rsid w:val="27B33F58"/>
    <w:rsid w:val="27B8643F"/>
    <w:rsid w:val="27FA7609"/>
    <w:rsid w:val="28127A77"/>
    <w:rsid w:val="28133675"/>
    <w:rsid w:val="283E1BE5"/>
    <w:rsid w:val="285C501C"/>
    <w:rsid w:val="28996270"/>
    <w:rsid w:val="28C055AB"/>
    <w:rsid w:val="290A5ABA"/>
    <w:rsid w:val="29493E47"/>
    <w:rsid w:val="29534B10"/>
    <w:rsid w:val="2A3049B2"/>
    <w:rsid w:val="2A391AB9"/>
    <w:rsid w:val="2A4B17EC"/>
    <w:rsid w:val="2ACB0237"/>
    <w:rsid w:val="2B193241"/>
    <w:rsid w:val="2B326508"/>
    <w:rsid w:val="2B856638"/>
    <w:rsid w:val="2BDE1B3D"/>
    <w:rsid w:val="2C2C73FB"/>
    <w:rsid w:val="2C4D184B"/>
    <w:rsid w:val="2C5F157F"/>
    <w:rsid w:val="2C6B4AC3"/>
    <w:rsid w:val="2C730B86"/>
    <w:rsid w:val="2CCB6BEF"/>
    <w:rsid w:val="2CD226C8"/>
    <w:rsid w:val="2D23435A"/>
    <w:rsid w:val="2D7626DC"/>
    <w:rsid w:val="2D79220F"/>
    <w:rsid w:val="2ED4493C"/>
    <w:rsid w:val="2EE43FBD"/>
    <w:rsid w:val="2F454A5C"/>
    <w:rsid w:val="2F741AF9"/>
    <w:rsid w:val="2FA96B3D"/>
    <w:rsid w:val="2FB054D4"/>
    <w:rsid w:val="30313232"/>
    <w:rsid w:val="306D4751"/>
    <w:rsid w:val="30AB2CC3"/>
    <w:rsid w:val="30D00BB3"/>
    <w:rsid w:val="30EB33E1"/>
    <w:rsid w:val="311F12DD"/>
    <w:rsid w:val="314C7B56"/>
    <w:rsid w:val="31501496"/>
    <w:rsid w:val="31AA32FC"/>
    <w:rsid w:val="31BA3142"/>
    <w:rsid w:val="31C14142"/>
    <w:rsid w:val="31D976DD"/>
    <w:rsid w:val="31ED3189"/>
    <w:rsid w:val="324967E6"/>
    <w:rsid w:val="326A2A2B"/>
    <w:rsid w:val="32861A63"/>
    <w:rsid w:val="3291399D"/>
    <w:rsid w:val="3293373B"/>
    <w:rsid w:val="329B4993"/>
    <w:rsid w:val="33524AF4"/>
    <w:rsid w:val="343E1A7A"/>
    <w:rsid w:val="34A00986"/>
    <w:rsid w:val="34BD790F"/>
    <w:rsid w:val="350C7DCA"/>
    <w:rsid w:val="350E5DAF"/>
    <w:rsid w:val="352E1AEE"/>
    <w:rsid w:val="355879C5"/>
    <w:rsid w:val="35CC6F22"/>
    <w:rsid w:val="36015455"/>
    <w:rsid w:val="360B24B9"/>
    <w:rsid w:val="36127662"/>
    <w:rsid w:val="36335B90"/>
    <w:rsid w:val="364D6772"/>
    <w:rsid w:val="3666792F"/>
    <w:rsid w:val="367E6AA5"/>
    <w:rsid w:val="36857E34"/>
    <w:rsid w:val="36ED02CA"/>
    <w:rsid w:val="379A346B"/>
    <w:rsid w:val="379B25D7"/>
    <w:rsid w:val="37B025A2"/>
    <w:rsid w:val="37ED5C00"/>
    <w:rsid w:val="384004B6"/>
    <w:rsid w:val="389D2E4B"/>
    <w:rsid w:val="392B06F0"/>
    <w:rsid w:val="395D3A1B"/>
    <w:rsid w:val="396B70C2"/>
    <w:rsid w:val="397B72CC"/>
    <w:rsid w:val="3995213C"/>
    <w:rsid w:val="39964C0C"/>
    <w:rsid w:val="3A2C1FD8"/>
    <w:rsid w:val="3A2F2590"/>
    <w:rsid w:val="3A7C1869"/>
    <w:rsid w:val="3A824DB6"/>
    <w:rsid w:val="3AD870A0"/>
    <w:rsid w:val="3B464036"/>
    <w:rsid w:val="3B5068F7"/>
    <w:rsid w:val="3B6049CB"/>
    <w:rsid w:val="3B842468"/>
    <w:rsid w:val="3B887743"/>
    <w:rsid w:val="3B921D33"/>
    <w:rsid w:val="3B9C1EA7"/>
    <w:rsid w:val="3C2B135B"/>
    <w:rsid w:val="3C502C92"/>
    <w:rsid w:val="3C5A336A"/>
    <w:rsid w:val="3C6A3D54"/>
    <w:rsid w:val="3CC233F6"/>
    <w:rsid w:val="3CDB69FF"/>
    <w:rsid w:val="3CF47AC1"/>
    <w:rsid w:val="3D113ED7"/>
    <w:rsid w:val="3D9D3CB5"/>
    <w:rsid w:val="3DD26D7F"/>
    <w:rsid w:val="3DEB4A20"/>
    <w:rsid w:val="3E2148E6"/>
    <w:rsid w:val="3E541694"/>
    <w:rsid w:val="3E5C6B29"/>
    <w:rsid w:val="3E64615F"/>
    <w:rsid w:val="3E6F7DAB"/>
    <w:rsid w:val="3E98746E"/>
    <w:rsid w:val="3E9C3F6D"/>
    <w:rsid w:val="3EC104C1"/>
    <w:rsid w:val="3EEB27FE"/>
    <w:rsid w:val="3FEC4311"/>
    <w:rsid w:val="3FF73B50"/>
    <w:rsid w:val="40185F30"/>
    <w:rsid w:val="40750F19"/>
    <w:rsid w:val="40A47108"/>
    <w:rsid w:val="410706BB"/>
    <w:rsid w:val="415154E2"/>
    <w:rsid w:val="4164302A"/>
    <w:rsid w:val="41753E74"/>
    <w:rsid w:val="41CE0F85"/>
    <w:rsid w:val="42022339"/>
    <w:rsid w:val="426B77AA"/>
    <w:rsid w:val="42843695"/>
    <w:rsid w:val="442742D8"/>
    <w:rsid w:val="447119F7"/>
    <w:rsid w:val="44832FFF"/>
    <w:rsid w:val="44B034E0"/>
    <w:rsid w:val="44E06E90"/>
    <w:rsid w:val="44F87A23"/>
    <w:rsid w:val="45107462"/>
    <w:rsid w:val="45632161"/>
    <w:rsid w:val="45723C79"/>
    <w:rsid w:val="457C0654"/>
    <w:rsid w:val="458C4D3B"/>
    <w:rsid w:val="45B20519"/>
    <w:rsid w:val="46380953"/>
    <w:rsid w:val="4654384D"/>
    <w:rsid w:val="466E4440"/>
    <w:rsid w:val="46853538"/>
    <w:rsid w:val="46E30E00"/>
    <w:rsid w:val="47512AB9"/>
    <w:rsid w:val="47527A52"/>
    <w:rsid w:val="47743CD8"/>
    <w:rsid w:val="478B5BE9"/>
    <w:rsid w:val="479F09BE"/>
    <w:rsid w:val="47AB0071"/>
    <w:rsid w:val="48074B4D"/>
    <w:rsid w:val="486C75C8"/>
    <w:rsid w:val="488A581A"/>
    <w:rsid w:val="48945CB4"/>
    <w:rsid w:val="48D72771"/>
    <w:rsid w:val="48ED216D"/>
    <w:rsid w:val="49435655"/>
    <w:rsid w:val="4A264695"/>
    <w:rsid w:val="4A280DAA"/>
    <w:rsid w:val="4A677B24"/>
    <w:rsid w:val="4A8174A6"/>
    <w:rsid w:val="4ABB5C20"/>
    <w:rsid w:val="4B3A44A1"/>
    <w:rsid w:val="4B712EE6"/>
    <w:rsid w:val="4B885FA4"/>
    <w:rsid w:val="4BB171F6"/>
    <w:rsid w:val="4BB8681F"/>
    <w:rsid w:val="4BBB52DF"/>
    <w:rsid w:val="4BD05870"/>
    <w:rsid w:val="4C0B2731"/>
    <w:rsid w:val="4C272D43"/>
    <w:rsid w:val="4C653BF0"/>
    <w:rsid w:val="4C8F3363"/>
    <w:rsid w:val="4C984320"/>
    <w:rsid w:val="4C9B1D07"/>
    <w:rsid w:val="4D074245"/>
    <w:rsid w:val="4D0B0C3B"/>
    <w:rsid w:val="4D730019"/>
    <w:rsid w:val="4D7B4228"/>
    <w:rsid w:val="4DBC0187"/>
    <w:rsid w:val="4DBC104C"/>
    <w:rsid w:val="4DED0341"/>
    <w:rsid w:val="4E1B0795"/>
    <w:rsid w:val="4EBB21ED"/>
    <w:rsid w:val="4F0139A1"/>
    <w:rsid w:val="4F0A0A7E"/>
    <w:rsid w:val="4F245FE4"/>
    <w:rsid w:val="4F552641"/>
    <w:rsid w:val="4F555807"/>
    <w:rsid w:val="4FEB4D54"/>
    <w:rsid w:val="4FEE76AD"/>
    <w:rsid w:val="4FF04118"/>
    <w:rsid w:val="4FF57980"/>
    <w:rsid w:val="5023629C"/>
    <w:rsid w:val="502D4DCB"/>
    <w:rsid w:val="5066262C"/>
    <w:rsid w:val="51516E38"/>
    <w:rsid w:val="515B7CB7"/>
    <w:rsid w:val="51786173"/>
    <w:rsid w:val="51AF789D"/>
    <w:rsid w:val="51C43518"/>
    <w:rsid w:val="51D33A37"/>
    <w:rsid w:val="51DB3A12"/>
    <w:rsid w:val="52030738"/>
    <w:rsid w:val="520C495D"/>
    <w:rsid w:val="520F39C4"/>
    <w:rsid w:val="528374C6"/>
    <w:rsid w:val="528E2CE3"/>
    <w:rsid w:val="52911BE2"/>
    <w:rsid w:val="5299786A"/>
    <w:rsid w:val="52B24DB9"/>
    <w:rsid w:val="52E837CD"/>
    <w:rsid w:val="53220A8C"/>
    <w:rsid w:val="532742F5"/>
    <w:rsid w:val="53806B14"/>
    <w:rsid w:val="53B8319F"/>
    <w:rsid w:val="53D042AB"/>
    <w:rsid w:val="540006A2"/>
    <w:rsid w:val="54204874"/>
    <w:rsid w:val="54E81862"/>
    <w:rsid w:val="54F209D1"/>
    <w:rsid w:val="55164621"/>
    <w:rsid w:val="55A31CC2"/>
    <w:rsid w:val="565A63C6"/>
    <w:rsid w:val="567A72D5"/>
    <w:rsid w:val="57790E97"/>
    <w:rsid w:val="578F06BB"/>
    <w:rsid w:val="579655A5"/>
    <w:rsid w:val="579752FC"/>
    <w:rsid w:val="57BB325E"/>
    <w:rsid w:val="57C2283E"/>
    <w:rsid w:val="57C87729"/>
    <w:rsid w:val="57F450C3"/>
    <w:rsid w:val="581666E6"/>
    <w:rsid w:val="582D6CCD"/>
    <w:rsid w:val="586121B4"/>
    <w:rsid w:val="58813437"/>
    <w:rsid w:val="58922210"/>
    <w:rsid w:val="589917F1"/>
    <w:rsid w:val="59314366"/>
    <w:rsid w:val="59525C4D"/>
    <w:rsid w:val="59651ABD"/>
    <w:rsid w:val="59AD3909"/>
    <w:rsid w:val="5A48414F"/>
    <w:rsid w:val="5A557035"/>
    <w:rsid w:val="5A5C0D28"/>
    <w:rsid w:val="5AF03C74"/>
    <w:rsid w:val="5B0A70BC"/>
    <w:rsid w:val="5B1D3A19"/>
    <w:rsid w:val="5B9A0D03"/>
    <w:rsid w:val="5B9C33A6"/>
    <w:rsid w:val="5BA81D4B"/>
    <w:rsid w:val="5BBA55DA"/>
    <w:rsid w:val="5C190553"/>
    <w:rsid w:val="5C367B35"/>
    <w:rsid w:val="5C500B28"/>
    <w:rsid w:val="5C7C039B"/>
    <w:rsid w:val="5CF81C6E"/>
    <w:rsid w:val="5D1C19D8"/>
    <w:rsid w:val="5D256B55"/>
    <w:rsid w:val="5D706898"/>
    <w:rsid w:val="5D84688F"/>
    <w:rsid w:val="5DD40BD5"/>
    <w:rsid w:val="5DDD06C7"/>
    <w:rsid w:val="5DED58A9"/>
    <w:rsid w:val="5E40270F"/>
    <w:rsid w:val="5E783C56"/>
    <w:rsid w:val="5EEC45AB"/>
    <w:rsid w:val="5F437D21"/>
    <w:rsid w:val="5F5603E1"/>
    <w:rsid w:val="5F5E475F"/>
    <w:rsid w:val="5F867F04"/>
    <w:rsid w:val="5FF50E1F"/>
    <w:rsid w:val="60363DC9"/>
    <w:rsid w:val="605B5D36"/>
    <w:rsid w:val="60A76A75"/>
    <w:rsid w:val="60B44CEE"/>
    <w:rsid w:val="60D12EC9"/>
    <w:rsid w:val="61176BE7"/>
    <w:rsid w:val="61700C3D"/>
    <w:rsid w:val="618D36C0"/>
    <w:rsid w:val="61AE5BE1"/>
    <w:rsid w:val="61E82EA1"/>
    <w:rsid w:val="62A72D5C"/>
    <w:rsid w:val="62BA151E"/>
    <w:rsid w:val="62C40459"/>
    <w:rsid w:val="62E10A89"/>
    <w:rsid w:val="63000BBC"/>
    <w:rsid w:val="632B6C39"/>
    <w:rsid w:val="633D0FCB"/>
    <w:rsid w:val="63CD05A1"/>
    <w:rsid w:val="63F26259"/>
    <w:rsid w:val="64430863"/>
    <w:rsid w:val="6458643A"/>
    <w:rsid w:val="646063F6"/>
    <w:rsid w:val="64680C55"/>
    <w:rsid w:val="646C600B"/>
    <w:rsid w:val="64AC31D6"/>
    <w:rsid w:val="64B17EC2"/>
    <w:rsid w:val="65C50B86"/>
    <w:rsid w:val="65C60DEB"/>
    <w:rsid w:val="65DD74C2"/>
    <w:rsid w:val="667D2123"/>
    <w:rsid w:val="669F5CA9"/>
    <w:rsid w:val="67492C4F"/>
    <w:rsid w:val="674E1D56"/>
    <w:rsid w:val="6751773B"/>
    <w:rsid w:val="675635B6"/>
    <w:rsid w:val="676A4358"/>
    <w:rsid w:val="67803B7C"/>
    <w:rsid w:val="67AD4D09"/>
    <w:rsid w:val="68833924"/>
    <w:rsid w:val="695F7AC2"/>
    <w:rsid w:val="69675D2E"/>
    <w:rsid w:val="696F0688"/>
    <w:rsid w:val="697469DA"/>
    <w:rsid w:val="69C73E13"/>
    <w:rsid w:val="6A220F1A"/>
    <w:rsid w:val="6A8F402C"/>
    <w:rsid w:val="6B00125C"/>
    <w:rsid w:val="6B572E46"/>
    <w:rsid w:val="6B772879"/>
    <w:rsid w:val="6BEA35FD"/>
    <w:rsid w:val="6C91288D"/>
    <w:rsid w:val="6CE8198E"/>
    <w:rsid w:val="6CEB5F3B"/>
    <w:rsid w:val="6CF46B9E"/>
    <w:rsid w:val="6D0D53A0"/>
    <w:rsid w:val="6D1159A2"/>
    <w:rsid w:val="6D14184B"/>
    <w:rsid w:val="6D2F407A"/>
    <w:rsid w:val="6D8758DA"/>
    <w:rsid w:val="6D9E29F3"/>
    <w:rsid w:val="6E146DCC"/>
    <w:rsid w:val="6E3418AC"/>
    <w:rsid w:val="6E4219E4"/>
    <w:rsid w:val="6E966AF8"/>
    <w:rsid w:val="6EBC193D"/>
    <w:rsid w:val="6F2F65B3"/>
    <w:rsid w:val="6F360946"/>
    <w:rsid w:val="6F4638FD"/>
    <w:rsid w:val="6F647FD2"/>
    <w:rsid w:val="6F9603E0"/>
    <w:rsid w:val="6FFB46E7"/>
    <w:rsid w:val="702A2EE5"/>
    <w:rsid w:val="7082629A"/>
    <w:rsid w:val="70A82003"/>
    <w:rsid w:val="7105409D"/>
    <w:rsid w:val="715916C6"/>
    <w:rsid w:val="71AF7A24"/>
    <w:rsid w:val="72895FDA"/>
    <w:rsid w:val="72E72D01"/>
    <w:rsid w:val="72F464CC"/>
    <w:rsid w:val="73AA2C22"/>
    <w:rsid w:val="73CF2113"/>
    <w:rsid w:val="73EF6311"/>
    <w:rsid w:val="7433773B"/>
    <w:rsid w:val="74387CB8"/>
    <w:rsid w:val="74411194"/>
    <w:rsid w:val="744A543C"/>
    <w:rsid w:val="74520CFA"/>
    <w:rsid w:val="74B44E65"/>
    <w:rsid w:val="74FD6465"/>
    <w:rsid w:val="751007EA"/>
    <w:rsid w:val="7531025A"/>
    <w:rsid w:val="7551712E"/>
    <w:rsid w:val="758E71FE"/>
    <w:rsid w:val="75BD235C"/>
    <w:rsid w:val="75D141C0"/>
    <w:rsid w:val="75E17EDC"/>
    <w:rsid w:val="761A49D3"/>
    <w:rsid w:val="769214A0"/>
    <w:rsid w:val="770A4EDC"/>
    <w:rsid w:val="771816DB"/>
    <w:rsid w:val="772269FE"/>
    <w:rsid w:val="77297D8C"/>
    <w:rsid w:val="773724A9"/>
    <w:rsid w:val="77390BA8"/>
    <w:rsid w:val="776F1462"/>
    <w:rsid w:val="77852133"/>
    <w:rsid w:val="779416A9"/>
    <w:rsid w:val="77E84A4C"/>
    <w:rsid w:val="78172511"/>
    <w:rsid w:val="781A1483"/>
    <w:rsid w:val="78342545"/>
    <w:rsid w:val="789F75AD"/>
    <w:rsid w:val="78C049FB"/>
    <w:rsid w:val="78E734DC"/>
    <w:rsid w:val="78FA1106"/>
    <w:rsid w:val="78FF0DA4"/>
    <w:rsid w:val="79A56C45"/>
    <w:rsid w:val="79E47F9A"/>
    <w:rsid w:val="7A5E2B5E"/>
    <w:rsid w:val="7AC0574F"/>
    <w:rsid w:val="7AF63774"/>
    <w:rsid w:val="7B1526FE"/>
    <w:rsid w:val="7B3B1E3C"/>
    <w:rsid w:val="7B6E00A7"/>
    <w:rsid w:val="7B7D7929"/>
    <w:rsid w:val="7BD04C7A"/>
    <w:rsid w:val="7BE92F62"/>
    <w:rsid w:val="7BFD3595"/>
    <w:rsid w:val="7C140119"/>
    <w:rsid w:val="7C217284"/>
    <w:rsid w:val="7C2211FF"/>
    <w:rsid w:val="7C3D41A1"/>
    <w:rsid w:val="7C502461"/>
    <w:rsid w:val="7C661E10"/>
    <w:rsid w:val="7CE72622"/>
    <w:rsid w:val="7D7A6BA6"/>
    <w:rsid w:val="7DBA7990"/>
    <w:rsid w:val="7DD547CA"/>
    <w:rsid w:val="7DDB4957"/>
    <w:rsid w:val="7E1C41A7"/>
    <w:rsid w:val="7E953F59"/>
    <w:rsid w:val="7EA30424"/>
    <w:rsid w:val="7EE84089"/>
    <w:rsid w:val="7F051C4B"/>
    <w:rsid w:val="7FC652F9"/>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77"/>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78"/>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79"/>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0"/>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1"/>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2"/>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3"/>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4"/>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6"/>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87"/>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4"/>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0"/>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1"/>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5"/>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5"/>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98"/>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2"/>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2"/>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07"/>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1"/>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0"/>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4"/>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97"/>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88"/>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3"/>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0"/>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5"/>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3"/>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06"/>
    <w:autoRedefine/>
    <w:semiHidden/>
    <w:unhideWhenUsed/>
    <w:qFormat/>
    <w:uiPriority w:val="99"/>
    <w:rPr>
      <w:b/>
      <w:bCs/>
      <w:szCs w:val="20"/>
    </w:rPr>
  </w:style>
  <w:style w:type="paragraph" w:styleId="60">
    <w:name w:val="Body Text First Indent"/>
    <w:basedOn w:val="23"/>
    <w:next w:val="45"/>
    <w:link w:val="99"/>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6">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77">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78">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79">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0">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1">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2">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3">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4">
    <w:name w:val="标题 9 字符"/>
    <w:basedOn w:val="65"/>
    <w:link w:val="12"/>
    <w:autoRedefine/>
    <w:semiHidden/>
    <w:qFormat/>
    <w:uiPriority w:val="99"/>
    <w:rPr>
      <w:rFonts w:ascii="Arial" w:hAnsi="Arial" w:eastAsia="黑体" w:cs="Times New Roman"/>
      <w:kern w:val="0"/>
      <w:sz w:val="20"/>
      <w:szCs w:val="20"/>
    </w:rPr>
  </w:style>
  <w:style w:type="character" w:customStyle="1" w:styleId="85">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6">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7">
    <w:name w:val="正文缩进 字符"/>
    <w:link w:val="16"/>
    <w:autoRedefine/>
    <w:semiHidden/>
    <w:qFormat/>
    <w:locked/>
    <w:uiPriority w:val="0"/>
  </w:style>
  <w:style w:type="character" w:customStyle="1" w:styleId="88">
    <w:name w:val="脚注文本 字符"/>
    <w:basedOn w:val="65"/>
    <w:link w:val="44"/>
    <w:autoRedefine/>
    <w:semiHidden/>
    <w:qFormat/>
    <w:uiPriority w:val="99"/>
    <w:rPr>
      <w:rFonts w:ascii="Calibri" w:hAnsi="Calibri" w:eastAsia="宋体" w:cs="Times New Roman"/>
      <w:sz w:val="18"/>
      <w:szCs w:val="20"/>
    </w:rPr>
  </w:style>
  <w:style w:type="character" w:customStyle="1" w:styleId="89">
    <w:name w:val="批注文字 字符"/>
    <w:basedOn w:val="65"/>
    <w:autoRedefine/>
    <w:semiHidden/>
    <w:qFormat/>
    <w:uiPriority w:val="0"/>
  </w:style>
  <w:style w:type="character" w:customStyle="1" w:styleId="90">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1">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2">
    <w:name w:val="尾注文本 字符"/>
    <w:basedOn w:val="65"/>
    <w:link w:val="35"/>
    <w:autoRedefine/>
    <w:semiHidden/>
    <w:qFormat/>
    <w:uiPriority w:val="99"/>
    <w:rPr>
      <w:rFonts w:ascii="Calibri" w:hAnsi="Calibri" w:eastAsia="宋体" w:cs="Times New Roman"/>
      <w:szCs w:val="20"/>
    </w:rPr>
  </w:style>
  <w:style w:type="character" w:customStyle="1" w:styleId="93">
    <w:name w:val="标题 字符"/>
    <w:basedOn w:val="65"/>
    <w:link w:val="58"/>
    <w:autoRedefine/>
    <w:qFormat/>
    <w:uiPriority w:val="99"/>
    <w:rPr>
      <w:rFonts w:ascii="Cambria" w:hAnsi="Cambria" w:eastAsia="宋体" w:cs="Times New Roman"/>
      <w:b/>
      <w:bCs/>
      <w:kern w:val="0"/>
      <w:sz w:val="28"/>
      <w:szCs w:val="32"/>
    </w:rPr>
  </w:style>
  <w:style w:type="character" w:customStyle="1" w:styleId="94">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5">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96">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97">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98">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99">
    <w:name w:val="正文文本首行缩进 字符"/>
    <w:basedOn w:val="95"/>
    <w:link w:val="60"/>
    <w:autoRedefine/>
    <w:semiHidden/>
    <w:qFormat/>
    <w:uiPriority w:val="99"/>
    <w:rPr>
      <w:rFonts w:ascii="Calibri" w:hAnsi="Calibri" w:eastAsia="宋体" w:cs="Times New Roman"/>
      <w:kern w:val="0"/>
      <w:sz w:val="28"/>
      <w:szCs w:val="24"/>
    </w:rPr>
  </w:style>
  <w:style w:type="character" w:customStyle="1" w:styleId="100">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1">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2">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3">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4">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5">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6">
    <w:name w:val="批注主题 字符"/>
    <w:basedOn w:val="89"/>
    <w:link w:val="59"/>
    <w:autoRedefine/>
    <w:semiHidden/>
    <w:qFormat/>
    <w:uiPriority w:val="99"/>
    <w:rPr>
      <w:rFonts w:ascii="Times New Roman" w:hAnsi="Times New Roman" w:eastAsia="宋体" w:cs="Times New Roman"/>
      <w:b/>
      <w:bCs/>
      <w:kern w:val="0"/>
      <w:sz w:val="20"/>
      <w:szCs w:val="20"/>
    </w:rPr>
  </w:style>
  <w:style w:type="character" w:customStyle="1" w:styleId="107">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08">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09">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0">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1">
    <w:name w:val="Quote"/>
    <w:next w:val="1"/>
    <w:link w:val="112"/>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2">
    <w:name w:val="引用 字符"/>
    <w:basedOn w:val="65"/>
    <w:link w:val="111"/>
    <w:autoRedefine/>
    <w:qFormat/>
    <w:uiPriority w:val="99"/>
    <w:rPr>
      <w:rFonts w:ascii="Times New Roman" w:hAnsi="Times New Roman" w:eastAsia="宋体" w:cs="Times New Roman"/>
      <w:i/>
      <w:kern w:val="0"/>
      <w:szCs w:val="20"/>
    </w:rPr>
  </w:style>
  <w:style w:type="paragraph" w:styleId="113">
    <w:name w:val="Intense Quote"/>
    <w:next w:val="1"/>
    <w:link w:val="114"/>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4">
    <w:name w:val="明显引用 字符"/>
    <w:basedOn w:val="65"/>
    <w:link w:val="113"/>
    <w:autoRedefine/>
    <w:qFormat/>
    <w:uiPriority w:val="99"/>
    <w:rPr>
      <w:rFonts w:ascii="Times New Roman" w:hAnsi="Times New Roman" w:eastAsia="宋体" w:cs="Times New Roman"/>
      <w:i/>
      <w:kern w:val="0"/>
      <w:szCs w:val="20"/>
    </w:rPr>
  </w:style>
  <w:style w:type="paragraph" w:customStyle="1" w:styleId="115">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6">
    <w:name w:val="List Paragraph Char"/>
    <w:link w:val="117"/>
    <w:autoRedefine/>
    <w:qFormat/>
    <w:locked/>
    <w:uiPriority w:val="0"/>
    <w:rPr>
      <w:szCs w:val="24"/>
    </w:rPr>
  </w:style>
  <w:style w:type="paragraph" w:customStyle="1" w:styleId="117">
    <w:name w:val="列表段落1"/>
    <w:basedOn w:val="1"/>
    <w:link w:val="116"/>
    <w:autoRedefine/>
    <w:qFormat/>
    <w:uiPriority w:val="0"/>
    <w:pPr>
      <w:ind w:firstLine="420" w:firstLineChars="200"/>
    </w:pPr>
    <w:rPr>
      <w:szCs w:val="24"/>
    </w:rPr>
  </w:style>
  <w:style w:type="character" w:customStyle="1" w:styleId="118">
    <w:name w:val="目录3 Char"/>
    <w:link w:val="119"/>
    <w:autoRedefine/>
    <w:qFormat/>
    <w:locked/>
    <w:uiPriority w:val="99"/>
    <w:rPr>
      <w:rFonts w:ascii="宋体" w:hAnsi="宋体" w:eastAsia="宋体"/>
      <w:b/>
      <w:sz w:val="24"/>
    </w:rPr>
  </w:style>
  <w:style w:type="paragraph" w:customStyle="1" w:styleId="119">
    <w:name w:val="目录3"/>
    <w:basedOn w:val="1"/>
    <w:link w:val="118"/>
    <w:autoRedefine/>
    <w:qFormat/>
    <w:uiPriority w:val="99"/>
    <w:pPr>
      <w:adjustRightInd w:val="0"/>
      <w:snapToGrid w:val="0"/>
      <w:jc w:val="left"/>
    </w:pPr>
    <w:rPr>
      <w:rFonts w:ascii="宋体" w:hAnsi="宋体" w:eastAsia="宋体"/>
      <w:b/>
      <w:sz w:val="24"/>
    </w:rPr>
  </w:style>
  <w:style w:type="paragraph" w:customStyle="1" w:styleId="120">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1">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2">
    <w:name w:val="无间隔 Char"/>
    <w:link w:val="123"/>
    <w:autoRedefine/>
    <w:qFormat/>
    <w:locked/>
    <w:uiPriority w:val="0"/>
    <w:rPr>
      <w:rFonts w:ascii="Times New Roman" w:hAnsi="Times New Roman" w:eastAsia="Times New Roman" w:cs="Times New Roman"/>
      <w:szCs w:val="24"/>
    </w:rPr>
  </w:style>
  <w:style w:type="paragraph" w:customStyle="1" w:styleId="123">
    <w:name w:val="无间隔1"/>
    <w:link w:val="122"/>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4">
    <w:name w:val="普通文字 Char Char_0"/>
    <w:link w:val="125"/>
    <w:autoRedefine/>
    <w:qFormat/>
    <w:locked/>
    <w:uiPriority w:val="0"/>
    <w:rPr>
      <w:rFonts w:ascii="Arial Unicode MS" w:hAnsi="Arial Unicode MS" w:eastAsia="ヒラギノ角ゴ Pro W3"/>
      <w:color w:val="000000"/>
    </w:rPr>
  </w:style>
  <w:style w:type="paragraph" w:customStyle="1" w:styleId="125">
    <w:name w:val="纯文本_0"/>
    <w:link w:val="124"/>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6">
    <w:name w:val="样式1 Char Char"/>
    <w:link w:val="127"/>
    <w:autoRedefine/>
    <w:qFormat/>
    <w:locked/>
    <w:uiPriority w:val="0"/>
    <w:rPr>
      <w:rFonts w:ascii="宋体" w:hAnsi="宋体" w:eastAsia="宋体"/>
      <w:b/>
      <w:sz w:val="24"/>
    </w:rPr>
  </w:style>
  <w:style w:type="paragraph" w:customStyle="1" w:styleId="127">
    <w:name w:val="样式1"/>
    <w:basedOn w:val="1"/>
    <w:link w:val="126"/>
    <w:autoRedefine/>
    <w:qFormat/>
    <w:uiPriority w:val="0"/>
    <w:pPr>
      <w:spacing w:before="120" w:after="120" w:line="300" w:lineRule="auto"/>
    </w:pPr>
    <w:rPr>
      <w:rFonts w:ascii="宋体" w:hAnsi="宋体" w:eastAsia="宋体"/>
      <w:b/>
      <w:sz w:val="24"/>
    </w:rPr>
  </w:style>
  <w:style w:type="paragraph" w:customStyle="1" w:styleId="128">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纯文本 Char_0"/>
    <w:link w:val="130"/>
    <w:autoRedefine/>
    <w:qFormat/>
    <w:locked/>
    <w:uiPriority w:val="0"/>
    <w:rPr>
      <w:rFonts w:ascii="宋体" w:hAnsi="宋体" w:eastAsia="ヒラギノ角ゴ Pro W3"/>
      <w:color w:val="000000"/>
    </w:rPr>
  </w:style>
  <w:style w:type="paragraph" w:customStyle="1" w:styleId="130">
    <w:name w:val="纯文本_1"/>
    <w:link w:val="129"/>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1">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2">
    <w:name w:val="彩色网格 - 强调文字颜色 1 Char"/>
    <w:link w:val="133"/>
    <w:autoRedefine/>
    <w:qFormat/>
    <w:locked/>
    <w:uiPriority w:val="0"/>
    <w:rPr>
      <w:i/>
      <w:iCs/>
      <w:color w:val="000000"/>
    </w:rPr>
  </w:style>
  <w:style w:type="paragraph" w:customStyle="1" w:styleId="133">
    <w:name w:val="彩色网格 - 强调文字颜色 11"/>
    <w:basedOn w:val="1"/>
    <w:next w:val="1"/>
    <w:link w:val="132"/>
    <w:autoRedefine/>
    <w:qFormat/>
    <w:uiPriority w:val="0"/>
    <w:rPr>
      <w:i/>
      <w:iCs/>
      <w:color w:val="000000"/>
    </w:rPr>
  </w:style>
  <w:style w:type="character" w:customStyle="1" w:styleId="134">
    <w:name w:val="样式 纯文本普通文字 Char纯文本 Char Char普通文字纯文本 Char Char Char Char Char...6 Char Char"/>
    <w:link w:val="135"/>
    <w:autoRedefine/>
    <w:qFormat/>
    <w:locked/>
    <w:uiPriority w:val="0"/>
    <w:rPr>
      <w:rFonts w:ascii="宋体" w:hAnsi="Courier New" w:eastAsia="宋体"/>
      <w:color w:val="000000"/>
      <w:szCs w:val="21"/>
    </w:rPr>
  </w:style>
  <w:style w:type="paragraph" w:customStyle="1" w:styleId="135">
    <w:name w:val="样式 纯文本普通文字 Char纯文本 Char Char普通文字纯文本 Char Char Char Char Char...6"/>
    <w:basedOn w:val="30"/>
    <w:link w:val="134"/>
    <w:autoRedefine/>
    <w:qFormat/>
    <w:uiPriority w:val="0"/>
    <w:pPr>
      <w:spacing w:beforeLines="0" w:afterLines="0" w:line="240" w:lineRule="auto"/>
    </w:pPr>
    <w:rPr>
      <w:rFonts w:cstheme="minorBidi"/>
      <w:color w:val="000000"/>
      <w:kern w:val="2"/>
      <w:sz w:val="21"/>
      <w:szCs w:val="21"/>
    </w:rPr>
  </w:style>
  <w:style w:type="character" w:customStyle="1" w:styleId="136">
    <w:name w:val="引用 Char1"/>
    <w:link w:val="137"/>
    <w:autoRedefine/>
    <w:qFormat/>
    <w:locked/>
    <w:uiPriority w:val="0"/>
    <w:rPr>
      <w:i/>
      <w:iCs/>
      <w:color w:val="000000"/>
      <w:szCs w:val="24"/>
    </w:rPr>
  </w:style>
  <w:style w:type="paragraph" w:customStyle="1" w:styleId="137">
    <w:name w:val="引用1"/>
    <w:basedOn w:val="1"/>
    <w:next w:val="1"/>
    <w:link w:val="136"/>
    <w:autoRedefine/>
    <w:qFormat/>
    <w:uiPriority w:val="0"/>
    <w:rPr>
      <w:i/>
      <w:iCs/>
      <w:color w:val="000000"/>
      <w:szCs w:val="24"/>
    </w:rPr>
  </w:style>
  <w:style w:type="character" w:customStyle="1" w:styleId="138">
    <w:name w:val="标题4 Char Char"/>
    <w:link w:val="139"/>
    <w:autoRedefine/>
    <w:qFormat/>
    <w:locked/>
    <w:uiPriority w:val="0"/>
    <w:rPr>
      <w:rFonts w:ascii="Arial" w:hAnsi="Arial" w:cs="Arial"/>
      <w:b/>
      <w:bCs/>
      <w:sz w:val="24"/>
      <w:szCs w:val="32"/>
    </w:rPr>
  </w:style>
  <w:style w:type="paragraph" w:customStyle="1" w:styleId="139">
    <w:name w:val="标题4"/>
    <w:basedOn w:val="1"/>
    <w:link w:val="138"/>
    <w:autoRedefine/>
    <w:qFormat/>
    <w:uiPriority w:val="0"/>
    <w:rPr>
      <w:rFonts w:ascii="Arial" w:hAnsi="Arial" w:cs="Arial"/>
      <w:b/>
      <w:bCs/>
      <w:sz w:val="24"/>
      <w:szCs w:val="32"/>
    </w:rPr>
  </w:style>
  <w:style w:type="character" w:customStyle="1" w:styleId="140">
    <w:name w:val="明显引用 Char1"/>
    <w:link w:val="141"/>
    <w:autoRedefine/>
    <w:qFormat/>
    <w:locked/>
    <w:uiPriority w:val="0"/>
    <w:rPr>
      <w:b/>
      <w:bCs/>
      <w:i/>
      <w:iCs/>
      <w:color w:val="4F81BD"/>
      <w:szCs w:val="24"/>
    </w:rPr>
  </w:style>
  <w:style w:type="paragraph" w:customStyle="1" w:styleId="141">
    <w:name w:val="Intense Quote1"/>
    <w:basedOn w:val="1"/>
    <w:next w:val="1"/>
    <w:link w:val="140"/>
    <w:autoRedefine/>
    <w:qFormat/>
    <w:uiPriority w:val="0"/>
    <w:pPr>
      <w:pBdr>
        <w:bottom w:val="single" w:color="4F81BD" w:sz="4" w:space="4"/>
      </w:pBdr>
      <w:spacing w:before="200" w:after="280"/>
      <w:ind w:left="936" w:right="936"/>
    </w:pPr>
    <w:rPr>
      <w:b/>
      <w:bCs/>
      <w:i/>
      <w:iCs/>
      <w:color w:val="4F81BD"/>
      <w:szCs w:val="24"/>
    </w:rPr>
  </w:style>
  <w:style w:type="paragraph" w:customStyle="1" w:styleId="142">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3">
    <w:name w:val="标题5 Char Char"/>
    <w:link w:val="144"/>
    <w:autoRedefine/>
    <w:qFormat/>
    <w:locked/>
    <w:uiPriority w:val="0"/>
    <w:rPr>
      <w:rFonts w:ascii="Arial" w:hAnsi="Arial" w:cs="Arial"/>
      <w:b/>
      <w:bCs/>
      <w:sz w:val="24"/>
      <w:szCs w:val="32"/>
    </w:rPr>
  </w:style>
  <w:style w:type="paragraph" w:customStyle="1" w:styleId="144">
    <w:name w:val="标题5"/>
    <w:basedOn w:val="6"/>
    <w:link w:val="143"/>
    <w:autoRedefine/>
    <w:qFormat/>
    <w:uiPriority w:val="0"/>
    <w:pPr>
      <w:spacing w:line="412" w:lineRule="auto"/>
    </w:pPr>
    <w:rPr>
      <w:rFonts w:ascii="Arial" w:hAnsi="Arial" w:cs="Arial" w:eastAsiaTheme="minorEastAsia"/>
      <w:kern w:val="2"/>
      <w:sz w:val="24"/>
    </w:rPr>
  </w:style>
  <w:style w:type="character" w:customStyle="1" w:styleId="145">
    <w:name w:val="正文文字4 Char1_0"/>
    <w:link w:val="146"/>
    <w:autoRedefine/>
    <w:qFormat/>
    <w:locked/>
    <w:uiPriority w:val="0"/>
  </w:style>
  <w:style w:type="paragraph" w:customStyle="1" w:styleId="146">
    <w:name w:val="正文文本缩进_0"/>
    <w:basedOn w:val="131"/>
    <w:link w:val="145"/>
    <w:autoRedefine/>
    <w:qFormat/>
    <w:uiPriority w:val="0"/>
    <w:pPr>
      <w:spacing w:after="120"/>
      <w:ind w:left="420" w:leftChars="200"/>
    </w:pPr>
    <w:rPr>
      <w:rFonts w:asciiTheme="minorHAnsi" w:hAnsiTheme="minorHAnsi" w:eastAsiaTheme="minorEastAsia" w:cstheme="minorBidi"/>
    </w:rPr>
  </w:style>
  <w:style w:type="character" w:customStyle="1" w:styleId="147">
    <w:name w:val="内文 Char Char"/>
    <w:link w:val="148"/>
    <w:autoRedefine/>
    <w:qFormat/>
    <w:locked/>
    <w:uiPriority w:val="0"/>
    <w:rPr>
      <w:rFonts w:ascii="Arial" w:hAnsi="Arial" w:eastAsia="Times New Roman" w:cs="Arial"/>
      <w:szCs w:val="24"/>
    </w:rPr>
  </w:style>
  <w:style w:type="paragraph" w:customStyle="1" w:styleId="148">
    <w:name w:val="内文"/>
    <w:link w:val="147"/>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9">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普通文字 Char Char_1"/>
    <w:link w:val="151"/>
    <w:autoRedefine/>
    <w:qFormat/>
    <w:locked/>
    <w:uiPriority w:val="0"/>
    <w:rPr>
      <w:rFonts w:ascii="宋体" w:hAnsi="Courier New" w:eastAsia="宋体"/>
      <w:szCs w:val="21"/>
    </w:rPr>
  </w:style>
  <w:style w:type="paragraph" w:customStyle="1" w:styleId="151">
    <w:name w:val="纯文本_1_0"/>
    <w:basedOn w:val="142"/>
    <w:link w:val="150"/>
    <w:autoRedefine/>
    <w:qFormat/>
    <w:uiPriority w:val="0"/>
    <w:rPr>
      <w:rFonts w:ascii="宋体" w:hAnsi="Courier New" w:cstheme="minorBidi"/>
      <w:szCs w:val="21"/>
    </w:rPr>
  </w:style>
  <w:style w:type="paragraph" w:customStyle="1" w:styleId="152">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3">
    <w:name w:val="样式 正文文本 Char Char"/>
    <w:link w:val="154"/>
    <w:autoRedefine/>
    <w:qFormat/>
    <w:locked/>
    <w:uiPriority w:val="0"/>
    <w:rPr>
      <w:rFonts w:ascii="Arial" w:hAnsi="Arial" w:cs="Arial"/>
      <w:color w:val="000000"/>
    </w:rPr>
  </w:style>
  <w:style w:type="paragraph" w:customStyle="1" w:styleId="154">
    <w:name w:val="样式 正文文本"/>
    <w:basedOn w:val="1"/>
    <w:link w:val="153"/>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5">
    <w:name w:val="浅色底纹 - 强调文字颜色 2 Char"/>
    <w:link w:val="156"/>
    <w:autoRedefine/>
    <w:qFormat/>
    <w:locked/>
    <w:uiPriority w:val="0"/>
    <w:rPr>
      <w:b/>
      <w:bCs/>
      <w:i/>
      <w:iCs/>
      <w:color w:val="4F81BD"/>
    </w:rPr>
  </w:style>
  <w:style w:type="paragraph" w:customStyle="1" w:styleId="156">
    <w:name w:val="浅色底纹 - 强调文字颜色 21"/>
    <w:basedOn w:val="1"/>
    <w:next w:val="1"/>
    <w:link w:val="155"/>
    <w:autoRedefine/>
    <w:qFormat/>
    <w:uiPriority w:val="0"/>
    <w:pPr>
      <w:pBdr>
        <w:bottom w:val="single" w:color="4F81BD" w:sz="4" w:space="4"/>
      </w:pBdr>
      <w:spacing w:before="200" w:after="280"/>
      <w:ind w:left="936" w:right="936"/>
    </w:pPr>
    <w:rPr>
      <w:b/>
      <w:bCs/>
      <w:i/>
      <w:iCs/>
      <w:color w:val="4F81BD"/>
    </w:rPr>
  </w:style>
  <w:style w:type="character" w:customStyle="1" w:styleId="157">
    <w:name w:val="Intense Quote Char"/>
    <w:link w:val="158"/>
    <w:autoRedefine/>
    <w:qFormat/>
    <w:locked/>
    <w:uiPriority w:val="0"/>
    <w:rPr>
      <w:b/>
      <w:i/>
      <w:color w:val="4F81BD"/>
      <w:sz w:val="22"/>
    </w:rPr>
  </w:style>
  <w:style w:type="paragraph" w:customStyle="1" w:styleId="158">
    <w:name w:val="明显引用1"/>
    <w:basedOn w:val="1"/>
    <w:next w:val="1"/>
    <w:link w:val="157"/>
    <w:autoRedefine/>
    <w:qFormat/>
    <w:uiPriority w:val="0"/>
    <w:pPr>
      <w:pBdr>
        <w:bottom w:val="single" w:color="4F81BD" w:sz="4" w:space="4"/>
      </w:pBdr>
      <w:spacing w:before="200" w:after="280"/>
      <w:ind w:left="936" w:right="936"/>
    </w:pPr>
    <w:rPr>
      <w:b/>
      <w:i/>
      <w:color w:val="4F81BD"/>
      <w:sz w:val="22"/>
    </w:rPr>
  </w:style>
  <w:style w:type="character" w:customStyle="1" w:styleId="159">
    <w:name w:val="Default Char Char"/>
    <w:link w:val="160"/>
    <w:autoRedefine/>
    <w:qFormat/>
    <w:locked/>
    <w:uiPriority w:val="0"/>
    <w:rPr>
      <w:rFonts w:ascii="..ì." w:hAnsi="..ì." w:eastAsia="..ì." w:cs="..ì."/>
      <w:color w:val="000000"/>
      <w:sz w:val="24"/>
      <w:szCs w:val="24"/>
    </w:rPr>
  </w:style>
  <w:style w:type="paragraph" w:customStyle="1" w:styleId="160">
    <w:name w:val="Default"/>
    <w:link w:val="159"/>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1">
    <w:name w:val="Quote Char"/>
    <w:link w:val="162"/>
    <w:autoRedefine/>
    <w:qFormat/>
    <w:locked/>
    <w:uiPriority w:val="0"/>
    <w:rPr>
      <w:i/>
      <w:color w:val="000000"/>
      <w:sz w:val="22"/>
    </w:rPr>
  </w:style>
  <w:style w:type="paragraph" w:customStyle="1" w:styleId="162">
    <w:name w:val="引用11"/>
    <w:basedOn w:val="1"/>
    <w:next w:val="1"/>
    <w:link w:val="161"/>
    <w:autoRedefine/>
    <w:qFormat/>
    <w:uiPriority w:val="0"/>
    <w:rPr>
      <w:i/>
      <w:color w:val="000000"/>
      <w:sz w:val="22"/>
    </w:rPr>
  </w:style>
  <w:style w:type="character" w:customStyle="1" w:styleId="163">
    <w:name w:val="明显引用 Char"/>
    <w:link w:val="164"/>
    <w:autoRedefine/>
    <w:qFormat/>
    <w:locked/>
    <w:uiPriority w:val="0"/>
    <w:rPr>
      <w:b/>
      <w:bCs/>
      <w:i/>
      <w:iCs/>
      <w:color w:val="4F81BD"/>
    </w:rPr>
  </w:style>
  <w:style w:type="paragraph" w:customStyle="1" w:styleId="164">
    <w:name w:val="明显引用2"/>
    <w:basedOn w:val="1"/>
    <w:next w:val="1"/>
    <w:link w:val="163"/>
    <w:autoRedefine/>
    <w:qFormat/>
    <w:uiPriority w:val="0"/>
    <w:pPr>
      <w:pBdr>
        <w:bottom w:val="single" w:color="4F81BD" w:sz="4" w:space="4"/>
      </w:pBdr>
      <w:spacing w:before="200" w:after="280"/>
      <w:ind w:left="936" w:right="936"/>
    </w:pPr>
    <w:rPr>
      <w:b/>
      <w:bCs/>
      <w:i/>
      <w:iCs/>
      <w:color w:val="4F81BD"/>
    </w:rPr>
  </w:style>
  <w:style w:type="paragraph" w:customStyle="1" w:styleId="165">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66">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67">
    <w:name w:val="ca-28"/>
    <w:basedOn w:val="1"/>
    <w:autoRedefine/>
    <w:qFormat/>
    <w:uiPriority w:val="99"/>
    <w:pPr>
      <w:widowControl/>
      <w:jc w:val="left"/>
    </w:pPr>
    <w:rPr>
      <w:rFonts w:ascii="宋体" w:hAnsi="宋体" w:eastAsia="宋体" w:cs="宋体"/>
      <w:color w:val="FF0000"/>
      <w:kern w:val="0"/>
      <w:szCs w:val="21"/>
    </w:rPr>
  </w:style>
  <w:style w:type="paragraph" w:customStyle="1" w:styleId="168">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0">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1">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2">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3">
    <w:name w:val="p0"/>
    <w:basedOn w:val="1"/>
    <w:autoRedefine/>
    <w:qFormat/>
    <w:uiPriority w:val="99"/>
    <w:pPr>
      <w:widowControl/>
    </w:pPr>
    <w:rPr>
      <w:rFonts w:ascii="Times New Roman" w:hAnsi="Times New Roman" w:eastAsia="宋体" w:cs="Times New Roman"/>
      <w:kern w:val="0"/>
      <w:szCs w:val="21"/>
    </w:rPr>
  </w:style>
  <w:style w:type="paragraph" w:customStyle="1" w:styleId="174">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5">
    <w:name w:val="标题 3_0"/>
    <w:next w:val="174"/>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6">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7">
    <w:name w:val="pa-129"/>
    <w:basedOn w:val="1"/>
    <w:autoRedefine/>
    <w:qFormat/>
    <w:uiPriority w:val="99"/>
    <w:pPr>
      <w:widowControl/>
      <w:spacing w:line="300" w:lineRule="atLeast"/>
    </w:pPr>
    <w:rPr>
      <w:rFonts w:ascii="宋体" w:hAnsi="宋体" w:eastAsia="宋体" w:cs="宋体"/>
      <w:kern w:val="0"/>
      <w:sz w:val="24"/>
    </w:rPr>
  </w:style>
  <w:style w:type="paragraph" w:customStyle="1" w:styleId="178">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79">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0">
    <w:name w:val="Char Char Char Char"/>
    <w:basedOn w:val="1"/>
    <w:autoRedefine/>
    <w:qFormat/>
    <w:uiPriority w:val="99"/>
    <w:rPr>
      <w:rFonts w:ascii="Calibri" w:hAnsi="Calibri" w:eastAsia="宋体" w:cs="Times New Roman"/>
    </w:rPr>
  </w:style>
  <w:style w:type="paragraph" w:customStyle="1" w:styleId="181">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2">
    <w:name w:val="内文正文 Char"/>
    <w:link w:val="183"/>
    <w:autoRedefine/>
    <w:qFormat/>
    <w:locked/>
    <w:uiPriority w:val="0"/>
    <w:rPr>
      <w:rFonts w:ascii="宋体" w:hAnsi="???|CS?o｡ﾀ?" w:eastAsia="宋体"/>
      <w:szCs w:val="28"/>
    </w:rPr>
  </w:style>
  <w:style w:type="paragraph" w:customStyle="1" w:styleId="183">
    <w:name w:val="内文正文"/>
    <w:basedOn w:val="30"/>
    <w:link w:val="182"/>
    <w:autoRedefine/>
    <w:qFormat/>
    <w:uiPriority w:val="0"/>
    <w:pPr>
      <w:autoSpaceDE w:val="0"/>
      <w:autoSpaceDN w:val="0"/>
      <w:ind w:firstLine="200" w:firstLineChars="200"/>
    </w:pPr>
    <w:rPr>
      <w:rFonts w:hAnsi="???|CS?o｡ﾀ?" w:cstheme="minorBidi"/>
      <w:kern w:val="2"/>
      <w:sz w:val="21"/>
      <w:szCs w:val="28"/>
    </w:rPr>
  </w:style>
  <w:style w:type="paragraph" w:customStyle="1" w:styleId="184">
    <w:name w:val="Normal_21"/>
    <w:autoRedefine/>
    <w:qFormat/>
    <w:uiPriority w:val="99"/>
    <w:rPr>
      <w:rFonts w:ascii="黑体" w:hAnsi="黑体" w:eastAsia="黑体" w:cs="Times New Roman"/>
      <w:b/>
      <w:sz w:val="32"/>
      <w:szCs w:val="24"/>
      <w:lang w:val="en-US" w:eastAsia="zh-CN" w:bidi="ar-SA"/>
    </w:rPr>
  </w:style>
  <w:style w:type="paragraph" w:customStyle="1" w:styleId="185">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6">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7">
    <w:name w:val="pa-11"/>
    <w:basedOn w:val="1"/>
    <w:autoRedefine/>
    <w:qFormat/>
    <w:uiPriority w:val="99"/>
    <w:pPr>
      <w:widowControl/>
      <w:spacing w:line="280" w:lineRule="atLeast"/>
    </w:pPr>
    <w:rPr>
      <w:rFonts w:ascii="宋体" w:hAnsi="宋体" w:eastAsia="宋体" w:cs="宋体"/>
      <w:kern w:val="0"/>
      <w:sz w:val="24"/>
    </w:rPr>
  </w:style>
  <w:style w:type="paragraph" w:customStyle="1" w:styleId="188">
    <w:name w:val="pa-97"/>
    <w:basedOn w:val="1"/>
    <w:autoRedefine/>
    <w:qFormat/>
    <w:uiPriority w:val="99"/>
    <w:pPr>
      <w:widowControl/>
      <w:spacing w:line="720" w:lineRule="atLeast"/>
    </w:pPr>
    <w:rPr>
      <w:rFonts w:ascii="宋体" w:hAnsi="宋体" w:eastAsia="宋体" w:cs="宋体"/>
      <w:kern w:val="0"/>
      <w:sz w:val="24"/>
    </w:rPr>
  </w:style>
  <w:style w:type="paragraph" w:customStyle="1" w:styleId="189">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0">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1">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2">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3">
    <w:name w:val="Normal_18"/>
    <w:autoRedefine/>
    <w:qFormat/>
    <w:uiPriority w:val="99"/>
    <w:rPr>
      <w:rFonts w:ascii="黑体" w:hAnsi="黑体" w:eastAsia="黑体" w:cs="Times New Roman"/>
      <w:b/>
      <w:sz w:val="32"/>
      <w:szCs w:val="24"/>
      <w:lang w:val="en-US" w:eastAsia="zh-CN" w:bidi="ar-SA"/>
    </w:rPr>
  </w:style>
  <w:style w:type="paragraph" w:customStyle="1" w:styleId="194">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5">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197">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198">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9">
    <w:name w:val="页眉_0"/>
    <w:basedOn w:val="152"/>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0">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1">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2">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3">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4">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5">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6">
    <w:name w:val="pa-90"/>
    <w:basedOn w:val="1"/>
    <w:autoRedefine/>
    <w:qFormat/>
    <w:uiPriority w:val="99"/>
    <w:pPr>
      <w:widowControl/>
      <w:spacing w:line="280" w:lineRule="atLeast"/>
    </w:pPr>
    <w:rPr>
      <w:rFonts w:ascii="宋体" w:hAnsi="宋体" w:eastAsia="宋体" w:cs="宋体"/>
      <w:kern w:val="0"/>
      <w:sz w:val="24"/>
    </w:rPr>
  </w:style>
  <w:style w:type="paragraph" w:customStyle="1" w:styleId="207">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08">
    <w:name w:val="pa-78"/>
    <w:basedOn w:val="1"/>
    <w:autoRedefine/>
    <w:qFormat/>
    <w:uiPriority w:val="99"/>
    <w:pPr>
      <w:widowControl/>
      <w:spacing w:line="340" w:lineRule="atLeast"/>
    </w:pPr>
    <w:rPr>
      <w:rFonts w:ascii="宋体" w:hAnsi="宋体" w:eastAsia="宋体" w:cs="宋体"/>
      <w:kern w:val="0"/>
      <w:sz w:val="24"/>
    </w:rPr>
  </w:style>
  <w:style w:type="paragraph" w:customStyle="1" w:styleId="209">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0">
    <w:name w:val="pa-124"/>
    <w:basedOn w:val="1"/>
    <w:autoRedefine/>
    <w:qFormat/>
    <w:uiPriority w:val="99"/>
    <w:pPr>
      <w:widowControl/>
      <w:spacing w:line="760" w:lineRule="atLeast"/>
    </w:pPr>
    <w:rPr>
      <w:rFonts w:ascii="宋体" w:hAnsi="宋体" w:eastAsia="宋体" w:cs="宋体"/>
      <w:kern w:val="0"/>
      <w:sz w:val="24"/>
    </w:rPr>
  </w:style>
  <w:style w:type="paragraph" w:customStyle="1" w:styleId="211">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2">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3">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4">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5">
    <w:name w:val="Normal_0"/>
    <w:autoRedefine/>
    <w:qFormat/>
    <w:uiPriority w:val="99"/>
    <w:rPr>
      <w:rFonts w:ascii="黑体" w:hAnsi="黑体" w:eastAsia="黑体" w:cs="Times New Roman"/>
      <w:b/>
      <w:sz w:val="32"/>
      <w:szCs w:val="24"/>
      <w:lang w:val="en-US" w:eastAsia="zh-CN" w:bidi="ar-SA"/>
    </w:rPr>
  </w:style>
  <w:style w:type="paragraph" w:customStyle="1" w:styleId="216">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17">
    <w:name w:val="pa-12"/>
    <w:basedOn w:val="1"/>
    <w:autoRedefine/>
    <w:qFormat/>
    <w:uiPriority w:val="99"/>
    <w:pPr>
      <w:widowControl/>
      <w:spacing w:line="360" w:lineRule="atLeast"/>
    </w:pPr>
    <w:rPr>
      <w:rFonts w:ascii="宋体" w:hAnsi="宋体" w:eastAsia="宋体" w:cs="宋体"/>
      <w:kern w:val="0"/>
      <w:sz w:val="24"/>
    </w:rPr>
  </w:style>
  <w:style w:type="paragraph" w:customStyle="1" w:styleId="218">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9">
    <w:name w:val="pa-8"/>
    <w:basedOn w:val="1"/>
    <w:autoRedefine/>
    <w:qFormat/>
    <w:uiPriority w:val="99"/>
    <w:pPr>
      <w:widowControl/>
      <w:spacing w:line="360" w:lineRule="atLeast"/>
    </w:pPr>
    <w:rPr>
      <w:rFonts w:ascii="宋体" w:hAnsi="宋体" w:eastAsia="宋体" w:cs="宋体"/>
      <w:kern w:val="0"/>
      <w:sz w:val="24"/>
    </w:rPr>
  </w:style>
  <w:style w:type="paragraph" w:customStyle="1" w:styleId="220">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1">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2">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3">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5">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6">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7">
    <w:name w:val="pa-61"/>
    <w:basedOn w:val="1"/>
    <w:autoRedefine/>
    <w:qFormat/>
    <w:uiPriority w:val="99"/>
    <w:pPr>
      <w:widowControl/>
      <w:spacing w:line="240" w:lineRule="atLeast"/>
    </w:pPr>
    <w:rPr>
      <w:rFonts w:ascii="宋体" w:hAnsi="宋体" w:eastAsia="宋体" w:cs="宋体"/>
      <w:kern w:val="0"/>
      <w:sz w:val="24"/>
    </w:rPr>
  </w:style>
  <w:style w:type="paragraph" w:customStyle="1" w:styleId="228">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29">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0">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1">
    <w:name w:val="pa-96"/>
    <w:basedOn w:val="1"/>
    <w:autoRedefine/>
    <w:qFormat/>
    <w:uiPriority w:val="99"/>
    <w:pPr>
      <w:widowControl/>
      <w:spacing w:line="480" w:lineRule="atLeast"/>
    </w:pPr>
    <w:rPr>
      <w:rFonts w:ascii="宋体" w:hAnsi="宋体" w:eastAsia="宋体" w:cs="宋体"/>
      <w:kern w:val="0"/>
      <w:sz w:val="24"/>
    </w:rPr>
  </w:style>
  <w:style w:type="paragraph" w:customStyle="1" w:styleId="232">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3">
    <w:name w:val="Normal_8"/>
    <w:autoRedefine/>
    <w:qFormat/>
    <w:uiPriority w:val="99"/>
    <w:rPr>
      <w:rFonts w:ascii="黑体" w:hAnsi="黑体" w:eastAsia="黑体" w:cs="Times New Roman"/>
      <w:b/>
      <w:sz w:val="32"/>
      <w:szCs w:val="24"/>
      <w:lang w:val="en-US" w:eastAsia="zh-CN" w:bidi="ar-SA"/>
    </w:rPr>
  </w:style>
  <w:style w:type="paragraph" w:customStyle="1" w:styleId="234">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5">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6">
    <w:name w:val="Normal_14"/>
    <w:autoRedefine/>
    <w:qFormat/>
    <w:uiPriority w:val="99"/>
    <w:rPr>
      <w:rFonts w:ascii="黑体" w:hAnsi="黑体" w:eastAsia="黑体" w:cs="Times New Roman"/>
      <w:b/>
      <w:sz w:val="32"/>
      <w:szCs w:val="24"/>
      <w:lang w:val="en-US" w:eastAsia="zh-CN" w:bidi="ar-SA"/>
    </w:rPr>
  </w:style>
  <w:style w:type="paragraph" w:customStyle="1" w:styleId="237">
    <w:name w:val="ca-21"/>
    <w:basedOn w:val="1"/>
    <w:autoRedefine/>
    <w:qFormat/>
    <w:uiPriority w:val="99"/>
    <w:pPr>
      <w:widowControl/>
      <w:jc w:val="left"/>
    </w:pPr>
    <w:rPr>
      <w:rFonts w:ascii="宋体" w:hAnsi="宋体" w:eastAsia="宋体" w:cs="宋体"/>
      <w:color w:val="000000"/>
      <w:kern w:val="0"/>
      <w:szCs w:val="21"/>
    </w:rPr>
  </w:style>
  <w:style w:type="paragraph" w:customStyle="1" w:styleId="238">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39">
    <w:name w:val="Normal_13"/>
    <w:autoRedefine/>
    <w:qFormat/>
    <w:uiPriority w:val="99"/>
    <w:rPr>
      <w:rFonts w:ascii="黑体" w:hAnsi="黑体" w:eastAsia="黑体" w:cs="Times New Roman"/>
      <w:b/>
      <w:sz w:val="32"/>
      <w:szCs w:val="24"/>
      <w:lang w:val="en-US" w:eastAsia="zh-CN" w:bidi="ar-SA"/>
    </w:rPr>
  </w:style>
  <w:style w:type="paragraph" w:customStyle="1" w:styleId="240">
    <w:name w:val="Normal_23"/>
    <w:autoRedefine/>
    <w:qFormat/>
    <w:uiPriority w:val="99"/>
    <w:rPr>
      <w:rFonts w:ascii="黑体" w:hAnsi="黑体" w:eastAsia="黑体" w:cs="Times New Roman"/>
      <w:b/>
      <w:sz w:val="32"/>
      <w:szCs w:val="24"/>
      <w:lang w:val="en-US" w:eastAsia="zh-CN" w:bidi="ar-SA"/>
    </w:rPr>
  </w:style>
  <w:style w:type="paragraph" w:customStyle="1" w:styleId="241">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2">
    <w:name w:val="Char Char1 Char"/>
    <w:basedOn w:val="1"/>
    <w:autoRedefine/>
    <w:qFormat/>
    <w:uiPriority w:val="99"/>
    <w:rPr>
      <w:rFonts w:ascii="Calibri" w:hAnsi="Calibri" w:eastAsia="宋体" w:cs="Times New Roman"/>
    </w:rPr>
  </w:style>
  <w:style w:type="paragraph" w:customStyle="1" w:styleId="243">
    <w:name w:val="Normal_4"/>
    <w:autoRedefine/>
    <w:qFormat/>
    <w:uiPriority w:val="99"/>
    <w:rPr>
      <w:rFonts w:ascii="黑体" w:hAnsi="黑体" w:eastAsia="黑体" w:cs="Times New Roman"/>
      <w:b/>
      <w:sz w:val="32"/>
      <w:szCs w:val="24"/>
      <w:lang w:val="en-US" w:eastAsia="zh-CN" w:bidi="ar-SA"/>
    </w:rPr>
  </w:style>
  <w:style w:type="paragraph" w:customStyle="1" w:styleId="244">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5">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6">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47">
    <w:name w:val="Normal_22"/>
    <w:autoRedefine/>
    <w:qFormat/>
    <w:uiPriority w:val="99"/>
    <w:rPr>
      <w:rFonts w:ascii="黑体" w:hAnsi="黑体" w:eastAsia="黑体" w:cs="Times New Roman"/>
      <w:b/>
      <w:sz w:val="32"/>
      <w:szCs w:val="24"/>
      <w:lang w:val="en-US" w:eastAsia="zh-CN" w:bidi="ar-SA"/>
    </w:rPr>
  </w:style>
  <w:style w:type="paragraph" w:customStyle="1" w:styleId="248">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9">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0">
    <w:name w:val="ca-30"/>
    <w:basedOn w:val="1"/>
    <w:autoRedefine/>
    <w:qFormat/>
    <w:uiPriority w:val="99"/>
    <w:pPr>
      <w:widowControl/>
      <w:jc w:val="left"/>
    </w:pPr>
    <w:rPr>
      <w:rFonts w:ascii="??" w:hAnsi="??" w:eastAsia="宋体" w:cs="宋体"/>
      <w:color w:val="002060"/>
      <w:kern w:val="0"/>
      <w:szCs w:val="21"/>
    </w:rPr>
  </w:style>
  <w:style w:type="paragraph" w:customStyle="1" w:styleId="251">
    <w:name w:val="pa-13"/>
    <w:basedOn w:val="1"/>
    <w:autoRedefine/>
    <w:qFormat/>
    <w:uiPriority w:val="99"/>
    <w:pPr>
      <w:widowControl/>
      <w:spacing w:line="360" w:lineRule="atLeast"/>
    </w:pPr>
    <w:rPr>
      <w:rFonts w:ascii="宋体" w:hAnsi="宋体" w:eastAsia="宋体" w:cs="宋体"/>
      <w:kern w:val="0"/>
      <w:sz w:val="24"/>
    </w:rPr>
  </w:style>
  <w:style w:type="paragraph" w:customStyle="1" w:styleId="252">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3">
    <w:name w:val="pa-16"/>
    <w:basedOn w:val="1"/>
    <w:autoRedefine/>
    <w:qFormat/>
    <w:uiPriority w:val="99"/>
    <w:pPr>
      <w:widowControl/>
      <w:spacing w:line="240" w:lineRule="atLeast"/>
    </w:pPr>
    <w:rPr>
      <w:rFonts w:ascii="宋体" w:hAnsi="宋体" w:eastAsia="宋体" w:cs="宋体"/>
      <w:kern w:val="0"/>
      <w:sz w:val="24"/>
    </w:rPr>
  </w:style>
  <w:style w:type="paragraph" w:customStyle="1" w:styleId="254">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5">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6">
    <w:name w:val="ca-29"/>
    <w:basedOn w:val="1"/>
    <w:autoRedefine/>
    <w:qFormat/>
    <w:uiPriority w:val="99"/>
    <w:pPr>
      <w:widowControl/>
      <w:jc w:val="left"/>
    </w:pPr>
    <w:rPr>
      <w:rFonts w:ascii="宋体" w:hAnsi="宋体" w:eastAsia="宋体" w:cs="宋体"/>
      <w:color w:val="7030A0"/>
      <w:kern w:val="0"/>
      <w:szCs w:val="21"/>
    </w:rPr>
  </w:style>
  <w:style w:type="paragraph" w:customStyle="1" w:styleId="257">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8">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9">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0">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1">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2">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3">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4">
    <w:name w:val="Normal_19"/>
    <w:autoRedefine/>
    <w:qFormat/>
    <w:uiPriority w:val="99"/>
    <w:rPr>
      <w:rFonts w:ascii="黑体" w:hAnsi="黑体" w:eastAsia="黑体" w:cs="Times New Roman"/>
      <w:b/>
      <w:sz w:val="32"/>
      <w:szCs w:val="24"/>
      <w:lang w:val="en-US" w:eastAsia="zh-CN" w:bidi="ar-SA"/>
    </w:rPr>
  </w:style>
  <w:style w:type="paragraph" w:customStyle="1" w:styleId="265">
    <w:name w:val="纯文本_2"/>
    <w:basedOn w:val="1"/>
    <w:autoRedefine/>
    <w:qFormat/>
    <w:uiPriority w:val="99"/>
    <w:rPr>
      <w:rFonts w:ascii="宋体" w:hAnsi="Courier New" w:eastAsia="宋体" w:cs="Times New Roman"/>
      <w:szCs w:val="21"/>
    </w:rPr>
  </w:style>
  <w:style w:type="paragraph" w:customStyle="1" w:styleId="266">
    <w:name w:val="pa-80"/>
    <w:basedOn w:val="1"/>
    <w:autoRedefine/>
    <w:qFormat/>
    <w:uiPriority w:val="99"/>
    <w:pPr>
      <w:widowControl/>
      <w:spacing w:line="360" w:lineRule="atLeast"/>
    </w:pPr>
    <w:rPr>
      <w:rFonts w:ascii="宋体" w:hAnsi="宋体" w:eastAsia="宋体" w:cs="宋体"/>
      <w:kern w:val="0"/>
      <w:sz w:val="24"/>
    </w:rPr>
  </w:style>
  <w:style w:type="paragraph" w:customStyle="1" w:styleId="267">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8">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0">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2">
    <w:name w:val="Char_0"/>
    <w:basedOn w:val="1"/>
    <w:autoRedefine/>
    <w:qFormat/>
    <w:uiPriority w:val="99"/>
    <w:rPr>
      <w:rFonts w:ascii="Tahoma" w:hAnsi="Tahoma" w:eastAsia="宋体" w:cs="Times New Roman"/>
      <w:sz w:val="24"/>
      <w:szCs w:val="20"/>
    </w:rPr>
  </w:style>
  <w:style w:type="paragraph" w:customStyle="1" w:styleId="273">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4">
    <w:name w:val="pa-100"/>
    <w:basedOn w:val="1"/>
    <w:autoRedefine/>
    <w:qFormat/>
    <w:uiPriority w:val="99"/>
    <w:pPr>
      <w:widowControl/>
      <w:spacing w:line="300" w:lineRule="atLeast"/>
    </w:pPr>
    <w:rPr>
      <w:rFonts w:ascii="宋体" w:hAnsi="宋体" w:eastAsia="宋体" w:cs="宋体"/>
      <w:kern w:val="0"/>
      <w:sz w:val="24"/>
    </w:rPr>
  </w:style>
  <w:style w:type="paragraph" w:customStyle="1" w:styleId="275">
    <w:name w:val="ca-49"/>
    <w:basedOn w:val="1"/>
    <w:autoRedefine/>
    <w:qFormat/>
    <w:uiPriority w:val="99"/>
    <w:pPr>
      <w:widowControl/>
      <w:jc w:val="left"/>
    </w:pPr>
    <w:rPr>
      <w:rFonts w:ascii="宋体" w:hAnsi="宋体" w:eastAsia="宋体" w:cs="宋体"/>
      <w:kern w:val="0"/>
      <w:sz w:val="32"/>
      <w:szCs w:val="32"/>
    </w:rPr>
  </w:style>
  <w:style w:type="character" w:customStyle="1" w:styleId="276">
    <w:name w:val="Blockquote Char"/>
    <w:link w:val="277"/>
    <w:autoRedefine/>
    <w:qFormat/>
    <w:locked/>
    <w:uiPriority w:val="0"/>
    <w:rPr>
      <w:rFonts w:ascii="Calibri" w:hAnsi="Calibri" w:cs="Calibri"/>
      <w:sz w:val="24"/>
    </w:rPr>
  </w:style>
  <w:style w:type="paragraph" w:customStyle="1" w:styleId="277">
    <w:name w:val="Blockquote"/>
    <w:basedOn w:val="1"/>
    <w:link w:val="276"/>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8">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9">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0">
    <w:name w:val="Normal_15"/>
    <w:autoRedefine/>
    <w:qFormat/>
    <w:uiPriority w:val="99"/>
    <w:rPr>
      <w:rFonts w:ascii="黑体" w:hAnsi="黑体" w:eastAsia="黑体" w:cs="Times New Roman"/>
      <w:b/>
      <w:sz w:val="32"/>
      <w:szCs w:val="24"/>
      <w:lang w:val="en-US" w:eastAsia="zh-CN" w:bidi="ar-SA"/>
    </w:rPr>
  </w:style>
  <w:style w:type="paragraph" w:customStyle="1" w:styleId="281">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2">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3">
    <w:name w:val="pa-40"/>
    <w:basedOn w:val="1"/>
    <w:autoRedefine/>
    <w:qFormat/>
    <w:uiPriority w:val="99"/>
    <w:pPr>
      <w:widowControl/>
      <w:spacing w:line="280" w:lineRule="atLeast"/>
    </w:pPr>
    <w:rPr>
      <w:rFonts w:ascii="宋体" w:hAnsi="宋体" w:eastAsia="宋体" w:cs="宋体"/>
      <w:kern w:val="0"/>
      <w:sz w:val="24"/>
    </w:rPr>
  </w:style>
  <w:style w:type="paragraph" w:customStyle="1" w:styleId="284">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5">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6">
    <w:name w:val="pa-109"/>
    <w:basedOn w:val="1"/>
    <w:autoRedefine/>
    <w:qFormat/>
    <w:uiPriority w:val="99"/>
    <w:pPr>
      <w:widowControl/>
      <w:spacing w:line="280" w:lineRule="atLeast"/>
    </w:pPr>
    <w:rPr>
      <w:rFonts w:ascii="宋体" w:hAnsi="宋体" w:eastAsia="宋体" w:cs="宋体"/>
      <w:kern w:val="0"/>
      <w:sz w:val="24"/>
    </w:rPr>
  </w:style>
  <w:style w:type="paragraph" w:customStyle="1" w:styleId="287">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88">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89">
    <w:name w:val="标题 1_0"/>
    <w:next w:val="174"/>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0">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1">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2">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3">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4">
    <w:name w:val="Char Char1 Char_0"/>
    <w:basedOn w:val="1"/>
    <w:autoRedefine/>
    <w:qFormat/>
    <w:uiPriority w:val="99"/>
    <w:rPr>
      <w:rFonts w:ascii="Calibri" w:hAnsi="Calibri" w:eastAsia="宋体" w:cs="Times New Roman"/>
    </w:rPr>
  </w:style>
  <w:style w:type="paragraph" w:customStyle="1" w:styleId="295">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6">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7">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298">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299">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0">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1">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2">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3">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4">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07">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8">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09">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0">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1">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2">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3">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4">
    <w:name w:val="ca-24"/>
    <w:basedOn w:val="1"/>
    <w:autoRedefine/>
    <w:qFormat/>
    <w:uiPriority w:val="99"/>
    <w:pPr>
      <w:widowControl/>
      <w:jc w:val="left"/>
    </w:pPr>
    <w:rPr>
      <w:rFonts w:ascii="宋体" w:hAnsi="宋体" w:eastAsia="宋体" w:cs="宋体"/>
      <w:kern w:val="0"/>
      <w:sz w:val="24"/>
    </w:rPr>
  </w:style>
  <w:style w:type="paragraph" w:customStyle="1" w:styleId="315">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6">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7">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18">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19">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0">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1">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2">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3">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4">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5">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6">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8">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29">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0">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1">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2">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3">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4">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5">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6">
    <w:name w:val="ca-15"/>
    <w:basedOn w:val="1"/>
    <w:autoRedefine/>
    <w:qFormat/>
    <w:uiPriority w:val="99"/>
    <w:pPr>
      <w:widowControl/>
      <w:jc w:val="left"/>
    </w:pPr>
    <w:rPr>
      <w:rFonts w:ascii="宋体" w:hAnsi="宋体" w:eastAsia="宋体" w:cs="宋体"/>
      <w:caps/>
      <w:color w:val="000000"/>
      <w:kern w:val="0"/>
      <w:sz w:val="24"/>
    </w:rPr>
  </w:style>
  <w:style w:type="paragraph" w:customStyle="1" w:styleId="337">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8">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39">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0">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1">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2">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3">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4">
    <w:name w:val="ca-20"/>
    <w:basedOn w:val="1"/>
    <w:autoRedefine/>
    <w:qFormat/>
    <w:uiPriority w:val="99"/>
    <w:pPr>
      <w:widowControl/>
      <w:jc w:val="left"/>
    </w:pPr>
    <w:rPr>
      <w:rFonts w:ascii="??" w:hAnsi="??" w:eastAsia="宋体" w:cs="宋体"/>
      <w:color w:val="000000"/>
      <w:kern w:val="0"/>
      <w:sz w:val="18"/>
      <w:szCs w:val="18"/>
    </w:rPr>
  </w:style>
  <w:style w:type="paragraph" w:customStyle="1" w:styleId="345">
    <w:name w:val="Normal_10"/>
    <w:autoRedefine/>
    <w:qFormat/>
    <w:uiPriority w:val="99"/>
    <w:rPr>
      <w:rFonts w:ascii="黑体" w:hAnsi="黑体" w:eastAsia="黑体" w:cs="Times New Roman"/>
      <w:b/>
      <w:sz w:val="32"/>
      <w:szCs w:val="24"/>
      <w:lang w:val="en-US" w:eastAsia="zh-CN" w:bidi="ar-SA"/>
    </w:rPr>
  </w:style>
  <w:style w:type="paragraph" w:customStyle="1" w:styleId="346">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47">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48">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49">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0">
    <w:name w:val="ca-16"/>
    <w:basedOn w:val="1"/>
    <w:autoRedefine/>
    <w:qFormat/>
    <w:uiPriority w:val="99"/>
    <w:pPr>
      <w:widowControl/>
      <w:jc w:val="left"/>
    </w:pPr>
    <w:rPr>
      <w:rFonts w:ascii="宋体" w:hAnsi="宋体" w:eastAsia="宋体" w:cs="宋体"/>
      <w:kern w:val="0"/>
      <w:sz w:val="24"/>
    </w:rPr>
  </w:style>
  <w:style w:type="character" w:customStyle="1" w:styleId="351">
    <w:name w:val="正文2 Char Char"/>
    <w:link w:val="352"/>
    <w:autoRedefine/>
    <w:qFormat/>
    <w:locked/>
    <w:uiPriority w:val="0"/>
    <w:rPr>
      <w:rFonts w:ascii="Arial" w:hAnsi="Arial" w:cs="宋体"/>
      <w:sz w:val="24"/>
    </w:rPr>
  </w:style>
  <w:style w:type="paragraph" w:customStyle="1" w:styleId="352">
    <w:name w:val="正文2"/>
    <w:basedOn w:val="1"/>
    <w:link w:val="351"/>
    <w:autoRedefine/>
    <w:qFormat/>
    <w:uiPriority w:val="0"/>
    <w:pPr>
      <w:spacing w:before="156" w:line="360" w:lineRule="auto"/>
      <w:ind w:firstLine="510" w:firstLineChars="200"/>
    </w:pPr>
    <w:rPr>
      <w:rFonts w:ascii="Arial" w:hAnsi="Arial" w:cs="宋体"/>
      <w:sz w:val="24"/>
    </w:rPr>
  </w:style>
  <w:style w:type="paragraph" w:customStyle="1" w:styleId="35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4">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5">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6">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7">
    <w:name w:val="Normal_11"/>
    <w:autoRedefine/>
    <w:qFormat/>
    <w:uiPriority w:val="99"/>
    <w:rPr>
      <w:rFonts w:ascii="黑体" w:hAnsi="黑体" w:eastAsia="黑体" w:cs="Times New Roman"/>
      <w:b/>
      <w:sz w:val="32"/>
      <w:szCs w:val="24"/>
      <w:lang w:val="en-US" w:eastAsia="zh-CN" w:bidi="ar-SA"/>
    </w:rPr>
  </w:style>
  <w:style w:type="paragraph" w:customStyle="1" w:styleId="358">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9">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0">
    <w:name w:val="Normal_2"/>
    <w:autoRedefine/>
    <w:qFormat/>
    <w:uiPriority w:val="99"/>
    <w:rPr>
      <w:rFonts w:ascii="黑体" w:hAnsi="黑体" w:eastAsia="黑体" w:cs="Times New Roman"/>
      <w:b/>
      <w:sz w:val="32"/>
      <w:szCs w:val="24"/>
      <w:lang w:val="en-US" w:eastAsia="zh-CN" w:bidi="ar-SA"/>
    </w:rPr>
  </w:style>
  <w:style w:type="paragraph" w:customStyle="1" w:styleId="361">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autoRedefine/>
    <w:qFormat/>
    <w:uiPriority w:val="99"/>
    <w:rPr>
      <w:rFonts w:ascii="仿宋_GB2312" w:hAnsi="Times New Roman" w:eastAsia="仿宋_GB2312" w:cs="Times New Roman"/>
      <w:b/>
      <w:sz w:val="32"/>
      <w:szCs w:val="32"/>
    </w:rPr>
  </w:style>
  <w:style w:type="paragraph" w:customStyle="1" w:styleId="363">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4">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5">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6">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7">
    <w:name w:val="Normal_6"/>
    <w:autoRedefine/>
    <w:qFormat/>
    <w:uiPriority w:val="99"/>
    <w:rPr>
      <w:rFonts w:ascii="黑体" w:hAnsi="黑体" w:eastAsia="黑体" w:cs="Times New Roman"/>
      <w:b/>
      <w:sz w:val="32"/>
      <w:szCs w:val="24"/>
      <w:lang w:val="en-US" w:eastAsia="zh-CN" w:bidi="ar-SA"/>
    </w:rPr>
  </w:style>
  <w:style w:type="paragraph" w:customStyle="1" w:styleId="368">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69">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0">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1">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2">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3">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4">
    <w:name w:val="Normal_7"/>
    <w:autoRedefine/>
    <w:qFormat/>
    <w:uiPriority w:val="99"/>
    <w:rPr>
      <w:rFonts w:ascii="黑体" w:hAnsi="黑体" w:eastAsia="黑体" w:cs="Times New Roman"/>
      <w:b/>
      <w:sz w:val="32"/>
      <w:szCs w:val="24"/>
      <w:lang w:val="en-US" w:eastAsia="zh-CN" w:bidi="ar-SA"/>
    </w:rPr>
  </w:style>
  <w:style w:type="paragraph" w:customStyle="1" w:styleId="375">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6">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77">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78">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79">
    <w:name w:val="Normal_24"/>
    <w:autoRedefine/>
    <w:qFormat/>
    <w:uiPriority w:val="99"/>
    <w:rPr>
      <w:rFonts w:ascii="黑体" w:hAnsi="黑体" w:eastAsia="黑体" w:cs="Times New Roman"/>
      <w:b/>
      <w:sz w:val="32"/>
      <w:szCs w:val="24"/>
      <w:lang w:val="en-US" w:eastAsia="zh-CN" w:bidi="ar-SA"/>
    </w:rPr>
  </w:style>
  <w:style w:type="paragraph" w:customStyle="1" w:styleId="380">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1">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3">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4">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5">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6">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87">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88">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89">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0">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1">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2">
    <w:name w:val="Normal_12"/>
    <w:autoRedefine/>
    <w:qFormat/>
    <w:uiPriority w:val="99"/>
    <w:rPr>
      <w:rFonts w:ascii="黑体" w:hAnsi="黑体" w:eastAsia="黑体" w:cs="Times New Roman"/>
      <w:b/>
      <w:sz w:val="32"/>
      <w:szCs w:val="24"/>
      <w:lang w:val="en-US" w:eastAsia="zh-CN" w:bidi="ar-SA"/>
    </w:rPr>
  </w:style>
  <w:style w:type="paragraph" w:customStyle="1" w:styleId="393">
    <w:name w:val="Normal_5"/>
    <w:autoRedefine/>
    <w:qFormat/>
    <w:uiPriority w:val="99"/>
    <w:rPr>
      <w:rFonts w:ascii="黑体" w:hAnsi="黑体" w:eastAsia="黑体" w:cs="Times New Roman"/>
      <w:b/>
      <w:sz w:val="32"/>
      <w:szCs w:val="24"/>
      <w:lang w:val="en-US" w:eastAsia="zh-CN" w:bidi="ar-SA"/>
    </w:rPr>
  </w:style>
  <w:style w:type="paragraph" w:customStyle="1" w:styleId="394">
    <w:name w:val="pa-115"/>
    <w:basedOn w:val="1"/>
    <w:autoRedefine/>
    <w:qFormat/>
    <w:uiPriority w:val="99"/>
    <w:pPr>
      <w:widowControl/>
      <w:spacing w:line="480" w:lineRule="atLeast"/>
    </w:pPr>
    <w:rPr>
      <w:rFonts w:ascii="宋体" w:hAnsi="宋体" w:eastAsia="宋体" w:cs="宋体"/>
      <w:kern w:val="0"/>
      <w:sz w:val="24"/>
    </w:rPr>
  </w:style>
  <w:style w:type="paragraph" w:customStyle="1" w:styleId="395">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6">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7">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8">
    <w:name w:val="pa-77"/>
    <w:basedOn w:val="1"/>
    <w:autoRedefine/>
    <w:qFormat/>
    <w:uiPriority w:val="99"/>
    <w:pPr>
      <w:widowControl/>
      <w:spacing w:line="360" w:lineRule="atLeast"/>
    </w:pPr>
    <w:rPr>
      <w:rFonts w:ascii="宋体" w:hAnsi="宋体" w:eastAsia="宋体" w:cs="宋体"/>
      <w:kern w:val="0"/>
      <w:sz w:val="24"/>
    </w:rPr>
  </w:style>
  <w:style w:type="paragraph" w:customStyle="1" w:styleId="399">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0">
    <w:name w:val="表格"/>
    <w:basedOn w:val="1"/>
    <w:autoRedefine/>
    <w:qFormat/>
    <w:uiPriority w:val="99"/>
    <w:pPr>
      <w:jc w:val="center"/>
    </w:pPr>
    <w:rPr>
      <w:rFonts w:ascii="华文细黑" w:hAnsi="华文细黑" w:eastAsia="宋体" w:cs="Times New Roman"/>
      <w:kern w:val="0"/>
      <w:szCs w:val="20"/>
    </w:rPr>
  </w:style>
  <w:style w:type="paragraph" w:customStyle="1" w:styleId="401">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2">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3">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4">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5">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6">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07">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8">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09">
    <w:name w:val="ca-37"/>
    <w:basedOn w:val="1"/>
    <w:autoRedefine/>
    <w:qFormat/>
    <w:uiPriority w:val="99"/>
    <w:pPr>
      <w:widowControl/>
      <w:jc w:val="left"/>
    </w:pPr>
    <w:rPr>
      <w:rFonts w:ascii="宋体" w:hAnsi="宋体" w:eastAsia="宋体" w:cs="宋体"/>
      <w:color w:val="000000"/>
      <w:kern w:val="0"/>
      <w:szCs w:val="21"/>
    </w:rPr>
  </w:style>
  <w:style w:type="paragraph" w:customStyle="1" w:styleId="410">
    <w:name w:val="ca-26"/>
    <w:basedOn w:val="1"/>
    <w:autoRedefine/>
    <w:qFormat/>
    <w:uiPriority w:val="99"/>
    <w:pPr>
      <w:widowControl/>
      <w:jc w:val="left"/>
    </w:pPr>
    <w:rPr>
      <w:rFonts w:ascii="宋体" w:hAnsi="宋体" w:eastAsia="宋体" w:cs="宋体"/>
      <w:color w:val="002060"/>
      <w:kern w:val="0"/>
      <w:szCs w:val="21"/>
    </w:rPr>
  </w:style>
  <w:style w:type="paragraph" w:customStyle="1" w:styleId="411">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2">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3">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4">
    <w:name w:val="pa-7"/>
    <w:basedOn w:val="1"/>
    <w:autoRedefine/>
    <w:qFormat/>
    <w:uiPriority w:val="99"/>
    <w:pPr>
      <w:widowControl/>
      <w:spacing w:line="400" w:lineRule="atLeast"/>
    </w:pPr>
    <w:rPr>
      <w:rFonts w:ascii="宋体" w:hAnsi="宋体" w:eastAsia="宋体" w:cs="宋体"/>
      <w:kern w:val="0"/>
      <w:sz w:val="24"/>
    </w:rPr>
  </w:style>
  <w:style w:type="paragraph" w:customStyle="1" w:styleId="415">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6">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17">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18">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19">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0">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1">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2">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3">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4">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5">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6">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27">
    <w:name w:val="Normal_20"/>
    <w:autoRedefine/>
    <w:qFormat/>
    <w:uiPriority w:val="99"/>
    <w:rPr>
      <w:rFonts w:ascii="黑体" w:hAnsi="黑体" w:eastAsia="黑体" w:cs="Times New Roman"/>
      <w:b/>
      <w:sz w:val="32"/>
      <w:szCs w:val="24"/>
      <w:lang w:val="en-US" w:eastAsia="zh-CN" w:bidi="ar-SA"/>
    </w:rPr>
  </w:style>
  <w:style w:type="paragraph" w:customStyle="1" w:styleId="428">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29">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0">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1">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2">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3">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4">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5">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6">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7">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8">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39">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0">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1">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Char Char Char"/>
    <w:basedOn w:val="1"/>
    <w:autoRedefine/>
    <w:qFormat/>
    <w:uiPriority w:val="99"/>
    <w:rPr>
      <w:rFonts w:ascii="Calibri" w:hAnsi="Calibri" w:eastAsia="宋体" w:cs="Times New Roman"/>
    </w:rPr>
  </w:style>
  <w:style w:type="paragraph" w:customStyle="1" w:styleId="443">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4">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5">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6">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47">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48">
    <w:name w:val="纯文本1"/>
    <w:basedOn w:val="212"/>
    <w:autoRedefine/>
    <w:qFormat/>
    <w:uiPriority w:val="99"/>
    <w:pPr>
      <w:widowControl/>
      <w:jc w:val="left"/>
    </w:pPr>
    <w:rPr>
      <w:rFonts w:ascii="宋体" w:hAnsi="Courier New"/>
    </w:rPr>
  </w:style>
  <w:style w:type="paragraph" w:customStyle="1" w:styleId="449">
    <w:name w:val="pa-6"/>
    <w:basedOn w:val="1"/>
    <w:autoRedefine/>
    <w:qFormat/>
    <w:uiPriority w:val="99"/>
    <w:pPr>
      <w:widowControl/>
      <w:spacing w:line="560" w:lineRule="atLeast"/>
    </w:pPr>
    <w:rPr>
      <w:rFonts w:ascii="宋体" w:hAnsi="宋体" w:eastAsia="宋体" w:cs="宋体"/>
      <w:kern w:val="0"/>
      <w:sz w:val="24"/>
    </w:rPr>
  </w:style>
  <w:style w:type="paragraph" w:customStyle="1" w:styleId="450">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1">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2">
    <w:name w:val="pa-134"/>
    <w:basedOn w:val="1"/>
    <w:autoRedefine/>
    <w:qFormat/>
    <w:uiPriority w:val="99"/>
    <w:pPr>
      <w:widowControl/>
      <w:spacing w:line="360" w:lineRule="atLeast"/>
    </w:pPr>
    <w:rPr>
      <w:rFonts w:ascii="宋体" w:hAnsi="宋体" w:eastAsia="宋体" w:cs="宋体"/>
      <w:kern w:val="0"/>
      <w:sz w:val="24"/>
    </w:rPr>
  </w:style>
  <w:style w:type="paragraph" w:customStyle="1" w:styleId="453">
    <w:name w:val="ca-22"/>
    <w:basedOn w:val="1"/>
    <w:autoRedefine/>
    <w:qFormat/>
    <w:uiPriority w:val="99"/>
    <w:pPr>
      <w:widowControl/>
      <w:jc w:val="left"/>
    </w:pPr>
    <w:rPr>
      <w:rFonts w:ascii="宋体" w:hAnsi="宋体" w:eastAsia="宋体" w:cs="宋体"/>
      <w:kern w:val="0"/>
      <w:szCs w:val="21"/>
    </w:rPr>
  </w:style>
  <w:style w:type="paragraph" w:customStyle="1" w:styleId="454">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5">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6">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7">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58">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ca-25"/>
    <w:basedOn w:val="1"/>
    <w:autoRedefine/>
    <w:qFormat/>
    <w:uiPriority w:val="99"/>
    <w:pPr>
      <w:widowControl/>
      <w:jc w:val="left"/>
    </w:pPr>
    <w:rPr>
      <w:rFonts w:ascii="Calibri" w:hAnsi="Calibri" w:eastAsia="宋体" w:cs="Times New Roman"/>
      <w:kern w:val="0"/>
      <w:szCs w:val="21"/>
    </w:rPr>
  </w:style>
  <w:style w:type="paragraph" w:customStyle="1" w:styleId="460">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1">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4">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5">
    <w:name w:val="pa-106"/>
    <w:basedOn w:val="1"/>
    <w:autoRedefine/>
    <w:qFormat/>
    <w:uiPriority w:val="99"/>
    <w:pPr>
      <w:widowControl/>
      <w:spacing w:line="720" w:lineRule="atLeast"/>
    </w:pPr>
    <w:rPr>
      <w:rFonts w:ascii="宋体" w:hAnsi="宋体" w:eastAsia="宋体" w:cs="宋体"/>
      <w:kern w:val="0"/>
      <w:sz w:val="24"/>
    </w:rPr>
  </w:style>
  <w:style w:type="paragraph" w:customStyle="1" w:styleId="466">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7">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68">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69">
    <w:name w:val="Char1_0"/>
    <w:basedOn w:val="1"/>
    <w:autoRedefine/>
    <w:qFormat/>
    <w:uiPriority w:val="99"/>
    <w:rPr>
      <w:rFonts w:ascii="Calibri" w:hAnsi="Calibri" w:eastAsia="宋体" w:cs="Times New Roman"/>
      <w:szCs w:val="20"/>
    </w:rPr>
  </w:style>
  <w:style w:type="paragraph" w:customStyle="1" w:styleId="470">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1">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2">
    <w:name w:val="列出段落 字符"/>
    <w:link w:val="473"/>
    <w:autoRedefine/>
    <w:qFormat/>
    <w:locked/>
    <w:uiPriority w:val="0"/>
    <w:rPr>
      <w:rFonts w:ascii="Calibri" w:hAnsi="Calibri" w:cs="Calibri"/>
    </w:rPr>
  </w:style>
  <w:style w:type="paragraph" w:customStyle="1" w:styleId="473">
    <w:name w:val="列出段落1"/>
    <w:basedOn w:val="1"/>
    <w:link w:val="472"/>
    <w:autoRedefine/>
    <w:qFormat/>
    <w:uiPriority w:val="0"/>
    <w:pPr>
      <w:ind w:firstLine="420" w:firstLineChars="200"/>
    </w:pPr>
    <w:rPr>
      <w:rFonts w:ascii="Calibri" w:hAnsi="Calibri" w:cs="Calibri"/>
    </w:rPr>
  </w:style>
  <w:style w:type="paragraph" w:customStyle="1" w:styleId="474">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5">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6">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77">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78">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9">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0">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1">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2">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3">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4">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5">
    <w:name w:val="pa-89"/>
    <w:basedOn w:val="1"/>
    <w:autoRedefine/>
    <w:qFormat/>
    <w:uiPriority w:val="99"/>
    <w:pPr>
      <w:widowControl/>
      <w:spacing w:line="320" w:lineRule="atLeast"/>
    </w:pPr>
    <w:rPr>
      <w:rFonts w:ascii="宋体" w:hAnsi="宋体" w:eastAsia="宋体" w:cs="宋体"/>
      <w:kern w:val="0"/>
      <w:sz w:val="24"/>
    </w:rPr>
  </w:style>
  <w:style w:type="paragraph" w:customStyle="1" w:styleId="486">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7">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8">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8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1">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2">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3">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4">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5">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6">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497">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8">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499">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0">
    <w:name w:val="ca-50"/>
    <w:basedOn w:val="1"/>
    <w:autoRedefine/>
    <w:qFormat/>
    <w:uiPriority w:val="99"/>
    <w:pPr>
      <w:widowControl/>
      <w:jc w:val="left"/>
    </w:pPr>
    <w:rPr>
      <w:rFonts w:ascii="宋体" w:hAnsi="宋体" w:eastAsia="宋体" w:cs="宋体"/>
      <w:kern w:val="0"/>
      <w:sz w:val="24"/>
    </w:rPr>
  </w:style>
  <w:style w:type="paragraph" w:customStyle="1" w:styleId="501">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2">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3">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4">
    <w:name w:val="1"/>
    <w:basedOn w:val="1"/>
    <w:next w:val="1"/>
    <w:autoRedefine/>
    <w:qFormat/>
    <w:uiPriority w:val="99"/>
    <w:rPr>
      <w:rFonts w:ascii="Calibri" w:hAnsi="Calibri" w:eastAsia="宋体" w:cs="Times New Roman"/>
    </w:rPr>
  </w:style>
  <w:style w:type="paragraph" w:customStyle="1" w:styleId="505">
    <w:name w:val="TOC 标题111"/>
    <w:next w:val="1"/>
    <w:autoRedefine/>
    <w:qFormat/>
    <w:uiPriority w:val="99"/>
    <w:pPr>
      <w:wordWrap w:val="0"/>
    </w:pPr>
    <w:rPr>
      <w:rFonts w:ascii="宋体" w:hAnsi="宋体" w:eastAsia="宋体" w:cs="宋体"/>
      <w:sz w:val="32"/>
      <w:lang w:val="en-US" w:eastAsia="zh-CN" w:bidi="ar-SA"/>
    </w:rPr>
  </w:style>
  <w:style w:type="paragraph" w:customStyle="1" w:styleId="506">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7">
    <w:name w:val="pa-105"/>
    <w:basedOn w:val="1"/>
    <w:autoRedefine/>
    <w:qFormat/>
    <w:uiPriority w:val="99"/>
    <w:pPr>
      <w:widowControl/>
      <w:spacing w:line="960" w:lineRule="atLeast"/>
    </w:pPr>
    <w:rPr>
      <w:rFonts w:ascii="宋体" w:hAnsi="宋体" w:eastAsia="宋体" w:cs="宋体"/>
      <w:kern w:val="0"/>
      <w:sz w:val="24"/>
    </w:rPr>
  </w:style>
  <w:style w:type="paragraph" w:customStyle="1" w:styleId="508">
    <w:name w:val="ca-23"/>
    <w:basedOn w:val="1"/>
    <w:autoRedefine/>
    <w:qFormat/>
    <w:uiPriority w:val="99"/>
    <w:pPr>
      <w:widowControl/>
      <w:jc w:val="left"/>
    </w:pPr>
    <w:rPr>
      <w:rFonts w:ascii="Calibri" w:hAnsi="Calibri" w:eastAsia="宋体" w:cs="Times New Roman"/>
      <w:kern w:val="0"/>
      <w:szCs w:val="21"/>
    </w:rPr>
  </w:style>
  <w:style w:type="paragraph" w:customStyle="1" w:styleId="509">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0">
    <w:name w:val="Normal_9"/>
    <w:autoRedefine/>
    <w:qFormat/>
    <w:uiPriority w:val="99"/>
    <w:rPr>
      <w:rFonts w:ascii="黑体" w:hAnsi="黑体" w:eastAsia="黑体" w:cs="Times New Roman"/>
      <w:b/>
      <w:sz w:val="32"/>
      <w:szCs w:val="24"/>
      <w:lang w:val="en-US" w:eastAsia="zh-CN" w:bidi="ar-SA"/>
    </w:rPr>
  </w:style>
  <w:style w:type="paragraph" w:customStyle="1" w:styleId="511">
    <w:name w:val="Normal_16"/>
    <w:autoRedefine/>
    <w:qFormat/>
    <w:uiPriority w:val="99"/>
    <w:rPr>
      <w:rFonts w:ascii="黑体" w:hAnsi="黑体" w:eastAsia="黑体" w:cs="Times New Roman"/>
      <w:b/>
      <w:sz w:val="32"/>
      <w:szCs w:val="24"/>
      <w:lang w:val="en-US" w:eastAsia="zh-CN" w:bidi="ar-SA"/>
    </w:rPr>
  </w:style>
  <w:style w:type="paragraph" w:customStyle="1" w:styleId="512">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3">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4">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5">
    <w:name w:val="pa-112"/>
    <w:basedOn w:val="1"/>
    <w:autoRedefine/>
    <w:qFormat/>
    <w:uiPriority w:val="99"/>
    <w:pPr>
      <w:widowControl/>
      <w:spacing w:line="280" w:lineRule="atLeast"/>
    </w:pPr>
    <w:rPr>
      <w:rFonts w:ascii="宋体" w:hAnsi="宋体" w:eastAsia="宋体" w:cs="宋体"/>
      <w:kern w:val="0"/>
      <w:sz w:val="24"/>
    </w:rPr>
  </w:style>
  <w:style w:type="paragraph" w:customStyle="1" w:styleId="516">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17">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18">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519">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0">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1">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2">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3">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4">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5">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6">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7">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28">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29">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0">
    <w:name w:val="Normal_1"/>
    <w:autoRedefine/>
    <w:qFormat/>
    <w:uiPriority w:val="99"/>
    <w:rPr>
      <w:rFonts w:ascii="黑体" w:hAnsi="黑体" w:eastAsia="黑体" w:cs="Times New Roman"/>
      <w:b/>
      <w:sz w:val="32"/>
      <w:szCs w:val="24"/>
      <w:lang w:val="en-US" w:eastAsia="zh-CN" w:bidi="ar-SA"/>
    </w:rPr>
  </w:style>
  <w:style w:type="paragraph" w:customStyle="1" w:styleId="531">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2">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3">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4">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5">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6">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7">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38">
    <w:name w:val="Normal_3"/>
    <w:autoRedefine/>
    <w:qFormat/>
    <w:uiPriority w:val="99"/>
    <w:rPr>
      <w:rFonts w:ascii="黑体" w:hAnsi="黑体" w:eastAsia="黑体" w:cs="Times New Roman"/>
      <w:b/>
      <w:sz w:val="32"/>
      <w:szCs w:val="24"/>
      <w:lang w:val="en-US" w:eastAsia="zh-CN" w:bidi="ar-SA"/>
    </w:rPr>
  </w:style>
  <w:style w:type="paragraph" w:customStyle="1" w:styleId="539">
    <w:name w:val="Char Char Char_0"/>
    <w:basedOn w:val="1"/>
    <w:autoRedefine/>
    <w:qFormat/>
    <w:uiPriority w:val="99"/>
    <w:rPr>
      <w:rFonts w:ascii="Tahoma" w:hAnsi="Tahoma" w:eastAsia="宋体" w:cs="Times New Roman"/>
      <w:sz w:val="24"/>
      <w:szCs w:val="20"/>
    </w:rPr>
  </w:style>
  <w:style w:type="paragraph" w:customStyle="1" w:styleId="540">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1">
    <w:name w:val="Char Char Char Char Char Char_0"/>
    <w:basedOn w:val="1"/>
    <w:autoRedefine/>
    <w:qFormat/>
    <w:uiPriority w:val="99"/>
    <w:rPr>
      <w:rFonts w:ascii="Calibri" w:hAnsi="Calibri" w:eastAsia="宋体" w:cs="Times New Roman"/>
    </w:rPr>
  </w:style>
  <w:style w:type="paragraph" w:customStyle="1" w:styleId="542">
    <w:name w:val="pa-65"/>
    <w:basedOn w:val="1"/>
    <w:autoRedefine/>
    <w:qFormat/>
    <w:uiPriority w:val="99"/>
    <w:pPr>
      <w:widowControl/>
      <w:spacing w:line="360" w:lineRule="atLeast"/>
    </w:pPr>
    <w:rPr>
      <w:rFonts w:ascii="宋体" w:hAnsi="宋体" w:eastAsia="宋体" w:cs="宋体"/>
      <w:kern w:val="0"/>
      <w:sz w:val="24"/>
    </w:rPr>
  </w:style>
  <w:style w:type="paragraph" w:customStyle="1" w:styleId="543">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4">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5">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6">
    <w:name w:val="pa-132"/>
    <w:basedOn w:val="1"/>
    <w:autoRedefine/>
    <w:qFormat/>
    <w:uiPriority w:val="99"/>
    <w:pPr>
      <w:widowControl/>
      <w:spacing w:line="360" w:lineRule="atLeast"/>
    </w:pPr>
    <w:rPr>
      <w:rFonts w:ascii="宋体" w:hAnsi="宋体" w:eastAsia="宋体" w:cs="宋体"/>
      <w:kern w:val="0"/>
      <w:sz w:val="24"/>
    </w:rPr>
  </w:style>
  <w:style w:type="paragraph" w:customStyle="1" w:styleId="54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8">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49">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0">
    <w:name w:val="Normal_17"/>
    <w:autoRedefine/>
    <w:qFormat/>
    <w:uiPriority w:val="99"/>
    <w:rPr>
      <w:rFonts w:ascii="黑体" w:hAnsi="黑体" w:eastAsia="黑体" w:cs="Times New Roman"/>
      <w:b/>
      <w:sz w:val="32"/>
      <w:szCs w:val="24"/>
      <w:lang w:val="en-US" w:eastAsia="zh-CN" w:bidi="ar-SA"/>
    </w:rPr>
  </w:style>
  <w:style w:type="paragraph" w:customStyle="1" w:styleId="551">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2">
    <w:name w:val="标题 4_0"/>
    <w:basedOn w:val="131"/>
    <w:next w:val="131"/>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3">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4">
    <w:name w:val="pa-123"/>
    <w:basedOn w:val="1"/>
    <w:autoRedefine/>
    <w:qFormat/>
    <w:uiPriority w:val="99"/>
    <w:pPr>
      <w:widowControl/>
      <w:spacing w:line="360" w:lineRule="atLeast"/>
    </w:pPr>
    <w:rPr>
      <w:rFonts w:ascii="宋体" w:hAnsi="宋体" w:eastAsia="宋体" w:cs="宋体"/>
      <w:kern w:val="0"/>
      <w:sz w:val="24"/>
    </w:rPr>
  </w:style>
  <w:style w:type="paragraph" w:customStyle="1" w:styleId="555">
    <w:name w:val="ca-31"/>
    <w:basedOn w:val="1"/>
    <w:autoRedefine/>
    <w:qFormat/>
    <w:uiPriority w:val="99"/>
    <w:pPr>
      <w:widowControl/>
      <w:jc w:val="left"/>
    </w:pPr>
    <w:rPr>
      <w:rFonts w:ascii="??" w:hAnsi="??" w:eastAsia="宋体" w:cs="宋体"/>
      <w:color w:val="000000"/>
      <w:kern w:val="0"/>
      <w:szCs w:val="21"/>
    </w:rPr>
  </w:style>
  <w:style w:type="paragraph" w:customStyle="1" w:styleId="556">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7">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58">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59">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1">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2">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3">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5">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7">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8">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0">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1">
    <w:name w:val="CM19"/>
    <w:basedOn w:val="160"/>
    <w:next w:val="160"/>
    <w:autoRedefine/>
    <w:qFormat/>
    <w:uiPriority w:val="99"/>
    <w:rPr>
      <w:rFonts w:ascii="仿宋" w:eastAsia="仿宋" w:cs="Times New Roman"/>
      <w:color w:val="auto"/>
    </w:rPr>
  </w:style>
  <w:style w:type="paragraph" w:customStyle="1" w:styleId="572">
    <w:name w:val="CM11"/>
    <w:basedOn w:val="160"/>
    <w:next w:val="160"/>
    <w:autoRedefine/>
    <w:qFormat/>
    <w:uiPriority w:val="99"/>
    <w:pPr>
      <w:spacing w:line="520" w:lineRule="atLeast"/>
    </w:pPr>
    <w:rPr>
      <w:rFonts w:ascii="仿宋" w:eastAsia="仿宋" w:cs="Times New Roman"/>
      <w:color w:val="auto"/>
    </w:rPr>
  </w:style>
  <w:style w:type="paragraph" w:customStyle="1" w:styleId="573">
    <w:name w:val="CM13"/>
    <w:basedOn w:val="160"/>
    <w:next w:val="160"/>
    <w:autoRedefine/>
    <w:qFormat/>
    <w:uiPriority w:val="99"/>
    <w:pPr>
      <w:spacing w:line="520" w:lineRule="atLeast"/>
    </w:pPr>
    <w:rPr>
      <w:rFonts w:ascii="仿宋" w:eastAsia="仿宋" w:cs="Times New Roman"/>
      <w:color w:val="auto"/>
    </w:rPr>
  </w:style>
  <w:style w:type="paragraph" w:customStyle="1" w:styleId="574">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5">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6">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7">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8">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9">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0">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1">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2">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3">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4">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5">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6">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7">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8">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9">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0">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1">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2">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4">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5">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6">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7">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8">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0">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1">
    <w:name w:val="样式3 Char"/>
    <w:link w:val="602"/>
    <w:autoRedefine/>
    <w:qFormat/>
    <w:locked/>
    <w:uiPriority w:val="0"/>
    <w:rPr>
      <w:rFonts w:ascii="宋体" w:hAnsi="宋体" w:eastAsia="宋体"/>
      <w:sz w:val="24"/>
      <w:szCs w:val="24"/>
    </w:rPr>
  </w:style>
  <w:style w:type="paragraph" w:customStyle="1" w:styleId="602">
    <w:name w:val="样式3"/>
    <w:basedOn w:val="1"/>
    <w:link w:val="601"/>
    <w:autoRedefine/>
    <w:qFormat/>
    <w:uiPriority w:val="0"/>
    <w:pPr>
      <w:spacing w:line="360" w:lineRule="auto"/>
      <w:ind w:left="454" w:hanging="227"/>
    </w:pPr>
    <w:rPr>
      <w:rFonts w:ascii="宋体" w:hAnsi="宋体" w:eastAsia="宋体"/>
      <w:sz w:val="24"/>
      <w:szCs w:val="24"/>
    </w:rPr>
  </w:style>
  <w:style w:type="character" w:customStyle="1" w:styleId="603">
    <w:name w:val="样式 样式 首行缩进:  2.25 字符 + 首行缩进:  2.25 字符 Char"/>
    <w:link w:val="604"/>
    <w:autoRedefine/>
    <w:qFormat/>
    <w:locked/>
    <w:uiPriority w:val="0"/>
    <w:rPr>
      <w:rFonts w:ascii="宋体" w:hAnsi="宋体" w:eastAsia="宋体"/>
      <w:szCs w:val="21"/>
    </w:rPr>
  </w:style>
  <w:style w:type="paragraph" w:customStyle="1" w:styleId="604">
    <w:name w:val="样式 样式 首行缩进:  2.25 字符 + 首行缩进:  2.25 字符"/>
    <w:basedOn w:val="1"/>
    <w:link w:val="603"/>
    <w:autoRedefine/>
    <w:qFormat/>
    <w:uiPriority w:val="0"/>
    <w:pPr>
      <w:spacing w:line="360" w:lineRule="auto"/>
      <w:ind w:firstLine="420" w:firstLineChars="200"/>
    </w:pPr>
    <w:rPr>
      <w:rFonts w:ascii="宋体" w:hAnsi="宋体" w:eastAsia="宋体"/>
      <w:szCs w:val="21"/>
    </w:rPr>
  </w:style>
  <w:style w:type="character" w:customStyle="1" w:styleId="605">
    <w:name w:val="Char Char25"/>
    <w:link w:val="606"/>
    <w:autoRedefine/>
    <w:qFormat/>
    <w:locked/>
    <w:uiPriority w:val="0"/>
    <w:rPr>
      <w:rFonts w:ascii="Tahoma" w:hAnsi="Tahoma" w:cs="Tahoma"/>
      <w:sz w:val="24"/>
    </w:rPr>
  </w:style>
  <w:style w:type="paragraph" w:customStyle="1" w:styleId="606">
    <w:name w:val="Char3"/>
    <w:basedOn w:val="1"/>
    <w:link w:val="605"/>
    <w:autoRedefine/>
    <w:qFormat/>
    <w:uiPriority w:val="0"/>
    <w:rPr>
      <w:rFonts w:ascii="Tahoma" w:hAnsi="Tahoma" w:cs="Tahoma"/>
      <w:sz w:val="24"/>
    </w:rPr>
  </w:style>
  <w:style w:type="paragraph" w:customStyle="1" w:styleId="607">
    <w:name w:val="CM14"/>
    <w:basedOn w:val="160"/>
    <w:next w:val="160"/>
    <w:autoRedefine/>
    <w:qFormat/>
    <w:uiPriority w:val="99"/>
    <w:pPr>
      <w:spacing w:line="546" w:lineRule="atLeast"/>
    </w:pPr>
    <w:rPr>
      <w:rFonts w:ascii="仿宋" w:eastAsia="仿宋" w:cs="Times New Roman"/>
      <w:color w:val="auto"/>
    </w:rPr>
  </w:style>
  <w:style w:type="paragraph" w:customStyle="1" w:styleId="608">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9">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0">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1">
    <w:name w:val="Char Char Char Char Char Char Char1"/>
    <w:basedOn w:val="1"/>
    <w:autoRedefine/>
    <w:qFormat/>
    <w:uiPriority w:val="99"/>
    <w:rPr>
      <w:rFonts w:ascii="Times New Roman" w:hAnsi="Times New Roman" w:eastAsia="宋体" w:cs="Times New Roman"/>
      <w:szCs w:val="24"/>
    </w:rPr>
  </w:style>
  <w:style w:type="paragraph" w:customStyle="1" w:styleId="612">
    <w:name w:val="Char11"/>
    <w:basedOn w:val="1"/>
    <w:autoRedefine/>
    <w:qFormat/>
    <w:uiPriority w:val="99"/>
    <w:rPr>
      <w:rFonts w:ascii="Times New Roman" w:hAnsi="Times New Roman" w:eastAsia="宋体" w:cs="Times New Roman"/>
      <w:szCs w:val="20"/>
    </w:rPr>
  </w:style>
  <w:style w:type="paragraph" w:customStyle="1" w:styleId="613">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4">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5">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7">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9">
    <w:name w:val="样式4"/>
    <w:basedOn w:val="6"/>
    <w:autoRedefine/>
    <w:qFormat/>
    <w:uiPriority w:val="99"/>
    <w:pPr>
      <w:spacing w:line="412" w:lineRule="auto"/>
      <w:ind w:left="720" w:hanging="720"/>
    </w:pPr>
    <w:rPr>
      <w:rFonts w:eastAsia="Arial"/>
      <w:kern w:val="2"/>
    </w:rPr>
  </w:style>
  <w:style w:type="paragraph" w:customStyle="1" w:styleId="620">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1">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Char Char1 Char1"/>
    <w:basedOn w:val="1"/>
    <w:autoRedefine/>
    <w:qFormat/>
    <w:uiPriority w:val="99"/>
    <w:rPr>
      <w:rFonts w:ascii="Times New Roman" w:hAnsi="Times New Roman" w:eastAsia="宋体" w:cs="Times New Roman"/>
      <w:szCs w:val="24"/>
    </w:rPr>
  </w:style>
  <w:style w:type="paragraph" w:customStyle="1" w:styleId="623">
    <w:name w:val="菲页(卷)"/>
    <w:basedOn w:val="4"/>
    <w:next w:val="524"/>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4">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Char Char Char Char1"/>
    <w:basedOn w:val="1"/>
    <w:autoRedefine/>
    <w:qFormat/>
    <w:uiPriority w:val="99"/>
    <w:rPr>
      <w:rFonts w:ascii="Times New Roman" w:hAnsi="Times New Roman" w:eastAsia="宋体" w:cs="Times New Roman"/>
      <w:szCs w:val="24"/>
    </w:rPr>
  </w:style>
  <w:style w:type="paragraph" w:customStyle="1" w:styleId="628">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29">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0">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1">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2">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3">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4">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5">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6">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7">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8">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9">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0">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1">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3">
    <w:name w:val="Char Char Char Char Char Char Char"/>
    <w:basedOn w:val="1"/>
    <w:autoRedefine/>
    <w:qFormat/>
    <w:uiPriority w:val="99"/>
    <w:rPr>
      <w:rFonts w:ascii="Times New Roman" w:hAnsi="Times New Roman" w:eastAsia="宋体" w:cs="Times New Roman"/>
      <w:szCs w:val="24"/>
    </w:rPr>
  </w:style>
  <w:style w:type="paragraph" w:customStyle="1" w:styleId="644">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5">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6">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7">
    <w:name w:val="Char1 Char Char Char"/>
    <w:basedOn w:val="1"/>
    <w:autoRedefine/>
    <w:qFormat/>
    <w:uiPriority w:val="99"/>
    <w:rPr>
      <w:rFonts w:ascii="Times New Roman" w:hAnsi="Times New Roman" w:eastAsia="宋体" w:cs="Times New Roman"/>
      <w:szCs w:val="20"/>
    </w:rPr>
  </w:style>
  <w:style w:type="paragraph" w:customStyle="1" w:styleId="648">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9">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0">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1">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2">
    <w:name w:val="正文宋体"/>
    <w:basedOn w:val="1"/>
    <w:autoRedefine/>
    <w:qFormat/>
    <w:uiPriority w:val="99"/>
    <w:pPr>
      <w:spacing w:line="360" w:lineRule="auto"/>
    </w:pPr>
    <w:rPr>
      <w:rFonts w:ascii="宋体" w:hAnsi="宋体" w:eastAsia="宋体" w:cs="Times New Roman"/>
      <w:sz w:val="24"/>
      <w:szCs w:val="24"/>
    </w:rPr>
  </w:style>
  <w:style w:type="paragraph" w:customStyle="1" w:styleId="653">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4">
    <w:name w:val="Char1 Char Char Char1"/>
    <w:basedOn w:val="1"/>
    <w:autoRedefine/>
    <w:qFormat/>
    <w:uiPriority w:val="99"/>
    <w:rPr>
      <w:rFonts w:ascii="Times New Roman" w:hAnsi="Times New Roman" w:eastAsia="宋体" w:cs="Times New Roman"/>
      <w:szCs w:val="20"/>
    </w:rPr>
  </w:style>
  <w:style w:type="paragraph" w:customStyle="1" w:styleId="655">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6">
    <w:name w:val="样式 标题 2 + 小四 Char Char"/>
    <w:link w:val="657"/>
    <w:autoRedefine/>
    <w:qFormat/>
    <w:locked/>
    <w:uiPriority w:val="0"/>
    <w:rPr>
      <w:rFonts w:ascii="宋体" w:hAnsi="宋体" w:eastAsia="微软雅黑"/>
      <w:b/>
      <w:sz w:val="36"/>
    </w:rPr>
  </w:style>
  <w:style w:type="paragraph" w:customStyle="1" w:styleId="657">
    <w:name w:val="样式 标题 2 + 小四"/>
    <w:basedOn w:val="5"/>
    <w:link w:val="656"/>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8">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9">
    <w:name w:val="No Spacing1"/>
    <w:autoRedefine/>
    <w:qFormat/>
    <w:uiPriority w:val="99"/>
    <w:rPr>
      <w:rFonts w:ascii="Calibri" w:hAnsi="Calibri" w:eastAsia="宋体" w:cs="Times New Roman"/>
      <w:sz w:val="22"/>
      <w:szCs w:val="22"/>
      <w:lang w:val="en-US" w:eastAsia="en-US" w:bidi="ar-SA"/>
    </w:rPr>
  </w:style>
  <w:style w:type="paragraph" w:customStyle="1" w:styleId="660">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1">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2">
    <w:name w:val="无间隔 字符"/>
    <w:link w:val="663"/>
    <w:autoRedefine/>
    <w:qFormat/>
    <w:locked/>
    <w:uiPriority w:val="0"/>
    <w:rPr>
      <w:rFonts w:ascii="Calibri" w:hAnsi="Calibri" w:eastAsia="微软雅黑" w:cs="Calibri"/>
    </w:rPr>
  </w:style>
  <w:style w:type="paragraph" w:customStyle="1" w:styleId="663">
    <w:name w:val="无间隔11"/>
    <w:link w:val="662"/>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4">
    <w:name w:val="Char2"/>
    <w:basedOn w:val="1"/>
    <w:autoRedefine/>
    <w:qFormat/>
    <w:uiPriority w:val="99"/>
    <w:rPr>
      <w:rFonts w:ascii="仿宋_GB2312" w:hAnsi="Times New Roman" w:eastAsia="仿宋_GB2312" w:cs="Times New Roman"/>
      <w:b/>
      <w:sz w:val="32"/>
      <w:szCs w:val="32"/>
    </w:rPr>
  </w:style>
  <w:style w:type="paragraph" w:customStyle="1" w:styleId="665">
    <w:name w:val="Char Char Char Char Char Char Char Char Char Char Char"/>
    <w:basedOn w:val="1"/>
    <w:autoRedefine/>
    <w:qFormat/>
    <w:uiPriority w:val="99"/>
    <w:rPr>
      <w:rFonts w:ascii="Tahoma" w:hAnsi="Tahoma" w:eastAsia="宋体" w:cs="Times New Roman"/>
      <w:sz w:val="24"/>
      <w:szCs w:val="20"/>
    </w:rPr>
  </w:style>
  <w:style w:type="paragraph" w:customStyle="1" w:styleId="666">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7">
    <w:name w:val="Char31"/>
    <w:basedOn w:val="1"/>
    <w:autoRedefine/>
    <w:qFormat/>
    <w:uiPriority w:val="99"/>
    <w:rPr>
      <w:rFonts w:ascii="Times New Roman" w:hAnsi="Times New Roman" w:eastAsia="宋体" w:cs="Times New Roman"/>
      <w:szCs w:val="20"/>
    </w:rPr>
  </w:style>
  <w:style w:type="paragraph" w:customStyle="1" w:styleId="668">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69">
    <w:name w:val="彩色列表 - 强调文字颜色 1 Char"/>
    <w:link w:val="670"/>
    <w:autoRedefine/>
    <w:qFormat/>
    <w:locked/>
    <w:uiPriority w:val="0"/>
    <w:rPr>
      <w:rFonts w:ascii="Calibri" w:hAnsi="Calibri" w:eastAsia="微软雅黑" w:cs="Calibri"/>
      <w:szCs w:val="24"/>
    </w:rPr>
  </w:style>
  <w:style w:type="paragraph" w:customStyle="1" w:styleId="670">
    <w:name w:val="彩色列表 - 强调文字颜色 11"/>
    <w:basedOn w:val="1"/>
    <w:link w:val="669"/>
    <w:autoRedefine/>
    <w:qFormat/>
    <w:uiPriority w:val="0"/>
    <w:pPr>
      <w:ind w:firstLine="420" w:firstLineChars="200"/>
    </w:pPr>
    <w:rPr>
      <w:rFonts w:ascii="Calibri" w:hAnsi="Calibri" w:eastAsia="微软雅黑" w:cs="Calibri"/>
      <w:szCs w:val="24"/>
    </w:rPr>
  </w:style>
  <w:style w:type="paragraph" w:customStyle="1" w:styleId="671">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2">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3">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4">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5">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6">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7">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8">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9">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0">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1">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2">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3">
    <w:name w:val="Char Char3 Char"/>
    <w:basedOn w:val="1"/>
    <w:autoRedefine/>
    <w:qFormat/>
    <w:uiPriority w:val="99"/>
    <w:rPr>
      <w:rFonts w:ascii="仿宋_GB2312" w:hAnsi="Times New Roman" w:eastAsia="仿宋_GB2312" w:cs="Times New Roman"/>
      <w:b/>
      <w:sz w:val="32"/>
      <w:szCs w:val="32"/>
    </w:rPr>
  </w:style>
  <w:style w:type="paragraph" w:customStyle="1" w:styleId="684">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6">
    <w:name w:val="样式 样式 纯文本普通文字 Char纯文本 Char Char普通文字纯文本 Char Char Char Char Char...."/>
    <w:basedOn w:val="668"/>
    <w:autoRedefine/>
    <w:qFormat/>
    <w:uiPriority w:val="99"/>
    <w:pPr>
      <w:jc w:val="center"/>
    </w:pPr>
    <w:rPr>
      <w:rFonts w:ascii="宋体" w:hAnsi="宋体" w:eastAsia="宋体" w:cs="宋体"/>
      <w:bCs w:val="0"/>
      <w:szCs w:val="20"/>
    </w:rPr>
  </w:style>
  <w:style w:type="paragraph" w:customStyle="1" w:styleId="687">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8">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89">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0">
    <w:name w:val="_Style 63"/>
    <w:basedOn w:val="1"/>
    <w:autoRedefine/>
    <w:qFormat/>
    <w:uiPriority w:val="99"/>
    <w:rPr>
      <w:rFonts w:ascii="Tahoma" w:hAnsi="Tahoma" w:eastAsia="宋体" w:cs="Times New Roman"/>
      <w:sz w:val="24"/>
      <w:szCs w:val="20"/>
    </w:rPr>
  </w:style>
  <w:style w:type="paragraph" w:customStyle="1" w:styleId="691">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2">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3">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4">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5">
    <w:name w:val="纯文本11"/>
    <w:basedOn w:val="1"/>
    <w:autoRedefine/>
    <w:qFormat/>
    <w:uiPriority w:val="99"/>
    <w:pPr>
      <w:adjustRightInd w:val="0"/>
    </w:pPr>
    <w:rPr>
      <w:rFonts w:ascii="宋体" w:hAnsi="Courier New" w:eastAsia="宋体" w:cs="Times New Roman"/>
      <w:szCs w:val="20"/>
    </w:rPr>
  </w:style>
  <w:style w:type="paragraph" w:customStyle="1" w:styleId="696">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7">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8">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9">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0">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1">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2">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3">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5">
    <w:name w:val="不明显强调1"/>
    <w:autoRedefine/>
    <w:qFormat/>
    <w:uiPriority w:val="0"/>
    <w:rPr>
      <w:i/>
      <w:color w:val="auto"/>
      <w:sz w:val="21"/>
    </w:rPr>
  </w:style>
  <w:style w:type="character" w:customStyle="1" w:styleId="706">
    <w:name w:val="明显强调1"/>
    <w:autoRedefine/>
    <w:qFormat/>
    <w:uiPriority w:val="0"/>
    <w:rPr>
      <w:i/>
      <w:color w:val="auto"/>
      <w:sz w:val="21"/>
    </w:rPr>
  </w:style>
  <w:style w:type="character" w:customStyle="1" w:styleId="707">
    <w:name w:val="不明显参考1"/>
    <w:autoRedefine/>
    <w:qFormat/>
    <w:uiPriority w:val="0"/>
    <w:rPr>
      <w:color w:val="auto"/>
      <w:sz w:val="21"/>
    </w:rPr>
  </w:style>
  <w:style w:type="character" w:customStyle="1" w:styleId="708">
    <w:name w:val="明显参考1"/>
    <w:autoRedefine/>
    <w:qFormat/>
    <w:uiPriority w:val="0"/>
    <w:rPr>
      <w:b/>
      <w:color w:val="auto"/>
      <w:sz w:val="21"/>
    </w:rPr>
  </w:style>
  <w:style w:type="character" w:customStyle="1" w:styleId="709">
    <w:name w:val="书籍标题1"/>
    <w:autoRedefine/>
    <w:qFormat/>
    <w:uiPriority w:val="0"/>
    <w:rPr>
      <w:b/>
      <w:i/>
      <w:sz w:val="21"/>
    </w:rPr>
  </w:style>
  <w:style w:type="character" w:customStyle="1" w:styleId="710">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1">
    <w:name w:val="标题 Char1"/>
    <w:autoRedefine/>
    <w:qFormat/>
    <w:uiPriority w:val="0"/>
    <w:rPr>
      <w:rFonts w:hint="default" w:ascii="Cambria" w:hAnsi="Cambria" w:cs="Times New Roman"/>
      <w:b/>
      <w:bCs/>
      <w:sz w:val="32"/>
      <w:szCs w:val="32"/>
    </w:rPr>
  </w:style>
  <w:style w:type="character" w:customStyle="1" w:styleId="712">
    <w:name w:val="hui121"/>
    <w:autoRedefine/>
    <w:qFormat/>
    <w:uiPriority w:val="0"/>
    <w:rPr>
      <w:rFonts w:hint="eastAsia" w:ascii="宋体" w:hAnsi="宋体" w:eastAsia="宋体"/>
      <w:color w:val="333333"/>
      <w:kern w:val="2"/>
      <w:sz w:val="18"/>
      <w:szCs w:val="18"/>
      <w:lang w:val="en-US" w:eastAsia="zh-CN" w:bidi="ar-SA"/>
    </w:rPr>
  </w:style>
  <w:style w:type="character" w:customStyle="1" w:styleId="713">
    <w:name w:val="纯文本 Char"/>
    <w:autoRedefine/>
    <w:qFormat/>
    <w:uiPriority w:val="0"/>
    <w:rPr>
      <w:rFonts w:hint="eastAsia" w:ascii="宋体" w:hAnsi="Courier New" w:eastAsia="宋体" w:cs="Courier New"/>
      <w:szCs w:val="21"/>
    </w:rPr>
  </w:style>
  <w:style w:type="character" w:customStyle="1" w:styleId="714">
    <w:name w:val="class4"/>
    <w:autoRedefine/>
    <w:qFormat/>
    <w:uiPriority w:val="0"/>
  </w:style>
  <w:style w:type="character" w:customStyle="1" w:styleId="715">
    <w:name w:val="标准文本 Char"/>
    <w:autoRedefine/>
    <w:qFormat/>
    <w:uiPriority w:val="0"/>
    <w:rPr>
      <w:sz w:val="20"/>
    </w:rPr>
  </w:style>
  <w:style w:type="character" w:customStyle="1" w:styleId="716">
    <w:name w:val="列出段落 Char"/>
    <w:autoRedefine/>
    <w:qFormat/>
    <w:uiPriority w:val="0"/>
    <w:rPr>
      <w:sz w:val="20"/>
    </w:rPr>
  </w:style>
  <w:style w:type="character" w:customStyle="1" w:styleId="717">
    <w:name w:val="纯文本 Char1"/>
    <w:autoRedefine/>
    <w:qFormat/>
    <w:uiPriority w:val="0"/>
    <w:rPr>
      <w:sz w:val="20"/>
    </w:rPr>
  </w:style>
  <w:style w:type="character" w:customStyle="1" w:styleId="718">
    <w:name w:val="封面日期 Char Char"/>
    <w:autoRedefine/>
    <w:qFormat/>
    <w:uiPriority w:val="0"/>
    <w:rPr>
      <w:sz w:val="20"/>
    </w:rPr>
  </w:style>
  <w:style w:type="character" w:customStyle="1" w:styleId="719">
    <w:name w:val="ca-3"/>
    <w:autoRedefine/>
    <w:qFormat/>
    <w:uiPriority w:val="0"/>
    <w:rPr>
      <w:rFonts w:hint="eastAsia" w:ascii="宋体" w:hAnsi="宋体" w:eastAsia="宋体"/>
      <w:kern w:val="2"/>
      <w:sz w:val="24"/>
      <w:szCs w:val="24"/>
      <w:lang w:val="en-US" w:eastAsia="zh-CN" w:bidi="ar-SA"/>
    </w:rPr>
  </w:style>
  <w:style w:type="character" w:customStyle="1" w:styleId="720">
    <w:name w:val="class3"/>
    <w:autoRedefine/>
    <w:qFormat/>
    <w:uiPriority w:val="0"/>
  </w:style>
  <w:style w:type="character" w:customStyle="1" w:styleId="721">
    <w:name w:val="style41"/>
    <w:autoRedefine/>
    <w:qFormat/>
    <w:uiPriority w:val="0"/>
    <w:rPr>
      <w:sz w:val="18"/>
      <w:szCs w:val="18"/>
    </w:rPr>
  </w:style>
  <w:style w:type="character" w:customStyle="1" w:styleId="722">
    <w:name w:val="label_list1"/>
    <w:autoRedefine/>
    <w:qFormat/>
    <w:uiPriority w:val="0"/>
  </w:style>
  <w:style w:type="character" w:customStyle="1" w:styleId="723">
    <w:name w:val="普通文字 Char Char1"/>
    <w:autoRedefine/>
    <w:qFormat/>
    <w:uiPriority w:val="0"/>
    <w:rPr>
      <w:rFonts w:hint="eastAsia" w:ascii="宋体" w:hAnsi="Courier New" w:eastAsia="宋体"/>
      <w:kern w:val="2"/>
      <w:sz w:val="24"/>
      <w:szCs w:val="24"/>
    </w:rPr>
  </w:style>
  <w:style w:type="character" w:customStyle="1" w:styleId="724">
    <w:name w:val="zbggmain style9"/>
    <w:autoRedefine/>
    <w:qFormat/>
    <w:uiPriority w:val="0"/>
    <w:rPr>
      <w:sz w:val="20"/>
    </w:rPr>
  </w:style>
  <w:style w:type="character" w:customStyle="1" w:styleId="725">
    <w:name w:val="Body Text(ch) Char Char"/>
    <w:autoRedefine/>
    <w:qFormat/>
    <w:uiPriority w:val="0"/>
    <w:rPr>
      <w:sz w:val="20"/>
    </w:rPr>
  </w:style>
  <w:style w:type="character" w:customStyle="1" w:styleId="726">
    <w:name w:val="op-map-singlepoint-info-right1"/>
    <w:autoRedefine/>
    <w:qFormat/>
    <w:uiPriority w:val="0"/>
    <w:rPr>
      <w:sz w:val="20"/>
    </w:rPr>
  </w:style>
  <w:style w:type="character" w:customStyle="1" w:styleId="727">
    <w:name w:val="ca-451"/>
    <w:autoRedefine/>
    <w:qFormat/>
    <w:uiPriority w:val="0"/>
    <w:rPr>
      <w:rFonts w:hint="eastAsia" w:ascii="宋体" w:hAnsi="宋体" w:eastAsia="宋体"/>
      <w:color w:val="000000"/>
      <w:sz w:val="72"/>
      <w:szCs w:val="72"/>
    </w:rPr>
  </w:style>
  <w:style w:type="character" w:customStyle="1" w:styleId="728">
    <w:name w:val="Char Char39"/>
    <w:autoRedefine/>
    <w:qFormat/>
    <w:uiPriority w:val="0"/>
    <w:rPr>
      <w:rFonts w:hint="default" w:ascii="Times New Roman" w:hAnsi="Times New Roman" w:eastAsia="宋体" w:cs="Times New Roman"/>
      <w:b/>
      <w:bCs/>
      <w:sz w:val="28"/>
      <w:szCs w:val="28"/>
    </w:rPr>
  </w:style>
  <w:style w:type="character" w:customStyle="1" w:styleId="729">
    <w:name w:val="Char Char40"/>
    <w:autoRedefine/>
    <w:qFormat/>
    <w:uiPriority w:val="0"/>
    <w:rPr>
      <w:rFonts w:hint="default" w:ascii="Arial" w:hAnsi="Arial" w:eastAsia="黑体" w:cs="Times New Roman"/>
      <w:b/>
      <w:bCs/>
      <w:sz w:val="28"/>
      <w:szCs w:val="28"/>
    </w:rPr>
  </w:style>
  <w:style w:type="character" w:customStyle="1" w:styleId="730">
    <w:name w:val="Char Char42"/>
    <w:autoRedefine/>
    <w:qFormat/>
    <w:uiPriority w:val="0"/>
    <w:rPr>
      <w:rFonts w:hint="default" w:ascii="Arial" w:hAnsi="Arial" w:eastAsia="黑体" w:cs="Times New Roman"/>
      <w:b/>
      <w:bCs/>
      <w:sz w:val="32"/>
      <w:szCs w:val="32"/>
    </w:rPr>
  </w:style>
  <w:style w:type="character" w:customStyle="1" w:styleId="731">
    <w:name w:val="Char Char43"/>
    <w:autoRedefine/>
    <w:qFormat/>
    <w:uiPriority w:val="0"/>
    <w:rPr>
      <w:rFonts w:hint="default" w:ascii="Times New Roman" w:hAnsi="Times New Roman" w:eastAsia="宋体" w:cs="Times New Roman"/>
      <w:b/>
      <w:bCs/>
      <w:sz w:val="24"/>
      <w:szCs w:val="24"/>
    </w:rPr>
  </w:style>
  <w:style w:type="character" w:customStyle="1" w:styleId="732">
    <w:name w:val="Char Char41"/>
    <w:autoRedefine/>
    <w:qFormat/>
    <w:uiPriority w:val="0"/>
    <w:rPr>
      <w:rFonts w:hint="default" w:ascii="Times New Roman" w:hAnsi="Times New Roman" w:eastAsia="宋体" w:cs="Times New Roman"/>
      <w:b/>
      <w:bCs/>
      <w:sz w:val="32"/>
      <w:szCs w:val="32"/>
    </w:rPr>
  </w:style>
  <w:style w:type="character" w:customStyle="1" w:styleId="733">
    <w:name w:val="Char Char38"/>
    <w:autoRedefine/>
    <w:qFormat/>
    <w:uiPriority w:val="0"/>
    <w:rPr>
      <w:rFonts w:hint="default" w:ascii="Arial" w:hAnsi="Arial" w:eastAsia="黑体" w:cs="Arial"/>
      <w:b/>
      <w:bCs/>
      <w:sz w:val="24"/>
      <w:szCs w:val="24"/>
    </w:rPr>
  </w:style>
  <w:style w:type="character" w:customStyle="1" w:styleId="734">
    <w:name w:val="Char Char35"/>
    <w:autoRedefine/>
    <w:qFormat/>
    <w:uiPriority w:val="0"/>
    <w:rPr>
      <w:rFonts w:hint="default" w:ascii="Arial" w:hAnsi="Arial" w:eastAsia="黑体" w:cs="Times New Roman"/>
    </w:rPr>
  </w:style>
  <w:style w:type="character" w:customStyle="1" w:styleId="735">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6">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7">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8">
    <w:name w:val="ca-61"/>
    <w:autoRedefine/>
    <w:qFormat/>
    <w:uiPriority w:val="0"/>
    <w:rPr>
      <w:rFonts w:hint="eastAsia" w:ascii="宋体" w:hAnsi="宋体" w:eastAsia="宋体"/>
      <w:color w:val="000000"/>
      <w:sz w:val="30"/>
      <w:szCs w:val="30"/>
    </w:rPr>
  </w:style>
  <w:style w:type="character" w:customStyle="1" w:styleId="739">
    <w:name w:val="ca-161"/>
    <w:autoRedefine/>
    <w:qFormat/>
    <w:uiPriority w:val="0"/>
    <w:rPr>
      <w:rFonts w:hint="eastAsia" w:ascii="宋体" w:hAnsi="宋体" w:eastAsia="宋体"/>
      <w:sz w:val="24"/>
      <w:szCs w:val="24"/>
    </w:rPr>
  </w:style>
  <w:style w:type="character" w:customStyle="1" w:styleId="740">
    <w:name w:val="textcontents"/>
    <w:autoRedefine/>
    <w:qFormat/>
    <w:uiPriority w:val="0"/>
    <w:rPr>
      <w:rFonts w:hint="default" w:ascii="Times New Roman" w:hAnsi="Times New Roman" w:cs="Times New Roman"/>
    </w:rPr>
  </w:style>
  <w:style w:type="character" w:customStyle="1" w:styleId="741">
    <w:name w:val="ca-401"/>
    <w:autoRedefine/>
    <w:qFormat/>
    <w:uiPriority w:val="0"/>
    <w:rPr>
      <w:rFonts w:hint="default" w:ascii="Times New Roman" w:hAnsi="Times New Roman" w:cs="Times New Roman"/>
      <w:sz w:val="20"/>
      <w:szCs w:val="20"/>
    </w:rPr>
  </w:style>
  <w:style w:type="character" w:customStyle="1" w:styleId="742">
    <w:name w:val="ca-231"/>
    <w:autoRedefine/>
    <w:qFormat/>
    <w:uiPriority w:val="0"/>
    <w:rPr>
      <w:rFonts w:hint="default" w:ascii="Times New Roman" w:hAnsi="Times New Roman" w:cs="Times New Roman"/>
      <w:sz w:val="21"/>
      <w:szCs w:val="21"/>
    </w:rPr>
  </w:style>
  <w:style w:type="character" w:customStyle="1" w:styleId="743">
    <w:name w:val="ca-331"/>
    <w:autoRedefine/>
    <w:qFormat/>
    <w:uiPriority w:val="0"/>
    <w:rPr>
      <w:rFonts w:hint="eastAsia" w:ascii="宋体" w:hAnsi="宋体" w:eastAsia="宋体"/>
      <w:b/>
      <w:bCs/>
      <w:color w:val="002060"/>
      <w:spacing w:val="-20"/>
      <w:sz w:val="20"/>
      <w:szCs w:val="20"/>
    </w:rPr>
  </w:style>
  <w:style w:type="character" w:customStyle="1" w:styleId="744">
    <w:name w:val="ca-201"/>
    <w:autoRedefine/>
    <w:qFormat/>
    <w:uiPriority w:val="0"/>
    <w:rPr>
      <w:rFonts w:hint="default" w:ascii="??" w:hAnsi="??"/>
      <w:color w:val="000000"/>
      <w:sz w:val="18"/>
      <w:szCs w:val="18"/>
    </w:rPr>
  </w:style>
  <w:style w:type="character" w:customStyle="1" w:styleId="745">
    <w:name w:val="ca-191"/>
    <w:autoRedefine/>
    <w:qFormat/>
    <w:uiPriority w:val="0"/>
    <w:rPr>
      <w:rFonts w:hint="default" w:ascii="Times New Roman" w:hAnsi="Times New Roman" w:cs="Times New Roman"/>
      <w:sz w:val="18"/>
      <w:szCs w:val="18"/>
    </w:rPr>
  </w:style>
  <w:style w:type="character" w:customStyle="1" w:styleId="746">
    <w:name w:val="CPara--- Char Char"/>
    <w:autoRedefine/>
    <w:qFormat/>
    <w:uiPriority w:val="0"/>
    <w:rPr>
      <w:rFonts w:hint="default" w:ascii="Arial" w:hAnsi="Arial" w:eastAsia="宋体" w:cs="Arial"/>
      <w:lang w:val="en-US" w:eastAsia="en-US" w:bidi="ar-SA"/>
    </w:rPr>
  </w:style>
  <w:style w:type="character" w:customStyle="1" w:styleId="747">
    <w:name w:val="标题 5 Char1"/>
    <w:autoRedefine/>
    <w:qFormat/>
    <w:uiPriority w:val="0"/>
    <w:rPr>
      <w:rFonts w:hint="eastAsia" w:ascii="宋体" w:hAnsi="宋体" w:eastAsia="宋体"/>
      <w:b/>
      <w:bCs/>
      <w:kern w:val="2"/>
      <w:sz w:val="28"/>
      <w:szCs w:val="28"/>
      <w:lang w:val="en-US" w:eastAsia="zh-CN" w:bidi="ar-SA"/>
    </w:rPr>
  </w:style>
  <w:style w:type="character" w:customStyle="1" w:styleId="748">
    <w:name w:val="ca-81"/>
    <w:autoRedefine/>
    <w:qFormat/>
    <w:uiPriority w:val="0"/>
    <w:rPr>
      <w:rFonts w:hint="eastAsia" w:ascii="宋体" w:hAnsi="宋体" w:eastAsia="宋体"/>
      <w:color w:val="000000"/>
      <w:sz w:val="28"/>
      <w:szCs w:val="28"/>
    </w:rPr>
  </w:style>
  <w:style w:type="character" w:customStyle="1" w:styleId="749">
    <w:name w:val="ca-461"/>
    <w:autoRedefine/>
    <w:qFormat/>
    <w:uiPriority w:val="0"/>
    <w:rPr>
      <w:rFonts w:hint="eastAsia" w:ascii="宋体" w:hAnsi="宋体" w:eastAsia="宋体"/>
      <w:color w:val="000000"/>
      <w:spacing w:val="-20"/>
      <w:sz w:val="28"/>
      <w:szCs w:val="28"/>
    </w:rPr>
  </w:style>
  <w:style w:type="character" w:customStyle="1" w:styleId="750">
    <w:name w:val="ca-501"/>
    <w:autoRedefine/>
    <w:qFormat/>
    <w:uiPriority w:val="0"/>
    <w:rPr>
      <w:rFonts w:hint="eastAsia" w:ascii="宋体" w:hAnsi="宋体" w:eastAsia="宋体"/>
      <w:spacing w:val="0"/>
      <w:sz w:val="24"/>
      <w:szCs w:val="24"/>
    </w:rPr>
  </w:style>
  <w:style w:type="character" w:customStyle="1" w:styleId="751">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2">
    <w:name w:val="日期 Char1"/>
    <w:autoRedefine/>
    <w:qFormat/>
    <w:uiPriority w:val="0"/>
    <w:rPr>
      <w:kern w:val="2"/>
      <w:sz w:val="21"/>
      <w:szCs w:val="22"/>
    </w:rPr>
  </w:style>
  <w:style w:type="character" w:customStyle="1" w:styleId="753">
    <w:name w:val="ca-210"/>
    <w:autoRedefine/>
    <w:qFormat/>
    <w:uiPriority w:val="0"/>
    <w:rPr>
      <w:rFonts w:hint="default" w:ascii="Times New Roman" w:hAnsi="Times New Roman" w:cs="Times New Roman"/>
      <w:color w:val="000000"/>
      <w:sz w:val="36"/>
      <w:szCs w:val="36"/>
    </w:rPr>
  </w:style>
  <w:style w:type="character" w:customStyle="1" w:styleId="754">
    <w:name w:val="页眉 Char Char"/>
    <w:autoRedefine/>
    <w:qFormat/>
    <w:uiPriority w:val="0"/>
    <w:rPr>
      <w:rFonts w:hint="default" w:ascii="Times New Roman" w:hAnsi="Times New Roman" w:eastAsia="宋体" w:cs="Times New Roman"/>
      <w:sz w:val="18"/>
      <w:szCs w:val="18"/>
    </w:rPr>
  </w:style>
  <w:style w:type="character" w:customStyle="1" w:styleId="755">
    <w:name w:val="页脚 Char1"/>
    <w:autoRedefine/>
    <w:qFormat/>
    <w:uiPriority w:val="0"/>
    <w:rPr>
      <w:rFonts w:hint="eastAsia" w:ascii="黑体" w:hAnsi="黑体" w:eastAsia="黑体"/>
      <w:snapToGrid w:val="0"/>
      <w:sz w:val="18"/>
      <w:szCs w:val="18"/>
      <w:lang w:val="en-US" w:eastAsia="zh-CN" w:bidi="ar-SA"/>
    </w:rPr>
  </w:style>
  <w:style w:type="character" w:customStyle="1" w:styleId="756">
    <w:name w:val="日期 Char2"/>
    <w:autoRedefine/>
    <w:qFormat/>
    <w:uiPriority w:val="0"/>
    <w:rPr>
      <w:rFonts w:hint="eastAsia" w:ascii="楷体_GB2312" w:eastAsia="楷体_GB2312"/>
      <w:kern w:val="2"/>
      <w:sz w:val="32"/>
      <w:lang w:val="en-US" w:eastAsia="zh-CN" w:bidi="ar-SA"/>
    </w:rPr>
  </w:style>
  <w:style w:type="character" w:customStyle="1" w:styleId="757">
    <w:name w:val="style11"/>
    <w:autoRedefine/>
    <w:qFormat/>
    <w:uiPriority w:val="0"/>
    <w:rPr>
      <w:sz w:val="27"/>
      <w:szCs w:val="27"/>
    </w:rPr>
  </w:style>
  <w:style w:type="character" w:customStyle="1" w:styleId="758">
    <w:name w:val="文档结构图 Char1"/>
    <w:autoRedefine/>
    <w:qFormat/>
    <w:uiPriority w:val="0"/>
    <w:rPr>
      <w:rFonts w:hint="eastAsia" w:ascii="宋体" w:hAnsi="宋体" w:eastAsia="宋体"/>
      <w:kern w:val="2"/>
      <w:sz w:val="18"/>
      <w:szCs w:val="18"/>
    </w:rPr>
  </w:style>
  <w:style w:type="character" w:customStyle="1" w:styleId="759">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0">
    <w:name w:val="Char Char22"/>
    <w:autoRedefine/>
    <w:qFormat/>
    <w:uiPriority w:val="0"/>
    <w:rPr>
      <w:rFonts w:hint="eastAsia" w:ascii="宋体" w:hAnsi="宋体" w:eastAsia="宋体"/>
      <w:b/>
      <w:bCs/>
      <w:kern w:val="44"/>
      <w:sz w:val="44"/>
      <w:szCs w:val="44"/>
    </w:rPr>
  </w:style>
  <w:style w:type="character" w:customStyle="1" w:styleId="761">
    <w:name w:val="正文文字4 Char"/>
    <w:autoRedefine/>
    <w:qFormat/>
    <w:uiPriority w:val="0"/>
    <w:rPr>
      <w:rFonts w:hint="eastAsia" w:ascii="宋体" w:hAnsi="宋体" w:eastAsia="宋体"/>
      <w:kern w:val="2"/>
      <w:sz w:val="21"/>
      <w:szCs w:val="24"/>
      <w:lang w:val="en-US" w:eastAsia="zh-CN" w:bidi="ar-SA"/>
    </w:rPr>
  </w:style>
  <w:style w:type="character" w:customStyle="1" w:styleId="762">
    <w:name w:val="ca-410"/>
    <w:autoRedefine/>
    <w:qFormat/>
    <w:uiPriority w:val="0"/>
    <w:rPr>
      <w:rFonts w:hint="eastAsia" w:ascii="宋体" w:hAnsi="宋体" w:eastAsia="宋体"/>
      <w:b/>
      <w:bCs/>
      <w:color w:val="000000"/>
      <w:spacing w:val="-20"/>
      <w:sz w:val="48"/>
      <w:szCs w:val="48"/>
    </w:rPr>
  </w:style>
  <w:style w:type="character" w:customStyle="1" w:styleId="763">
    <w:name w:val="ca-101"/>
    <w:autoRedefine/>
    <w:qFormat/>
    <w:uiPriority w:val="0"/>
    <w:rPr>
      <w:rFonts w:hint="default" w:ascii="Times New Roman" w:hAnsi="Times New Roman" w:cs="Times New Roman"/>
      <w:color w:val="000000"/>
      <w:sz w:val="52"/>
      <w:szCs w:val="52"/>
    </w:rPr>
  </w:style>
  <w:style w:type="paragraph" w:customStyle="1" w:styleId="764">
    <w:name w:val="标题 3_1"/>
    <w:basedOn w:val="120"/>
    <w:next w:val="120"/>
    <w:link w:val="76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5">
    <w:name w:val="标题 3 Char_0"/>
    <w:link w:val="764"/>
    <w:autoRedefine/>
    <w:qFormat/>
    <w:locked/>
    <w:uiPriority w:val="0"/>
    <w:rPr>
      <w:rFonts w:ascii="Times New Roman" w:hAnsi="Times New Roman" w:eastAsia="宋体" w:cs="Times New Roman"/>
      <w:b/>
      <w:bCs/>
      <w:sz w:val="32"/>
      <w:szCs w:val="32"/>
    </w:rPr>
  </w:style>
  <w:style w:type="character" w:customStyle="1" w:styleId="766">
    <w:name w:val="ca-361"/>
    <w:autoRedefine/>
    <w:qFormat/>
    <w:uiPriority w:val="0"/>
    <w:rPr>
      <w:rFonts w:hint="eastAsia" w:ascii="宋体" w:hAnsi="宋体" w:eastAsia="宋体"/>
      <w:b/>
      <w:bCs/>
      <w:spacing w:val="-20"/>
      <w:sz w:val="21"/>
      <w:szCs w:val="21"/>
    </w:rPr>
  </w:style>
  <w:style w:type="character" w:customStyle="1" w:styleId="767">
    <w:name w:val="标题 3 Char1"/>
    <w:autoRedefine/>
    <w:qFormat/>
    <w:uiPriority w:val="0"/>
    <w:rPr>
      <w:rFonts w:hint="eastAsia" w:ascii="宋体" w:hAnsi="宋体" w:eastAsia="宋体"/>
      <w:b/>
      <w:bCs/>
      <w:kern w:val="2"/>
      <w:sz w:val="32"/>
      <w:szCs w:val="32"/>
      <w:lang w:val="en-US" w:eastAsia="zh-CN" w:bidi="ar-SA"/>
    </w:rPr>
  </w:style>
  <w:style w:type="character" w:customStyle="1" w:styleId="768">
    <w:name w:val="ca-301"/>
    <w:autoRedefine/>
    <w:qFormat/>
    <w:uiPriority w:val="0"/>
    <w:rPr>
      <w:rFonts w:hint="default" w:ascii="??" w:hAnsi="??"/>
      <w:color w:val="002060"/>
      <w:sz w:val="21"/>
      <w:szCs w:val="21"/>
    </w:rPr>
  </w:style>
  <w:style w:type="character" w:customStyle="1" w:styleId="769">
    <w:name w:val="标题 Char Char"/>
    <w:autoRedefine/>
    <w:qFormat/>
    <w:uiPriority w:val="0"/>
    <w:rPr>
      <w:rFonts w:hint="default" w:ascii="Arial" w:hAnsi="Arial" w:eastAsia="宋体" w:cs="Arial"/>
      <w:b/>
      <w:kern w:val="2"/>
      <w:sz w:val="44"/>
      <w:lang w:val="en-US" w:eastAsia="zh-CN"/>
    </w:rPr>
  </w:style>
  <w:style w:type="character" w:customStyle="1" w:styleId="770">
    <w:name w:val="ca-381"/>
    <w:autoRedefine/>
    <w:qFormat/>
    <w:uiPriority w:val="0"/>
    <w:rPr>
      <w:rFonts w:hint="default" w:ascii="Times New Roman" w:hAnsi="Times New Roman" w:cs="Times New Roman"/>
      <w:b/>
      <w:bCs/>
      <w:spacing w:val="-20"/>
      <w:sz w:val="21"/>
      <w:szCs w:val="21"/>
    </w:rPr>
  </w:style>
  <w:style w:type="character" w:customStyle="1" w:styleId="771">
    <w:name w:val="文档结构图 Char2"/>
    <w:autoRedefine/>
    <w:qFormat/>
    <w:uiPriority w:val="0"/>
    <w:rPr>
      <w:kern w:val="2"/>
      <w:sz w:val="21"/>
      <w:szCs w:val="24"/>
      <w:shd w:val="clear" w:color="auto" w:fill="000080"/>
    </w:rPr>
  </w:style>
  <w:style w:type="character" w:customStyle="1" w:styleId="772">
    <w:name w:val="ca-241"/>
    <w:autoRedefine/>
    <w:qFormat/>
    <w:uiPriority w:val="0"/>
    <w:rPr>
      <w:rFonts w:hint="eastAsia" w:ascii="宋体" w:hAnsi="宋体" w:eastAsia="宋体"/>
      <w:sz w:val="24"/>
      <w:szCs w:val="24"/>
    </w:rPr>
  </w:style>
  <w:style w:type="character" w:customStyle="1" w:styleId="773">
    <w:name w:val="Char Char30"/>
    <w:autoRedefine/>
    <w:qFormat/>
    <w:uiPriority w:val="0"/>
    <w:rPr>
      <w:rFonts w:hint="default" w:ascii="Arial" w:hAnsi="Arial" w:eastAsia="黑体" w:cs="Times New Roman"/>
      <w:b/>
      <w:bCs/>
      <w:sz w:val="32"/>
      <w:szCs w:val="32"/>
    </w:rPr>
  </w:style>
  <w:style w:type="character" w:customStyle="1" w:styleId="774">
    <w:name w:val="表正文 Char1"/>
    <w:autoRedefine/>
    <w:qFormat/>
    <w:uiPriority w:val="0"/>
    <w:rPr>
      <w:rFonts w:hint="eastAsia" w:ascii="宋体" w:hAnsi="宋体" w:eastAsia="宋体"/>
      <w:kern w:val="2"/>
      <w:sz w:val="21"/>
      <w:szCs w:val="24"/>
      <w:lang w:val="en-US" w:eastAsia="zh-CN" w:bidi="ar-SA"/>
    </w:rPr>
  </w:style>
  <w:style w:type="character" w:customStyle="1" w:styleId="775">
    <w:name w:val="ca-171"/>
    <w:autoRedefine/>
    <w:qFormat/>
    <w:uiPriority w:val="0"/>
    <w:rPr>
      <w:rFonts w:hint="default" w:ascii="Times New Roman" w:hAnsi="Times New Roman" w:cs="Times New Roman"/>
      <w:b/>
      <w:bCs/>
      <w:spacing w:val="-20"/>
      <w:sz w:val="24"/>
      <w:szCs w:val="24"/>
    </w:rPr>
  </w:style>
  <w:style w:type="character" w:customStyle="1" w:styleId="776">
    <w:name w:val="Char Char23"/>
    <w:autoRedefine/>
    <w:qFormat/>
    <w:uiPriority w:val="0"/>
    <w:rPr>
      <w:rFonts w:hint="default" w:ascii="Times New Roman" w:hAnsi="Times New Roman" w:eastAsia="宋体" w:cs="Times New Roman"/>
      <w:b/>
      <w:bCs/>
      <w:sz w:val="32"/>
      <w:szCs w:val="32"/>
    </w:rPr>
  </w:style>
  <w:style w:type="character" w:customStyle="1" w:styleId="777">
    <w:name w:val="ca-511"/>
    <w:autoRedefine/>
    <w:qFormat/>
    <w:uiPriority w:val="0"/>
    <w:rPr>
      <w:rFonts w:hint="default" w:ascii="Times New Roman" w:hAnsi="Times New Roman" w:cs="Times New Roman"/>
      <w:b/>
      <w:bCs/>
      <w:color w:val="000000"/>
      <w:spacing w:val="-20"/>
      <w:sz w:val="32"/>
      <w:szCs w:val="32"/>
    </w:rPr>
  </w:style>
  <w:style w:type="character" w:customStyle="1" w:styleId="778">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79">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0">
    <w:name w:val="ca-471"/>
    <w:autoRedefine/>
    <w:qFormat/>
    <w:uiPriority w:val="0"/>
    <w:rPr>
      <w:rFonts w:hint="eastAsia" w:ascii="宋体" w:hAnsi="宋体" w:eastAsia="宋体"/>
      <w:b/>
      <w:bCs/>
      <w:color w:val="000000"/>
      <w:spacing w:val="-20"/>
      <w:sz w:val="24"/>
      <w:szCs w:val="24"/>
    </w:rPr>
  </w:style>
  <w:style w:type="character" w:customStyle="1" w:styleId="781">
    <w:name w:val="zbggtop11 style5"/>
    <w:autoRedefine/>
    <w:qFormat/>
    <w:uiPriority w:val="0"/>
  </w:style>
  <w:style w:type="paragraph" w:customStyle="1" w:styleId="782">
    <w:name w:val="标题 3_0_0"/>
    <w:basedOn w:val="121"/>
    <w:next w:val="121"/>
    <w:link w:val="783"/>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3">
    <w:name w:val="Char Char2_0"/>
    <w:link w:val="782"/>
    <w:autoRedefine/>
    <w:qFormat/>
    <w:locked/>
    <w:uiPriority w:val="0"/>
    <w:rPr>
      <w:rFonts w:ascii="Times New Roman" w:hAnsi="Times New Roman" w:eastAsia="宋体" w:cs="Times New Roman"/>
      <w:b/>
      <w:bCs/>
      <w:sz w:val="32"/>
      <w:szCs w:val="32"/>
    </w:rPr>
  </w:style>
  <w:style w:type="character" w:customStyle="1" w:styleId="784">
    <w:name w:val="Char Char32"/>
    <w:autoRedefine/>
    <w:qFormat/>
    <w:uiPriority w:val="0"/>
    <w:rPr>
      <w:rFonts w:hint="eastAsia" w:ascii="仿宋_GB2312" w:hAnsi="宋体" w:eastAsia="宋体" w:cs="Arial"/>
      <w:b/>
      <w:bCs/>
      <w:color w:val="000000"/>
      <w:sz w:val="24"/>
      <w:szCs w:val="24"/>
    </w:rPr>
  </w:style>
  <w:style w:type="character" w:customStyle="1" w:styleId="785">
    <w:name w:val="Para- Char Char"/>
    <w:autoRedefine/>
    <w:qFormat/>
    <w:uiPriority w:val="0"/>
    <w:rPr>
      <w:rFonts w:hint="default" w:ascii="Arial" w:hAnsi="Arial" w:eastAsia="宋体" w:cs="Arial"/>
      <w:lang w:val="en-US" w:eastAsia="en-US" w:bidi="ar-SA"/>
    </w:rPr>
  </w:style>
  <w:style w:type="character" w:customStyle="1" w:styleId="786">
    <w:name w:val="不明显强调111"/>
    <w:autoRedefine/>
    <w:qFormat/>
    <w:uiPriority w:val="0"/>
    <w:rPr>
      <w:i/>
      <w:iCs/>
      <w:color w:val="808080"/>
    </w:rPr>
  </w:style>
  <w:style w:type="character" w:customStyle="1" w:styleId="787">
    <w:name w:val="页脚 Char Char"/>
    <w:autoRedefine/>
    <w:qFormat/>
    <w:uiPriority w:val="0"/>
    <w:rPr>
      <w:kern w:val="2"/>
      <w:sz w:val="18"/>
      <w:szCs w:val="18"/>
    </w:rPr>
  </w:style>
  <w:style w:type="character" w:customStyle="1" w:styleId="788">
    <w:name w:val="Char Char33"/>
    <w:autoRedefine/>
    <w:qFormat/>
    <w:uiPriority w:val="0"/>
    <w:rPr>
      <w:rFonts w:hint="default" w:ascii="Times New Roman" w:hAnsi="Times New Roman" w:eastAsia="宋体" w:cs="Times New Roman"/>
      <w:sz w:val="18"/>
      <w:szCs w:val="18"/>
    </w:rPr>
  </w:style>
  <w:style w:type="paragraph" w:customStyle="1" w:styleId="789">
    <w:name w:val="批注文字_0"/>
    <w:basedOn w:val="128"/>
    <w:link w:val="790"/>
    <w:autoRedefine/>
    <w:qFormat/>
    <w:uiPriority w:val="0"/>
    <w:pPr>
      <w:jc w:val="left"/>
    </w:pPr>
    <w:rPr>
      <w:szCs w:val="22"/>
    </w:rPr>
  </w:style>
  <w:style w:type="character" w:customStyle="1" w:styleId="790">
    <w:name w:val="批注文字 Char_0"/>
    <w:link w:val="789"/>
    <w:autoRedefine/>
    <w:qFormat/>
    <w:locked/>
    <w:uiPriority w:val="0"/>
    <w:rPr>
      <w:rFonts w:ascii="Times New Roman" w:hAnsi="Times New Roman" w:eastAsia="宋体" w:cs="Times New Roman"/>
    </w:rPr>
  </w:style>
  <w:style w:type="character" w:customStyle="1" w:styleId="791">
    <w:name w:val="正文文本缩进 2 Char Char"/>
    <w:autoRedefine/>
    <w:qFormat/>
    <w:uiPriority w:val="0"/>
    <w:rPr>
      <w:rFonts w:hint="default" w:ascii="Times New Roman" w:hAnsi="Times New Roman" w:eastAsia="宋体" w:cs="Times New Roman"/>
      <w:szCs w:val="24"/>
    </w:rPr>
  </w:style>
  <w:style w:type="character" w:customStyle="1" w:styleId="792">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3">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4">
    <w:name w:val="ca-321"/>
    <w:autoRedefine/>
    <w:qFormat/>
    <w:uiPriority w:val="0"/>
    <w:rPr>
      <w:rFonts w:hint="eastAsia" w:ascii="宋体" w:hAnsi="宋体" w:eastAsia="宋体"/>
      <w:b/>
      <w:bCs/>
      <w:color w:val="C00000"/>
      <w:spacing w:val="-20"/>
      <w:sz w:val="21"/>
      <w:szCs w:val="21"/>
    </w:rPr>
  </w:style>
  <w:style w:type="character" w:customStyle="1" w:styleId="795">
    <w:name w:val="ca-310"/>
    <w:autoRedefine/>
    <w:qFormat/>
    <w:uiPriority w:val="0"/>
    <w:rPr>
      <w:rFonts w:hint="default" w:ascii="Times New Roman" w:hAnsi="Times New Roman" w:cs="Times New Roman"/>
      <w:b/>
      <w:bCs/>
      <w:color w:val="000000"/>
      <w:spacing w:val="-20"/>
      <w:sz w:val="48"/>
      <w:szCs w:val="48"/>
    </w:rPr>
  </w:style>
  <w:style w:type="paragraph" w:customStyle="1" w:styleId="796">
    <w:name w:val="正文缩进_0"/>
    <w:basedOn w:val="131"/>
    <w:link w:val="797"/>
    <w:autoRedefine/>
    <w:qFormat/>
    <w:uiPriority w:val="0"/>
    <w:pPr>
      <w:ind w:firstLine="420" w:firstLineChars="200"/>
    </w:pPr>
    <w:rPr>
      <w:rFonts w:ascii="Times New Roman" w:hAnsi="Times New Roman"/>
    </w:rPr>
  </w:style>
  <w:style w:type="character" w:customStyle="1" w:styleId="797">
    <w:name w:val="署名 Char1"/>
    <w:link w:val="796"/>
    <w:autoRedefine/>
    <w:qFormat/>
    <w:locked/>
    <w:uiPriority w:val="0"/>
    <w:rPr>
      <w:rFonts w:ascii="Times New Roman" w:hAnsi="Times New Roman" w:eastAsia="宋体" w:cs="Times New Roman"/>
    </w:rPr>
  </w:style>
  <w:style w:type="character" w:customStyle="1" w:styleId="798">
    <w:name w:val="ca-411"/>
    <w:autoRedefine/>
    <w:qFormat/>
    <w:uiPriority w:val="0"/>
    <w:rPr>
      <w:rFonts w:hint="eastAsia" w:ascii="宋体" w:hAnsi="宋体" w:eastAsia="宋体"/>
      <w:b/>
      <w:bCs/>
      <w:color w:val="000000"/>
      <w:spacing w:val="-20"/>
      <w:sz w:val="32"/>
      <w:szCs w:val="32"/>
    </w:rPr>
  </w:style>
  <w:style w:type="character" w:customStyle="1" w:styleId="799">
    <w:name w:val="ca-71"/>
    <w:autoRedefine/>
    <w:qFormat/>
    <w:uiPriority w:val="0"/>
    <w:rPr>
      <w:rFonts w:hint="default" w:ascii="Times New Roman" w:hAnsi="Times New Roman" w:cs="Times New Roman"/>
      <w:color w:val="000000"/>
      <w:sz w:val="28"/>
      <w:szCs w:val="28"/>
    </w:rPr>
  </w:style>
  <w:style w:type="character" w:customStyle="1" w:styleId="800">
    <w:name w:val="ca-531"/>
    <w:autoRedefine/>
    <w:qFormat/>
    <w:uiPriority w:val="0"/>
    <w:rPr>
      <w:rFonts w:hint="default" w:ascii="Times New Roman" w:hAnsi="Times New Roman" w:cs="Times New Roman"/>
      <w:b/>
      <w:bCs/>
      <w:spacing w:val="-20"/>
      <w:sz w:val="36"/>
      <w:szCs w:val="36"/>
    </w:rPr>
  </w:style>
  <w:style w:type="character" w:customStyle="1" w:styleId="801">
    <w:name w:val="ca-311"/>
    <w:autoRedefine/>
    <w:qFormat/>
    <w:uiPriority w:val="0"/>
    <w:rPr>
      <w:rFonts w:hint="default" w:ascii="??" w:hAnsi="??"/>
      <w:color w:val="000000"/>
      <w:sz w:val="21"/>
      <w:szCs w:val="21"/>
    </w:rPr>
  </w:style>
  <w:style w:type="character" w:customStyle="1" w:styleId="802">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3">
    <w:name w:val="Footer-Even Char"/>
    <w:autoRedefine/>
    <w:qFormat/>
    <w:uiPriority w:val="0"/>
    <w:rPr>
      <w:rFonts w:hint="eastAsia" w:ascii="宋体" w:hAnsi="宋体" w:eastAsia="宋体"/>
      <w:kern w:val="2"/>
      <w:sz w:val="18"/>
      <w:szCs w:val="18"/>
      <w:lang w:val="en-US" w:eastAsia="zh-CN" w:bidi="ar-SA"/>
    </w:rPr>
  </w:style>
  <w:style w:type="character" w:customStyle="1" w:styleId="804">
    <w:name w:val="日期 Char Char"/>
    <w:autoRedefine/>
    <w:qFormat/>
    <w:uiPriority w:val="0"/>
    <w:rPr>
      <w:rFonts w:hint="default" w:ascii="Times New Roman" w:hAnsi="Times New Roman" w:cs="Times New Roman"/>
      <w:kern w:val="2"/>
      <w:sz w:val="21"/>
      <w:szCs w:val="24"/>
    </w:rPr>
  </w:style>
  <w:style w:type="character" w:customStyle="1" w:styleId="805">
    <w:name w:val="批注文字 Char Char"/>
    <w:autoRedefine/>
    <w:qFormat/>
    <w:uiPriority w:val="0"/>
    <w:rPr>
      <w:rFonts w:hint="default" w:ascii="Times New Roman" w:hAnsi="Times New Roman" w:eastAsia="宋体" w:cs="Times New Roman"/>
      <w:szCs w:val="24"/>
    </w:rPr>
  </w:style>
  <w:style w:type="character" w:customStyle="1" w:styleId="806">
    <w:name w:val="apple-style-span"/>
    <w:autoRedefine/>
    <w:qFormat/>
    <w:uiPriority w:val="0"/>
  </w:style>
  <w:style w:type="character" w:customStyle="1" w:styleId="807">
    <w:name w:val="书籍标题111"/>
    <w:autoRedefine/>
    <w:qFormat/>
    <w:uiPriority w:val="0"/>
    <w:rPr>
      <w:b/>
      <w:bCs/>
      <w:smallCaps/>
      <w:spacing w:val="5"/>
    </w:rPr>
  </w:style>
  <w:style w:type="character" w:customStyle="1" w:styleId="808">
    <w:name w:val="ca-221"/>
    <w:autoRedefine/>
    <w:qFormat/>
    <w:uiPriority w:val="0"/>
    <w:rPr>
      <w:rFonts w:hint="eastAsia" w:ascii="宋体" w:hAnsi="宋体" w:eastAsia="宋体"/>
      <w:sz w:val="21"/>
      <w:szCs w:val="21"/>
    </w:rPr>
  </w:style>
  <w:style w:type="character" w:customStyle="1" w:styleId="809">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0">
    <w:name w:val="标题 1 Char Char"/>
    <w:autoRedefine/>
    <w:qFormat/>
    <w:uiPriority w:val="0"/>
    <w:rPr>
      <w:rFonts w:hint="default" w:ascii="Times New Roman" w:hAnsi="Times New Roman" w:cs="Times New Roman"/>
      <w:b/>
      <w:bCs/>
      <w:kern w:val="44"/>
      <w:sz w:val="44"/>
      <w:szCs w:val="44"/>
    </w:rPr>
  </w:style>
  <w:style w:type="character" w:customStyle="1" w:styleId="811">
    <w:name w:val="ca-261"/>
    <w:autoRedefine/>
    <w:qFormat/>
    <w:uiPriority w:val="0"/>
    <w:rPr>
      <w:rFonts w:hint="eastAsia" w:ascii="宋体" w:hAnsi="宋体" w:eastAsia="宋体"/>
      <w:color w:val="002060"/>
      <w:sz w:val="21"/>
      <w:szCs w:val="21"/>
    </w:rPr>
  </w:style>
  <w:style w:type="character" w:customStyle="1" w:styleId="812">
    <w:name w:val="批注主题 Char1"/>
    <w:autoRedefine/>
    <w:qFormat/>
    <w:uiPriority w:val="0"/>
    <w:rPr>
      <w:b/>
      <w:bCs/>
      <w:kern w:val="2"/>
      <w:sz w:val="21"/>
      <w:szCs w:val="22"/>
    </w:rPr>
  </w:style>
  <w:style w:type="character" w:customStyle="1" w:styleId="813">
    <w:name w:val="ca-341"/>
    <w:autoRedefine/>
    <w:qFormat/>
    <w:uiPriority w:val="0"/>
    <w:rPr>
      <w:rFonts w:hint="eastAsia" w:ascii="宋体" w:hAnsi="宋体" w:eastAsia="宋体"/>
      <w:color w:val="000000"/>
      <w:sz w:val="20"/>
      <w:szCs w:val="20"/>
    </w:rPr>
  </w:style>
  <w:style w:type="character" w:customStyle="1" w:styleId="814">
    <w:name w:val="font161"/>
    <w:autoRedefine/>
    <w:qFormat/>
    <w:uiPriority w:val="0"/>
    <w:rPr>
      <w:b/>
      <w:bCs/>
      <w:sz w:val="32"/>
      <w:szCs w:val="32"/>
    </w:rPr>
  </w:style>
  <w:style w:type="character" w:customStyle="1" w:styleId="815">
    <w:name w:val="ca-421"/>
    <w:autoRedefine/>
    <w:qFormat/>
    <w:uiPriority w:val="0"/>
    <w:rPr>
      <w:rFonts w:hint="eastAsia" w:ascii="宋体" w:hAnsi="宋体" w:eastAsia="宋体"/>
      <w:color w:val="000000"/>
      <w:sz w:val="36"/>
      <w:szCs w:val="36"/>
    </w:rPr>
  </w:style>
  <w:style w:type="character" w:customStyle="1" w:styleId="816">
    <w:name w:val="Footer-Even Char2"/>
    <w:autoRedefine/>
    <w:qFormat/>
    <w:uiPriority w:val="0"/>
    <w:rPr>
      <w:rFonts w:hint="eastAsia" w:ascii="宋体" w:hAnsi="宋体" w:eastAsia="宋体"/>
      <w:kern w:val="2"/>
      <w:sz w:val="18"/>
      <w:szCs w:val="18"/>
      <w:lang w:val="en-US" w:eastAsia="zh-CN" w:bidi="ar-SA"/>
    </w:rPr>
  </w:style>
  <w:style w:type="character" w:customStyle="1" w:styleId="817">
    <w:name w:val="ca-211"/>
    <w:autoRedefine/>
    <w:qFormat/>
    <w:uiPriority w:val="0"/>
    <w:rPr>
      <w:rFonts w:hint="eastAsia" w:ascii="宋体" w:hAnsi="宋体" w:eastAsia="宋体"/>
      <w:color w:val="000000"/>
      <w:sz w:val="21"/>
      <w:szCs w:val="21"/>
    </w:rPr>
  </w:style>
  <w:style w:type="character" w:customStyle="1" w:styleId="818">
    <w:name w:val="ca-181"/>
    <w:autoRedefine/>
    <w:qFormat/>
    <w:uiPriority w:val="0"/>
    <w:rPr>
      <w:rFonts w:hint="eastAsia" w:ascii="宋体" w:hAnsi="宋体" w:eastAsia="宋体"/>
      <w:color w:val="000000"/>
      <w:sz w:val="18"/>
      <w:szCs w:val="18"/>
    </w:rPr>
  </w:style>
  <w:style w:type="character" w:customStyle="1" w:styleId="819">
    <w:name w:val="ca-54"/>
    <w:autoRedefine/>
    <w:qFormat/>
    <w:uiPriority w:val="0"/>
    <w:rPr>
      <w:rFonts w:hint="eastAsia" w:ascii="宋体" w:hAnsi="宋体" w:eastAsia="宋体"/>
      <w:b/>
      <w:bCs/>
      <w:color w:val="000000"/>
      <w:spacing w:val="40"/>
      <w:sz w:val="48"/>
      <w:szCs w:val="48"/>
    </w:rPr>
  </w:style>
  <w:style w:type="character" w:customStyle="1" w:styleId="820">
    <w:name w:val="ca-271"/>
    <w:autoRedefine/>
    <w:qFormat/>
    <w:uiPriority w:val="0"/>
    <w:rPr>
      <w:rFonts w:hint="eastAsia" w:ascii="宋体" w:hAnsi="宋体" w:eastAsia="宋体"/>
      <w:b/>
      <w:bCs/>
      <w:color w:val="002060"/>
      <w:spacing w:val="-20"/>
      <w:sz w:val="21"/>
      <w:szCs w:val="21"/>
    </w:rPr>
  </w:style>
  <w:style w:type="character" w:customStyle="1" w:styleId="821">
    <w:name w:val="ca-441"/>
    <w:autoRedefine/>
    <w:qFormat/>
    <w:uiPriority w:val="0"/>
    <w:rPr>
      <w:rFonts w:hint="eastAsia" w:ascii="宋体" w:hAnsi="宋体" w:eastAsia="宋体"/>
      <w:color w:val="000000"/>
      <w:sz w:val="52"/>
      <w:szCs w:val="52"/>
    </w:rPr>
  </w:style>
  <w:style w:type="character" w:customStyle="1" w:styleId="822">
    <w:name w:val="文档结构图 Char"/>
    <w:autoRedefine/>
    <w:qFormat/>
    <w:uiPriority w:val="0"/>
    <w:rPr>
      <w:szCs w:val="24"/>
      <w:shd w:val="clear" w:color="auto" w:fill="000080"/>
      <w:lang w:bidi="ar-SA"/>
    </w:rPr>
  </w:style>
  <w:style w:type="character" w:customStyle="1" w:styleId="823">
    <w:name w:val="ca-121"/>
    <w:autoRedefine/>
    <w:qFormat/>
    <w:uiPriority w:val="0"/>
    <w:rPr>
      <w:rFonts w:hint="default" w:ascii="Times New Roman" w:hAnsi="Times New Roman" w:cs="Times New Roman"/>
      <w:color w:val="000000"/>
      <w:sz w:val="32"/>
      <w:szCs w:val="32"/>
    </w:rPr>
  </w:style>
  <w:style w:type="character" w:customStyle="1" w:styleId="824">
    <w:name w:val="ca-251"/>
    <w:autoRedefine/>
    <w:qFormat/>
    <w:uiPriority w:val="0"/>
    <w:rPr>
      <w:rFonts w:hint="default" w:ascii="Times New Roman" w:hAnsi="Times New Roman" w:cs="Times New Roman"/>
      <w:sz w:val="21"/>
      <w:szCs w:val="21"/>
    </w:rPr>
  </w:style>
  <w:style w:type="character" w:customStyle="1" w:styleId="825">
    <w:name w:val="正文文本 Char1"/>
    <w:autoRedefine/>
    <w:qFormat/>
    <w:uiPriority w:val="0"/>
    <w:rPr>
      <w:kern w:val="2"/>
      <w:sz w:val="21"/>
      <w:szCs w:val="22"/>
    </w:rPr>
  </w:style>
  <w:style w:type="character" w:customStyle="1" w:styleId="826">
    <w:name w:val="明显参考111"/>
    <w:autoRedefine/>
    <w:qFormat/>
    <w:uiPriority w:val="0"/>
    <w:rPr>
      <w:b/>
      <w:bCs/>
      <w:smallCaps/>
      <w:color w:val="C0504D"/>
      <w:spacing w:val="5"/>
      <w:u w:val="single"/>
    </w:rPr>
  </w:style>
  <w:style w:type="character" w:customStyle="1" w:styleId="827">
    <w:name w:val="明显强调111"/>
    <w:autoRedefine/>
    <w:qFormat/>
    <w:uiPriority w:val="0"/>
    <w:rPr>
      <w:b/>
      <w:bCs/>
      <w:i/>
      <w:iCs/>
      <w:color w:val="4F81BD"/>
    </w:rPr>
  </w:style>
  <w:style w:type="character" w:customStyle="1" w:styleId="828">
    <w:name w:val="Footer-Even Char1"/>
    <w:autoRedefine/>
    <w:qFormat/>
    <w:uiPriority w:val="0"/>
    <w:rPr>
      <w:rFonts w:hint="eastAsia" w:ascii="宋体" w:hAnsi="宋体" w:eastAsia="宋体"/>
      <w:kern w:val="2"/>
      <w:sz w:val="18"/>
      <w:szCs w:val="18"/>
      <w:lang w:val="en-US" w:eastAsia="zh-CN" w:bidi="ar-SA"/>
    </w:rPr>
  </w:style>
  <w:style w:type="character" w:customStyle="1" w:styleId="829">
    <w:name w:val="Char Char28"/>
    <w:autoRedefine/>
    <w:qFormat/>
    <w:uiPriority w:val="0"/>
    <w:rPr>
      <w:rFonts w:hint="eastAsia" w:ascii="宋体" w:hAnsi="宋体" w:eastAsia="宋体"/>
      <w:kern w:val="2"/>
      <w:sz w:val="18"/>
      <w:lang w:val="en-US" w:eastAsia="zh-CN" w:bidi="ar-SA"/>
    </w:rPr>
  </w:style>
  <w:style w:type="character" w:customStyle="1" w:styleId="830">
    <w:name w:val="Char Char34"/>
    <w:autoRedefine/>
    <w:qFormat/>
    <w:uiPriority w:val="0"/>
    <w:rPr>
      <w:rFonts w:hint="default" w:ascii="Cambria" w:hAnsi="Cambria" w:eastAsia="宋体" w:cs="Times New Roman"/>
      <w:b/>
      <w:bCs/>
      <w:sz w:val="28"/>
      <w:szCs w:val="32"/>
    </w:rPr>
  </w:style>
  <w:style w:type="character" w:customStyle="1" w:styleId="831">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2">
    <w:name w:val="by jerry Char1"/>
    <w:autoRedefine/>
    <w:qFormat/>
    <w:uiPriority w:val="0"/>
    <w:rPr>
      <w:rFonts w:hint="eastAsia" w:ascii="宋体" w:hAnsi="宋体" w:eastAsia="宋体"/>
      <w:b/>
      <w:bCs/>
      <w:kern w:val="44"/>
      <w:sz w:val="32"/>
      <w:szCs w:val="44"/>
      <w:lang w:val="en-US" w:eastAsia="zh-CN" w:bidi="ar-SA"/>
    </w:rPr>
  </w:style>
  <w:style w:type="character" w:customStyle="1" w:styleId="833">
    <w:name w:val="标题 1 Char1"/>
    <w:autoRedefine/>
    <w:qFormat/>
    <w:uiPriority w:val="0"/>
    <w:rPr>
      <w:rFonts w:hint="eastAsia" w:ascii="宋体" w:hAnsi="宋体" w:eastAsia="宋体"/>
      <w:b/>
      <w:bCs/>
      <w:kern w:val="2"/>
      <w:sz w:val="24"/>
      <w:szCs w:val="24"/>
      <w:lang w:val="en-US" w:eastAsia="zh-CN" w:bidi="ar-SA"/>
    </w:rPr>
  </w:style>
  <w:style w:type="character" w:customStyle="1" w:styleId="834">
    <w:name w:val="Char Char19"/>
    <w:autoRedefine/>
    <w:qFormat/>
    <w:uiPriority w:val="0"/>
    <w:rPr>
      <w:rFonts w:hint="default" w:ascii="Cambria" w:hAnsi="Cambria"/>
      <w:b/>
      <w:bCs/>
      <w:kern w:val="2"/>
      <w:sz w:val="28"/>
      <w:szCs w:val="28"/>
    </w:rPr>
  </w:style>
  <w:style w:type="character" w:customStyle="1" w:styleId="835">
    <w:name w:val="ca-481"/>
    <w:autoRedefine/>
    <w:qFormat/>
    <w:uiPriority w:val="0"/>
    <w:rPr>
      <w:rFonts w:hint="eastAsia" w:ascii="宋体" w:hAnsi="宋体" w:eastAsia="宋体"/>
      <w:color w:val="000000"/>
      <w:sz w:val="26"/>
      <w:szCs w:val="26"/>
    </w:rPr>
  </w:style>
  <w:style w:type="paragraph" w:customStyle="1" w:styleId="836">
    <w:name w:val="正文文本缩进_1"/>
    <w:basedOn w:val="142"/>
    <w:link w:val="837"/>
    <w:autoRedefine/>
    <w:qFormat/>
    <w:uiPriority w:val="0"/>
    <w:pPr>
      <w:spacing w:after="120"/>
      <w:ind w:left="420" w:leftChars="200"/>
    </w:pPr>
    <w:rPr>
      <w:rFonts w:ascii="Times New Roman" w:hAnsi="Times New Roman"/>
    </w:rPr>
  </w:style>
  <w:style w:type="character" w:customStyle="1" w:styleId="837">
    <w:name w:val="正文文字4 Char1_1"/>
    <w:link w:val="836"/>
    <w:autoRedefine/>
    <w:qFormat/>
    <w:locked/>
    <w:uiPriority w:val="0"/>
    <w:rPr>
      <w:rFonts w:ascii="Times New Roman" w:hAnsi="Times New Roman" w:eastAsia="宋体" w:cs="Times New Roman"/>
    </w:rPr>
  </w:style>
  <w:style w:type="character" w:customStyle="1" w:styleId="838">
    <w:name w:val="ca-91"/>
    <w:autoRedefine/>
    <w:qFormat/>
    <w:uiPriority w:val="0"/>
    <w:rPr>
      <w:rFonts w:hint="eastAsia" w:ascii="楷体_GB2312" w:eastAsia="楷体_GB2312"/>
      <w:color w:val="000000"/>
      <w:spacing w:val="20"/>
      <w:sz w:val="96"/>
      <w:szCs w:val="96"/>
    </w:rPr>
  </w:style>
  <w:style w:type="character" w:customStyle="1" w:styleId="839">
    <w:name w:val="Char Char26"/>
    <w:autoRedefine/>
    <w:qFormat/>
    <w:uiPriority w:val="0"/>
    <w:rPr>
      <w:rFonts w:hint="default" w:ascii="Arial" w:hAnsi="Arial" w:eastAsia="宋体" w:cs="Times New Roman"/>
      <w:bCs/>
      <w:kern w:val="2"/>
      <w:sz w:val="24"/>
      <w:szCs w:val="28"/>
    </w:rPr>
  </w:style>
  <w:style w:type="character" w:customStyle="1" w:styleId="840">
    <w:name w:val="标题 7 Char"/>
    <w:autoRedefine/>
    <w:qFormat/>
    <w:uiPriority w:val="0"/>
    <w:rPr>
      <w:rFonts w:hint="default" w:ascii="Times New Roman" w:hAnsi="Times New Roman" w:cs="Times New Roman"/>
      <w:b/>
      <w:bCs/>
      <w:kern w:val="2"/>
      <w:sz w:val="24"/>
      <w:szCs w:val="24"/>
    </w:rPr>
  </w:style>
  <w:style w:type="character" w:customStyle="1" w:styleId="841">
    <w:name w:val="正文文字4 Char1"/>
    <w:autoRedefine/>
    <w:qFormat/>
    <w:uiPriority w:val="0"/>
    <w:rPr>
      <w:rFonts w:hint="eastAsia" w:ascii="宋体" w:hAnsi="宋体" w:eastAsia="宋体"/>
      <w:kern w:val="2"/>
      <w:sz w:val="21"/>
      <w:szCs w:val="24"/>
      <w:lang w:val="en-US" w:eastAsia="zh-CN" w:bidi="ar-SA"/>
    </w:rPr>
  </w:style>
  <w:style w:type="character" w:customStyle="1" w:styleId="842">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3">
    <w:name w:val="引用 字符2"/>
    <w:autoRedefine/>
    <w:qFormat/>
    <w:locked/>
    <w:uiPriority w:val="0"/>
    <w:rPr>
      <w:i/>
      <w:sz w:val="21"/>
    </w:rPr>
  </w:style>
  <w:style w:type="character" w:customStyle="1" w:styleId="844">
    <w:name w:val="Char Char27"/>
    <w:autoRedefine/>
    <w:qFormat/>
    <w:uiPriority w:val="0"/>
    <w:rPr>
      <w:rFonts w:hint="default" w:ascii="Calibri" w:hAnsi="Calibri" w:eastAsia="宋体" w:cs="Times New Roman"/>
      <w:b/>
      <w:bCs/>
      <w:kern w:val="2"/>
      <w:sz w:val="24"/>
      <w:szCs w:val="32"/>
    </w:rPr>
  </w:style>
  <w:style w:type="character" w:customStyle="1" w:styleId="845">
    <w:name w:val="ca-351"/>
    <w:autoRedefine/>
    <w:qFormat/>
    <w:uiPriority w:val="0"/>
    <w:rPr>
      <w:rFonts w:hint="default" w:ascii="Times New Roman" w:hAnsi="Times New Roman" w:cs="Times New Roman"/>
      <w:sz w:val="10"/>
      <w:szCs w:val="10"/>
    </w:rPr>
  </w:style>
  <w:style w:type="character" w:customStyle="1" w:styleId="846">
    <w:name w:val="ca-131"/>
    <w:autoRedefine/>
    <w:qFormat/>
    <w:uiPriority w:val="0"/>
    <w:rPr>
      <w:rFonts w:hint="eastAsia" w:ascii="宋体" w:hAnsi="宋体" w:eastAsia="宋体"/>
      <w:color w:val="000000"/>
      <w:sz w:val="32"/>
      <w:szCs w:val="32"/>
    </w:rPr>
  </w:style>
  <w:style w:type="character" w:customStyle="1" w:styleId="847">
    <w:name w:val="页眉 Char1"/>
    <w:autoRedefine/>
    <w:qFormat/>
    <w:uiPriority w:val="0"/>
    <w:rPr>
      <w:rFonts w:hint="eastAsia" w:ascii="仿宋_GB2312" w:eastAsia="仿宋_GB2312"/>
      <w:kern w:val="2"/>
      <w:sz w:val="18"/>
      <w:lang w:val="en-US" w:eastAsia="zh-CN" w:bidi="ar-SA"/>
    </w:rPr>
  </w:style>
  <w:style w:type="paragraph" w:customStyle="1" w:styleId="848">
    <w:name w:val="标题 2_0"/>
    <w:basedOn w:val="149"/>
    <w:next w:val="149"/>
    <w:link w:val="849"/>
    <w:autoRedefine/>
    <w:qFormat/>
    <w:uiPriority w:val="0"/>
    <w:pPr>
      <w:keepNext/>
      <w:keepLines/>
      <w:spacing w:before="260" w:after="260" w:line="412" w:lineRule="auto"/>
      <w:outlineLvl w:val="1"/>
    </w:pPr>
    <w:rPr>
      <w:rFonts w:ascii="Cambria" w:hAnsi="Cambria"/>
      <w:b/>
      <w:bCs/>
      <w:sz w:val="32"/>
      <w:szCs w:val="32"/>
    </w:rPr>
  </w:style>
  <w:style w:type="character" w:customStyle="1" w:styleId="849">
    <w:name w:val="标题 2 Char_0"/>
    <w:link w:val="848"/>
    <w:autoRedefine/>
    <w:qFormat/>
    <w:locked/>
    <w:uiPriority w:val="0"/>
    <w:rPr>
      <w:rFonts w:ascii="Cambria" w:hAnsi="Cambria" w:eastAsia="宋体" w:cs="Times New Roman"/>
      <w:b/>
      <w:bCs/>
      <w:sz w:val="32"/>
      <w:szCs w:val="32"/>
    </w:rPr>
  </w:style>
  <w:style w:type="character" w:customStyle="1" w:styleId="850">
    <w:name w:val="手改 Char Char2"/>
    <w:autoRedefine/>
    <w:qFormat/>
    <w:uiPriority w:val="0"/>
    <w:rPr>
      <w:rFonts w:hint="eastAsia" w:ascii="宋体" w:hAnsi="宋体" w:eastAsia="宋体"/>
      <w:kern w:val="2"/>
      <w:sz w:val="21"/>
      <w:szCs w:val="24"/>
      <w:lang w:val="en-US" w:eastAsia="zh-CN" w:bidi="ar-SA"/>
    </w:rPr>
  </w:style>
  <w:style w:type="character" w:customStyle="1" w:styleId="851">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2">
    <w:name w:val="样式1 Char"/>
    <w:autoRedefine/>
    <w:qFormat/>
    <w:uiPriority w:val="0"/>
    <w:rPr>
      <w:rFonts w:hint="eastAsia" w:ascii="宋体" w:hAnsi="宋体" w:eastAsia="宋体"/>
      <w:kern w:val="2"/>
      <w:sz w:val="24"/>
      <w:szCs w:val="24"/>
      <w:lang w:val="en-US" w:eastAsia="zh-CN" w:bidi="ar-SA"/>
    </w:rPr>
  </w:style>
  <w:style w:type="character" w:customStyle="1" w:styleId="853">
    <w:name w:val="ca-281"/>
    <w:autoRedefine/>
    <w:qFormat/>
    <w:uiPriority w:val="0"/>
    <w:rPr>
      <w:rFonts w:hint="eastAsia" w:ascii="宋体" w:hAnsi="宋体" w:eastAsia="宋体"/>
      <w:color w:val="FF0000"/>
      <w:sz w:val="21"/>
      <w:szCs w:val="21"/>
    </w:rPr>
  </w:style>
  <w:style w:type="character" w:customStyle="1" w:styleId="854">
    <w:name w:val="ca-521"/>
    <w:autoRedefine/>
    <w:qFormat/>
    <w:uiPriority w:val="0"/>
    <w:rPr>
      <w:rFonts w:hint="eastAsia" w:ascii="宋体" w:hAnsi="宋体" w:eastAsia="宋体"/>
      <w:b/>
      <w:bCs/>
      <w:spacing w:val="-20"/>
      <w:sz w:val="36"/>
      <w:szCs w:val="36"/>
    </w:rPr>
  </w:style>
  <w:style w:type="character" w:customStyle="1" w:styleId="855">
    <w:name w:val="CPara- Char Char"/>
    <w:autoRedefine/>
    <w:qFormat/>
    <w:uiPriority w:val="0"/>
    <w:rPr>
      <w:rFonts w:hint="eastAsia" w:ascii="宋体" w:hAnsi="宋体" w:eastAsia="宋体"/>
      <w:lang w:val="en-US" w:eastAsia="en-US" w:bidi="ar-SA"/>
    </w:rPr>
  </w:style>
  <w:style w:type="character" w:customStyle="1" w:styleId="856">
    <w:name w:val="ca-491"/>
    <w:autoRedefine/>
    <w:qFormat/>
    <w:uiPriority w:val="0"/>
    <w:rPr>
      <w:rFonts w:hint="eastAsia" w:ascii="宋体" w:hAnsi="宋体" w:eastAsia="宋体"/>
      <w:spacing w:val="0"/>
      <w:sz w:val="32"/>
      <w:szCs w:val="32"/>
    </w:rPr>
  </w:style>
  <w:style w:type="character" w:customStyle="1" w:styleId="857">
    <w:name w:val="ca-431"/>
    <w:autoRedefine/>
    <w:qFormat/>
    <w:uiPriority w:val="0"/>
    <w:rPr>
      <w:rFonts w:hint="eastAsia" w:ascii="宋体" w:hAnsi="宋体" w:eastAsia="宋体"/>
      <w:color w:val="000000"/>
      <w:sz w:val="44"/>
      <w:szCs w:val="44"/>
    </w:rPr>
  </w:style>
  <w:style w:type="character" w:customStyle="1" w:styleId="858">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59">
    <w:name w:val="Char Char29"/>
    <w:autoRedefine/>
    <w:qFormat/>
    <w:uiPriority w:val="0"/>
    <w:rPr>
      <w:rFonts w:hint="eastAsia" w:ascii="宋体" w:hAnsi="宋体" w:eastAsia="宋体"/>
      <w:b/>
      <w:bCs/>
      <w:kern w:val="44"/>
      <w:sz w:val="44"/>
      <w:szCs w:val="44"/>
      <w:lang w:val="en-US" w:eastAsia="zh-CN" w:bidi="ar-SA"/>
    </w:rPr>
  </w:style>
  <w:style w:type="character" w:customStyle="1" w:styleId="860">
    <w:name w:val="批注框文本 Char1"/>
    <w:autoRedefine/>
    <w:qFormat/>
    <w:uiPriority w:val="0"/>
    <w:rPr>
      <w:kern w:val="2"/>
      <w:sz w:val="18"/>
      <w:szCs w:val="18"/>
    </w:rPr>
  </w:style>
  <w:style w:type="character" w:customStyle="1" w:styleId="861">
    <w:name w:val="ca-111"/>
    <w:autoRedefine/>
    <w:qFormat/>
    <w:uiPriority w:val="0"/>
    <w:rPr>
      <w:rFonts w:hint="default" w:ascii="Times New Roman" w:hAnsi="Times New Roman" w:cs="Times New Roman"/>
      <w:color w:val="000000"/>
      <w:sz w:val="30"/>
      <w:szCs w:val="30"/>
    </w:rPr>
  </w:style>
  <w:style w:type="paragraph" w:customStyle="1" w:styleId="862">
    <w:name w:val="标题 1_1"/>
    <w:basedOn w:val="152"/>
    <w:next w:val="152"/>
    <w:link w:val="863"/>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3">
    <w:name w:val="Char Char24"/>
    <w:link w:val="862"/>
    <w:autoRedefine/>
    <w:qFormat/>
    <w:locked/>
    <w:uiPriority w:val="0"/>
    <w:rPr>
      <w:rFonts w:ascii="Times New Roman" w:hAnsi="Times New Roman" w:eastAsia="宋体" w:cs="Times New Roman"/>
      <w:b/>
      <w:bCs/>
      <w:kern w:val="44"/>
      <w:sz w:val="32"/>
      <w:szCs w:val="44"/>
    </w:rPr>
  </w:style>
  <w:style w:type="character" w:customStyle="1" w:styleId="864">
    <w:name w:val="手改 Char Char1"/>
    <w:autoRedefine/>
    <w:qFormat/>
    <w:uiPriority w:val="0"/>
    <w:rPr>
      <w:rFonts w:hint="eastAsia" w:ascii="宋体" w:hAnsi="宋体" w:eastAsia="宋体"/>
      <w:kern w:val="2"/>
      <w:sz w:val="21"/>
      <w:szCs w:val="24"/>
      <w:lang w:val="en-US" w:eastAsia="zh-CN" w:bidi="ar-SA"/>
    </w:rPr>
  </w:style>
  <w:style w:type="character" w:customStyle="1" w:styleId="865">
    <w:name w:val="标题 8 Char"/>
    <w:autoRedefine/>
    <w:qFormat/>
    <w:uiPriority w:val="0"/>
    <w:rPr>
      <w:rFonts w:hint="default" w:ascii="Cambria" w:hAnsi="Cambria" w:eastAsia="宋体" w:cs="Times New Roman"/>
      <w:kern w:val="2"/>
      <w:sz w:val="24"/>
      <w:szCs w:val="24"/>
    </w:rPr>
  </w:style>
  <w:style w:type="character" w:customStyle="1" w:styleId="866">
    <w:name w:val="ca-151"/>
    <w:autoRedefine/>
    <w:qFormat/>
    <w:uiPriority w:val="0"/>
    <w:rPr>
      <w:rFonts w:hint="eastAsia" w:ascii="宋体" w:hAnsi="宋体" w:eastAsia="宋体"/>
      <w:caps/>
      <w:color w:val="000000"/>
      <w:sz w:val="24"/>
      <w:szCs w:val="24"/>
    </w:rPr>
  </w:style>
  <w:style w:type="character" w:customStyle="1" w:styleId="867">
    <w:name w:val="ca-291"/>
    <w:autoRedefine/>
    <w:qFormat/>
    <w:uiPriority w:val="0"/>
    <w:rPr>
      <w:rFonts w:hint="eastAsia" w:ascii="宋体" w:hAnsi="宋体" w:eastAsia="宋体"/>
      <w:color w:val="7030A0"/>
      <w:sz w:val="21"/>
      <w:szCs w:val="21"/>
    </w:rPr>
  </w:style>
  <w:style w:type="character" w:customStyle="1" w:styleId="868">
    <w:name w:val="ca-371"/>
    <w:autoRedefine/>
    <w:qFormat/>
    <w:uiPriority w:val="0"/>
    <w:rPr>
      <w:rFonts w:hint="eastAsia" w:ascii="宋体" w:hAnsi="宋体" w:eastAsia="宋体"/>
      <w:color w:val="000000"/>
      <w:spacing w:val="0"/>
      <w:sz w:val="21"/>
      <w:szCs w:val="21"/>
    </w:rPr>
  </w:style>
  <w:style w:type="character" w:customStyle="1" w:styleId="869">
    <w:name w:val="标题 9 Char1"/>
    <w:autoRedefine/>
    <w:qFormat/>
    <w:uiPriority w:val="0"/>
    <w:rPr>
      <w:rFonts w:hint="default" w:ascii="Arial" w:hAnsi="Arial" w:eastAsia="黑体" w:cs="Arial"/>
      <w:kern w:val="2"/>
      <w:sz w:val="21"/>
      <w:szCs w:val="22"/>
      <w:lang w:val="en-US" w:eastAsia="zh-CN" w:bidi="ar-SA"/>
    </w:rPr>
  </w:style>
  <w:style w:type="character" w:customStyle="1" w:styleId="870">
    <w:name w:val="正文首行缩进 Char"/>
    <w:autoRedefine/>
    <w:qFormat/>
    <w:uiPriority w:val="0"/>
    <w:rPr>
      <w:kern w:val="2"/>
      <w:sz w:val="21"/>
      <w:szCs w:val="24"/>
    </w:rPr>
  </w:style>
  <w:style w:type="character" w:customStyle="1" w:styleId="871">
    <w:name w:val="ca-141"/>
    <w:autoRedefine/>
    <w:qFormat/>
    <w:uiPriority w:val="0"/>
    <w:rPr>
      <w:rFonts w:hint="default" w:ascii="Times New Roman" w:hAnsi="Times New Roman" w:cs="Times New Roman"/>
      <w:color w:val="000000"/>
      <w:sz w:val="24"/>
      <w:szCs w:val="24"/>
    </w:rPr>
  </w:style>
  <w:style w:type="character" w:customStyle="1" w:styleId="872">
    <w:name w:val="批注主题 Char2"/>
    <w:autoRedefine/>
    <w:qFormat/>
    <w:uiPriority w:val="0"/>
    <w:rPr>
      <w:rFonts w:hint="eastAsia" w:ascii="宋体" w:hAnsi="宋体" w:eastAsia="宋体"/>
      <w:b/>
      <w:bCs/>
      <w:kern w:val="2"/>
      <w:sz w:val="21"/>
      <w:lang w:val="en-US" w:eastAsia="zh-CN" w:bidi="ar-SA"/>
    </w:rPr>
  </w:style>
  <w:style w:type="character" w:customStyle="1" w:styleId="873">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4">
    <w:name w:val="ca-391"/>
    <w:autoRedefine/>
    <w:qFormat/>
    <w:uiPriority w:val="0"/>
    <w:rPr>
      <w:rFonts w:hint="eastAsia" w:ascii="宋体" w:hAnsi="宋体" w:eastAsia="宋体"/>
      <w:b/>
      <w:bCs/>
      <w:color w:val="000000"/>
      <w:spacing w:val="-20"/>
      <w:sz w:val="28"/>
      <w:szCs w:val="28"/>
    </w:rPr>
  </w:style>
  <w:style w:type="character" w:customStyle="1" w:styleId="875">
    <w:name w:val="不明显参考111"/>
    <w:autoRedefine/>
    <w:qFormat/>
    <w:uiPriority w:val="0"/>
    <w:rPr>
      <w:smallCaps/>
      <w:color w:val="C0504D"/>
      <w:u w:val="single"/>
    </w:rPr>
  </w:style>
  <w:style w:type="character" w:customStyle="1" w:styleId="876">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7">
    <w:name w:val="by jerry Char"/>
    <w:autoRedefine/>
    <w:qFormat/>
    <w:uiPriority w:val="0"/>
    <w:rPr>
      <w:rFonts w:hint="eastAsia" w:ascii="宋体" w:hAnsi="宋体" w:eastAsia="宋体"/>
      <w:b/>
      <w:bCs/>
      <w:kern w:val="44"/>
      <w:sz w:val="32"/>
      <w:szCs w:val="44"/>
      <w:lang w:val="en-US" w:eastAsia="zh-CN" w:bidi="ar-SA"/>
    </w:rPr>
  </w:style>
  <w:style w:type="character" w:customStyle="1" w:styleId="878">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79">
    <w:name w:val="样式 正文文本 Char"/>
    <w:autoRedefine/>
    <w:qFormat/>
    <w:locked/>
    <w:uiPriority w:val="0"/>
    <w:rPr>
      <w:rFonts w:hint="default" w:ascii="Arial" w:hAnsi="Arial" w:eastAsia="宋体" w:cs="宋体"/>
      <w:color w:val="000000"/>
    </w:rPr>
  </w:style>
  <w:style w:type="character" w:customStyle="1" w:styleId="880">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1">
    <w:name w:val="明显引用 字符2"/>
    <w:autoRedefine/>
    <w:qFormat/>
    <w:locked/>
    <w:uiPriority w:val="0"/>
    <w:rPr>
      <w:i/>
      <w:sz w:val="21"/>
    </w:rPr>
  </w:style>
  <w:style w:type="character" w:customStyle="1" w:styleId="882">
    <w:name w:val="引用 Char2"/>
    <w:autoRedefine/>
    <w:qFormat/>
    <w:uiPriority w:val="0"/>
    <w:rPr>
      <w:rFonts w:hint="default" w:ascii="Times New Roman" w:hAnsi="Times New Roman" w:cs="Times New Roman"/>
      <w:i/>
      <w:iCs/>
      <w:color w:val="000000"/>
      <w:kern w:val="2"/>
      <w:sz w:val="21"/>
      <w:szCs w:val="24"/>
    </w:rPr>
  </w:style>
  <w:style w:type="character" w:customStyle="1" w:styleId="883">
    <w:name w:val="font91"/>
    <w:autoRedefine/>
    <w:qFormat/>
    <w:uiPriority w:val="0"/>
    <w:rPr>
      <w:rFonts w:hint="eastAsia" w:ascii="宋体" w:hAnsi="宋体" w:eastAsia="宋体"/>
      <w:color w:val="000000"/>
      <w:sz w:val="18"/>
      <w:szCs w:val="18"/>
      <w:u w:val="none"/>
    </w:rPr>
  </w:style>
  <w:style w:type="character" w:customStyle="1" w:styleId="884">
    <w:name w:val="font81"/>
    <w:autoRedefine/>
    <w:qFormat/>
    <w:uiPriority w:val="0"/>
    <w:rPr>
      <w:rFonts w:hint="default" w:ascii="Arial" w:hAnsi="Arial" w:cs="Arial"/>
      <w:color w:val="000000"/>
      <w:sz w:val="18"/>
      <w:szCs w:val="18"/>
      <w:u w:val="none"/>
    </w:rPr>
  </w:style>
  <w:style w:type="character" w:customStyle="1" w:styleId="885">
    <w:name w:val="font101"/>
    <w:autoRedefine/>
    <w:qFormat/>
    <w:uiPriority w:val="0"/>
    <w:rPr>
      <w:rFonts w:hint="default" w:ascii="Arial" w:hAnsi="Arial" w:cs="Arial"/>
      <w:color w:val="000000"/>
      <w:sz w:val="20"/>
      <w:szCs w:val="20"/>
      <w:u w:val="none"/>
    </w:rPr>
  </w:style>
  <w:style w:type="character" w:customStyle="1" w:styleId="886">
    <w:name w:val="font31"/>
    <w:autoRedefine/>
    <w:qFormat/>
    <w:uiPriority w:val="0"/>
    <w:rPr>
      <w:rFonts w:hint="eastAsia" w:ascii="宋体" w:hAnsi="宋体" w:eastAsia="宋体"/>
      <w:color w:val="000000"/>
      <w:sz w:val="20"/>
      <w:szCs w:val="20"/>
      <w:u w:val="none"/>
    </w:rPr>
  </w:style>
  <w:style w:type="character" w:customStyle="1" w:styleId="887">
    <w:name w:val="Heading 6 Char"/>
    <w:autoRedefine/>
    <w:qFormat/>
    <w:locked/>
    <w:uiPriority w:val="0"/>
    <w:rPr>
      <w:rFonts w:hint="default" w:ascii="Arial" w:hAnsi="Arial" w:eastAsia="黑体" w:cs="Arial"/>
      <w:b/>
      <w:bCs/>
      <w:sz w:val="24"/>
      <w:szCs w:val="24"/>
      <w:lang w:val="en-US" w:eastAsia="zh-CN" w:bidi="ar-SA"/>
    </w:rPr>
  </w:style>
  <w:style w:type="character" w:customStyle="1" w:styleId="888">
    <w:name w:val="正文2 Char"/>
    <w:autoRedefine/>
    <w:qFormat/>
    <w:uiPriority w:val="0"/>
    <w:rPr>
      <w:rFonts w:hint="eastAsia" w:ascii="宋体" w:hAnsi="宋体" w:eastAsia="宋体"/>
      <w:kern w:val="2"/>
      <w:sz w:val="24"/>
      <w:lang w:val="en-US" w:eastAsia="zh-CN" w:bidi="ar-SA"/>
    </w:rPr>
  </w:style>
  <w:style w:type="character" w:customStyle="1" w:styleId="889">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0">
    <w:name w:val="副标题 Char1"/>
    <w:autoRedefine/>
    <w:qFormat/>
    <w:uiPriority w:val="0"/>
    <w:rPr>
      <w:rFonts w:hint="default" w:ascii="Cambria" w:hAnsi="Cambria" w:cs="Times New Roman"/>
      <w:b/>
      <w:bCs/>
      <w:kern w:val="28"/>
      <w:sz w:val="32"/>
      <w:szCs w:val="32"/>
    </w:rPr>
  </w:style>
  <w:style w:type="character" w:customStyle="1" w:styleId="891">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2">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3">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4">
    <w:name w:val="Char Char"/>
    <w:autoRedefine/>
    <w:qFormat/>
    <w:uiPriority w:val="0"/>
    <w:rPr>
      <w:rFonts w:hint="default" w:ascii="Arial" w:hAnsi="Arial" w:eastAsia="黑体" w:cs="Arial"/>
      <w:b/>
      <w:bCs/>
      <w:kern w:val="2"/>
      <w:sz w:val="32"/>
      <w:szCs w:val="32"/>
      <w:lang w:val="en-US" w:eastAsia="zh-CN" w:bidi="ar-SA"/>
    </w:rPr>
  </w:style>
  <w:style w:type="character" w:customStyle="1" w:styleId="895">
    <w:name w:val="Body Text Char"/>
    <w:autoRedefine/>
    <w:qFormat/>
    <w:locked/>
    <w:uiPriority w:val="0"/>
    <w:rPr>
      <w:rFonts w:hint="eastAsia" w:ascii="宋体" w:hAnsi="宋体" w:eastAsia="宋体"/>
      <w:kern w:val="2"/>
      <w:sz w:val="21"/>
      <w:szCs w:val="24"/>
      <w:lang w:val="en-US" w:eastAsia="zh-CN" w:bidi="ar-SA"/>
    </w:rPr>
  </w:style>
  <w:style w:type="character" w:customStyle="1" w:styleId="896">
    <w:name w:val="正文文字4 Char Char1"/>
    <w:autoRedefine/>
    <w:qFormat/>
    <w:uiPriority w:val="0"/>
    <w:rPr>
      <w:rFonts w:hint="eastAsia" w:ascii="宋体" w:hAnsi="宋体" w:eastAsia="宋体"/>
      <w:kern w:val="2"/>
      <w:sz w:val="24"/>
      <w:szCs w:val="24"/>
      <w:lang w:val="en-US" w:eastAsia="zh-CN" w:bidi="ar-SA"/>
    </w:rPr>
  </w:style>
  <w:style w:type="character" w:customStyle="1" w:styleId="897">
    <w:name w:val="country-name"/>
    <w:autoRedefine/>
    <w:qFormat/>
    <w:uiPriority w:val="0"/>
  </w:style>
  <w:style w:type="character" w:customStyle="1" w:styleId="898">
    <w:name w:val="Title Char"/>
    <w:autoRedefine/>
    <w:qFormat/>
    <w:locked/>
    <w:uiPriority w:val="0"/>
    <w:rPr>
      <w:rFonts w:hint="default" w:ascii="Arial" w:hAnsi="Arial" w:eastAsia="宋体" w:cs="Arial"/>
      <w:b/>
      <w:sz w:val="32"/>
      <w:lang w:val="en-US" w:eastAsia="zh-CN" w:bidi="ar-SA"/>
    </w:rPr>
  </w:style>
  <w:style w:type="character" w:customStyle="1" w:styleId="899">
    <w:name w:val="Heading 8 Char"/>
    <w:autoRedefine/>
    <w:qFormat/>
    <w:locked/>
    <w:uiPriority w:val="0"/>
    <w:rPr>
      <w:rFonts w:hint="default" w:ascii="Arial" w:hAnsi="Arial" w:eastAsia="黑体" w:cs="Arial"/>
      <w:sz w:val="24"/>
      <w:szCs w:val="24"/>
      <w:lang w:val="en-US" w:eastAsia="zh-CN" w:bidi="ar-SA"/>
    </w:rPr>
  </w:style>
  <w:style w:type="character" w:customStyle="1" w:styleId="900">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1">
    <w:name w:val="手改 Char Char"/>
    <w:autoRedefine/>
    <w:qFormat/>
    <w:uiPriority w:val="0"/>
    <w:rPr>
      <w:rFonts w:hint="eastAsia" w:ascii="宋体" w:hAnsi="宋体" w:eastAsia="宋体"/>
      <w:kern w:val="2"/>
      <w:sz w:val="21"/>
      <w:szCs w:val="24"/>
      <w:lang w:val="en-US" w:eastAsia="zh-CN" w:bidi="ar-SA"/>
    </w:rPr>
  </w:style>
  <w:style w:type="character" w:customStyle="1" w:styleId="902">
    <w:name w:val="Para head"/>
    <w:autoRedefine/>
    <w:qFormat/>
    <w:uiPriority w:val="0"/>
    <w:rPr>
      <w:rFonts w:hint="default" w:ascii="Arial" w:hAnsi="Arial" w:eastAsia="Times New Roman" w:cs="Arial"/>
      <w:sz w:val="20"/>
    </w:rPr>
  </w:style>
  <w:style w:type="character" w:customStyle="1" w:styleId="903">
    <w:name w:val="正文文字4 Char Char2"/>
    <w:autoRedefine/>
    <w:qFormat/>
    <w:uiPriority w:val="0"/>
    <w:rPr>
      <w:rFonts w:hint="eastAsia" w:ascii="宋体" w:hAnsi="宋体" w:eastAsia="宋体"/>
      <w:kern w:val="2"/>
      <w:sz w:val="24"/>
      <w:szCs w:val="24"/>
      <w:lang w:val="en-US" w:eastAsia="zh-CN" w:bidi="ar-SA"/>
    </w:rPr>
  </w:style>
  <w:style w:type="character" w:customStyle="1" w:styleId="904">
    <w:name w:val="Char Char7"/>
    <w:autoRedefine/>
    <w:qFormat/>
    <w:uiPriority w:val="0"/>
    <w:rPr>
      <w:rFonts w:hint="default" w:ascii="Arial" w:hAnsi="Arial" w:eastAsia="黑体" w:cs="Arial"/>
      <w:b/>
      <w:bCs/>
      <w:kern w:val="2"/>
      <w:sz w:val="32"/>
      <w:szCs w:val="32"/>
      <w:lang w:val="en-US" w:eastAsia="zh-CN" w:bidi="ar-SA"/>
    </w:rPr>
  </w:style>
  <w:style w:type="character" w:customStyle="1" w:styleId="905">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6">
    <w:name w:val="Char Char2"/>
    <w:autoRedefine/>
    <w:qFormat/>
    <w:uiPriority w:val="0"/>
    <w:rPr>
      <w:rFonts w:hint="eastAsia" w:ascii="宋体" w:hAnsi="宋体" w:eastAsia="宋体"/>
      <w:kern w:val="2"/>
      <w:sz w:val="21"/>
      <w:szCs w:val="24"/>
      <w:lang w:val="en-US" w:eastAsia="zh-CN" w:bidi="ar-SA"/>
    </w:rPr>
  </w:style>
  <w:style w:type="character" w:customStyle="1" w:styleId="907">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8">
    <w:name w:val="正文文字4 Char Char"/>
    <w:autoRedefine/>
    <w:qFormat/>
    <w:uiPriority w:val="0"/>
    <w:rPr>
      <w:rFonts w:hint="eastAsia" w:ascii="宋体" w:hAnsi="宋体" w:eastAsia="宋体"/>
      <w:kern w:val="2"/>
      <w:sz w:val="21"/>
      <w:szCs w:val="24"/>
      <w:lang w:val="en-US" w:eastAsia="zh-CN" w:bidi="ar-SA"/>
    </w:rPr>
  </w:style>
  <w:style w:type="character" w:customStyle="1" w:styleId="909">
    <w:name w:val="个人撰写风格"/>
    <w:autoRedefine/>
    <w:qFormat/>
    <w:uiPriority w:val="0"/>
    <w:rPr>
      <w:rFonts w:hint="default" w:ascii="Arial" w:hAnsi="Arial" w:eastAsia="宋体" w:cs="Arial"/>
      <w:color w:val="auto"/>
      <w:sz w:val="20"/>
    </w:rPr>
  </w:style>
  <w:style w:type="character" w:customStyle="1" w:styleId="910">
    <w:name w:val="Header Char"/>
    <w:autoRedefine/>
    <w:qFormat/>
    <w:locked/>
    <w:uiPriority w:val="0"/>
    <w:rPr>
      <w:rFonts w:hint="eastAsia" w:ascii="宋体" w:hAnsi="宋体" w:eastAsia="宋体"/>
      <w:kern w:val="2"/>
      <w:sz w:val="18"/>
      <w:szCs w:val="18"/>
      <w:lang w:val="en-US" w:eastAsia="zh-CN" w:bidi="ar-SA"/>
    </w:rPr>
  </w:style>
  <w:style w:type="character" w:customStyle="1" w:styleId="911">
    <w:name w:val="locality"/>
    <w:autoRedefine/>
    <w:qFormat/>
    <w:uiPriority w:val="0"/>
  </w:style>
  <w:style w:type="character" w:customStyle="1" w:styleId="912">
    <w:name w:val="text"/>
    <w:autoRedefine/>
    <w:qFormat/>
    <w:uiPriority w:val="0"/>
  </w:style>
  <w:style w:type="character" w:customStyle="1" w:styleId="913">
    <w:name w:val="Char Char9"/>
    <w:autoRedefine/>
    <w:qFormat/>
    <w:uiPriority w:val="0"/>
    <w:rPr>
      <w:rFonts w:hint="eastAsia" w:ascii="宋体" w:hAnsi="宋体" w:eastAsia="宋体"/>
      <w:color w:val="000000"/>
      <w:kern w:val="2"/>
      <w:sz w:val="24"/>
      <w:lang w:val="en-US" w:eastAsia="zh-CN" w:bidi="ar-SA"/>
    </w:rPr>
  </w:style>
  <w:style w:type="character" w:customStyle="1" w:styleId="914">
    <w:name w:val="正文文本缩进 2 Char1"/>
    <w:autoRedefine/>
    <w:qFormat/>
    <w:uiPriority w:val="0"/>
    <w:rPr>
      <w:rFonts w:hint="eastAsia" w:ascii="宋体" w:hAnsi="宋体" w:eastAsia="宋体"/>
      <w:szCs w:val="24"/>
    </w:rPr>
  </w:style>
  <w:style w:type="character" w:customStyle="1" w:styleId="915">
    <w:name w:val="标题 Char3"/>
    <w:autoRedefine/>
    <w:qFormat/>
    <w:uiPriority w:val="0"/>
    <w:rPr>
      <w:rFonts w:hint="default" w:ascii="Cambria" w:hAnsi="Cambria" w:eastAsia="宋体" w:cs="Times New Roman"/>
      <w:b/>
      <w:bCs/>
      <w:sz w:val="32"/>
      <w:szCs w:val="32"/>
    </w:rPr>
  </w:style>
  <w:style w:type="character" w:customStyle="1" w:styleId="916">
    <w:name w:val="bookmark-item"/>
    <w:autoRedefine/>
    <w:qFormat/>
    <w:uiPriority w:val="0"/>
  </w:style>
  <w:style w:type="character" w:customStyle="1" w:styleId="917">
    <w:name w:val="正文首行缩进 Char1"/>
    <w:autoRedefine/>
    <w:qFormat/>
    <w:uiPriority w:val="0"/>
    <w:rPr>
      <w:rFonts w:hint="eastAsia" w:ascii="宋体" w:hAnsi="宋体" w:eastAsia="宋体"/>
      <w:szCs w:val="24"/>
    </w:rPr>
  </w:style>
  <w:style w:type="character" w:customStyle="1" w:styleId="918">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19">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0">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1">
    <w:name w:val="页眉 Char2"/>
    <w:autoRedefine/>
    <w:qFormat/>
    <w:uiPriority w:val="0"/>
    <w:rPr>
      <w:rFonts w:hint="eastAsia" w:ascii="宋体" w:hAnsi="宋体" w:eastAsia="宋体"/>
      <w:kern w:val="2"/>
      <w:sz w:val="18"/>
      <w:szCs w:val="18"/>
      <w:lang w:val="en-US" w:eastAsia="zh-CN" w:bidi="ar-SA"/>
    </w:rPr>
  </w:style>
  <w:style w:type="character" w:customStyle="1" w:styleId="922">
    <w:name w:val="Date Char"/>
    <w:autoRedefine/>
    <w:qFormat/>
    <w:locked/>
    <w:uiPriority w:val="0"/>
    <w:rPr>
      <w:rFonts w:hint="eastAsia" w:ascii="宋体" w:hAnsi="宋体" w:eastAsia="宋体"/>
      <w:kern w:val="2"/>
      <w:sz w:val="24"/>
      <w:lang w:val="en-US" w:eastAsia="zh-CN" w:bidi="ar-SA"/>
    </w:rPr>
  </w:style>
  <w:style w:type="character" w:customStyle="1" w:styleId="923">
    <w:name w:val="Char Char121"/>
    <w:autoRedefine/>
    <w:qFormat/>
    <w:uiPriority w:val="0"/>
    <w:rPr>
      <w:rFonts w:hint="default" w:ascii="Arial" w:hAnsi="Arial" w:eastAsia="宋体" w:cs="Arial"/>
      <w:b/>
      <w:sz w:val="32"/>
      <w:lang w:val="en-US" w:eastAsia="zh-CN" w:bidi="ar-SA"/>
    </w:rPr>
  </w:style>
  <w:style w:type="character" w:customStyle="1" w:styleId="924">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5">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6">
    <w:name w:val="日期 Char"/>
    <w:autoRedefine/>
    <w:qFormat/>
    <w:uiPriority w:val="0"/>
    <w:rPr>
      <w:rFonts w:hint="eastAsia" w:ascii="宋体" w:hAnsi="宋体" w:eastAsia="宋体"/>
      <w:sz w:val="28"/>
      <w:lang w:bidi="ar-SA"/>
    </w:rPr>
  </w:style>
  <w:style w:type="character" w:customStyle="1" w:styleId="927">
    <w:name w:val="正文文本 Char"/>
    <w:autoRedefine/>
    <w:qFormat/>
    <w:uiPriority w:val="0"/>
    <w:rPr>
      <w:lang w:bidi="ar-SA"/>
    </w:rPr>
  </w:style>
  <w:style w:type="character" w:customStyle="1" w:styleId="928">
    <w:name w:val="标题 6 Char"/>
    <w:autoRedefine/>
    <w:qFormat/>
    <w:uiPriority w:val="0"/>
    <w:rPr>
      <w:rFonts w:hint="default" w:ascii="Cambria" w:hAnsi="Cambria" w:eastAsia="宋体"/>
      <w:b/>
      <w:bCs/>
      <w:kern w:val="2"/>
      <w:sz w:val="24"/>
      <w:szCs w:val="24"/>
      <w:lang w:val="en-US" w:eastAsia="zh-CN" w:bidi="ar-SA"/>
    </w:rPr>
  </w:style>
  <w:style w:type="character" w:customStyle="1" w:styleId="929">
    <w:name w:val="页脚 Char"/>
    <w:autoRedefine/>
    <w:qFormat/>
    <w:uiPriority w:val="99"/>
    <w:rPr>
      <w:kern w:val="2"/>
      <w:sz w:val="18"/>
      <w:szCs w:val="18"/>
      <w:lang w:bidi="ar-SA"/>
    </w:rPr>
  </w:style>
  <w:style w:type="character" w:customStyle="1" w:styleId="930">
    <w:name w:val="批注框文本 Char"/>
    <w:autoRedefine/>
    <w:qFormat/>
    <w:uiPriority w:val="0"/>
    <w:rPr>
      <w:rFonts w:hint="eastAsia" w:ascii="宋体" w:hAnsi="宋体" w:eastAsia="宋体"/>
      <w:sz w:val="18"/>
      <w:szCs w:val="18"/>
      <w:lang w:bidi="ar-SA"/>
    </w:rPr>
  </w:style>
  <w:style w:type="character" w:customStyle="1" w:styleId="931">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2">
    <w:name w:val="日期 Char3"/>
    <w:autoRedefine/>
    <w:qFormat/>
    <w:uiPriority w:val="0"/>
    <w:rPr>
      <w:rFonts w:hint="eastAsia" w:ascii="仿宋_GB2312" w:eastAsia="仿宋_GB2312"/>
      <w:kern w:val="2"/>
      <w:sz w:val="28"/>
      <w:lang w:val="en-US" w:eastAsia="zh-CN" w:bidi="ar-SA"/>
    </w:rPr>
  </w:style>
  <w:style w:type="character" w:customStyle="1" w:styleId="933">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4">
    <w:name w:val="chs1"/>
    <w:autoRedefine/>
    <w:qFormat/>
    <w:uiPriority w:val="0"/>
    <w:rPr>
      <w:rFonts w:hint="default"/>
      <w:sz w:val="18"/>
      <w:szCs w:val="18"/>
    </w:rPr>
  </w:style>
  <w:style w:type="character" w:customStyle="1" w:styleId="935">
    <w:name w:val="个人答复风格"/>
    <w:autoRedefine/>
    <w:qFormat/>
    <w:uiPriority w:val="0"/>
    <w:rPr>
      <w:rFonts w:hint="default" w:ascii="Arial" w:hAnsi="Arial" w:eastAsia="宋体" w:cs="Arial"/>
      <w:color w:val="auto"/>
      <w:sz w:val="20"/>
    </w:rPr>
  </w:style>
  <w:style w:type="character" w:customStyle="1" w:styleId="936">
    <w:name w:val="htd01"/>
    <w:autoRedefine/>
    <w:qFormat/>
    <w:uiPriority w:val="0"/>
  </w:style>
  <w:style w:type="character" w:customStyle="1" w:styleId="937">
    <w:name w:val="标题 Char"/>
    <w:autoRedefine/>
    <w:qFormat/>
    <w:uiPriority w:val="0"/>
    <w:rPr>
      <w:rFonts w:hint="default" w:ascii="Cambria" w:hAnsi="Cambria"/>
      <w:b/>
      <w:bCs/>
      <w:kern w:val="2"/>
      <w:sz w:val="32"/>
      <w:szCs w:val="32"/>
      <w:lang w:bidi="ar-SA"/>
    </w:rPr>
  </w:style>
  <w:style w:type="character" w:customStyle="1" w:styleId="938">
    <w:name w:val="标题 2 Char"/>
    <w:autoRedefine/>
    <w:qFormat/>
    <w:uiPriority w:val="0"/>
    <w:rPr>
      <w:rFonts w:hint="default" w:ascii="Cambria" w:hAnsi="Cambria" w:eastAsia="宋体"/>
      <w:b/>
      <w:bCs/>
      <w:kern w:val="2"/>
      <w:sz w:val="32"/>
      <w:szCs w:val="32"/>
      <w:lang w:val="en-US" w:eastAsia="zh-CN"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199"/>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4"/>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2"/>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8"/>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8"/>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299"/>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paragraph" w:customStyle="1" w:styleId="1024">
    <w:name w:val="正文3"/>
    <w:qFormat/>
    <w:uiPriority w:val="0"/>
    <w:pPr>
      <w:widowControl w:val="0"/>
    </w:pPr>
    <w:rPr>
      <w:rFonts w:ascii="Cambria" w:hAnsi="Cambria" w:eastAsia="华文中宋" w:cs="Cambria Math"/>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198</Pages>
  <Words>11687</Words>
  <Characters>12835</Characters>
  <Lines>1141</Lines>
  <Paragraphs>321</Paragraphs>
  <TotalTime>11</TotalTime>
  <ScaleCrop>false</ScaleCrop>
  <LinksUpToDate>false</LinksUpToDate>
  <CharactersWithSpaces>12960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2024-11-25T13:32:53Z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B07C55456AF7480A9203701D936AF4B6_13</vt:lpwstr>
  </property>
</Properties>
</file>