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406CF56">
      <w:pPr>
        <w:spacing w:before="120" w:beforeLines="50" w:line="360" w:lineRule="auto"/>
        <w:jc w:val="center"/>
        <w:rPr>
          <w:rFonts w:hint="default"/>
          <w:b/>
          <w:color w:val="auto"/>
          <w:sz w:val="32"/>
          <w:szCs w:val="32"/>
          <w:highlight w:val="none"/>
        </w:rPr>
      </w:pPr>
    </w:p>
    <w:p w14:paraId="3B119810">
      <w:pPr>
        <w:spacing w:before="120" w:beforeLines="50" w:line="360" w:lineRule="auto"/>
        <w:jc w:val="center"/>
        <w:rPr>
          <w:rFonts w:hint="eastAsia"/>
          <w:b/>
          <w:color w:val="auto"/>
          <w:sz w:val="32"/>
          <w:szCs w:val="32"/>
          <w:highlight w:val="none"/>
          <w:lang w:eastAsia="zh-CN"/>
        </w:rPr>
      </w:pPr>
    </w:p>
    <w:p w14:paraId="11AAE330">
      <w:pPr>
        <w:spacing w:before="120" w:beforeLines="50" w:line="360" w:lineRule="auto"/>
        <w:jc w:val="center"/>
        <w:rPr>
          <w:rFonts w:hint="eastAsia" w:eastAsia="宋体"/>
          <w:b/>
          <w:color w:val="auto"/>
          <w:sz w:val="52"/>
          <w:szCs w:val="52"/>
          <w:highlight w:val="none"/>
          <w:lang w:eastAsia="zh-CN"/>
        </w:rPr>
      </w:pPr>
      <w:r>
        <w:rPr>
          <w:rFonts w:hint="eastAsia"/>
          <w:b/>
          <w:color w:val="auto"/>
          <w:sz w:val="52"/>
          <w:szCs w:val="52"/>
          <w:highlight w:val="none"/>
          <w:lang w:eastAsia="zh-CN"/>
        </w:rPr>
        <w:t>浙江工业大学制备液相色谱仪等采购</w:t>
      </w:r>
    </w:p>
    <w:p w14:paraId="2D067078">
      <w:pPr>
        <w:spacing w:before="120" w:beforeLines="50" w:line="360" w:lineRule="auto"/>
        <w:jc w:val="center"/>
        <w:rPr>
          <w:rFonts w:hint="default"/>
          <w:b/>
          <w:color w:val="auto"/>
          <w:sz w:val="36"/>
          <w:szCs w:val="36"/>
          <w:highlight w:val="none"/>
        </w:rPr>
      </w:pPr>
    </w:p>
    <w:p w14:paraId="53913852">
      <w:pPr>
        <w:pStyle w:val="39"/>
        <w:rPr>
          <w:color w:val="auto"/>
          <w:highlight w:val="none"/>
        </w:rPr>
      </w:pPr>
    </w:p>
    <w:p w14:paraId="606CB8F7">
      <w:pPr>
        <w:pStyle w:val="10"/>
        <w:rPr>
          <w:color w:val="auto"/>
          <w:highlight w:val="none"/>
        </w:rPr>
      </w:pPr>
    </w:p>
    <w:p w14:paraId="0DF34ED1">
      <w:pPr>
        <w:spacing w:before="120" w:beforeLines="50" w:line="360" w:lineRule="auto"/>
        <w:jc w:val="center"/>
        <w:rPr>
          <w:rFonts w:hint="default"/>
          <w:b/>
          <w:color w:val="auto"/>
          <w:szCs w:val="21"/>
          <w:highlight w:val="none"/>
        </w:rPr>
      </w:pPr>
    </w:p>
    <w:p w14:paraId="6C7377E8">
      <w:pPr>
        <w:spacing w:before="120" w:beforeLines="50" w:line="360" w:lineRule="auto"/>
        <w:jc w:val="center"/>
        <w:rPr>
          <w:rFonts w:hint="default"/>
          <w:b/>
          <w:color w:val="auto"/>
          <w:sz w:val="72"/>
          <w:szCs w:val="72"/>
          <w:highlight w:val="none"/>
        </w:rPr>
      </w:pPr>
      <w:r>
        <w:rPr>
          <w:rFonts w:hint="default"/>
          <w:b/>
          <w:color w:val="auto"/>
          <w:sz w:val="84"/>
          <w:szCs w:val="84"/>
          <w:highlight w:val="none"/>
        </w:rPr>
        <w:t>公开招标文件</w:t>
      </w:r>
    </w:p>
    <w:p w14:paraId="1A6B73A9">
      <w:pPr>
        <w:snapToGrid w:val="0"/>
        <w:spacing w:before="120" w:beforeLines="50" w:line="360" w:lineRule="auto"/>
        <w:jc w:val="center"/>
        <w:rPr>
          <w:rFonts w:hint="eastAsia" w:eastAsia="宋体"/>
          <w:color w:val="auto"/>
          <w:sz w:val="32"/>
          <w:szCs w:val="32"/>
          <w:highlight w:val="none"/>
          <w:lang w:eastAsia="zh-CN"/>
        </w:rPr>
      </w:pPr>
      <w:r>
        <w:rPr>
          <w:rFonts w:hint="default"/>
          <w:b/>
          <w:bCs/>
          <w:color w:val="auto"/>
          <w:sz w:val="32"/>
          <w:szCs w:val="32"/>
          <w:highlight w:val="none"/>
        </w:rPr>
        <w:t>项目编号：</w:t>
      </w:r>
      <w:r>
        <w:rPr>
          <w:rFonts w:hint="eastAsia"/>
          <w:b/>
          <w:bCs/>
          <w:color w:val="auto"/>
          <w:sz w:val="32"/>
          <w:szCs w:val="32"/>
          <w:highlight w:val="none"/>
          <w:lang w:eastAsia="zh-CN"/>
        </w:rPr>
        <w:t>HSZB-2024-972</w:t>
      </w:r>
    </w:p>
    <w:p w14:paraId="79F352DC">
      <w:pPr>
        <w:pStyle w:val="6"/>
        <w:snapToGrid w:val="0"/>
        <w:spacing w:before="120" w:after="120" w:line="360" w:lineRule="auto"/>
        <w:rPr>
          <w:rFonts w:ascii="Times New Roman" w:hAnsi="Times New Roman"/>
          <w:b/>
          <w:bCs/>
          <w:color w:val="auto"/>
          <w:sz w:val="30"/>
          <w:szCs w:val="30"/>
          <w:highlight w:val="none"/>
        </w:rPr>
      </w:pPr>
    </w:p>
    <w:p w14:paraId="7A0F7298">
      <w:pPr>
        <w:pStyle w:val="6"/>
        <w:snapToGrid w:val="0"/>
        <w:spacing w:before="120" w:after="120" w:line="360" w:lineRule="auto"/>
        <w:rPr>
          <w:rFonts w:ascii="Times New Roman" w:hAnsi="Times New Roman"/>
          <w:b/>
          <w:bCs/>
          <w:color w:val="auto"/>
          <w:sz w:val="30"/>
          <w:szCs w:val="30"/>
          <w:highlight w:val="none"/>
        </w:rPr>
      </w:pPr>
    </w:p>
    <w:p w14:paraId="6F71BAF0">
      <w:pPr>
        <w:pStyle w:val="6"/>
        <w:snapToGrid w:val="0"/>
        <w:spacing w:before="120" w:after="120" w:line="360" w:lineRule="auto"/>
        <w:rPr>
          <w:rFonts w:ascii="Times New Roman" w:hAnsi="Times New Roman"/>
          <w:b/>
          <w:bCs/>
          <w:color w:val="auto"/>
          <w:sz w:val="30"/>
          <w:szCs w:val="30"/>
          <w:highlight w:val="none"/>
        </w:rPr>
      </w:pPr>
    </w:p>
    <w:p w14:paraId="1C0B6A89">
      <w:pPr>
        <w:pStyle w:val="6"/>
        <w:snapToGrid w:val="0"/>
        <w:spacing w:before="240" w:beforeLines="100" w:after="120" w:line="240" w:lineRule="auto"/>
        <w:rPr>
          <w:rFonts w:ascii="Times New Roman" w:hAnsi="Times New Roman"/>
          <w:b/>
          <w:bCs/>
          <w:color w:val="auto"/>
          <w:sz w:val="32"/>
          <w:szCs w:val="32"/>
          <w:highlight w:val="none"/>
        </w:rPr>
      </w:pPr>
    </w:p>
    <w:p w14:paraId="7F4BD767">
      <w:pPr>
        <w:rPr>
          <w:color w:val="auto"/>
          <w:highlight w:val="none"/>
        </w:rPr>
      </w:pPr>
    </w:p>
    <w:tbl>
      <w:tblPr>
        <w:tblStyle w:val="42"/>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1805"/>
        <w:gridCol w:w="5210"/>
      </w:tblGrid>
      <w:tr w14:paraId="0BCC5E3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805" w:type="dxa"/>
            <w:vAlign w:val="center"/>
          </w:tcPr>
          <w:p w14:paraId="70A65E51">
            <w:pPr>
              <w:pStyle w:val="6"/>
              <w:snapToGrid w:val="0"/>
              <w:spacing w:before="120" w:after="120" w:line="240" w:lineRule="auto"/>
              <w:jc w:val="center"/>
              <w:rPr>
                <w:rFonts w:ascii="Times New Roman" w:hAnsi="Times New Roman"/>
                <w:b/>
                <w:bCs/>
                <w:color w:val="auto"/>
                <w:sz w:val="30"/>
                <w:szCs w:val="30"/>
                <w:highlight w:val="none"/>
              </w:rPr>
            </w:pPr>
            <w:r>
              <w:rPr>
                <w:rFonts w:hint="eastAsia" w:ascii="Times New Roman" w:hAnsi="Times New Roman"/>
                <w:b/>
                <w:bCs/>
                <w:color w:val="auto"/>
                <w:sz w:val="30"/>
                <w:szCs w:val="30"/>
                <w:highlight w:val="none"/>
              </w:rPr>
              <w:t>项目名称：</w:t>
            </w:r>
          </w:p>
        </w:tc>
        <w:tc>
          <w:tcPr>
            <w:tcW w:w="5210" w:type="dxa"/>
            <w:vAlign w:val="center"/>
          </w:tcPr>
          <w:p w14:paraId="3C34A229">
            <w:pPr>
              <w:pStyle w:val="6"/>
              <w:snapToGrid w:val="0"/>
              <w:spacing w:before="120" w:after="120" w:line="240" w:lineRule="auto"/>
              <w:rPr>
                <w:rFonts w:hint="eastAsia" w:ascii="Times New Roman" w:hAnsi="Times New Roman" w:eastAsia="宋体"/>
                <w:b/>
                <w:bCs/>
                <w:color w:val="auto"/>
                <w:sz w:val="30"/>
                <w:szCs w:val="30"/>
                <w:highlight w:val="none"/>
                <w:lang w:eastAsia="zh-CN"/>
              </w:rPr>
            </w:pPr>
            <w:r>
              <w:rPr>
                <w:rFonts w:hint="eastAsia" w:ascii="Times New Roman" w:hAnsi="Times New Roman"/>
                <w:b/>
                <w:bCs/>
                <w:color w:val="auto"/>
                <w:sz w:val="30"/>
                <w:szCs w:val="30"/>
                <w:highlight w:val="none"/>
                <w:lang w:eastAsia="zh-CN"/>
              </w:rPr>
              <w:t>浙江工业大学制备液相色谱仪等采购</w:t>
            </w:r>
          </w:p>
        </w:tc>
      </w:tr>
      <w:tr w14:paraId="3FE96C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805" w:type="dxa"/>
            <w:vAlign w:val="center"/>
          </w:tcPr>
          <w:p w14:paraId="00115CB0">
            <w:pPr>
              <w:pStyle w:val="6"/>
              <w:snapToGrid w:val="0"/>
              <w:spacing w:before="120" w:after="120" w:line="240" w:lineRule="auto"/>
              <w:jc w:val="center"/>
              <w:rPr>
                <w:rFonts w:ascii="Times New Roman" w:hAnsi="Times New Roman"/>
                <w:b/>
                <w:bCs/>
                <w:color w:val="auto"/>
                <w:sz w:val="30"/>
                <w:szCs w:val="30"/>
                <w:highlight w:val="none"/>
              </w:rPr>
            </w:pPr>
            <w:r>
              <w:rPr>
                <w:rFonts w:hint="eastAsia" w:ascii="Times New Roman" w:hAnsi="Times New Roman"/>
                <w:b/>
                <w:bCs/>
                <w:color w:val="auto"/>
                <w:sz w:val="30"/>
                <w:szCs w:val="30"/>
                <w:highlight w:val="none"/>
              </w:rPr>
              <w:t>项目编号：</w:t>
            </w:r>
          </w:p>
        </w:tc>
        <w:tc>
          <w:tcPr>
            <w:tcW w:w="5210" w:type="dxa"/>
            <w:vAlign w:val="center"/>
          </w:tcPr>
          <w:p w14:paraId="35CBE609">
            <w:pPr>
              <w:pStyle w:val="6"/>
              <w:snapToGrid w:val="0"/>
              <w:spacing w:before="120" w:after="120" w:line="240" w:lineRule="auto"/>
              <w:rPr>
                <w:rFonts w:hint="eastAsia" w:ascii="Times New Roman" w:hAnsi="Times New Roman" w:eastAsia="宋体"/>
                <w:b/>
                <w:bCs/>
                <w:color w:val="auto"/>
                <w:sz w:val="30"/>
                <w:szCs w:val="30"/>
                <w:highlight w:val="none"/>
                <w:lang w:eastAsia="zh-CN"/>
              </w:rPr>
            </w:pPr>
            <w:r>
              <w:rPr>
                <w:rFonts w:hint="eastAsia" w:ascii="Times New Roman" w:hAnsi="Times New Roman"/>
                <w:b/>
                <w:bCs/>
                <w:color w:val="auto"/>
                <w:sz w:val="30"/>
                <w:szCs w:val="30"/>
                <w:highlight w:val="none"/>
                <w:lang w:eastAsia="zh-CN"/>
              </w:rPr>
              <w:t>HSZB-2024-972</w:t>
            </w:r>
          </w:p>
        </w:tc>
      </w:tr>
      <w:tr w14:paraId="1D3D18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805" w:type="dxa"/>
            <w:vAlign w:val="center"/>
          </w:tcPr>
          <w:p w14:paraId="0DA65EC9">
            <w:pPr>
              <w:pStyle w:val="6"/>
              <w:snapToGrid w:val="0"/>
              <w:spacing w:before="120" w:after="120" w:line="240" w:lineRule="auto"/>
              <w:jc w:val="center"/>
              <w:rPr>
                <w:rFonts w:ascii="Times New Roman" w:hAnsi="Times New Roman"/>
                <w:b/>
                <w:bCs/>
                <w:color w:val="auto"/>
                <w:sz w:val="30"/>
                <w:szCs w:val="30"/>
                <w:highlight w:val="none"/>
              </w:rPr>
            </w:pPr>
            <w:r>
              <w:rPr>
                <w:rFonts w:ascii="Times New Roman" w:hAnsi="Times New Roman"/>
                <w:b/>
                <w:color w:val="auto"/>
                <w:sz w:val="30"/>
                <w:szCs w:val="30"/>
                <w:highlight w:val="none"/>
              </w:rPr>
              <w:t>采购单位：</w:t>
            </w:r>
          </w:p>
        </w:tc>
        <w:tc>
          <w:tcPr>
            <w:tcW w:w="5210" w:type="dxa"/>
            <w:vAlign w:val="center"/>
          </w:tcPr>
          <w:p w14:paraId="0E8D0C21">
            <w:pPr>
              <w:pStyle w:val="6"/>
              <w:snapToGrid w:val="0"/>
              <w:spacing w:before="120" w:after="120" w:line="240" w:lineRule="auto"/>
              <w:rPr>
                <w:rFonts w:ascii="Times New Roman" w:hAnsi="Times New Roman"/>
                <w:b/>
                <w:bCs/>
                <w:color w:val="auto"/>
                <w:sz w:val="30"/>
                <w:szCs w:val="30"/>
                <w:highlight w:val="none"/>
              </w:rPr>
            </w:pPr>
            <w:r>
              <w:rPr>
                <w:rFonts w:hint="eastAsia" w:ascii="Times New Roman" w:hAnsi="Times New Roman"/>
                <w:b/>
                <w:color w:val="auto"/>
                <w:sz w:val="30"/>
                <w:szCs w:val="30"/>
                <w:highlight w:val="none"/>
              </w:rPr>
              <w:t>浙江工业大学</w:t>
            </w:r>
          </w:p>
        </w:tc>
      </w:tr>
      <w:tr w14:paraId="276B9B7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1805" w:type="dxa"/>
            <w:vAlign w:val="center"/>
          </w:tcPr>
          <w:p w14:paraId="3221AE0E">
            <w:pPr>
              <w:pStyle w:val="6"/>
              <w:snapToGrid w:val="0"/>
              <w:spacing w:before="120" w:after="120" w:line="240" w:lineRule="auto"/>
              <w:jc w:val="center"/>
              <w:rPr>
                <w:rFonts w:ascii="Times New Roman" w:hAnsi="Times New Roman"/>
                <w:b/>
                <w:bCs/>
                <w:color w:val="auto"/>
                <w:sz w:val="30"/>
                <w:szCs w:val="30"/>
                <w:highlight w:val="none"/>
              </w:rPr>
            </w:pPr>
            <w:r>
              <w:rPr>
                <w:rFonts w:ascii="Times New Roman" w:hAnsi="Times New Roman"/>
                <w:b/>
                <w:color w:val="auto"/>
                <w:sz w:val="30"/>
                <w:szCs w:val="30"/>
                <w:highlight w:val="none"/>
              </w:rPr>
              <w:t>代理机构：</w:t>
            </w:r>
          </w:p>
        </w:tc>
        <w:tc>
          <w:tcPr>
            <w:tcW w:w="5210" w:type="dxa"/>
            <w:vAlign w:val="center"/>
          </w:tcPr>
          <w:p w14:paraId="00C44F81">
            <w:pPr>
              <w:pStyle w:val="6"/>
              <w:snapToGrid w:val="0"/>
              <w:spacing w:before="120" w:after="120" w:line="240" w:lineRule="auto"/>
              <w:rPr>
                <w:rFonts w:ascii="Times New Roman" w:hAnsi="Times New Roman"/>
                <w:b/>
                <w:bCs/>
                <w:color w:val="auto"/>
                <w:sz w:val="30"/>
                <w:szCs w:val="30"/>
                <w:highlight w:val="none"/>
              </w:rPr>
            </w:pPr>
            <w:r>
              <w:rPr>
                <w:rFonts w:ascii="Times New Roman" w:hAnsi="Times New Roman"/>
                <w:b/>
                <w:color w:val="auto"/>
                <w:sz w:val="30"/>
                <w:szCs w:val="30"/>
                <w:highlight w:val="none"/>
              </w:rPr>
              <w:t>浙江豪圣建设项目管理有限公司</w:t>
            </w:r>
          </w:p>
        </w:tc>
      </w:tr>
      <w:tr w14:paraId="455C354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7015" w:type="dxa"/>
            <w:gridSpan w:val="2"/>
          </w:tcPr>
          <w:p w14:paraId="05606618">
            <w:pPr>
              <w:pStyle w:val="6"/>
              <w:snapToGrid w:val="0"/>
              <w:spacing w:before="120" w:after="120" w:line="240" w:lineRule="auto"/>
              <w:jc w:val="center"/>
              <w:rPr>
                <w:rFonts w:ascii="Times New Roman" w:hAnsi="Times New Roman"/>
                <w:b/>
                <w:color w:val="auto"/>
                <w:sz w:val="30"/>
                <w:szCs w:val="30"/>
                <w:highlight w:val="none"/>
              </w:rPr>
            </w:pPr>
            <w:r>
              <w:rPr>
                <w:rFonts w:hint="eastAsia" w:ascii="Times New Roman" w:hAnsi="Times New Roman"/>
                <w:b/>
                <w:color w:val="auto"/>
                <w:sz w:val="30"/>
                <w:szCs w:val="30"/>
                <w:highlight w:val="none"/>
              </w:rPr>
              <w:t>二〇二四年</w:t>
            </w:r>
            <w:r>
              <w:rPr>
                <w:rFonts w:hint="eastAsia" w:ascii="Times New Roman" w:hAnsi="Times New Roman"/>
                <w:b/>
                <w:color w:val="auto"/>
                <w:sz w:val="30"/>
                <w:szCs w:val="30"/>
                <w:highlight w:val="none"/>
                <w:lang w:val="en-US" w:eastAsia="zh-CN"/>
              </w:rPr>
              <w:t>十</w:t>
            </w:r>
            <w:r>
              <w:rPr>
                <w:rFonts w:hint="eastAsia" w:ascii="Times New Roman" w:hAnsi="Times New Roman"/>
                <w:b/>
                <w:color w:val="auto"/>
                <w:sz w:val="30"/>
                <w:szCs w:val="30"/>
                <w:highlight w:val="none"/>
              </w:rPr>
              <w:t>月</w:t>
            </w:r>
          </w:p>
        </w:tc>
      </w:tr>
    </w:tbl>
    <w:p w14:paraId="10F7EABA">
      <w:pPr>
        <w:pStyle w:val="6"/>
        <w:spacing w:before="120" w:after="120" w:line="360" w:lineRule="auto"/>
        <w:jc w:val="center"/>
        <w:rPr>
          <w:rFonts w:ascii="Times New Roman" w:hAnsi="Times New Roman"/>
          <w:color w:val="auto"/>
          <w:sz w:val="36"/>
          <w:szCs w:val="36"/>
          <w:highlight w:val="none"/>
        </w:rPr>
        <w:sectPr>
          <w:headerReference r:id="rId4" w:type="default"/>
          <w:pgSz w:w="11906" w:h="16838"/>
          <w:pgMar w:top="1134" w:right="1247" w:bottom="1247" w:left="1304" w:header="794" w:footer="794" w:gutter="0"/>
          <w:pgNumType w:start="1"/>
          <w:cols w:space="720" w:num="1"/>
          <w:docGrid w:linePitch="312" w:charSpace="0"/>
        </w:sectPr>
      </w:pPr>
    </w:p>
    <w:p w14:paraId="53F1E06C">
      <w:pPr>
        <w:rPr>
          <w:rFonts w:hint="default"/>
          <w:color w:val="auto"/>
          <w:highlight w:val="none"/>
        </w:rPr>
      </w:pPr>
    </w:p>
    <w:p w14:paraId="41B7EB7F">
      <w:pPr>
        <w:pStyle w:val="6"/>
        <w:spacing w:before="120" w:after="120" w:line="360" w:lineRule="auto"/>
        <w:jc w:val="center"/>
        <w:rPr>
          <w:rFonts w:ascii="Times New Roman" w:hAnsi="Times New Roman"/>
          <w:b/>
          <w:color w:val="auto"/>
          <w:sz w:val="36"/>
          <w:szCs w:val="36"/>
          <w:highlight w:val="none"/>
        </w:rPr>
      </w:pPr>
      <w:r>
        <w:rPr>
          <w:rFonts w:ascii="Times New Roman" w:hAnsi="Times New Roman"/>
          <w:b/>
          <w:color w:val="auto"/>
          <w:sz w:val="36"/>
          <w:szCs w:val="36"/>
          <w:highlight w:val="none"/>
        </w:rPr>
        <w:t>目  录</w:t>
      </w:r>
    </w:p>
    <w:p w14:paraId="04F4A2FE">
      <w:pPr>
        <w:pStyle w:val="26"/>
        <w:tabs>
          <w:tab w:val="right" w:leader="dot" w:pos="9355"/>
        </w:tabs>
        <w:rPr>
          <w:rFonts w:hint="default"/>
          <w:color w:val="auto"/>
          <w:highlight w:val="none"/>
        </w:rPr>
      </w:pPr>
      <w:r>
        <w:rPr>
          <w:rFonts w:hint="default"/>
          <w:color w:val="auto"/>
          <w:sz w:val="28"/>
          <w:szCs w:val="28"/>
          <w:highlight w:val="none"/>
        </w:rPr>
        <w:fldChar w:fldCharType="begin"/>
      </w:r>
      <w:r>
        <w:rPr>
          <w:rFonts w:hint="default"/>
          <w:color w:val="auto"/>
          <w:sz w:val="28"/>
          <w:szCs w:val="28"/>
          <w:highlight w:val="none"/>
        </w:rPr>
        <w:instrText xml:space="preserve">TOC \o "1-1" \h \u </w:instrText>
      </w:r>
      <w:r>
        <w:rPr>
          <w:rFonts w:hint="default"/>
          <w:color w:val="auto"/>
          <w:sz w:val="28"/>
          <w:szCs w:val="28"/>
          <w:highlight w:val="none"/>
        </w:rPr>
        <w:fldChar w:fldCharType="separate"/>
      </w:r>
    </w:p>
    <w:p w14:paraId="53A08BBB">
      <w:pPr>
        <w:pStyle w:val="26"/>
        <w:tabs>
          <w:tab w:val="right" w:leader="dot" w:pos="9355"/>
        </w:tabs>
        <w:spacing w:line="360" w:lineRule="auto"/>
        <w:rPr>
          <w:rFonts w:hint="default" w:ascii="宋体" w:hAnsi="宋体" w:cs="宋体"/>
          <w:color w:val="auto"/>
          <w:sz w:val="28"/>
          <w:szCs w:val="28"/>
          <w:highlight w:val="none"/>
        </w:rPr>
      </w:pPr>
      <w:r>
        <w:rPr>
          <w:color w:val="auto"/>
          <w:highlight w:val="none"/>
        </w:rPr>
        <w:fldChar w:fldCharType="begin"/>
      </w:r>
      <w:r>
        <w:rPr>
          <w:color w:val="auto"/>
          <w:highlight w:val="none"/>
        </w:rPr>
        <w:instrText xml:space="preserve"> HYPERLINK \l "_Toc31642" </w:instrText>
      </w:r>
      <w:r>
        <w:rPr>
          <w:color w:val="auto"/>
          <w:highlight w:val="none"/>
        </w:rPr>
        <w:fldChar w:fldCharType="separate"/>
      </w:r>
      <w:r>
        <w:rPr>
          <w:rFonts w:ascii="宋体" w:hAnsi="宋体" w:cs="宋体"/>
          <w:color w:val="auto"/>
          <w:spacing w:val="-4"/>
          <w:sz w:val="28"/>
          <w:szCs w:val="28"/>
          <w:highlight w:val="none"/>
        </w:rPr>
        <w:t>第一章  招标公告</w:t>
      </w:r>
      <w:r>
        <w:rPr>
          <w:rFonts w:ascii="宋体" w:hAnsi="宋体" w:cs="宋体"/>
          <w:color w:val="auto"/>
          <w:sz w:val="28"/>
          <w:szCs w:val="28"/>
          <w:highlight w:val="none"/>
        </w:rPr>
        <w:tab/>
      </w:r>
      <w:r>
        <w:rPr>
          <w:rFonts w:ascii="宋体" w:hAnsi="宋体" w:cs="宋体"/>
          <w:color w:val="auto"/>
          <w:sz w:val="28"/>
          <w:szCs w:val="28"/>
          <w:highlight w:val="none"/>
        </w:rPr>
        <w:fldChar w:fldCharType="begin"/>
      </w:r>
      <w:r>
        <w:rPr>
          <w:rFonts w:ascii="宋体" w:hAnsi="宋体" w:cs="宋体"/>
          <w:color w:val="auto"/>
          <w:sz w:val="28"/>
          <w:szCs w:val="28"/>
          <w:highlight w:val="none"/>
        </w:rPr>
        <w:instrText xml:space="preserve"> PAGEREF _Toc31642 \h </w:instrText>
      </w:r>
      <w:r>
        <w:rPr>
          <w:rFonts w:ascii="宋体" w:hAnsi="宋体" w:cs="宋体"/>
          <w:color w:val="auto"/>
          <w:sz w:val="28"/>
          <w:szCs w:val="28"/>
          <w:highlight w:val="none"/>
        </w:rPr>
        <w:fldChar w:fldCharType="separate"/>
      </w:r>
      <w:r>
        <w:rPr>
          <w:rFonts w:ascii="宋体" w:hAnsi="宋体" w:cs="宋体"/>
          <w:color w:val="auto"/>
          <w:sz w:val="28"/>
          <w:szCs w:val="28"/>
          <w:highlight w:val="none"/>
        </w:rPr>
        <w:t>3</w:t>
      </w:r>
      <w:r>
        <w:rPr>
          <w:rFonts w:ascii="宋体" w:hAnsi="宋体" w:cs="宋体"/>
          <w:color w:val="auto"/>
          <w:sz w:val="28"/>
          <w:szCs w:val="28"/>
          <w:highlight w:val="none"/>
        </w:rPr>
        <w:fldChar w:fldCharType="end"/>
      </w:r>
      <w:r>
        <w:rPr>
          <w:rFonts w:ascii="宋体" w:hAnsi="宋体" w:cs="宋体"/>
          <w:color w:val="auto"/>
          <w:sz w:val="28"/>
          <w:szCs w:val="28"/>
          <w:highlight w:val="none"/>
        </w:rPr>
        <w:fldChar w:fldCharType="end"/>
      </w:r>
    </w:p>
    <w:p w14:paraId="195B9932">
      <w:pPr>
        <w:pStyle w:val="26"/>
        <w:tabs>
          <w:tab w:val="right" w:leader="dot" w:pos="9355"/>
        </w:tabs>
        <w:spacing w:line="360" w:lineRule="auto"/>
        <w:rPr>
          <w:rFonts w:hint="default" w:ascii="宋体" w:hAnsi="宋体" w:cs="宋体"/>
          <w:color w:val="auto"/>
          <w:sz w:val="28"/>
          <w:szCs w:val="28"/>
          <w:highlight w:val="none"/>
        </w:rPr>
      </w:pPr>
      <w:r>
        <w:rPr>
          <w:color w:val="auto"/>
          <w:highlight w:val="none"/>
        </w:rPr>
        <w:fldChar w:fldCharType="begin"/>
      </w:r>
      <w:r>
        <w:rPr>
          <w:color w:val="auto"/>
          <w:highlight w:val="none"/>
        </w:rPr>
        <w:instrText xml:space="preserve"> HYPERLINK \l "_Toc18629" </w:instrText>
      </w:r>
      <w:r>
        <w:rPr>
          <w:color w:val="auto"/>
          <w:highlight w:val="none"/>
        </w:rPr>
        <w:fldChar w:fldCharType="separate"/>
      </w:r>
      <w:r>
        <w:rPr>
          <w:rFonts w:ascii="宋体" w:hAnsi="宋体" w:cs="宋体"/>
          <w:color w:val="auto"/>
          <w:sz w:val="28"/>
          <w:szCs w:val="28"/>
          <w:highlight w:val="none"/>
        </w:rPr>
        <w:t>第二章  投标人须知</w:t>
      </w:r>
      <w:r>
        <w:rPr>
          <w:rFonts w:ascii="宋体" w:hAnsi="宋体" w:cs="宋体"/>
          <w:color w:val="auto"/>
          <w:sz w:val="28"/>
          <w:szCs w:val="28"/>
          <w:highlight w:val="none"/>
        </w:rPr>
        <w:tab/>
      </w:r>
      <w:r>
        <w:rPr>
          <w:rFonts w:ascii="宋体" w:hAnsi="宋体" w:cs="宋体"/>
          <w:color w:val="auto"/>
          <w:sz w:val="28"/>
          <w:szCs w:val="28"/>
          <w:highlight w:val="none"/>
        </w:rPr>
        <w:fldChar w:fldCharType="begin"/>
      </w:r>
      <w:r>
        <w:rPr>
          <w:rFonts w:ascii="宋体" w:hAnsi="宋体" w:cs="宋体"/>
          <w:color w:val="auto"/>
          <w:sz w:val="28"/>
          <w:szCs w:val="28"/>
          <w:highlight w:val="none"/>
        </w:rPr>
        <w:instrText xml:space="preserve"> PAGEREF _Toc18629 \h </w:instrText>
      </w:r>
      <w:r>
        <w:rPr>
          <w:rFonts w:ascii="宋体" w:hAnsi="宋体" w:cs="宋体"/>
          <w:color w:val="auto"/>
          <w:sz w:val="28"/>
          <w:szCs w:val="28"/>
          <w:highlight w:val="none"/>
        </w:rPr>
        <w:fldChar w:fldCharType="separate"/>
      </w:r>
      <w:r>
        <w:rPr>
          <w:rFonts w:ascii="宋体" w:hAnsi="宋体" w:cs="宋体"/>
          <w:color w:val="auto"/>
          <w:sz w:val="28"/>
          <w:szCs w:val="28"/>
          <w:highlight w:val="none"/>
        </w:rPr>
        <w:t>7</w:t>
      </w:r>
      <w:r>
        <w:rPr>
          <w:rFonts w:ascii="宋体" w:hAnsi="宋体" w:cs="宋体"/>
          <w:color w:val="auto"/>
          <w:sz w:val="28"/>
          <w:szCs w:val="28"/>
          <w:highlight w:val="none"/>
        </w:rPr>
        <w:fldChar w:fldCharType="end"/>
      </w:r>
      <w:r>
        <w:rPr>
          <w:rFonts w:ascii="宋体" w:hAnsi="宋体" w:cs="宋体"/>
          <w:color w:val="auto"/>
          <w:sz w:val="28"/>
          <w:szCs w:val="28"/>
          <w:highlight w:val="none"/>
        </w:rPr>
        <w:fldChar w:fldCharType="end"/>
      </w:r>
    </w:p>
    <w:p w14:paraId="582216A9">
      <w:pPr>
        <w:pStyle w:val="26"/>
        <w:tabs>
          <w:tab w:val="right" w:leader="dot" w:pos="9355"/>
        </w:tabs>
        <w:spacing w:line="360" w:lineRule="auto"/>
        <w:rPr>
          <w:rFonts w:hint="default" w:ascii="宋体" w:hAnsi="宋体" w:cs="宋体"/>
          <w:color w:val="auto"/>
          <w:sz w:val="28"/>
          <w:szCs w:val="28"/>
          <w:highlight w:val="none"/>
        </w:rPr>
      </w:pPr>
      <w:r>
        <w:rPr>
          <w:color w:val="auto"/>
          <w:highlight w:val="none"/>
        </w:rPr>
        <w:fldChar w:fldCharType="begin"/>
      </w:r>
      <w:r>
        <w:rPr>
          <w:color w:val="auto"/>
          <w:highlight w:val="none"/>
        </w:rPr>
        <w:instrText xml:space="preserve"> HYPERLINK \l "_Toc19314" </w:instrText>
      </w:r>
      <w:r>
        <w:rPr>
          <w:color w:val="auto"/>
          <w:highlight w:val="none"/>
        </w:rPr>
        <w:fldChar w:fldCharType="separate"/>
      </w:r>
      <w:r>
        <w:rPr>
          <w:rFonts w:ascii="宋体" w:hAnsi="宋体" w:cs="宋体"/>
          <w:color w:val="auto"/>
          <w:spacing w:val="-4"/>
          <w:sz w:val="28"/>
          <w:szCs w:val="28"/>
          <w:highlight w:val="none"/>
        </w:rPr>
        <w:t>第三章  评标办法</w:t>
      </w:r>
      <w:r>
        <w:rPr>
          <w:rFonts w:ascii="宋体" w:hAnsi="宋体" w:cs="宋体"/>
          <w:color w:val="auto"/>
          <w:sz w:val="28"/>
          <w:szCs w:val="28"/>
          <w:highlight w:val="none"/>
        </w:rPr>
        <w:tab/>
      </w:r>
      <w:r>
        <w:rPr>
          <w:rFonts w:ascii="宋体" w:hAnsi="宋体" w:cs="宋体"/>
          <w:color w:val="auto"/>
          <w:sz w:val="28"/>
          <w:szCs w:val="28"/>
          <w:highlight w:val="none"/>
        </w:rPr>
        <w:fldChar w:fldCharType="begin"/>
      </w:r>
      <w:r>
        <w:rPr>
          <w:rFonts w:ascii="宋体" w:hAnsi="宋体" w:cs="宋体"/>
          <w:color w:val="auto"/>
          <w:sz w:val="28"/>
          <w:szCs w:val="28"/>
          <w:highlight w:val="none"/>
        </w:rPr>
        <w:instrText xml:space="preserve"> PAGEREF _Toc19314 \h </w:instrText>
      </w:r>
      <w:r>
        <w:rPr>
          <w:rFonts w:ascii="宋体" w:hAnsi="宋体" w:cs="宋体"/>
          <w:color w:val="auto"/>
          <w:sz w:val="28"/>
          <w:szCs w:val="28"/>
          <w:highlight w:val="none"/>
        </w:rPr>
        <w:fldChar w:fldCharType="separate"/>
      </w:r>
      <w:r>
        <w:rPr>
          <w:rFonts w:ascii="宋体" w:hAnsi="宋体" w:cs="宋体"/>
          <w:color w:val="auto"/>
          <w:sz w:val="28"/>
          <w:szCs w:val="28"/>
          <w:highlight w:val="none"/>
        </w:rPr>
        <w:t>29</w:t>
      </w:r>
      <w:r>
        <w:rPr>
          <w:rFonts w:ascii="宋体" w:hAnsi="宋体" w:cs="宋体"/>
          <w:color w:val="auto"/>
          <w:sz w:val="28"/>
          <w:szCs w:val="28"/>
          <w:highlight w:val="none"/>
        </w:rPr>
        <w:fldChar w:fldCharType="end"/>
      </w:r>
      <w:r>
        <w:rPr>
          <w:rFonts w:ascii="宋体" w:hAnsi="宋体" w:cs="宋体"/>
          <w:color w:val="auto"/>
          <w:sz w:val="28"/>
          <w:szCs w:val="28"/>
          <w:highlight w:val="none"/>
        </w:rPr>
        <w:fldChar w:fldCharType="end"/>
      </w:r>
    </w:p>
    <w:p w14:paraId="65316DAD">
      <w:pPr>
        <w:pStyle w:val="26"/>
        <w:tabs>
          <w:tab w:val="right" w:leader="dot" w:pos="9355"/>
        </w:tabs>
        <w:spacing w:line="360" w:lineRule="auto"/>
        <w:rPr>
          <w:rFonts w:hint="default" w:ascii="宋体" w:hAnsi="宋体" w:cs="宋体"/>
          <w:color w:val="auto"/>
          <w:sz w:val="28"/>
          <w:szCs w:val="28"/>
          <w:highlight w:val="none"/>
        </w:rPr>
      </w:pPr>
      <w:r>
        <w:rPr>
          <w:color w:val="auto"/>
          <w:highlight w:val="none"/>
        </w:rPr>
        <w:fldChar w:fldCharType="begin"/>
      </w:r>
      <w:r>
        <w:rPr>
          <w:color w:val="auto"/>
          <w:highlight w:val="none"/>
        </w:rPr>
        <w:instrText xml:space="preserve"> HYPERLINK \l "_Toc5663" </w:instrText>
      </w:r>
      <w:r>
        <w:rPr>
          <w:color w:val="auto"/>
          <w:highlight w:val="none"/>
        </w:rPr>
        <w:fldChar w:fldCharType="separate"/>
      </w:r>
      <w:r>
        <w:rPr>
          <w:rFonts w:ascii="宋体" w:hAnsi="宋体" w:cs="宋体"/>
          <w:color w:val="auto"/>
          <w:sz w:val="28"/>
          <w:szCs w:val="28"/>
          <w:highlight w:val="none"/>
        </w:rPr>
        <w:t>第四章  采购内容及需求</w:t>
      </w:r>
      <w:r>
        <w:rPr>
          <w:rFonts w:ascii="宋体" w:hAnsi="宋体" w:cs="宋体"/>
          <w:color w:val="auto"/>
          <w:sz w:val="28"/>
          <w:szCs w:val="28"/>
          <w:highlight w:val="none"/>
        </w:rPr>
        <w:tab/>
      </w:r>
      <w:r>
        <w:rPr>
          <w:rFonts w:ascii="宋体" w:hAnsi="宋体" w:cs="宋体"/>
          <w:color w:val="auto"/>
          <w:sz w:val="28"/>
          <w:szCs w:val="28"/>
          <w:highlight w:val="none"/>
        </w:rPr>
        <w:fldChar w:fldCharType="begin"/>
      </w:r>
      <w:r>
        <w:rPr>
          <w:rFonts w:ascii="宋体" w:hAnsi="宋体" w:cs="宋体"/>
          <w:color w:val="auto"/>
          <w:sz w:val="28"/>
          <w:szCs w:val="28"/>
          <w:highlight w:val="none"/>
        </w:rPr>
        <w:instrText xml:space="preserve"> PAGEREF _Toc5663 \h </w:instrText>
      </w:r>
      <w:r>
        <w:rPr>
          <w:rFonts w:ascii="宋体" w:hAnsi="宋体" w:cs="宋体"/>
          <w:color w:val="auto"/>
          <w:sz w:val="28"/>
          <w:szCs w:val="28"/>
          <w:highlight w:val="none"/>
        </w:rPr>
        <w:fldChar w:fldCharType="separate"/>
      </w:r>
      <w:r>
        <w:rPr>
          <w:rFonts w:ascii="宋体" w:hAnsi="宋体" w:cs="宋体"/>
          <w:color w:val="auto"/>
          <w:sz w:val="28"/>
          <w:szCs w:val="28"/>
          <w:highlight w:val="none"/>
        </w:rPr>
        <w:t>34</w:t>
      </w:r>
      <w:r>
        <w:rPr>
          <w:rFonts w:ascii="宋体" w:hAnsi="宋体" w:cs="宋体"/>
          <w:color w:val="auto"/>
          <w:sz w:val="28"/>
          <w:szCs w:val="28"/>
          <w:highlight w:val="none"/>
        </w:rPr>
        <w:fldChar w:fldCharType="end"/>
      </w:r>
      <w:r>
        <w:rPr>
          <w:rFonts w:ascii="宋体" w:hAnsi="宋体" w:cs="宋体"/>
          <w:color w:val="auto"/>
          <w:sz w:val="28"/>
          <w:szCs w:val="28"/>
          <w:highlight w:val="none"/>
        </w:rPr>
        <w:fldChar w:fldCharType="end"/>
      </w:r>
    </w:p>
    <w:p w14:paraId="437A89C2">
      <w:pPr>
        <w:pStyle w:val="26"/>
        <w:tabs>
          <w:tab w:val="right" w:leader="dot" w:pos="9355"/>
        </w:tabs>
        <w:spacing w:line="360" w:lineRule="auto"/>
        <w:rPr>
          <w:rFonts w:hint="default" w:ascii="宋体" w:hAnsi="宋体" w:cs="宋体"/>
          <w:color w:val="auto"/>
          <w:sz w:val="28"/>
          <w:szCs w:val="28"/>
          <w:highlight w:val="none"/>
        </w:rPr>
      </w:pPr>
      <w:r>
        <w:rPr>
          <w:color w:val="auto"/>
          <w:highlight w:val="none"/>
        </w:rPr>
        <w:fldChar w:fldCharType="begin"/>
      </w:r>
      <w:r>
        <w:rPr>
          <w:color w:val="auto"/>
          <w:highlight w:val="none"/>
        </w:rPr>
        <w:instrText xml:space="preserve"> HYPERLINK \l "_Toc15889" </w:instrText>
      </w:r>
      <w:r>
        <w:rPr>
          <w:color w:val="auto"/>
          <w:highlight w:val="none"/>
        </w:rPr>
        <w:fldChar w:fldCharType="separate"/>
      </w:r>
      <w:r>
        <w:rPr>
          <w:rFonts w:ascii="宋体" w:hAnsi="宋体" w:cs="宋体"/>
          <w:color w:val="auto"/>
          <w:sz w:val="28"/>
          <w:szCs w:val="28"/>
          <w:highlight w:val="none"/>
        </w:rPr>
        <w:t>第五章  合同主要条款</w:t>
      </w:r>
      <w:r>
        <w:rPr>
          <w:rFonts w:ascii="宋体" w:hAnsi="宋体" w:cs="宋体"/>
          <w:color w:val="auto"/>
          <w:sz w:val="28"/>
          <w:szCs w:val="28"/>
          <w:highlight w:val="none"/>
        </w:rPr>
        <w:tab/>
      </w:r>
      <w:r>
        <w:rPr>
          <w:rFonts w:ascii="宋体" w:hAnsi="宋体" w:cs="宋体"/>
          <w:color w:val="auto"/>
          <w:sz w:val="28"/>
          <w:szCs w:val="28"/>
          <w:highlight w:val="none"/>
        </w:rPr>
        <w:fldChar w:fldCharType="begin"/>
      </w:r>
      <w:r>
        <w:rPr>
          <w:rFonts w:ascii="宋体" w:hAnsi="宋体" w:cs="宋体"/>
          <w:color w:val="auto"/>
          <w:sz w:val="28"/>
          <w:szCs w:val="28"/>
          <w:highlight w:val="none"/>
        </w:rPr>
        <w:instrText xml:space="preserve"> PAGEREF _Toc15889 \h </w:instrText>
      </w:r>
      <w:r>
        <w:rPr>
          <w:rFonts w:ascii="宋体" w:hAnsi="宋体" w:cs="宋体"/>
          <w:color w:val="auto"/>
          <w:sz w:val="28"/>
          <w:szCs w:val="28"/>
          <w:highlight w:val="none"/>
        </w:rPr>
        <w:fldChar w:fldCharType="separate"/>
      </w:r>
      <w:r>
        <w:rPr>
          <w:rFonts w:ascii="宋体" w:hAnsi="宋体" w:cs="宋体"/>
          <w:color w:val="auto"/>
          <w:sz w:val="28"/>
          <w:szCs w:val="28"/>
          <w:highlight w:val="none"/>
        </w:rPr>
        <w:t>41</w:t>
      </w:r>
      <w:r>
        <w:rPr>
          <w:rFonts w:ascii="宋体" w:hAnsi="宋体" w:cs="宋体"/>
          <w:color w:val="auto"/>
          <w:sz w:val="28"/>
          <w:szCs w:val="28"/>
          <w:highlight w:val="none"/>
        </w:rPr>
        <w:fldChar w:fldCharType="end"/>
      </w:r>
      <w:r>
        <w:rPr>
          <w:rFonts w:ascii="宋体" w:hAnsi="宋体" w:cs="宋体"/>
          <w:color w:val="auto"/>
          <w:sz w:val="28"/>
          <w:szCs w:val="28"/>
          <w:highlight w:val="none"/>
        </w:rPr>
        <w:fldChar w:fldCharType="end"/>
      </w:r>
    </w:p>
    <w:p w14:paraId="0F106B1A">
      <w:pPr>
        <w:pStyle w:val="26"/>
        <w:tabs>
          <w:tab w:val="right" w:leader="dot" w:pos="9355"/>
        </w:tabs>
        <w:spacing w:line="360" w:lineRule="auto"/>
        <w:rPr>
          <w:rFonts w:hint="default" w:ascii="宋体" w:hAnsi="宋体" w:cs="宋体"/>
          <w:color w:val="auto"/>
          <w:sz w:val="28"/>
          <w:szCs w:val="28"/>
          <w:highlight w:val="none"/>
        </w:rPr>
      </w:pPr>
      <w:r>
        <w:rPr>
          <w:color w:val="auto"/>
          <w:highlight w:val="none"/>
        </w:rPr>
        <w:fldChar w:fldCharType="begin"/>
      </w:r>
      <w:r>
        <w:rPr>
          <w:color w:val="auto"/>
          <w:highlight w:val="none"/>
        </w:rPr>
        <w:instrText xml:space="preserve"> HYPERLINK \l "_Toc2160" </w:instrText>
      </w:r>
      <w:r>
        <w:rPr>
          <w:color w:val="auto"/>
          <w:highlight w:val="none"/>
        </w:rPr>
        <w:fldChar w:fldCharType="separate"/>
      </w:r>
      <w:r>
        <w:rPr>
          <w:rFonts w:ascii="宋体" w:hAnsi="宋体" w:cs="宋体"/>
          <w:color w:val="auto"/>
          <w:sz w:val="28"/>
          <w:szCs w:val="28"/>
          <w:highlight w:val="none"/>
        </w:rPr>
        <w:t>第六章  投标文件格式</w:t>
      </w:r>
      <w:r>
        <w:rPr>
          <w:rFonts w:ascii="宋体" w:hAnsi="宋体" w:cs="宋体"/>
          <w:color w:val="auto"/>
          <w:sz w:val="28"/>
          <w:szCs w:val="28"/>
          <w:highlight w:val="none"/>
        </w:rPr>
        <w:tab/>
      </w:r>
      <w:r>
        <w:rPr>
          <w:rFonts w:ascii="宋体" w:hAnsi="宋体" w:cs="宋体"/>
          <w:color w:val="auto"/>
          <w:sz w:val="28"/>
          <w:szCs w:val="28"/>
          <w:highlight w:val="none"/>
        </w:rPr>
        <w:t>4</w:t>
      </w:r>
      <w:r>
        <w:rPr>
          <w:rFonts w:ascii="宋体" w:hAnsi="宋体" w:cs="宋体"/>
          <w:color w:val="auto"/>
          <w:sz w:val="28"/>
          <w:szCs w:val="28"/>
          <w:highlight w:val="none"/>
        </w:rPr>
        <w:fldChar w:fldCharType="end"/>
      </w:r>
      <w:r>
        <w:rPr>
          <w:rFonts w:ascii="宋体" w:hAnsi="宋体" w:cs="宋体"/>
          <w:color w:val="auto"/>
          <w:sz w:val="28"/>
          <w:szCs w:val="28"/>
          <w:highlight w:val="none"/>
        </w:rPr>
        <w:t>7</w:t>
      </w:r>
    </w:p>
    <w:p w14:paraId="14E3C6F1">
      <w:pPr>
        <w:rPr>
          <w:rFonts w:hint="default"/>
          <w:color w:val="auto"/>
          <w:highlight w:val="none"/>
        </w:rPr>
      </w:pPr>
    </w:p>
    <w:p w14:paraId="3737349C">
      <w:pPr>
        <w:pStyle w:val="26"/>
        <w:tabs>
          <w:tab w:val="right" w:leader="dot" w:pos="9355"/>
        </w:tabs>
        <w:rPr>
          <w:rFonts w:hint="default"/>
          <w:color w:val="auto"/>
          <w:highlight w:val="none"/>
        </w:rPr>
      </w:pPr>
    </w:p>
    <w:p w14:paraId="08597868">
      <w:pPr>
        <w:pStyle w:val="6"/>
        <w:spacing w:before="120" w:after="120" w:line="360" w:lineRule="auto"/>
        <w:jc w:val="center"/>
        <w:rPr>
          <w:rFonts w:ascii="Times New Roman" w:hAnsi="Times New Roman"/>
          <w:color w:val="auto"/>
          <w:sz w:val="28"/>
          <w:szCs w:val="28"/>
          <w:highlight w:val="none"/>
        </w:rPr>
      </w:pPr>
      <w:r>
        <w:rPr>
          <w:rFonts w:ascii="Times New Roman" w:hAnsi="Times New Roman"/>
          <w:color w:val="auto"/>
          <w:szCs w:val="28"/>
          <w:highlight w:val="none"/>
        </w:rPr>
        <w:fldChar w:fldCharType="end"/>
      </w:r>
    </w:p>
    <w:p w14:paraId="6CBF1B36">
      <w:pPr>
        <w:pStyle w:val="6"/>
        <w:snapToGrid w:val="0"/>
        <w:spacing w:before="120" w:after="120" w:line="360" w:lineRule="auto"/>
        <w:jc w:val="center"/>
        <w:rPr>
          <w:rFonts w:ascii="Times New Roman" w:hAnsi="Times New Roman"/>
          <w:color w:val="auto"/>
          <w:highlight w:val="none"/>
        </w:rPr>
        <w:sectPr>
          <w:footerReference r:id="rId5" w:type="default"/>
          <w:pgSz w:w="11906" w:h="16838"/>
          <w:pgMar w:top="1134" w:right="1247" w:bottom="1247" w:left="1304" w:header="794" w:footer="794" w:gutter="0"/>
          <w:pgNumType w:start="1"/>
          <w:cols w:space="720" w:num="1"/>
          <w:docGrid w:linePitch="312" w:charSpace="0"/>
        </w:sectPr>
      </w:pPr>
    </w:p>
    <w:p w14:paraId="0B835349">
      <w:pPr>
        <w:snapToGrid w:val="0"/>
        <w:spacing w:line="360" w:lineRule="auto"/>
        <w:ind w:left="238"/>
        <w:jc w:val="center"/>
        <w:rPr>
          <w:rFonts w:hint="default"/>
          <w:color w:val="auto"/>
          <w:sz w:val="24"/>
          <w:highlight w:val="none"/>
        </w:rPr>
      </w:pPr>
    </w:p>
    <w:p w14:paraId="5A188371">
      <w:pPr>
        <w:pStyle w:val="6"/>
        <w:spacing w:before="120" w:after="120" w:line="360" w:lineRule="auto"/>
        <w:jc w:val="center"/>
        <w:outlineLvl w:val="0"/>
        <w:rPr>
          <w:rFonts w:ascii="Times New Roman" w:hAnsi="Times New Roman" w:eastAsia="黑体"/>
          <w:b/>
          <w:color w:val="auto"/>
          <w:sz w:val="36"/>
          <w:szCs w:val="36"/>
          <w:highlight w:val="none"/>
        </w:rPr>
      </w:pPr>
      <w:bookmarkStart w:id="0" w:name="_Toc21716"/>
      <w:bookmarkStart w:id="1" w:name="_Toc9198"/>
      <w:bookmarkStart w:id="2" w:name="_Toc32703"/>
      <w:bookmarkStart w:id="3" w:name="_Toc11256"/>
      <w:r>
        <w:rPr>
          <w:rFonts w:ascii="Times New Roman" w:hAnsi="Times New Roman" w:eastAsia="黑体"/>
          <w:b/>
          <w:color w:val="auto"/>
          <w:sz w:val="36"/>
          <w:szCs w:val="36"/>
          <w:highlight w:val="none"/>
        </w:rPr>
        <w:t>电子交易须知</w:t>
      </w:r>
      <w:bookmarkEnd w:id="0"/>
      <w:bookmarkEnd w:id="1"/>
      <w:bookmarkEnd w:id="2"/>
      <w:bookmarkEnd w:id="3"/>
    </w:p>
    <w:p w14:paraId="2EF80A8F">
      <w:pPr>
        <w:pStyle w:val="6"/>
        <w:spacing w:before="120" w:after="120" w:line="360" w:lineRule="auto"/>
        <w:jc w:val="center"/>
        <w:rPr>
          <w:rFonts w:ascii="Times New Roman" w:hAnsi="Times New Roman" w:eastAsia="黑体"/>
          <w:b/>
          <w:color w:val="auto"/>
          <w:highlight w:val="none"/>
        </w:rPr>
      </w:pPr>
    </w:p>
    <w:p w14:paraId="620D546E">
      <w:pPr>
        <w:pStyle w:val="6"/>
        <w:spacing w:before="120" w:after="120" w:line="360" w:lineRule="auto"/>
        <w:ind w:firstLine="472" w:firstLineChars="196"/>
        <w:jc w:val="left"/>
        <w:rPr>
          <w:rFonts w:ascii="Times New Roman" w:hAnsi="Times New Roman" w:eastAsia="黑体"/>
          <w:b/>
          <w:color w:val="auto"/>
          <w:highlight w:val="none"/>
        </w:rPr>
      </w:pPr>
      <w:r>
        <w:rPr>
          <w:rFonts w:ascii="Times New Roman" w:hAnsi="Times New Roman" w:eastAsia="黑体"/>
          <w:b/>
          <w:color w:val="auto"/>
          <w:highlight w:val="none"/>
        </w:rPr>
        <w:t>1、本次采购采用电子交易方式，电子交易平台为“政府采购云平台（www.zcygov.cn）”。供应商参与本项目电子交易活动前，应通过浙江政府采购网“浙江政府采购供应商信息登记管理系统”进行信息登记，获得线上政府采购活动操作权限。编制电子投标文件前还需申领CA证书并绑定帐号，供应商应充分考虑完成登记、申领CA证书等所需的时间。</w:t>
      </w:r>
    </w:p>
    <w:p w14:paraId="2FFF61CE">
      <w:pPr>
        <w:pStyle w:val="6"/>
        <w:spacing w:before="120" w:after="120" w:line="360" w:lineRule="auto"/>
        <w:ind w:firstLine="472" w:firstLineChars="196"/>
        <w:jc w:val="left"/>
        <w:rPr>
          <w:rFonts w:ascii="Times New Roman" w:hAnsi="Times New Roman" w:eastAsia="黑体"/>
          <w:b/>
          <w:color w:val="auto"/>
          <w:highlight w:val="none"/>
        </w:rPr>
      </w:pPr>
      <w:r>
        <w:rPr>
          <w:rFonts w:ascii="Times New Roman" w:hAnsi="Times New Roman" w:eastAsia="黑体"/>
          <w:b/>
          <w:color w:val="auto"/>
          <w:highlight w:val="none"/>
        </w:rPr>
        <w:t>2、供应商编制电子响应文件应安装“电子交易客户端”软件，并按照本采购文件和电子交易平台的要求编制并加密响应文件。未按规定加密的响应文件，将被电子交易平台拒收。“电子交易客户端”请供应商自行前往“浙江政府采购网（zfcg.czt.zj.gov.cn）— 下载专区 — 电子交易客户端”版块获取。</w:t>
      </w:r>
    </w:p>
    <w:p w14:paraId="3D311831">
      <w:pPr>
        <w:pStyle w:val="6"/>
        <w:spacing w:before="120" w:after="120" w:line="360" w:lineRule="auto"/>
        <w:ind w:firstLine="472" w:firstLineChars="196"/>
        <w:jc w:val="left"/>
        <w:rPr>
          <w:rFonts w:ascii="Times New Roman" w:hAnsi="Times New Roman" w:eastAsia="黑体"/>
          <w:b/>
          <w:color w:val="auto"/>
          <w:highlight w:val="none"/>
        </w:rPr>
      </w:pPr>
      <w:r>
        <w:rPr>
          <w:rFonts w:ascii="Times New Roman" w:hAnsi="Times New Roman" w:eastAsia="黑体"/>
          <w:b/>
          <w:color w:val="auto"/>
          <w:highlight w:val="none"/>
        </w:rPr>
        <w:t>3、供应商应当在递交响应文件截止时间前，将“电子交易客户端”生成的“电子加密响应文件”上传电子交易平台。</w:t>
      </w:r>
    </w:p>
    <w:p w14:paraId="58D16346">
      <w:pPr>
        <w:pStyle w:val="6"/>
        <w:spacing w:before="120" w:after="120" w:line="360" w:lineRule="auto"/>
        <w:ind w:firstLine="472" w:firstLineChars="196"/>
        <w:jc w:val="left"/>
        <w:rPr>
          <w:rFonts w:ascii="Times New Roman" w:hAnsi="Times New Roman" w:eastAsia="黑体"/>
          <w:b/>
          <w:color w:val="auto"/>
          <w:highlight w:val="none"/>
        </w:rPr>
      </w:pPr>
      <w:r>
        <w:rPr>
          <w:rFonts w:ascii="Times New Roman" w:hAnsi="Times New Roman" w:eastAsia="黑体"/>
          <w:b/>
          <w:color w:val="auto"/>
          <w:highlight w:val="none"/>
        </w:rPr>
        <w:t>4、“电子备份响应文件”是指与“电子加密响应文件”同时生成的数据电文形式的响应文件。供应商在电子交易平台上传“电子加密响应文件”后，还可以邮寄或送达的方式在递交响应文件截止时间前提交以介质（U盘）存储的“电子备份响应文件”。“电子备份响应文件”应当密封包装并在包装上标注采购项目编号、项目名称、供应商名称等并加盖公章。</w:t>
      </w:r>
    </w:p>
    <w:p w14:paraId="7CEE112B">
      <w:pPr>
        <w:pStyle w:val="6"/>
        <w:spacing w:before="120" w:after="120" w:line="360" w:lineRule="auto"/>
        <w:ind w:firstLine="472" w:firstLineChars="196"/>
        <w:jc w:val="left"/>
        <w:rPr>
          <w:rFonts w:ascii="Times New Roman" w:hAnsi="Times New Roman" w:eastAsia="黑体"/>
          <w:b/>
          <w:color w:val="auto"/>
          <w:highlight w:val="none"/>
        </w:rPr>
      </w:pPr>
      <w:r>
        <w:rPr>
          <w:rFonts w:ascii="Times New Roman" w:hAnsi="Times New Roman" w:eastAsia="黑体"/>
          <w:b/>
          <w:color w:val="auto"/>
          <w:highlight w:val="none"/>
        </w:rPr>
        <w:t>5、通过“政府采购云平台”递交的“电子加密响应文件”如无法按时解密，供应商提交了“电子备份响应文件”的，则由采购组织机构按“政府采购云平台”操作规范将“电子备份响应文件”上传至“政府采购云平台”，上传成功后，以“电子备份响应文件”参与评审，“电子加密响应文件”自动失效。供应商未按规定递交“电子备份响应文件”的，视为响应文件撤回。未上传“电子加密响应文件”，仅提交“电子备份响应文件”的，响应无效。</w:t>
      </w:r>
    </w:p>
    <w:p w14:paraId="7C310E66">
      <w:pPr>
        <w:pStyle w:val="6"/>
        <w:snapToGrid w:val="0"/>
        <w:spacing w:before="120" w:after="120" w:line="360" w:lineRule="auto"/>
        <w:ind w:firstLine="482" w:firstLineChars="200"/>
        <w:jc w:val="left"/>
        <w:outlineLvl w:val="0"/>
        <w:rPr>
          <w:rFonts w:ascii="Times New Roman" w:hAnsi="Times New Roman"/>
          <w:b/>
          <w:color w:val="auto"/>
          <w:sz w:val="36"/>
          <w:szCs w:val="36"/>
          <w:highlight w:val="none"/>
        </w:rPr>
      </w:pPr>
      <w:bookmarkStart w:id="4" w:name="_Toc17724"/>
      <w:bookmarkStart w:id="5" w:name="_Toc20790"/>
      <w:bookmarkStart w:id="6" w:name="_Toc8609"/>
      <w:bookmarkStart w:id="7" w:name="_Toc9586"/>
      <w:bookmarkStart w:id="8" w:name="_Toc30331"/>
      <w:bookmarkStart w:id="9" w:name="_Toc20707"/>
      <w:r>
        <w:rPr>
          <w:rFonts w:ascii="Times New Roman" w:hAnsi="Times New Roman" w:eastAsia="黑体"/>
          <w:b/>
          <w:color w:val="auto"/>
          <w:highlight w:val="none"/>
        </w:rPr>
        <w:t>6、供应商在参加电子交易过程中，可登录电子交易平台“帮助文档”版面获取《电子交易管理操作指南》，或致电平台</w:t>
      </w:r>
      <w:r>
        <w:rPr>
          <w:rFonts w:hint="eastAsia" w:ascii="Times New Roman" w:hAnsi="Times New Roman" w:eastAsia="黑体"/>
          <w:b/>
          <w:color w:val="auto"/>
          <w:highlight w:val="none"/>
        </w:rPr>
        <w:t>95763</w:t>
      </w:r>
      <w:r>
        <w:rPr>
          <w:rFonts w:ascii="Times New Roman" w:hAnsi="Times New Roman" w:eastAsia="黑体"/>
          <w:b/>
          <w:color w:val="auto"/>
          <w:highlight w:val="none"/>
        </w:rPr>
        <w:t>获取相关服务支持。</w:t>
      </w:r>
      <w:bookmarkEnd w:id="4"/>
      <w:bookmarkEnd w:id="5"/>
      <w:bookmarkEnd w:id="6"/>
      <w:bookmarkEnd w:id="7"/>
      <w:bookmarkEnd w:id="8"/>
      <w:bookmarkEnd w:id="9"/>
    </w:p>
    <w:p w14:paraId="5C4C3A90">
      <w:pPr>
        <w:pStyle w:val="6"/>
        <w:snapToGrid w:val="0"/>
        <w:spacing w:before="120" w:after="120" w:line="360" w:lineRule="auto"/>
        <w:jc w:val="center"/>
        <w:outlineLvl w:val="0"/>
        <w:rPr>
          <w:rFonts w:ascii="Times New Roman" w:hAnsi="Times New Roman"/>
          <w:b/>
          <w:color w:val="auto"/>
          <w:sz w:val="36"/>
          <w:szCs w:val="36"/>
          <w:highlight w:val="none"/>
        </w:rPr>
      </w:pPr>
    </w:p>
    <w:p w14:paraId="59E0B9A7">
      <w:pPr>
        <w:pStyle w:val="6"/>
        <w:snapToGrid w:val="0"/>
        <w:spacing w:before="120" w:after="120" w:line="360" w:lineRule="auto"/>
        <w:jc w:val="center"/>
        <w:outlineLvl w:val="0"/>
        <w:rPr>
          <w:rFonts w:ascii="Times New Roman" w:hAnsi="Times New Roman"/>
          <w:b/>
          <w:color w:val="auto"/>
          <w:sz w:val="36"/>
          <w:szCs w:val="36"/>
          <w:highlight w:val="none"/>
        </w:rPr>
      </w:pPr>
      <w:r>
        <w:rPr>
          <w:rFonts w:ascii="Times New Roman" w:hAnsi="Times New Roman"/>
          <w:b/>
          <w:color w:val="auto"/>
          <w:sz w:val="36"/>
          <w:szCs w:val="36"/>
          <w:highlight w:val="none"/>
        </w:rPr>
        <w:br w:type="page"/>
      </w:r>
    </w:p>
    <w:p w14:paraId="6CDD87CF">
      <w:pPr>
        <w:pStyle w:val="6"/>
        <w:snapToGrid w:val="0"/>
        <w:spacing w:before="120" w:after="120" w:line="360" w:lineRule="auto"/>
        <w:jc w:val="center"/>
        <w:outlineLvl w:val="0"/>
        <w:rPr>
          <w:rStyle w:val="54"/>
          <w:rFonts w:ascii="Times New Roman" w:hAnsi="Times New Roman"/>
          <w:color w:val="auto"/>
          <w:spacing w:val="-4"/>
          <w:sz w:val="32"/>
          <w:szCs w:val="32"/>
          <w:highlight w:val="none"/>
        </w:rPr>
      </w:pPr>
      <w:bookmarkStart w:id="10" w:name="_Toc31642"/>
      <w:r>
        <w:rPr>
          <w:rStyle w:val="54"/>
          <w:rFonts w:ascii="Times New Roman" w:hAnsi="Times New Roman"/>
          <w:color w:val="auto"/>
          <w:spacing w:val="-4"/>
          <w:sz w:val="32"/>
          <w:szCs w:val="32"/>
          <w:highlight w:val="none"/>
        </w:rPr>
        <w:t>第一章  招标公告</w:t>
      </w:r>
      <w:bookmarkEnd w:id="10"/>
    </w:p>
    <w:p w14:paraId="1930BFD0">
      <w:pPr>
        <w:pBdr>
          <w:top w:val="single" w:color="auto" w:sz="4" w:space="1"/>
          <w:left w:val="single" w:color="auto" w:sz="4" w:space="4"/>
          <w:bottom w:val="single" w:color="auto" w:sz="4" w:space="1"/>
          <w:right w:val="single" w:color="auto" w:sz="4" w:space="4"/>
        </w:pBdr>
        <w:spacing w:line="360" w:lineRule="auto"/>
        <w:ind w:firstLine="480" w:firstLineChars="200"/>
        <w:rPr>
          <w:rFonts w:hint="default"/>
          <w:color w:val="auto"/>
          <w:sz w:val="24"/>
          <w:highlight w:val="none"/>
        </w:rPr>
      </w:pPr>
      <w:r>
        <w:rPr>
          <w:rFonts w:hint="default"/>
          <w:color w:val="auto"/>
          <w:sz w:val="24"/>
          <w:highlight w:val="none"/>
        </w:rPr>
        <w:t>项目概况</w:t>
      </w:r>
    </w:p>
    <w:p w14:paraId="64F9F295">
      <w:pPr>
        <w:pBdr>
          <w:top w:val="single" w:color="auto" w:sz="4" w:space="1"/>
          <w:left w:val="single" w:color="auto" w:sz="4" w:space="4"/>
          <w:bottom w:val="single" w:color="auto" w:sz="4" w:space="1"/>
          <w:right w:val="single" w:color="auto" w:sz="4" w:space="4"/>
        </w:pBdr>
        <w:spacing w:line="360" w:lineRule="auto"/>
        <w:ind w:firstLine="480" w:firstLineChars="200"/>
        <w:rPr>
          <w:rFonts w:hint="default"/>
          <w:color w:val="auto"/>
          <w:sz w:val="24"/>
          <w:highlight w:val="none"/>
        </w:rPr>
      </w:pPr>
      <w:r>
        <w:rPr>
          <w:rFonts w:hint="eastAsia"/>
          <w:color w:val="auto"/>
          <w:sz w:val="24"/>
          <w:highlight w:val="none"/>
          <w:u w:val="single"/>
          <w:lang w:eastAsia="zh-CN"/>
        </w:rPr>
        <w:t>浙江工业大学制备液相色谱仪等采购</w:t>
      </w:r>
      <w:r>
        <w:rPr>
          <w:rFonts w:hint="default"/>
          <w:color w:val="auto"/>
          <w:sz w:val="24"/>
          <w:highlight w:val="none"/>
        </w:rPr>
        <w:t>的潜在投标人在</w:t>
      </w:r>
      <w:r>
        <w:rPr>
          <w:rFonts w:hint="default"/>
          <w:color w:val="auto"/>
          <w:sz w:val="24"/>
          <w:highlight w:val="none"/>
          <w:u w:val="single"/>
        </w:rPr>
        <w:t>https://www.zcygov.cn</w:t>
      </w:r>
      <w:r>
        <w:rPr>
          <w:rFonts w:hint="default"/>
          <w:color w:val="auto"/>
          <w:sz w:val="24"/>
          <w:highlight w:val="none"/>
        </w:rPr>
        <w:t>获取（下载）招标文件，并于</w:t>
      </w:r>
      <w:r>
        <w:rPr>
          <w:color w:val="auto"/>
          <w:sz w:val="24"/>
          <w:highlight w:val="none"/>
        </w:rPr>
        <w:t>2024年</w:t>
      </w:r>
      <w:r>
        <w:rPr>
          <w:rFonts w:hint="eastAsia"/>
          <w:color w:val="auto"/>
          <w:sz w:val="24"/>
          <w:highlight w:val="none"/>
          <w:lang w:val="en-US" w:eastAsia="zh-CN"/>
        </w:rPr>
        <w:t>10</w:t>
      </w:r>
      <w:r>
        <w:rPr>
          <w:color w:val="auto"/>
          <w:sz w:val="24"/>
          <w:highlight w:val="none"/>
        </w:rPr>
        <w:t>月</w:t>
      </w:r>
      <w:r>
        <w:rPr>
          <w:rFonts w:hint="eastAsia"/>
          <w:color w:val="auto"/>
          <w:sz w:val="24"/>
          <w:highlight w:val="none"/>
          <w:lang w:val="en-US" w:eastAsia="zh-CN"/>
        </w:rPr>
        <w:t>31</w:t>
      </w:r>
      <w:r>
        <w:rPr>
          <w:color w:val="auto"/>
          <w:sz w:val="24"/>
          <w:highlight w:val="none"/>
        </w:rPr>
        <w:t>日</w:t>
      </w:r>
      <w:r>
        <w:rPr>
          <w:rFonts w:hint="eastAsia"/>
          <w:color w:val="auto"/>
          <w:sz w:val="24"/>
          <w:highlight w:val="none"/>
          <w:lang w:val="en-US" w:eastAsia="zh-CN"/>
        </w:rPr>
        <w:t>09</w:t>
      </w:r>
      <w:r>
        <w:rPr>
          <w:color w:val="auto"/>
          <w:sz w:val="24"/>
          <w:highlight w:val="none"/>
        </w:rPr>
        <w:t>:</w:t>
      </w:r>
      <w:r>
        <w:rPr>
          <w:rFonts w:hint="eastAsia"/>
          <w:color w:val="auto"/>
          <w:sz w:val="24"/>
          <w:highlight w:val="none"/>
          <w:lang w:val="en-US" w:eastAsia="zh-CN"/>
        </w:rPr>
        <w:t>00</w:t>
      </w:r>
      <w:r>
        <w:rPr>
          <w:rFonts w:hint="default"/>
          <w:bCs/>
          <w:color w:val="auto"/>
          <w:sz w:val="24"/>
          <w:highlight w:val="none"/>
        </w:rPr>
        <w:t>（北京时间）前提交（上传）投标文件</w:t>
      </w:r>
      <w:r>
        <w:rPr>
          <w:rFonts w:hint="default"/>
          <w:color w:val="auto"/>
          <w:sz w:val="24"/>
          <w:highlight w:val="none"/>
        </w:rPr>
        <w:t>。</w:t>
      </w:r>
    </w:p>
    <w:p w14:paraId="6C1D5628">
      <w:pPr>
        <w:pStyle w:val="16"/>
        <w:spacing w:line="360" w:lineRule="auto"/>
        <w:ind w:firstLine="0"/>
        <w:rPr>
          <w:rFonts w:hint="default" w:ascii="Times New Roman" w:hAnsi="Times New Roman"/>
          <w:color w:val="auto"/>
          <w:spacing w:val="0"/>
          <w:sz w:val="24"/>
          <w:szCs w:val="22"/>
          <w:highlight w:val="none"/>
        </w:rPr>
      </w:pPr>
      <w:bookmarkStart w:id="11" w:name="_Toc28359002"/>
      <w:bookmarkStart w:id="12" w:name="_Toc35393790"/>
      <w:bookmarkStart w:id="13" w:name="_Toc35393621"/>
      <w:bookmarkStart w:id="14" w:name="_Toc28359079"/>
      <w:r>
        <w:rPr>
          <w:rFonts w:hint="default" w:ascii="Times New Roman" w:hAnsi="Times New Roman"/>
          <w:color w:val="auto"/>
          <w:spacing w:val="0"/>
          <w:sz w:val="24"/>
          <w:szCs w:val="22"/>
          <w:highlight w:val="none"/>
        </w:rPr>
        <w:t>一、项目基本情况</w:t>
      </w:r>
      <w:bookmarkEnd w:id="11"/>
      <w:bookmarkEnd w:id="12"/>
      <w:bookmarkEnd w:id="13"/>
      <w:bookmarkEnd w:id="14"/>
    </w:p>
    <w:p w14:paraId="5CCAAC31">
      <w:pPr>
        <w:pStyle w:val="36"/>
        <w:spacing w:before="0" w:beforeAutospacing="0" w:after="0" w:afterAutospacing="0" w:line="360" w:lineRule="auto"/>
        <w:ind w:firstLine="480" w:firstLineChars="200"/>
        <w:rPr>
          <w:rFonts w:hint="eastAsia" w:ascii="Times New Roman" w:hAnsi="Times New Roman" w:eastAsia="宋体"/>
          <w:color w:val="auto"/>
          <w:kern w:val="2"/>
          <w:szCs w:val="22"/>
          <w:highlight w:val="none"/>
          <w:lang w:eastAsia="zh-CN"/>
        </w:rPr>
      </w:pPr>
      <w:r>
        <w:rPr>
          <w:rFonts w:hint="default" w:ascii="Times New Roman" w:hAnsi="Times New Roman"/>
          <w:color w:val="auto"/>
          <w:kern w:val="2"/>
          <w:szCs w:val="22"/>
          <w:highlight w:val="none"/>
        </w:rPr>
        <w:t>项目编号：</w:t>
      </w:r>
      <w:r>
        <w:rPr>
          <w:rFonts w:hint="eastAsia" w:ascii="Times New Roman" w:hAnsi="Times New Roman"/>
          <w:color w:val="auto"/>
          <w:kern w:val="2"/>
          <w:szCs w:val="22"/>
          <w:highlight w:val="none"/>
          <w:lang w:eastAsia="zh-CN"/>
        </w:rPr>
        <w:t>HSZB-2024-972</w:t>
      </w:r>
    </w:p>
    <w:p w14:paraId="604F0E30">
      <w:pPr>
        <w:pStyle w:val="36"/>
        <w:spacing w:before="0" w:beforeAutospacing="0" w:after="0" w:afterAutospacing="0" w:line="360" w:lineRule="auto"/>
        <w:ind w:firstLine="480" w:firstLineChars="200"/>
        <w:rPr>
          <w:rFonts w:hint="eastAsia" w:ascii="Times New Roman" w:hAnsi="Times New Roman" w:eastAsia="宋体"/>
          <w:color w:val="auto"/>
          <w:kern w:val="2"/>
          <w:szCs w:val="22"/>
          <w:highlight w:val="none"/>
          <w:lang w:eastAsia="zh-CN"/>
        </w:rPr>
      </w:pPr>
      <w:r>
        <w:rPr>
          <w:rFonts w:hint="default" w:ascii="Times New Roman" w:hAnsi="Times New Roman"/>
          <w:color w:val="auto"/>
          <w:kern w:val="2"/>
          <w:szCs w:val="22"/>
          <w:highlight w:val="none"/>
        </w:rPr>
        <w:t>项目名称：</w:t>
      </w:r>
      <w:r>
        <w:rPr>
          <w:rFonts w:hint="eastAsia" w:ascii="Times New Roman" w:hAnsi="Times New Roman"/>
          <w:color w:val="auto"/>
          <w:kern w:val="2"/>
          <w:szCs w:val="22"/>
          <w:highlight w:val="none"/>
          <w:lang w:eastAsia="zh-CN"/>
        </w:rPr>
        <w:t>浙江工业大学制备液相色谱仪等采购</w:t>
      </w:r>
    </w:p>
    <w:p w14:paraId="5FEB07A0">
      <w:pPr>
        <w:pStyle w:val="36"/>
        <w:spacing w:before="0" w:beforeAutospacing="0" w:after="0" w:afterAutospacing="0" w:line="360" w:lineRule="auto"/>
        <w:ind w:firstLine="480" w:firstLineChars="200"/>
        <w:rPr>
          <w:rFonts w:hint="eastAsia" w:ascii="Times New Roman" w:hAnsi="Times New Roman" w:eastAsia="宋体"/>
          <w:color w:val="auto"/>
          <w:kern w:val="2"/>
          <w:szCs w:val="22"/>
          <w:highlight w:val="none"/>
          <w:lang w:eastAsia="zh-CN"/>
        </w:rPr>
      </w:pPr>
      <w:r>
        <w:rPr>
          <w:rFonts w:hint="default" w:ascii="Times New Roman" w:hAnsi="Times New Roman"/>
          <w:color w:val="auto"/>
          <w:kern w:val="2"/>
          <w:szCs w:val="22"/>
          <w:highlight w:val="none"/>
        </w:rPr>
        <w:t>预算金额（元）：</w:t>
      </w:r>
      <w:r>
        <w:rPr>
          <w:rFonts w:hint="eastAsia" w:ascii="Times New Roman" w:hAnsi="Times New Roman"/>
          <w:color w:val="auto"/>
          <w:kern w:val="2"/>
          <w:szCs w:val="22"/>
          <w:highlight w:val="none"/>
          <w:lang w:eastAsia="zh-CN"/>
        </w:rPr>
        <w:t>879600</w:t>
      </w:r>
    </w:p>
    <w:p w14:paraId="314FA0D6">
      <w:pPr>
        <w:pStyle w:val="36"/>
        <w:spacing w:before="0" w:beforeAutospacing="0" w:after="0" w:afterAutospacing="0" w:line="360" w:lineRule="auto"/>
        <w:ind w:firstLine="480" w:firstLineChars="200"/>
        <w:rPr>
          <w:rFonts w:hint="eastAsia" w:ascii="Times New Roman" w:hAnsi="Times New Roman" w:eastAsia="宋体"/>
          <w:color w:val="auto"/>
          <w:kern w:val="2"/>
          <w:szCs w:val="22"/>
          <w:highlight w:val="none"/>
          <w:lang w:eastAsia="zh-CN"/>
        </w:rPr>
      </w:pPr>
      <w:r>
        <w:rPr>
          <w:rFonts w:hint="default" w:ascii="Times New Roman" w:hAnsi="Times New Roman"/>
          <w:color w:val="auto"/>
          <w:kern w:val="2"/>
          <w:szCs w:val="22"/>
          <w:highlight w:val="none"/>
        </w:rPr>
        <w:t>最高限价（元）：</w:t>
      </w:r>
      <w:r>
        <w:rPr>
          <w:rFonts w:hint="eastAsia" w:ascii="Times New Roman" w:hAnsi="Times New Roman"/>
          <w:color w:val="auto"/>
          <w:kern w:val="2"/>
          <w:szCs w:val="22"/>
          <w:highlight w:val="none"/>
          <w:lang w:eastAsia="zh-CN"/>
        </w:rPr>
        <w:t>879600</w:t>
      </w:r>
    </w:p>
    <w:p w14:paraId="6289CED0">
      <w:pPr>
        <w:pStyle w:val="36"/>
        <w:spacing w:before="0" w:beforeAutospacing="0" w:after="0" w:afterAutospacing="0" w:line="360" w:lineRule="auto"/>
        <w:ind w:firstLine="480" w:firstLineChars="200"/>
        <w:rPr>
          <w:rFonts w:hint="default" w:ascii="Times New Roman" w:hAnsi="Times New Roman"/>
          <w:color w:val="auto"/>
          <w:kern w:val="2"/>
          <w:szCs w:val="22"/>
          <w:highlight w:val="none"/>
        </w:rPr>
      </w:pPr>
      <w:r>
        <w:rPr>
          <w:rFonts w:hint="default" w:ascii="Times New Roman" w:hAnsi="Times New Roman"/>
          <w:color w:val="auto"/>
          <w:kern w:val="2"/>
          <w:szCs w:val="22"/>
          <w:highlight w:val="none"/>
        </w:rPr>
        <w:t>采购需求：</w:t>
      </w:r>
    </w:p>
    <w:p w14:paraId="5593AC44">
      <w:pPr>
        <w:pStyle w:val="36"/>
        <w:spacing w:before="0" w:beforeAutospacing="0" w:after="0" w:afterAutospacing="0" w:line="360" w:lineRule="auto"/>
        <w:ind w:firstLine="480" w:firstLineChars="200"/>
        <w:rPr>
          <w:rFonts w:hint="eastAsia" w:ascii="Times New Roman" w:hAnsi="Times New Roman" w:eastAsia="宋体"/>
          <w:color w:val="auto"/>
          <w:kern w:val="2"/>
          <w:szCs w:val="22"/>
          <w:highlight w:val="none"/>
          <w:lang w:eastAsia="zh-CN"/>
        </w:rPr>
      </w:pPr>
      <w:r>
        <w:rPr>
          <w:rFonts w:hint="default" w:ascii="Times New Roman" w:hAnsi="Times New Roman"/>
          <w:color w:val="auto"/>
          <w:kern w:val="2"/>
          <w:szCs w:val="22"/>
          <w:highlight w:val="none"/>
        </w:rPr>
        <w:t>标项名称：</w:t>
      </w:r>
      <w:r>
        <w:rPr>
          <w:rFonts w:hint="eastAsia" w:ascii="Times New Roman" w:hAnsi="Times New Roman"/>
          <w:color w:val="auto"/>
          <w:kern w:val="2"/>
          <w:szCs w:val="22"/>
          <w:highlight w:val="none"/>
          <w:lang w:eastAsia="zh-CN"/>
        </w:rPr>
        <w:t>浙江工业大学制备液相色谱仪等采购</w:t>
      </w:r>
    </w:p>
    <w:p w14:paraId="550D8926">
      <w:pPr>
        <w:pStyle w:val="36"/>
        <w:spacing w:before="0" w:beforeAutospacing="0" w:after="0" w:afterAutospacing="0" w:line="360" w:lineRule="auto"/>
        <w:ind w:firstLine="480" w:firstLineChars="200"/>
        <w:rPr>
          <w:rFonts w:hint="default" w:ascii="Times New Roman" w:hAnsi="Times New Roman" w:eastAsia="宋体"/>
          <w:color w:val="auto"/>
          <w:kern w:val="2"/>
          <w:szCs w:val="22"/>
          <w:highlight w:val="none"/>
          <w:lang w:val="en-US" w:eastAsia="zh-CN"/>
        </w:rPr>
      </w:pPr>
      <w:r>
        <w:rPr>
          <w:rFonts w:hint="default" w:ascii="Times New Roman" w:hAnsi="Times New Roman"/>
          <w:color w:val="auto"/>
          <w:kern w:val="2"/>
          <w:szCs w:val="22"/>
          <w:highlight w:val="none"/>
        </w:rPr>
        <w:t>数量：</w:t>
      </w:r>
      <w:r>
        <w:rPr>
          <w:rFonts w:hint="eastAsia" w:ascii="Times New Roman" w:hAnsi="Times New Roman"/>
          <w:color w:val="auto"/>
          <w:kern w:val="2"/>
          <w:szCs w:val="22"/>
          <w:highlight w:val="none"/>
          <w:lang w:val="en-US" w:eastAsia="zh-CN"/>
        </w:rPr>
        <w:t>1批</w:t>
      </w:r>
    </w:p>
    <w:p w14:paraId="32C7BD2F">
      <w:pPr>
        <w:pStyle w:val="36"/>
        <w:spacing w:before="0" w:beforeAutospacing="0" w:after="0" w:afterAutospacing="0" w:line="360" w:lineRule="auto"/>
        <w:ind w:firstLine="480" w:firstLineChars="200"/>
        <w:rPr>
          <w:rFonts w:hint="eastAsia" w:ascii="Times New Roman" w:hAnsi="Times New Roman" w:eastAsia="宋体"/>
          <w:color w:val="auto"/>
          <w:kern w:val="2"/>
          <w:szCs w:val="22"/>
          <w:highlight w:val="none"/>
          <w:lang w:eastAsia="zh-CN"/>
        </w:rPr>
      </w:pPr>
      <w:r>
        <w:rPr>
          <w:rFonts w:hint="default" w:ascii="Times New Roman" w:hAnsi="Times New Roman"/>
          <w:color w:val="auto"/>
          <w:kern w:val="2"/>
          <w:szCs w:val="22"/>
          <w:highlight w:val="none"/>
        </w:rPr>
        <w:t>预算金额（元）：</w:t>
      </w:r>
      <w:r>
        <w:rPr>
          <w:rFonts w:hint="eastAsia" w:ascii="Times New Roman" w:hAnsi="Times New Roman"/>
          <w:color w:val="auto"/>
          <w:kern w:val="2"/>
          <w:szCs w:val="22"/>
          <w:highlight w:val="none"/>
          <w:lang w:eastAsia="zh-CN"/>
        </w:rPr>
        <w:t>879600</w:t>
      </w:r>
    </w:p>
    <w:p w14:paraId="7F89F5B5">
      <w:pPr>
        <w:pStyle w:val="36"/>
        <w:spacing w:before="0" w:beforeAutospacing="0" w:after="0" w:afterAutospacing="0" w:line="360" w:lineRule="auto"/>
        <w:ind w:firstLine="480" w:firstLineChars="200"/>
        <w:rPr>
          <w:rFonts w:hint="default" w:ascii="Times New Roman" w:hAnsi="Times New Roman"/>
          <w:color w:val="auto"/>
          <w:kern w:val="2"/>
          <w:szCs w:val="22"/>
          <w:highlight w:val="none"/>
        </w:rPr>
      </w:pPr>
      <w:r>
        <w:rPr>
          <w:rFonts w:hint="default" w:ascii="Times New Roman" w:hAnsi="Times New Roman"/>
          <w:color w:val="auto"/>
          <w:kern w:val="2"/>
          <w:szCs w:val="22"/>
          <w:highlight w:val="none"/>
        </w:rPr>
        <w:t>简要规格描述或项目基本概况介绍、用途：</w:t>
      </w:r>
      <w:r>
        <w:rPr>
          <w:rFonts w:hint="eastAsia" w:ascii="Times New Roman" w:hAnsi="Times New Roman"/>
          <w:color w:val="auto"/>
          <w:kern w:val="2"/>
          <w:szCs w:val="22"/>
          <w:highlight w:val="none"/>
          <w:lang w:eastAsia="zh-CN"/>
        </w:rPr>
        <w:t>浙江工业大学制备液相色谱仪、制备液相色谱仪采购</w:t>
      </w:r>
      <w:r>
        <w:rPr>
          <w:rFonts w:hint="default" w:ascii="Times New Roman" w:hAnsi="Times New Roman"/>
          <w:color w:val="auto"/>
          <w:kern w:val="2"/>
          <w:szCs w:val="22"/>
          <w:highlight w:val="none"/>
        </w:rPr>
        <w:t>，详见第四章采购内容及需求。</w:t>
      </w:r>
    </w:p>
    <w:p w14:paraId="6665CCBC">
      <w:pPr>
        <w:pStyle w:val="36"/>
        <w:spacing w:before="0" w:beforeAutospacing="0" w:after="0" w:afterAutospacing="0" w:line="360" w:lineRule="auto"/>
        <w:ind w:firstLine="482" w:firstLineChars="200"/>
        <w:rPr>
          <w:rFonts w:hint="eastAsia" w:eastAsia="宋体" w:cs="宋体"/>
          <w:b/>
          <w:bCs/>
          <w:color w:val="auto"/>
          <w:szCs w:val="21"/>
          <w:highlight w:val="none"/>
          <w:lang w:val="en-US" w:eastAsia="zh-CN"/>
        </w:rPr>
      </w:pPr>
      <w:r>
        <w:rPr>
          <w:rFonts w:hint="default" w:ascii="Times New Roman" w:hAnsi="Times New Roman"/>
          <w:b/>
          <w:bCs/>
          <w:color w:val="auto"/>
          <w:kern w:val="2"/>
          <w:szCs w:val="22"/>
          <w:highlight w:val="none"/>
        </w:rPr>
        <w:t>备注：</w:t>
      </w:r>
      <w:r>
        <w:rPr>
          <w:rFonts w:cs="宋体"/>
          <w:b/>
          <w:bCs/>
          <w:color w:val="auto"/>
          <w:szCs w:val="21"/>
          <w:highlight w:val="none"/>
        </w:rPr>
        <w:t>允许进口</w:t>
      </w:r>
      <w:r>
        <w:rPr>
          <w:rFonts w:hint="eastAsia" w:cs="宋体"/>
          <w:b/>
          <w:bCs/>
          <w:color w:val="auto"/>
          <w:szCs w:val="21"/>
          <w:highlight w:val="none"/>
          <w:lang w:eastAsia="zh-CN"/>
        </w:rPr>
        <w:t>。</w:t>
      </w:r>
      <w:r>
        <w:rPr>
          <w:rFonts w:hint="eastAsia" w:ascii="仿宋" w:hAnsi="仿宋" w:cs="仿宋"/>
          <w:b/>
          <w:color w:val="auto"/>
          <w:highlight w:val="none"/>
        </w:rPr>
        <w:t>本项目设分项限价，</w:t>
      </w:r>
      <w:r>
        <w:rPr>
          <w:rFonts w:hint="eastAsia" w:ascii="仿宋" w:hAnsi="仿宋" w:cs="仿宋"/>
          <w:b/>
          <w:color w:val="auto"/>
          <w:highlight w:val="none"/>
          <w:lang w:eastAsia="zh-CN"/>
        </w:rPr>
        <w:t>气相色谱仪</w:t>
      </w:r>
      <w:r>
        <w:rPr>
          <w:rFonts w:hint="eastAsia" w:ascii="仿宋" w:hAnsi="仿宋" w:cs="仿宋"/>
          <w:b/>
          <w:color w:val="auto"/>
          <w:highlight w:val="none"/>
        </w:rPr>
        <w:t>分项限价为280000元，</w:t>
      </w:r>
      <w:r>
        <w:rPr>
          <w:rFonts w:hint="eastAsia" w:ascii="仿宋" w:hAnsi="仿宋" w:cs="仿宋"/>
          <w:b/>
          <w:color w:val="auto"/>
          <w:highlight w:val="none"/>
          <w:lang w:eastAsia="zh-CN"/>
        </w:rPr>
        <w:t>制备液相色谱仪</w:t>
      </w:r>
      <w:r>
        <w:rPr>
          <w:rFonts w:hint="eastAsia" w:ascii="仿宋" w:hAnsi="仿宋" w:cs="仿宋"/>
          <w:b/>
          <w:color w:val="auto"/>
          <w:highlight w:val="none"/>
        </w:rPr>
        <w:t>分项限价为599600元。供应商分项报价超过分项限价的投标无效。</w:t>
      </w:r>
    </w:p>
    <w:p w14:paraId="4915A3D5">
      <w:pPr>
        <w:pStyle w:val="36"/>
        <w:spacing w:before="0" w:beforeAutospacing="0" w:after="0" w:afterAutospacing="0" w:line="360" w:lineRule="auto"/>
        <w:ind w:firstLine="480" w:firstLineChars="200"/>
        <w:rPr>
          <w:rFonts w:hint="default" w:ascii="Times New Roman" w:hAnsi="Times New Roman"/>
          <w:color w:val="auto"/>
          <w:kern w:val="2"/>
          <w:szCs w:val="22"/>
          <w:highlight w:val="none"/>
        </w:rPr>
      </w:pPr>
      <w:r>
        <w:rPr>
          <w:rFonts w:hint="default" w:ascii="Times New Roman" w:hAnsi="Times New Roman"/>
          <w:color w:val="auto"/>
          <w:kern w:val="2"/>
          <w:szCs w:val="22"/>
          <w:highlight w:val="none"/>
        </w:rPr>
        <w:t>合同履约期限：</w:t>
      </w:r>
      <w:r>
        <w:rPr>
          <w:rFonts w:hint="eastAsia" w:ascii="Times New Roman" w:hAnsi="Times New Roman"/>
          <w:color w:val="auto"/>
          <w:kern w:val="2"/>
          <w:szCs w:val="22"/>
          <w:highlight w:val="none"/>
          <w:lang w:val="en-US" w:eastAsia="zh-CN"/>
        </w:rPr>
        <w:t>国产设备自合同签订之日起60天内交付/进口设备自办理出免税证明或提交税款担保后60天内交付</w:t>
      </w:r>
      <w:r>
        <w:rPr>
          <w:rFonts w:hint="default" w:ascii="Times New Roman" w:hAnsi="Times New Roman"/>
          <w:color w:val="auto"/>
          <w:kern w:val="2"/>
          <w:szCs w:val="22"/>
          <w:highlight w:val="none"/>
        </w:rPr>
        <w:t>。</w:t>
      </w:r>
    </w:p>
    <w:p w14:paraId="0E1A9D17">
      <w:pPr>
        <w:pStyle w:val="36"/>
        <w:spacing w:before="0" w:beforeAutospacing="0" w:after="0" w:afterAutospacing="0" w:line="360" w:lineRule="auto"/>
        <w:ind w:firstLine="480" w:firstLineChars="200"/>
        <w:rPr>
          <w:rFonts w:hint="default" w:ascii="Times New Roman" w:hAnsi="Times New Roman"/>
          <w:color w:val="auto"/>
          <w:kern w:val="2"/>
          <w:szCs w:val="22"/>
          <w:highlight w:val="none"/>
        </w:rPr>
      </w:pPr>
      <w:r>
        <w:rPr>
          <w:rFonts w:hint="default" w:ascii="Times New Roman" w:hAnsi="Times New Roman"/>
          <w:color w:val="auto"/>
          <w:kern w:val="2"/>
          <w:szCs w:val="22"/>
          <w:highlight w:val="none"/>
        </w:rPr>
        <w:t>本项目（</w:t>
      </w:r>
      <w:r>
        <w:rPr>
          <w:rFonts w:ascii="Times New Roman" w:hAnsi="Times New Roman"/>
          <w:color w:val="auto"/>
          <w:kern w:val="2"/>
          <w:szCs w:val="22"/>
          <w:highlight w:val="none"/>
        </w:rPr>
        <w:t>是</w:t>
      </w:r>
      <w:r>
        <w:rPr>
          <w:rFonts w:hint="default" w:ascii="Times New Roman" w:hAnsi="Times New Roman"/>
          <w:color w:val="auto"/>
          <w:kern w:val="2"/>
          <w:szCs w:val="22"/>
          <w:highlight w:val="none"/>
        </w:rPr>
        <w:t>）接受联合体投标。</w:t>
      </w:r>
    </w:p>
    <w:p w14:paraId="2F7614A6">
      <w:pPr>
        <w:pStyle w:val="16"/>
        <w:spacing w:line="360" w:lineRule="auto"/>
        <w:ind w:firstLine="0"/>
        <w:rPr>
          <w:rFonts w:hint="default" w:ascii="Times New Roman" w:hAnsi="Times New Roman"/>
          <w:color w:val="auto"/>
          <w:sz w:val="24"/>
          <w:szCs w:val="24"/>
          <w:highlight w:val="none"/>
        </w:rPr>
      </w:pPr>
      <w:r>
        <w:rPr>
          <w:rFonts w:hint="default" w:ascii="Times New Roman" w:hAnsi="Times New Roman"/>
          <w:color w:val="auto"/>
          <w:sz w:val="24"/>
          <w:szCs w:val="24"/>
          <w:highlight w:val="none"/>
        </w:rPr>
        <w:t>二、申请人的资格要求：</w:t>
      </w:r>
    </w:p>
    <w:p w14:paraId="654CB6D6">
      <w:pPr>
        <w:spacing w:line="360" w:lineRule="auto"/>
        <w:ind w:firstLine="480" w:firstLineChars="200"/>
        <w:rPr>
          <w:rFonts w:hint="default"/>
          <w:color w:val="auto"/>
          <w:sz w:val="24"/>
          <w:highlight w:val="none"/>
        </w:rPr>
      </w:pPr>
      <w:r>
        <w:rPr>
          <w:rFonts w:hint="default"/>
          <w:color w:val="auto"/>
          <w:sz w:val="24"/>
          <w:highlight w:val="none"/>
        </w:rPr>
        <w:t>1.满足《中华人民共和国政府采购法》第二十二条规定；未被“信用中国”（www.creditchina.gov.cn)、中国政府采购网（www.ccgp.gov.cn）列入失信被执行人、</w:t>
      </w:r>
      <w:r>
        <w:rPr>
          <w:color w:val="auto"/>
          <w:sz w:val="24"/>
          <w:highlight w:val="none"/>
        </w:rPr>
        <w:t>重大税收违法失信主体</w:t>
      </w:r>
      <w:r>
        <w:rPr>
          <w:rFonts w:hint="default"/>
          <w:color w:val="auto"/>
          <w:sz w:val="24"/>
          <w:highlight w:val="none"/>
        </w:rPr>
        <w:t>、政府采购严重违法失信行为记录名单。</w:t>
      </w:r>
    </w:p>
    <w:p w14:paraId="2379DF3C">
      <w:pPr>
        <w:spacing w:line="360" w:lineRule="auto"/>
        <w:ind w:firstLine="482" w:firstLineChars="200"/>
        <w:rPr>
          <w:rFonts w:hint="default"/>
          <w:b/>
          <w:bCs/>
          <w:color w:val="auto"/>
          <w:sz w:val="24"/>
          <w:highlight w:val="none"/>
        </w:rPr>
      </w:pPr>
      <w:r>
        <w:rPr>
          <w:rFonts w:hint="default"/>
          <w:b/>
          <w:bCs/>
          <w:color w:val="auto"/>
          <w:sz w:val="24"/>
          <w:highlight w:val="none"/>
        </w:rPr>
        <w:t>2.落实政府采购政策需满足的资格要求：</w:t>
      </w:r>
      <w:r>
        <w:rPr>
          <w:b/>
          <w:bCs/>
          <w:color w:val="auto"/>
          <w:sz w:val="24"/>
          <w:highlight w:val="none"/>
        </w:rPr>
        <w:t>无</w:t>
      </w:r>
      <w:r>
        <w:rPr>
          <w:rFonts w:hint="default"/>
          <w:b/>
          <w:bCs/>
          <w:color w:val="auto"/>
          <w:sz w:val="24"/>
          <w:highlight w:val="none"/>
        </w:rPr>
        <w:t>。</w:t>
      </w:r>
    </w:p>
    <w:p w14:paraId="60DE2BC9">
      <w:pPr>
        <w:spacing w:line="360" w:lineRule="auto"/>
        <w:ind w:firstLine="480" w:firstLineChars="200"/>
        <w:rPr>
          <w:rFonts w:hint="default"/>
          <w:i/>
          <w:iCs/>
          <w:color w:val="auto"/>
          <w:sz w:val="24"/>
          <w:szCs w:val="24"/>
          <w:highlight w:val="none"/>
          <w:u w:val="single"/>
        </w:rPr>
      </w:pPr>
      <w:r>
        <w:rPr>
          <w:rFonts w:hint="default"/>
          <w:color w:val="auto"/>
          <w:sz w:val="24"/>
          <w:highlight w:val="none"/>
        </w:rPr>
        <w:t>3.本项目的特定资格要求：</w:t>
      </w:r>
      <w:r>
        <w:rPr>
          <w:rFonts w:hint="default"/>
          <w:bCs/>
          <w:color w:val="auto"/>
          <w:sz w:val="24"/>
          <w:szCs w:val="24"/>
          <w:highlight w:val="none"/>
        </w:rPr>
        <w:t>无</w:t>
      </w:r>
      <w:r>
        <w:rPr>
          <w:rFonts w:hint="default"/>
          <w:b/>
          <w:color w:val="auto"/>
          <w:sz w:val="24"/>
          <w:szCs w:val="24"/>
          <w:highlight w:val="none"/>
        </w:rPr>
        <w:t>。</w:t>
      </w:r>
    </w:p>
    <w:p w14:paraId="0AA5A1A9">
      <w:pPr>
        <w:pStyle w:val="3"/>
        <w:spacing w:before="0" w:after="0" w:line="360" w:lineRule="auto"/>
        <w:rPr>
          <w:rFonts w:ascii="Times New Roman" w:hAnsi="Times New Roman" w:eastAsia="宋体"/>
          <w:b w:val="0"/>
          <w:color w:val="auto"/>
          <w:sz w:val="24"/>
          <w:szCs w:val="24"/>
          <w:highlight w:val="none"/>
        </w:rPr>
      </w:pPr>
      <w:bookmarkStart w:id="15" w:name="_Toc35393623"/>
      <w:bookmarkStart w:id="16" w:name="_Toc35393792"/>
      <w:r>
        <w:rPr>
          <w:rFonts w:ascii="Times New Roman" w:hAnsi="Times New Roman" w:eastAsia="宋体"/>
          <w:b w:val="0"/>
          <w:color w:val="auto"/>
          <w:sz w:val="24"/>
          <w:szCs w:val="24"/>
          <w:highlight w:val="none"/>
        </w:rPr>
        <w:t>三、获取（下载）招标文件</w:t>
      </w:r>
      <w:bookmarkEnd w:id="15"/>
      <w:bookmarkEnd w:id="16"/>
    </w:p>
    <w:p w14:paraId="26E7D88A">
      <w:pPr>
        <w:spacing w:line="360" w:lineRule="auto"/>
        <w:ind w:firstLine="540"/>
        <w:rPr>
          <w:rFonts w:hint="default"/>
          <w:color w:val="auto"/>
          <w:sz w:val="24"/>
          <w:highlight w:val="none"/>
        </w:rPr>
      </w:pPr>
      <w:r>
        <w:rPr>
          <w:rFonts w:hint="default"/>
          <w:color w:val="auto"/>
          <w:sz w:val="24"/>
          <w:highlight w:val="none"/>
        </w:rPr>
        <w:t>1.时间：/至202</w:t>
      </w:r>
      <w:r>
        <w:rPr>
          <w:color w:val="auto"/>
          <w:sz w:val="24"/>
          <w:highlight w:val="none"/>
        </w:rPr>
        <w:t>4</w:t>
      </w:r>
      <w:r>
        <w:rPr>
          <w:rFonts w:hint="default"/>
          <w:color w:val="auto"/>
          <w:sz w:val="24"/>
          <w:highlight w:val="none"/>
        </w:rPr>
        <w:t>年</w:t>
      </w:r>
      <w:r>
        <w:rPr>
          <w:rFonts w:hint="eastAsia"/>
          <w:color w:val="auto"/>
          <w:sz w:val="24"/>
          <w:highlight w:val="none"/>
          <w:lang w:val="en-US" w:eastAsia="zh-CN"/>
        </w:rPr>
        <w:t>10</w:t>
      </w:r>
      <w:r>
        <w:rPr>
          <w:rFonts w:hint="default"/>
          <w:color w:val="auto"/>
          <w:sz w:val="24"/>
          <w:highlight w:val="none"/>
        </w:rPr>
        <w:t>月</w:t>
      </w:r>
      <w:r>
        <w:rPr>
          <w:rFonts w:hint="eastAsia"/>
          <w:color w:val="auto"/>
          <w:sz w:val="24"/>
          <w:highlight w:val="none"/>
          <w:lang w:val="en-US" w:eastAsia="zh-CN"/>
        </w:rPr>
        <w:t>31</w:t>
      </w:r>
      <w:r>
        <w:rPr>
          <w:rFonts w:hint="default"/>
          <w:color w:val="auto"/>
          <w:sz w:val="24"/>
          <w:highlight w:val="none"/>
        </w:rPr>
        <w:t>日，每天上午00:00至12:00，下午12:00至23:59（北京时间，线上获取法定节假日均可，线下获取文件法定节假日除外）。</w:t>
      </w:r>
    </w:p>
    <w:p w14:paraId="7F01C223">
      <w:pPr>
        <w:spacing w:line="360" w:lineRule="auto"/>
        <w:ind w:firstLine="540"/>
        <w:rPr>
          <w:rFonts w:hint="default"/>
          <w:color w:val="auto"/>
          <w:sz w:val="24"/>
          <w:highlight w:val="none"/>
        </w:rPr>
      </w:pPr>
      <w:r>
        <w:rPr>
          <w:rFonts w:hint="default"/>
          <w:color w:val="auto"/>
          <w:sz w:val="24"/>
          <w:highlight w:val="none"/>
        </w:rPr>
        <w:t>2.地点（网址）：https://www.zcygov.cn</w:t>
      </w:r>
    </w:p>
    <w:p w14:paraId="7FA4159F">
      <w:pPr>
        <w:spacing w:line="360" w:lineRule="auto"/>
        <w:ind w:firstLine="540"/>
        <w:rPr>
          <w:rFonts w:hint="default"/>
          <w:color w:val="auto"/>
          <w:sz w:val="24"/>
          <w:highlight w:val="none"/>
        </w:rPr>
      </w:pPr>
      <w:r>
        <w:rPr>
          <w:rFonts w:hint="default"/>
          <w:color w:val="auto"/>
          <w:sz w:val="24"/>
          <w:highlight w:val="none"/>
        </w:rPr>
        <w:t>3.方式：（1）线上获取（登录政府采购云平台 → 项目采购 → 获取采购文件 → 申请，审核通过后可下载招标文件）。本次招标不提供纸质版招标文件。（2）供应商获取招标文件前应通过浙江政府采购网</w:t>
      </w:r>
      <w:r>
        <w:rPr>
          <w:color w:val="auto"/>
          <w:sz w:val="24"/>
          <w:highlight w:val="none"/>
        </w:rPr>
        <w:t>“</w:t>
      </w:r>
      <w:r>
        <w:rPr>
          <w:rFonts w:hint="default"/>
          <w:color w:val="auto"/>
          <w:sz w:val="24"/>
          <w:highlight w:val="none"/>
        </w:rPr>
        <w:t>浙江政府采购供应商信息登记管理系统</w:t>
      </w:r>
      <w:r>
        <w:rPr>
          <w:color w:val="auto"/>
          <w:sz w:val="24"/>
          <w:highlight w:val="none"/>
        </w:rPr>
        <w:t>”</w:t>
      </w:r>
      <w:r>
        <w:rPr>
          <w:rFonts w:hint="default"/>
          <w:color w:val="auto"/>
          <w:sz w:val="24"/>
          <w:highlight w:val="none"/>
        </w:rPr>
        <w:t>进行信息登记，获得线上政府采购活动操作权限。（3）招标公告所附招标文件仅供阅览使用，供应商只有在“政府采购云平台”完成获取招标文件申请并下载了招标文件后才被视为合法获取了招标文件，否则其投标将被拒绝。</w:t>
      </w:r>
    </w:p>
    <w:p w14:paraId="5DBC64E4">
      <w:pPr>
        <w:spacing w:line="360" w:lineRule="auto"/>
        <w:ind w:firstLine="540"/>
        <w:rPr>
          <w:rFonts w:hint="default"/>
          <w:color w:val="auto"/>
          <w:sz w:val="24"/>
          <w:highlight w:val="none"/>
        </w:rPr>
      </w:pPr>
      <w:r>
        <w:rPr>
          <w:rFonts w:hint="default"/>
          <w:color w:val="auto"/>
          <w:sz w:val="24"/>
          <w:highlight w:val="none"/>
        </w:rPr>
        <w:t>4.售价（元）：0</w:t>
      </w:r>
    </w:p>
    <w:p w14:paraId="6950B390">
      <w:pPr>
        <w:pStyle w:val="3"/>
        <w:spacing w:before="0" w:after="0" w:line="360" w:lineRule="auto"/>
        <w:rPr>
          <w:rFonts w:ascii="Times New Roman" w:hAnsi="Times New Roman" w:eastAsia="宋体"/>
          <w:b w:val="0"/>
          <w:color w:val="auto"/>
          <w:sz w:val="24"/>
          <w:szCs w:val="24"/>
          <w:highlight w:val="none"/>
        </w:rPr>
      </w:pPr>
      <w:bookmarkStart w:id="17" w:name="_Toc28359082"/>
      <w:bookmarkStart w:id="18" w:name="_Toc28359005"/>
      <w:bookmarkStart w:id="19" w:name="_Toc35393793"/>
      <w:bookmarkStart w:id="20" w:name="_Toc35393624"/>
      <w:r>
        <w:rPr>
          <w:rFonts w:ascii="Times New Roman" w:hAnsi="Times New Roman" w:eastAsia="宋体"/>
          <w:b w:val="0"/>
          <w:color w:val="auto"/>
          <w:sz w:val="24"/>
          <w:szCs w:val="24"/>
          <w:highlight w:val="none"/>
        </w:rPr>
        <w:t>四、提交投标文件</w:t>
      </w:r>
      <w:bookmarkEnd w:id="17"/>
      <w:bookmarkEnd w:id="18"/>
      <w:r>
        <w:rPr>
          <w:rFonts w:ascii="Times New Roman" w:hAnsi="Times New Roman" w:eastAsia="宋体"/>
          <w:b w:val="0"/>
          <w:color w:val="auto"/>
          <w:sz w:val="24"/>
          <w:szCs w:val="24"/>
          <w:highlight w:val="none"/>
        </w:rPr>
        <w:t>截止时间、开标时间和地点</w:t>
      </w:r>
      <w:bookmarkEnd w:id="19"/>
      <w:bookmarkEnd w:id="20"/>
    </w:p>
    <w:p w14:paraId="79FB7519">
      <w:pPr>
        <w:spacing w:line="360" w:lineRule="auto"/>
        <w:ind w:firstLine="480" w:firstLineChars="200"/>
        <w:rPr>
          <w:rFonts w:hint="default"/>
          <w:bCs/>
          <w:color w:val="auto"/>
          <w:sz w:val="24"/>
          <w:highlight w:val="none"/>
        </w:rPr>
      </w:pPr>
      <w:r>
        <w:rPr>
          <w:rFonts w:hint="default"/>
          <w:bCs/>
          <w:color w:val="auto"/>
          <w:sz w:val="24"/>
          <w:highlight w:val="none"/>
        </w:rPr>
        <w:t>1.提交投标文件截止时间：</w:t>
      </w:r>
      <w:r>
        <w:rPr>
          <w:color w:val="auto"/>
          <w:sz w:val="24"/>
          <w:highlight w:val="none"/>
        </w:rPr>
        <w:t>2024年</w:t>
      </w:r>
      <w:r>
        <w:rPr>
          <w:rFonts w:hint="eastAsia"/>
          <w:color w:val="auto"/>
          <w:sz w:val="24"/>
          <w:highlight w:val="none"/>
          <w:lang w:val="en-US" w:eastAsia="zh-CN"/>
        </w:rPr>
        <w:t>10</w:t>
      </w:r>
      <w:r>
        <w:rPr>
          <w:color w:val="auto"/>
          <w:sz w:val="24"/>
          <w:highlight w:val="none"/>
        </w:rPr>
        <w:t>月</w:t>
      </w:r>
      <w:r>
        <w:rPr>
          <w:rFonts w:hint="eastAsia"/>
          <w:color w:val="auto"/>
          <w:sz w:val="24"/>
          <w:highlight w:val="none"/>
          <w:lang w:val="en-US" w:eastAsia="zh-CN"/>
        </w:rPr>
        <w:t>31</w:t>
      </w:r>
      <w:r>
        <w:rPr>
          <w:color w:val="auto"/>
          <w:sz w:val="24"/>
          <w:highlight w:val="none"/>
        </w:rPr>
        <w:t>日</w:t>
      </w:r>
      <w:r>
        <w:rPr>
          <w:rFonts w:hint="eastAsia"/>
          <w:color w:val="auto"/>
          <w:sz w:val="24"/>
          <w:highlight w:val="none"/>
          <w:lang w:val="en-US" w:eastAsia="zh-CN"/>
        </w:rPr>
        <w:t>09</w:t>
      </w:r>
      <w:r>
        <w:rPr>
          <w:color w:val="auto"/>
          <w:sz w:val="24"/>
          <w:highlight w:val="none"/>
        </w:rPr>
        <w:t>:</w:t>
      </w:r>
      <w:r>
        <w:rPr>
          <w:rFonts w:hint="eastAsia"/>
          <w:color w:val="auto"/>
          <w:sz w:val="24"/>
          <w:highlight w:val="none"/>
          <w:lang w:val="en-US" w:eastAsia="zh-CN"/>
        </w:rPr>
        <w:t>00</w:t>
      </w:r>
      <w:r>
        <w:rPr>
          <w:rFonts w:hint="default"/>
          <w:color w:val="auto"/>
          <w:sz w:val="24"/>
          <w:highlight w:val="none"/>
        </w:rPr>
        <w:t>（北京时间）</w:t>
      </w:r>
    </w:p>
    <w:p w14:paraId="0B5A3C79">
      <w:pPr>
        <w:spacing w:line="360" w:lineRule="auto"/>
        <w:ind w:firstLine="480" w:firstLineChars="200"/>
        <w:rPr>
          <w:rFonts w:hint="default" w:ascii="宋体" w:hAnsi="宋体" w:cs="宋体"/>
          <w:bCs/>
          <w:color w:val="auto"/>
          <w:sz w:val="24"/>
          <w:highlight w:val="none"/>
        </w:rPr>
      </w:pPr>
      <w:r>
        <w:rPr>
          <w:rFonts w:hint="default"/>
          <w:bCs/>
          <w:color w:val="auto"/>
          <w:sz w:val="24"/>
          <w:highlight w:val="none"/>
        </w:rPr>
        <w:t>2.投标地点（网址）：</w:t>
      </w:r>
      <w:r>
        <w:rPr>
          <w:bCs/>
          <w:color w:val="auto"/>
          <w:sz w:val="24"/>
          <w:highlight w:val="none"/>
        </w:rPr>
        <w:t>（</w:t>
      </w:r>
      <w:r>
        <w:rPr>
          <w:rFonts w:ascii="宋体" w:hAnsi="宋体" w:cs="宋体"/>
          <w:bCs/>
          <w:color w:val="auto"/>
          <w:sz w:val="24"/>
          <w:highlight w:val="none"/>
        </w:rPr>
        <w:t>1）“电子加密投标文件”：https://www.zcygov.cn在线投标；（2）“电子备份投标文件”：杭州市拱墅区大关路179号远洋国际中心A座17楼1706室。</w:t>
      </w:r>
    </w:p>
    <w:p w14:paraId="1D54E0AA">
      <w:pPr>
        <w:spacing w:line="360" w:lineRule="auto"/>
        <w:ind w:firstLine="480" w:firstLineChars="200"/>
        <w:rPr>
          <w:rFonts w:hint="default"/>
          <w:bCs/>
          <w:color w:val="auto"/>
          <w:sz w:val="24"/>
          <w:highlight w:val="none"/>
        </w:rPr>
      </w:pPr>
      <w:r>
        <w:rPr>
          <w:rFonts w:hint="default"/>
          <w:bCs/>
          <w:color w:val="auto"/>
          <w:sz w:val="24"/>
          <w:highlight w:val="none"/>
        </w:rPr>
        <w:t>3.开标时间：</w:t>
      </w:r>
      <w:r>
        <w:rPr>
          <w:color w:val="auto"/>
          <w:sz w:val="24"/>
          <w:highlight w:val="none"/>
        </w:rPr>
        <w:t>2024年</w:t>
      </w:r>
      <w:r>
        <w:rPr>
          <w:rFonts w:hint="eastAsia"/>
          <w:color w:val="auto"/>
          <w:sz w:val="24"/>
          <w:highlight w:val="none"/>
          <w:lang w:val="en-US" w:eastAsia="zh-CN"/>
        </w:rPr>
        <w:t>10</w:t>
      </w:r>
      <w:r>
        <w:rPr>
          <w:color w:val="auto"/>
          <w:sz w:val="24"/>
          <w:highlight w:val="none"/>
        </w:rPr>
        <w:t>月</w:t>
      </w:r>
      <w:r>
        <w:rPr>
          <w:rFonts w:hint="eastAsia"/>
          <w:color w:val="auto"/>
          <w:sz w:val="24"/>
          <w:highlight w:val="none"/>
          <w:lang w:val="en-US" w:eastAsia="zh-CN"/>
        </w:rPr>
        <w:t>31</w:t>
      </w:r>
      <w:r>
        <w:rPr>
          <w:color w:val="auto"/>
          <w:sz w:val="24"/>
          <w:highlight w:val="none"/>
        </w:rPr>
        <w:t>日</w:t>
      </w:r>
      <w:r>
        <w:rPr>
          <w:rFonts w:hint="eastAsia"/>
          <w:color w:val="auto"/>
          <w:sz w:val="24"/>
          <w:highlight w:val="none"/>
          <w:lang w:val="en-US" w:eastAsia="zh-CN"/>
        </w:rPr>
        <w:t>09</w:t>
      </w:r>
      <w:r>
        <w:rPr>
          <w:color w:val="auto"/>
          <w:sz w:val="24"/>
          <w:highlight w:val="none"/>
        </w:rPr>
        <w:t>:</w:t>
      </w:r>
      <w:r>
        <w:rPr>
          <w:rFonts w:hint="eastAsia"/>
          <w:color w:val="auto"/>
          <w:sz w:val="24"/>
          <w:highlight w:val="none"/>
          <w:lang w:val="en-US" w:eastAsia="zh-CN"/>
        </w:rPr>
        <w:t>00</w:t>
      </w:r>
      <w:r>
        <w:rPr>
          <w:rFonts w:hint="default"/>
          <w:color w:val="auto"/>
          <w:sz w:val="24"/>
          <w:highlight w:val="none"/>
        </w:rPr>
        <w:t>（北京时间）</w:t>
      </w:r>
    </w:p>
    <w:p w14:paraId="590272D3">
      <w:pPr>
        <w:spacing w:line="360" w:lineRule="auto"/>
        <w:ind w:firstLine="480" w:firstLineChars="200"/>
        <w:rPr>
          <w:rFonts w:hint="default"/>
          <w:bCs/>
          <w:color w:val="auto"/>
          <w:sz w:val="24"/>
          <w:highlight w:val="none"/>
        </w:rPr>
      </w:pPr>
      <w:r>
        <w:rPr>
          <w:rFonts w:hint="default"/>
          <w:bCs/>
          <w:color w:val="auto"/>
          <w:sz w:val="24"/>
          <w:highlight w:val="none"/>
        </w:rPr>
        <w:t>4.开标地点（网址）：https://www.zcygov.cn</w:t>
      </w:r>
    </w:p>
    <w:p w14:paraId="14CBA188">
      <w:pPr>
        <w:pStyle w:val="3"/>
        <w:spacing w:before="0" w:after="0" w:line="360" w:lineRule="auto"/>
        <w:rPr>
          <w:rFonts w:ascii="Times New Roman" w:hAnsi="Times New Roman" w:eastAsia="宋体"/>
          <w:b w:val="0"/>
          <w:color w:val="auto"/>
          <w:sz w:val="24"/>
          <w:szCs w:val="24"/>
          <w:highlight w:val="none"/>
        </w:rPr>
      </w:pPr>
      <w:bookmarkStart w:id="21" w:name="_Toc28359084"/>
      <w:bookmarkStart w:id="22" w:name="_Toc28359007"/>
      <w:bookmarkStart w:id="23" w:name="_Toc35393794"/>
      <w:bookmarkStart w:id="24" w:name="_Toc35393625"/>
      <w:r>
        <w:rPr>
          <w:rFonts w:ascii="Times New Roman" w:hAnsi="Times New Roman" w:eastAsia="宋体"/>
          <w:b w:val="0"/>
          <w:color w:val="auto"/>
          <w:sz w:val="24"/>
          <w:szCs w:val="24"/>
          <w:highlight w:val="none"/>
        </w:rPr>
        <w:t>五、公告期限</w:t>
      </w:r>
      <w:bookmarkEnd w:id="21"/>
      <w:bookmarkEnd w:id="22"/>
      <w:bookmarkEnd w:id="23"/>
      <w:bookmarkEnd w:id="24"/>
    </w:p>
    <w:p w14:paraId="4B7FFF60">
      <w:pPr>
        <w:spacing w:line="360" w:lineRule="auto"/>
        <w:ind w:firstLine="480" w:firstLineChars="200"/>
        <w:rPr>
          <w:rFonts w:hint="default"/>
          <w:color w:val="auto"/>
          <w:kern w:val="0"/>
          <w:sz w:val="24"/>
          <w:highlight w:val="none"/>
        </w:rPr>
      </w:pPr>
      <w:r>
        <w:rPr>
          <w:rFonts w:hint="default"/>
          <w:color w:val="auto"/>
          <w:kern w:val="0"/>
          <w:sz w:val="24"/>
          <w:highlight w:val="none"/>
        </w:rPr>
        <w:t>自本公告发布之日起5个工作日。</w:t>
      </w:r>
    </w:p>
    <w:p w14:paraId="2E28A3FE">
      <w:pPr>
        <w:pStyle w:val="3"/>
        <w:spacing w:before="0" w:after="0" w:line="360" w:lineRule="auto"/>
        <w:rPr>
          <w:rFonts w:ascii="Times New Roman" w:hAnsi="Times New Roman" w:eastAsia="宋体"/>
          <w:b w:val="0"/>
          <w:color w:val="auto"/>
          <w:sz w:val="24"/>
          <w:szCs w:val="24"/>
          <w:highlight w:val="none"/>
        </w:rPr>
      </w:pPr>
      <w:bookmarkStart w:id="25" w:name="_Toc35393626"/>
      <w:bookmarkStart w:id="26" w:name="_Toc35393795"/>
      <w:r>
        <w:rPr>
          <w:rFonts w:ascii="Times New Roman" w:hAnsi="Times New Roman" w:eastAsia="宋体"/>
          <w:b w:val="0"/>
          <w:color w:val="auto"/>
          <w:sz w:val="24"/>
          <w:szCs w:val="24"/>
          <w:highlight w:val="none"/>
        </w:rPr>
        <w:t>六、其他补充事宜</w:t>
      </w:r>
      <w:bookmarkEnd w:id="25"/>
      <w:bookmarkEnd w:id="26"/>
    </w:p>
    <w:p w14:paraId="6F1CA787">
      <w:pPr>
        <w:spacing w:line="360" w:lineRule="auto"/>
        <w:ind w:firstLine="480" w:firstLineChars="200"/>
        <w:rPr>
          <w:rFonts w:hint="default"/>
          <w:color w:val="auto"/>
          <w:kern w:val="0"/>
          <w:sz w:val="24"/>
          <w:highlight w:val="none"/>
        </w:rPr>
      </w:pPr>
      <w:r>
        <w:rPr>
          <w:rFonts w:hint="default"/>
          <w:color w:val="auto"/>
          <w:kern w:val="0"/>
          <w:sz w:val="24"/>
          <w:highlight w:val="none"/>
        </w:rPr>
        <w:t> </w:t>
      </w:r>
      <w:r>
        <w:rPr>
          <w:color w:val="auto"/>
          <w:kern w:val="0"/>
          <w:sz w:val="24"/>
          <w:highlight w:val="none"/>
        </w:rPr>
        <w:t>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color w:val="auto"/>
          <w:kern w:val="0"/>
          <w:sz w:val="24"/>
          <w:highlight w:val="none"/>
        </w:rPr>
        <w:t>。</w:t>
      </w:r>
    </w:p>
    <w:p w14:paraId="3A7209BF">
      <w:pPr>
        <w:spacing w:line="360" w:lineRule="auto"/>
        <w:ind w:firstLine="480" w:firstLineChars="200"/>
        <w:rPr>
          <w:rFonts w:hint="default"/>
          <w:color w:val="auto"/>
          <w:kern w:val="0"/>
          <w:sz w:val="24"/>
          <w:highlight w:val="none"/>
        </w:rPr>
      </w:pPr>
      <w:r>
        <w:rPr>
          <w:color w:val="auto"/>
          <w:kern w:val="0"/>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DFF7962">
      <w:pPr>
        <w:spacing w:line="360" w:lineRule="auto"/>
        <w:ind w:firstLine="480" w:firstLineChars="200"/>
        <w:rPr>
          <w:rFonts w:hint="default"/>
          <w:color w:val="auto"/>
          <w:kern w:val="0"/>
          <w:sz w:val="24"/>
          <w:highlight w:val="none"/>
        </w:rPr>
      </w:pPr>
      <w:r>
        <w:rPr>
          <w:color w:val="auto"/>
          <w:kern w:val="0"/>
          <w:sz w:val="24"/>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F0940CF">
      <w:pPr>
        <w:spacing w:line="360" w:lineRule="auto"/>
        <w:ind w:firstLine="480" w:firstLineChars="200"/>
        <w:rPr>
          <w:rFonts w:hint="default"/>
          <w:color w:val="auto"/>
          <w:kern w:val="0"/>
          <w:sz w:val="24"/>
          <w:highlight w:val="none"/>
        </w:rPr>
      </w:pPr>
      <w:r>
        <w:rPr>
          <w:color w:val="auto"/>
          <w:kern w:val="0"/>
          <w:sz w:val="24"/>
          <w:highlight w:val="none"/>
        </w:rPr>
        <w:t>4.其他事项：（1）依据《政府采购质疑和投诉办法》第十条第二款规定，本项目要求投标人在法定质疑期内一次性提出针对同一采购程序环节的质疑。投标人在法定质疑期内多次提出针对同一采购程序环节的质疑的，采购人或采购代理机构只受理该投标人的第一次有效质疑。（2）单位负责人为同一人或者存在直接控股、管理关系的不同供应商，不得同时参加同一合同项下的投标。（3）为项目提供整体设计、规范编制或者项目管理、监理、检测等服务的供应商，不得再参加该采购项目的其他采购活动。（4）本项目不收取投标保证金。（5）招标文件公告期限与招标公告的公告期限一致。</w:t>
      </w:r>
    </w:p>
    <w:p w14:paraId="057DFDB3">
      <w:pPr>
        <w:pStyle w:val="16"/>
        <w:spacing w:line="360" w:lineRule="auto"/>
        <w:ind w:firstLine="0"/>
        <w:rPr>
          <w:rFonts w:hint="default" w:ascii="Times New Roman" w:hAnsi="Times New Roman"/>
          <w:color w:val="auto"/>
          <w:sz w:val="24"/>
          <w:szCs w:val="24"/>
          <w:highlight w:val="none"/>
        </w:rPr>
      </w:pPr>
      <w:r>
        <w:rPr>
          <w:rFonts w:hint="default" w:ascii="Times New Roman" w:hAnsi="Times New Roman"/>
          <w:color w:val="auto"/>
          <w:sz w:val="24"/>
          <w:szCs w:val="24"/>
          <w:highlight w:val="none"/>
        </w:rPr>
        <w:t>七、对本次招标提出询问、质疑、投诉，请按以下方式联系。</w:t>
      </w:r>
    </w:p>
    <w:p w14:paraId="30D12D64">
      <w:pPr>
        <w:pStyle w:val="16"/>
        <w:spacing w:line="360" w:lineRule="auto"/>
        <w:ind w:firstLine="464" w:firstLineChars="200"/>
        <w:rPr>
          <w:rFonts w:hint="default" w:ascii="Times New Roman" w:hAnsi="Times New Roman"/>
          <w:color w:val="auto"/>
          <w:sz w:val="24"/>
          <w:highlight w:val="none"/>
        </w:rPr>
      </w:pPr>
      <w:r>
        <w:rPr>
          <w:rFonts w:hint="default" w:ascii="Times New Roman" w:hAnsi="Times New Roman"/>
          <w:color w:val="auto"/>
          <w:sz w:val="24"/>
          <w:highlight w:val="none"/>
        </w:rPr>
        <w:t>1.采购人信息</w:t>
      </w:r>
    </w:p>
    <w:p w14:paraId="26CFA9C1">
      <w:pPr>
        <w:pStyle w:val="16"/>
        <w:spacing w:line="360" w:lineRule="auto"/>
        <w:ind w:firstLine="464" w:firstLineChars="200"/>
        <w:rPr>
          <w:rFonts w:hint="default" w:ascii="Times New Roman" w:hAnsi="Times New Roman"/>
          <w:color w:val="auto"/>
          <w:sz w:val="24"/>
          <w:highlight w:val="none"/>
        </w:rPr>
      </w:pPr>
      <w:bookmarkStart w:id="27" w:name="_Hlk149211221"/>
      <w:r>
        <w:rPr>
          <w:rFonts w:hint="default" w:ascii="Times New Roman" w:hAnsi="Times New Roman"/>
          <w:color w:val="auto"/>
          <w:sz w:val="24"/>
          <w:highlight w:val="none"/>
        </w:rPr>
        <w:t>名称：</w:t>
      </w:r>
      <w:r>
        <w:rPr>
          <w:rFonts w:ascii="Times New Roman" w:hAnsi="Times New Roman"/>
          <w:color w:val="auto"/>
          <w:sz w:val="24"/>
          <w:highlight w:val="none"/>
        </w:rPr>
        <w:t>浙江工业大学</w:t>
      </w:r>
    </w:p>
    <w:p w14:paraId="2686D615">
      <w:pPr>
        <w:pStyle w:val="16"/>
        <w:spacing w:line="360" w:lineRule="auto"/>
        <w:ind w:firstLine="464" w:firstLineChars="200"/>
        <w:rPr>
          <w:rFonts w:hint="default" w:ascii="Times New Roman" w:hAnsi="Times New Roman"/>
          <w:color w:val="auto"/>
          <w:sz w:val="24"/>
          <w:highlight w:val="none"/>
        </w:rPr>
      </w:pPr>
      <w:r>
        <w:rPr>
          <w:rFonts w:hint="default" w:ascii="Times New Roman" w:hAnsi="Times New Roman"/>
          <w:color w:val="auto"/>
          <w:sz w:val="24"/>
          <w:highlight w:val="none"/>
        </w:rPr>
        <w:t>地址：浙江省杭州市潮王路18号</w:t>
      </w:r>
    </w:p>
    <w:p w14:paraId="6581B2B4">
      <w:pPr>
        <w:pStyle w:val="16"/>
        <w:spacing w:line="360" w:lineRule="auto"/>
        <w:ind w:firstLine="464" w:firstLineChars="200"/>
        <w:rPr>
          <w:rFonts w:hint="default" w:ascii="Times New Roman" w:hAnsi="Times New Roman"/>
          <w:color w:val="auto"/>
          <w:sz w:val="24"/>
          <w:highlight w:val="none"/>
        </w:rPr>
      </w:pPr>
      <w:r>
        <w:rPr>
          <w:rFonts w:hint="default" w:ascii="Times New Roman" w:hAnsi="Times New Roman"/>
          <w:color w:val="auto"/>
          <w:sz w:val="24"/>
          <w:highlight w:val="none"/>
        </w:rPr>
        <w:t>项目联系人（询问）：</w:t>
      </w:r>
      <w:r>
        <w:rPr>
          <w:color w:val="auto"/>
          <w:sz w:val="24"/>
          <w:highlight w:val="none"/>
        </w:rPr>
        <w:t>徐</w:t>
      </w:r>
      <w:r>
        <w:rPr>
          <w:rFonts w:ascii="Times New Roman" w:hAnsi="Times New Roman"/>
          <w:color w:val="auto"/>
          <w:sz w:val="24"/>
          <w:highlight w:val="none"/>
        </w:rPr>
        <w:t>老师</w:t>
      </w:r>
    </w:p>
    <w:p w14:paraId="7A529796">
      <w:pPr>
        <w:pStyle w:val="16"/>
        <w:spacing w:line="360" w:lineRule="auto"/>
        <w:ind w:firstLine="464" w:firstLineChars="200"/>
        <w:rPr>
          <w:rFonts w:hint="default" w:ascii="Times New Roman" w:hAnsi="Times New Roman"/>
          <w:color w:val="auto"/>
          <w:sz w:val="24"/>
          <w:highlight w:val="none"/>
        </w:rPr>
      </w:pPr>
      <w:r>
        <w:rPr>
          <w:rFonts w:hint="default" w:ascii="Times New Roman" w:hAnsi="Times New Roman"/>
          <w:color w:val="auto"/>
          <w:sz w:val="24"/>
          <w:highlight w:val="none"/>
        </w:rPr>
        <w:t>项目联系方式（询问）：15824458163</w:t>
      </w:r>
    </w:p>
    <w:p w14:paraId="3969D753">
      <w:pPr>
        <w:pStyle w:val="16"/>
        <w:spacing w:line="360" w:lineRule="auto"/>
        <w:ind w:firstLine="464" w:firstLineChars="200"/>
        <w:rPr>
          <w:rFonts w:hint="default" w:ascii="Times New Roman" w:hAnsi="Times New Roman"/>
          <w:color w:val="auto"/>
          <w:sz w:val="24"/>
          <w:highlight w:val="none"/>
        </w:rPr>
      </w:pPr>
      <w:r>
        <w:rPr>
          <w:rFonts w:hint="default" w:ascii="Times New Roman" w:hAnsi="Times New Roman"/>
          <w:color w:val="auto"/>
          <w:sz w:val="24"/>
          <w:highlight w:val="none"/>
        </w:rPr>
        <w:t>质疑联系人：</w:t>
      </w:r>
      <w:r>
        <w:rPr>
          <w:rFonts w:ascii="Times New Roman" w:hAnsi="Times New Roman"/>
          <w:color w:val="auto"/>
          <w:sz w:val="24"/>
          <w:highlight w:val="none"/>
        </w:rPr>
        <w:t>马</w:t>
      </w:r>
      <w:r>
        <w:rPr>
          <w:rFonts w:hint="default" w:ascii="Times New Roman" w:hAnsi="Times New Roman"/>
          <w:color w:val="auto"/>
          <w:sz w:val="24"/>
          <w:highlight w:val="none"/>
        </w:rPr>
        <w:t>老师</w:t>
      </w:r>
    </w:p>
    <w:p w14:paraId="7FD80838">
      <w:pPr>
        <w:pStyle w:val="16"/>
        <w:spacing w:line="360" w:lineRule="auto"/>
        <w:ind w:firstLine="464" w:firstLineChars="200"/>
        <w:rPr>
          <w:rFonts w:hint="default" w:ascii="Times New Roman" w:hAnsi="Times New Roman"/>
          <w:color w:val="auto"/>
          <w:sz w:val="24"/>
          <w:highlight w:val="none"/>
        </w:rPr>
      </w:pPr>
      <w:r>
        <w:rPr>
          <w:rFonts w:hint="default" w:ascii="Times New Roman" w:hAnsi="Times New Roman"/>
          <w:color w:val="auto"/>
          <w:sz w:val="24"/>
          <w:highlight w:val="none"/>
        </w:rPr>
        <w:t>质疑联系方式：0571-88320626</w:t>
      </w:r>
    </w:p>
    <w:bookmarkEnd w:id="27"/>
    <w:p w14:paraId="1947D713">
      <w:pPr>
        <w:pStyle w:val="16"/>
        <w:spacing w:line="360" w:lineRule="auto"/>
        <w:ind w:firstLine="464" w:firstLineChars="200"/>
        <w:rPr>
          <w:rFonts w:hint="default" w:ascii="Times New Roman" w:hAnsi="Times New Roman"/>
          <w:color w:val="auto"/>
          <w:sz w:val="24"/>
          <w:highlight w:val="none"/>
        </w:rPr>
      </w:pPr>
      <w:r>
        <w:rPr>
          <w:rFonts w:hint="default" w:ascii="Times New Roman" w:hAnsi="Times New Roman"/>
          <w:color w:val="auto"/>
          <w:sz w:val="24"/>
          <w:highlight w:val="none"/>
        </w:rPr>
        <w:t>2.采购代理机构信息</w:t>
      </w:r>
    </w:p>
    <w:p w14:paraId="11085EEB">
      <w:pPr>
        <w:pStyle w:val="16"/>
        <w:spacing w:line="360" w:lineRule="auto"/>
        <w:ind w:firstLine="464" w:firstLineChars="200"/>
        <w:rPr>
          <w:rFonts w:hint="default" w:ascii="Times New Roman" w:hAnsi="Times New Roman"/>
          <w:color w:val="auto"/>
          <w:sz w:val="24"/>
          <w:highlight w:val="none"/>
        </w:rPr>
      </w:pPr>
      <w:r>
        <w:rPr>
          <w:rFonts w:hint="default" w:ascii="Times New Roman" w:hAnsi="Times New Roman"/>
          <w:color w:val="auto"/>
          <w:sz w:val="24"/>
          <w:highlight w:val="none"/>
        </w:rPr>
        <w:t>名  称：浙江豪圣建设项目管理有限公司</w:t>
      </w:r>
    </w:p>
    <w:p w14:paraId="021C4346">
      <w:pPr>
        <w:pStyle w:val="16"/>
        <w:spacing w:line="360" w:lineRule="auto"/>
        <w:ind w:firstLine="464" w:firstLineChars="200"/>
        <w:rPr>
          <w:rFonts w:hint="default" w:ascii="Times New Roman" w:hAnsi="Times New Roman"/>
          <w:color w:val="auto"/>
          <w:sz w:val="24"/>
          <w:highlight w:val="none"/>
        </w:rPr>
      </w:pPr>
      <w:r>
        <w:rPr>
          <w:rFonts w:hint="default" w:ascii="Times New Roman" w:hAnsi="Times New Roman"/>
          <w:color w:val="auto"/>
          <w:sz w:val="24"/>
          <w:highlight w:val="none"/>
        </w:rPr>
        <w:t>地  址：杭州市拱墅区大关路179号远洋国际中心A座17楼1706室</w:t>
      </w:r>
    </w:p>
    <w:p w14:paraId="791DB2E9">
      <w:pPr>
        <w:pStyle w:val="16"/>
        <w:spacing w:line="360" w:lineRule="auto"/>
        <w:ind w:firstLine="464" w:firstLineChars="200"/>
        <w:rPr>
          <w:rFonts w:hint="default" w:ascii="Times New Roman" w:hAnsi="Times New Roman"/>
          <w:color w:val="auto"/>
          <w:sz w:val="24"/>
          <w:highlight w:val="none"/>
        </w:rPr>
      </w:pPr>
      <w:r>
        <w:rPr>
          <w:rFonts w:hint="default" w:ascii="Times New Roman" w:hAnsi="Times New Roman"/>
          <w:color w:val="auto"/>
          <w:sz w:val="24"/>
          <w:highlight w:val="none"/>
        </w:rPr>
        <w:t>传  真：</w:t>
      </w:r>
      <w:r>
        <w:rPr>
          <w:rFonts w:ascii="Times New Roman" w:hAnsi="Times New Roman"/>
          <w:color w:val="auto"/>
          <w:sz w:val="24"/>
          <w:highlight w:val="none"/>
        </w:rPr>
        <w:t>/</w:t>
      </w:r>
    </w:p>
    <w:p w14:paraId="6908A269">
      <w:pPr>
        <w:pStyle w:val="16"/>
        <w:spacing w:line="360" w:lineRule="auto"/>
        <w:ind w:firstLine="464" w:firstLineChars="200"/>
        <w:rPr>
          <w:rFonts w:hint="default" w:ascii="Times New Roman" w:hAnsi="Times New Roman"/>
          <w:color w:val="auto"/>
          <w:sz w:val="24"/>
          <w:highlight w:val="none"/>
        </w:rPr>
      </w:pPr>
      <w:r>
        <w:rPr>
          <w:rFonts w:hint="default" w:ascii="Times New Roman" w:hAnsi="Times New Roman"/>
          <w:color w:val="auto"/>
          <w:sz w:val="24"/>
          <w:highlight w:val="none"/>
        </w:rPr>
        <w:t>项目联系人（询问）：</w:t>
      </w:r>
      <w:r>
        <w:rPr>
          <w:rFonts w:ascii="Times New Roman" w:hAnsi="Times New Roman"/>
          <w:color w:val="auto"/>
          <w:sz w:val="24"/>
          <w:highlight w:val="none"/>
        </w:rPr>
        <w:t>陈梦菲</w:t>
      </w:r>
      <w:r>
        <w:rPr>
          <w:rFonts w:hint="default" w:ascii="Times New Roman" w:hAnsi="Times New Roman"/>
          <w:color w:val="auto"/>
          <w:sz w:val="24"/>
          <w:highlight w:val="none"/>
        </w:rPr>
        <w:t>、陈敏娇</w:t>
      </w:r>
      <w:r>
        <w:rPr>
          <w:rFonts w:hint="default" w:ascii="Times New Roman" w:hAnsi="Times New Roman"/>
          <w:color w:val="auto"/>
          <w:sz w:val="24"/>
          <w:highlight w:val="none"/>
          <w:lang w:eastAsia="zh-CN"/>
        </w:rPr>
        <w:t>、王俭、陶传林</w:t>
      </w:r>
    </w:p>
    <w:p w14:paraId="31EC94E4">
      <w:pPr>
        <w:pStyle w:val="16"/>
        <w:spacing w:line="360" w:lineRule="auto"/>
        <w:ind w:firstLine="464" w:firstLineChars="200"/>
        <w:rPr>
          <w:rFonts w:hint="default" w:ascii="Times New Roman" w:hAnsi="Times New Roman"/>
          <w:color w:val="auto"/>
          <w:sz w:val="24"/>
          <w:highlight w:val="none"/>
        </w:rPr>
      </w:pPr>
      <w:r>
        <w:rPr>
          <w:rFonts w:hint="default" w:ascii="Times New Roman" w:hAnsi="Times New Roman"/>
          <w:color w:val="auto"/>
          <w:sz w:val="24"/>
          <w:highlight w:val="none"/>
        </w:rPr>
        <w:t>项目联系方式（询问）：0571-87981527</w:t>
      </w:r>
    </w:p>
    <w:p w14:paraId="4E95B6D1">
      <w:pPr>
        <w:pStyle w:val="16"/>
        <w:spacing w:line="360" w:lineRule="auto"/>
        <w:ind w:firstLine="464" w:firstLineChars="200"/>
        <w:rPr>
          <w:rFonts w:hint="eastAsia" w:ascii="Times New Roman" w:hAnsi="Times New Roman" w:eastAsia="宋体"/>
          <w:color w:val="auto"/>
          <w:sz w:val="24"/>
          <w:highlight w:val="none"/>
          <w:lang w:eastAsia="zh-CN"/>
        </w:rPr>
      </w:pPr>
      <w:bookmarkStart w:id="28" w:name="_Hlk149211190"/>
      <w:r>
        <w:rPr>
          <w:rFonts w:hint="default" w:ascii="Times New Roman" w:hAnsi="Times New Roman"/>
          <w:color w:val="auto"/>
          <w:sz w:val="24"/>
          <w:highlight w:val="none"/>
        </w:rPr>
        <w:t>质疑联系人：</w:t>
      </w:r>
      <w:r>
        <w:rPr>
          <w:rFonts w:hint="eastAsia" w:ascii="Times New Roman" w:hAnsi="Times New Roman"/>
          <w:color w:val="auto"/>
          <w:sz w:val="24"/>
          <w:highlight w:val="none"/>
          <w:lang w:eastAsia="zh-CN"/>
        </w:rPr>
        <w:t>桑国坚</w:t>
      </w:r>
    </w:p>
    <w:p w14:paraId="17BF77E5">
      <w:pPr>
        <w:pStyle w:val="16"/>
        <w:spacing w:line="360" w:lineRule="auto"/>
        <w:ind w:firstLine="464" w:firstLineChars="200"/>
        <w:rPr>
          <w:rFonts w:hint="eastAsia" w:ascii="Times New Roman" w:hAnsi="Times New Roman" w:eastAsia="宋体"/>
          <w:color w:val="auto"/>
          <w:sz w:val="24"/>
          <w:highlight w:val="none"/>
          <w:lang w:eastAsia="zh-CN"/>
        </w:rPr>
      </w:pPr>
      <w:r>
        <w:rPr>
          <w:rFonts w:hint="default" w:ascii="Times New Roman" w:hAnsi="Times New Roman"/>
          <w:color w:val="auto"/>
          <w:sz w:val="24"/>
          <w:highlight w:val="none"/>
        </w:rPr>
        <w:t>质疑联系方式：</w:t>
      </w:r>
      <w:r>
        <w:rPr>
          <w:rFonts w:hint="eastAsia" w:ascii="Times New Roman" w:hAnsi="Times New Roman"/>
          <w:color w:val="auto"/>
          <w:sz w:val="24"/>
          <w:highlight w:val="none"/>
          <w:lang w:eastAsia="zh-CN"/>
        </w:rPr>
        <w:t>0571-56386096</w:t>
      </w:r>
    </w:p>
    <w:bookmarkEnd w:id="28"/>
    <w:p w14:paraId="67535E9F">
      <w:pPr>
        <w:pStyle w:val="16"/>
        <w:spacing w:line="360" w:lineRule="auto"/>
        <w:ind w:left="479" w:leftChars="228" w:firstLine="0"/>
        <w:rPr>
          <w:rFonts w:hint="default" w:ascii="Times New Roman" w:hAnsi="Times New Roman"/>
          <w:color w:val="auto"/>
          <w:sz w:val="24"/>
          <w:highlight w:val="none"/>
        </w:rPr>
      </w:pPr>
      <w:r>
        <w:rPr>
          <w:rFonts w:hint="default" w:ascii="Times New Roman" w:hAnsi="Times New Roman"/>
          <w:color w:val="auto"/>
          <w:sz w:val="24"/>
          <w:highlight w:val="none"/>
        </w:rPr>
        <w:t>3.该项目由采购人处理采购争议。质疑环节，采购人委托采购代理机构处理的，可由采购代理机构答复。对质疑答复不满意的，向采购人内部设置的采购监督机构反映。</w:t>
      </w:r>
    </w:p>
    <w:p w14:paraId="05ECD78E">
      <w:pPr>
        <w:pStyle w:val="16"/>
        <w:spacing w:line="360" w:lineRule="auto"/>
        <w:ind w:left="479" w:leftChars="228" w:firstLine="0"/>
        <w:rPr>
          <w:rFonts w:hint="default" w:ascii="Times New Roman" w:hAnsi="Times New Roman"/>
          <w:color w:val="auto"/>
          <w:sz w:val="24"/>
          <w:highlight w:val="none"/>
        </w:rPr>
      </w:pPr>
      <w:r>
        <w:rPr>
          <w:rFonts w:hint="default" w:ascii="Times New Roman" w:hAnsi="Times New Roman"/>
          <w:color w:val="auto"/>
          <w:sz w:val="24"/>
          <w:highlight w:val="none"/>
        </w:rPr>
        <w:t>政策咨询：何一平、冯华，0571-87058424、87055741</w:t>
      </w:r>
    </w:p>
    <w:p w14:paraId="47E19D4C">
      <w:pPr>
        <w:pStyle w:val="16"/>
        <w:spacing w:line="360" w:lineRule="auto"/>
        <w:ind w:left="479" w:leftChars="228" w:firstLine="0"/>
        <w:rPr>
          <w:rFonts w:hint="default" w:ascii="Times New Roman" w:hAnsi="Times New Roman"/>
          <w:color w:val="auto"/>
          <w:sz w:val="24"/>
          <w:highlight w:val="none"/>
        </w:rPr>
      </w:pPr>
      <w:r>
        <w:rPr>
          <w:rFonts w:hint="default" w:ascii="Times New Roman" w:hAnsi="Times New Roman"/>
          <w:color w:val="auto"/>
          <w:sz w:val="24"/>
          <w:highlight w:val="none"/>
        </w:rPr>
        <w:t>预算金额未达100万元的采购项目，由采购人处理采购争议。</w:t>
      </w:r>
    </w:p>
    <w:p w14:paraId="423302D9">
      <w:pPr>
        <w:pStyle w:val="16"/>
        <w:spacing w:line="360" w:lineRule="auto"/>
        <w:ind w:firstLine="464" w:firstLineChars="200"/>
        <w:rPr>
          <w:rFonts w:hint="default" w:ascii="Times New Roman" w:hAnsi="Times New Roman"/>
          <w:color w:val="auto"/>
          <w:sz w:val="24"/>
          <w:highlight w:val="none"/>
        </w:rPr>
      </w:pPr>
    </w:p>
    <w:p w14:paraId="79B9D82E">
      <w:pPr>
        <w:pStyle w:val="16"/>
        <w:spacing w:line="360" w:lineRule="auto"/>
        <w:ind w:firstLine="464" w:firstLineChars="200"/>
        <w:rPr>
          <w:rFonts w:hint="default" w:ascii="Times New Roman" w:hAnsi="Times New Roman"/>
          <w:color w:val="auto"/>
          <w:sz w:val="24"/>
          <w:highlight w:val="none"/>
        </w:rPr>
      </w:pPr>
      <w:r>
        <w:rPr>
          <w:rFonts w:ascii="Times New Roman" w:hAnsi="Times New Roman"/>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70A50E1C">
      <w:pPr>
        <w:pStyle w:val="16"/>
        <w:spacing w:line="360" w:lineRule="auto"/>
        <w:ind w:firstLine="464" w:firstLineChars="200"/>
        <w:jc w:val="left"/>
        <w:rPr>
          <w:rFonts w:hint="default" w:ascii="Times New Roman" w:hAnsi="Times New Roman"/>
          <w:color w:val="auto"/>
          <w:sz w:val="24"/>
          <w:highlight w:val="none"/>
        </w:rPr>
      </w:pPr>
      <w:r>
        <w:rPr>
          <w:rFonts w:ascii="Times New Roman" w:hAnsi="Times New Roman"/>
          <w:color w:val="auto"/>
          <w:sz w:val="24"/>
          <w:highlight w:val="none"/>
        </w:rPr>
        <w:t>CA问题联系电话（人工）：汇信CA 400-888-4636；天谷CA 400-087-8198。</w:t>
      </w:r>
    </w:p>
    <w:p w14:paraId="69341A41">
      <w:pPr>
        <w:pStyle w:val="16"/>
        <w:spacing w:line="360" w:lineRule="auto"/>
        <w:ind w:firstLine="627" w:firstLineChars="200"/>
        <w:jc w:val="center"/>
        <w:rPr>
          <w:rFonts w:hint="default" w:ascii="Times New Roman" w:hAnsi="Times New Roman"/>
          <w:b/>
          <w:color w:val="auto"/>
          <w:sz w:val="36"/>
          <w:szCs w:val="36"/>
          <w:highlight w:val="none"/>
        </w:rPr>
      </w:pPr>
      <w:bookmarkStart w:id="29" w:name="_Toc18629"/>
      <w:r>
        <w:rPr>
          <w:rStyle w:val="54"/>
          <w:rFonts w:hint="default"/>
          <w:color w:val="auto"/>
          <w:sz w:val="32"/>
          <w:szCs w:val="32"/>
          <w:highlight w:val="none"/>
        </w:rPr>
        <w:br w:type="page"/>
      </w:r>
      <w:r>
        <w:rPr>
          <w:rStyle w:val="54"/>
          <w:rFonts w:hint="default"/>
          <w:color w:val="auto"/>
          <w:sz w:val="32"/>
          <w:szCs w:val="32"/>
          <w:highlight w:val="none"/>
        </w:rPr>
        <w:t>第二章  投标人须知</w:t>
      </w:r>
      <w:bookmarkEnd w:id="29"/>
    </w:p>
    <w:p w14:paraId="4C7610C7">
      <w:pPr>
        <w:snapToGrid w:val="0"/>
        <w:spacing w:before="120" w:beforeLines="50" w:after="120" w:afterLines="50" w:line="360" w:lineRule="auto"/>
        <w:jc w:val="center"/>
        <w:outlineLvl w:val="1"/>
        <w:rPr>
          <w:rFonts w:hint="default"/>
          <w:b/>
          <w:color w:val="auto"/>
          <w:sz w:val="30"/>
          <w:szCs w:val="30"/>
          <w:highlight w:val="none"/>
        </w:rPr>
      </w:pPr>
      <w:r>
        <w:rPr>
          <w:rFonts w:hint="default"/>
          <w:b/>
          <w:color w:val="auto"/>
          <w:sz w:val="30"/>
          <w:szCs w:val="30"/>
          <w:highlight w:val="none"/>
        </w:rPr>
        <w:t>前附表</w:t>
      </w:r>
    </w:p>
    <w:tbl>
      <w:tblPr>
        <w:tblStyle w:val="41"/>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60"/>
        <w:gridCol w:w="1440"/>
        <w:gridCol w:w="7142"/>
      </w:tblGrid>
      <w:tr w14:paraId="2FC455D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7"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72F17490">
            <w:pPr>
              <w:snapToGrid w:val="0"/>
              <w:jc w:val="center"/>
              <w:rPr>
                <w:rFonts w:hint="default"/>
                <w:color w:val="auto"/>
                <w:sz w:val="24"/>
                <w:szCs w:val="24"/>
                <w:highlight w:val="none"/>
              </w:rPr>
            </w:pPr>
            <w:r>
              <w:rPr>
                <w:rFonts w:hint="default"/>
                <w:color w:val="auto"/>
                <w:sz w:val="24"/>
                <w:szCs w:val="24"/>
                <w:highlight w:val="none"/>
              </w:rPr>
              <w:t>序号</w:t>
            </w:r>
          </w:p>
        </w:tc>
        <w:tc>
          <w:tcPr>
            <w:tcW w:w="1440" w:type="dxa"/>
            <w:tcBorders>
              <w:top w:val="single" w:color="auto" w:sz="4" w:space="0"/>
              <w:left w:val="single" w:color="auto" w:sz="4" w:space="0"/>
              <w:bottom w:val="single" w:color="auto" w:sz="4" w:space="0"/>
              <w:right w:val="single" w:color="auto" w:sz="4" w:space="0"/>
            </w:tcBorders>
            <w:noWrap/>
            <w:vAlign w:val="center"/>
          </w:tcPr>
          <w:p w14:paraId="4873CFAF">
            <w:pPr>
              <w:snapToGrid w:val="0"/>
              <w:jc w:val="center"/>
              <w:rPr>
                <w:rFonts w:hint="default"/>
                <w:color w:val="auto"/>
                <w:sz w:val="24"/>
                <w:szCs w:val="24"/>
                <w:highlight w:val="none"/>
              </w:rPr>
            </w:pPr>
            <w:r>
              <w:rPr>
                <w:rFonts w:hint="default"/>
                <w:color w:val="auto"/>
                <w:sz w:val="24"/>
                <w:szCs w:val="24"/>
                <w:highlight w:val="none"/>
              </w:rPr>
              <w:t>名  称</w:t>
            </w:r>
          </w:p>
        </w:tc>
        <w:tc>
          <w:tcPr>
            <w:tcW w:w="7142" w:type="dxa"/>
            <w:tcBorders>
              <w:top w:val="single" w:color="auto" w:sz="4" w:space="0"/>
              <w:left w:val="single" w:color="auto" w:sz="4" w:space="0"/>
              <w:bottom w:val="single" w:color="auto" w:sz="4" w:space="0"/>
              <w:right w:val="single" w:color="auto" w:sz="4" w:space="0"/>
            </w:tcBorders>
            <w:noWrap/>
            <w:vAlign w:val="center"/>
          </w:tcPr>
          <w:p w14:paraId="1ADA2BDC">
            <w:pPr>
              <w:snapToGrid w:val="0"/>
              <w:jc w:val="center"/>
              <w:rPr>
                <w:rFonts w:hint="default"/>
                <w:color w:val="auto"/>
                <w:sz w:val="24"/>
                <w:szCs w:val="24"/>
                <w:highlight w:val="none"/>
              </w:rPr>
            </w:pPr>
            <w:r>
              <w:rPr>
                <w:rFonts w:hint="default"/>
                <w:color w:val="auto"/>
                <w:sz w:val="24"/>
                <w:szCs w:val="24"/>
                <w:highlight w:val="none"/>
              </w:rPr>
              <w:t>内   容</w:t>
            </w:r>
          </w:p>
        </w:tc>
      </w:tr>
      <w:tr w14:paraId="15BC57C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8"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3CF0940D">
            <w:pPr>
              <w:snapToGrid w:val="0"/>
              <w:jc w:val="center"/>
              <w:rPr>
                <w:rFonts w:hint="default"/>
                <w:color w:val="auto"/>
                <w:sz w:val="24"/>
                <w:szCs w:val="24"/>
                <w:highlight w:val="none"/>
              </w:rPr>
            </w:pPr>
            <w:r>
              <w:rPr>
                <w:rFonts w:hint="default"/>
                <w:color w:val="auto"/>
                <w:sz w:val="24"/>
                <w:szCs w:val="24"/>
                <w:highlight w:val="none"/>
              </w:rPr>
              <w:t>1</w:t>
            </w:r>
          </w:p>
        </w:tc>
        <w:tc>
          <w:tcPr>
            <w:tcW w:w="1440" w:type="dxa"/>
            <w:tcBorders>
              <w:top w:val="single" w:color="auto" w:sz="4" w:space="0"/>
              <w:left w:val="single" w:color="auto" w:sz="4" w:space="0"/>
              <w:bottom w:val="single" w:color="auto" w:sz="4" w:space="0"/>
              <w:right w:val="single" w:color="auto" w:sz="4" w:space="0"/>
            </w:tcBorders>
            <w:noWrap/>
            <w:vAlign w:val="center"/>
          </w:tcPr>
          <w:p w14:paraId="6EE00AE3">
            <w:pPr>
              <w:snapToGrid w:val="0"/>
              <w:jc w:val="center"/>
              <w:rPr>
                <w:rFonts w:hint="default"/>
                <w:color w:val="auto"/>
                <w:sz w:val="24"/>
                <w:szCs w:val="24"/>
                <w:highlight w:val="none"/>
              </w:rPr>
            </w:pPr>
            <w:r>
              <w:rPr>
                <w:rFonts w:hint="default"/>
                <w:color w:val="auto"/>
                <w:sz w:val="24"/>
                <w:szCs w:val="24"/>
                <w:highlight w:val="none"/>
              </w:rPr>
              <w:t>项目名称</w:t>
            </w:r>
          </w:p>
        </w:tc>
        <w:tc>
          <w:tcPr>
            <w:tcW w:w="7142" w:type="dxa"/>
            <w:tcBorders>
              <w:top w:val="single" w:color="auto" w:sz="4" w:space="0"/>
              <w:left w:val="single" w:color="auto" w:sz="4" w:space="0"/>
              <w:bottom w:val="single" w:color="auto" w:sz="4" w:space="0"/>
              <w:right w:val="single" w:color="auto" w:sz="4" w:space="0"/>
            </w:tcBorders>
            <w:noWrap/>
            <w:vAlign w:val="center"/>
          </w:tcPr>
          <w:p w14:paraId="66E4AA27">
            <w:pPr>
              <w:snapToGrid w:val="0"/>
              <w:rPr>
                <w:rFonts w:hint="eastAsia" w:eastAsia="宋体"/>
                <w:color w:val="auto"/>
                <w:sz w:val="24"/>
                <w:szCs w:val="24"/>
                <w:highlight w:val="none"/>
                <w:lang w:eastAsia="zh-CN"/>
              </w:rPr>
            </w:pPr>
            <w:r>
              <w:rPr>
                <w:rFonts w:hint="eastAsia"/>
                <w:color w:val="auto"/>
                <w:sz w:val="24"/>
                <w:szCs w:val="24"/>
                <w:highlight w:val="none"/>
                <w:lang w:eastAsia="zh-CN"/>
              </w:rPr>
              <w:t>浙江工业大学制备液相色谱仪等采购</w:t>
            </w:r>
          </w:p>
        </w:tc>
      </w:tr>
      <w:tr w14:paraId="228222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3CE038E7">
            <w:pPr>
              <w:snapToGrid w:val="0"/>
              <w:jc w:val="center"/>
              <w:rPr>
                <w:rFonts w:hint="default"/>
                <w:color w:val="auto"/>
                <w:sz w:val="24"/>
                <w:szCs w:val="24"/>
                <w:highlight w:val="none"/>
              </w:rPr>
            </w:pPr>
            <w:r>
              <w:rPr>
                <w:rFonts w:hint="default"/>
                <w:color w:val="auto"/>
                <w:sz w:val="24"/>
                <w:szCs w:val="24"/>
                <w:highlight w:val="none"/>
              </w:rPr>
              <w:t>2</w:t>
            </w:r>
          </w:p>
        </w:tc>
        <w:tc>
          <w:tcPr>
            <w:tcW w:w="1440" w:type="dxa"/>
            <w:tcBorders>
              <w:top w:val="single" w:color="auto" w:sz="4" w:space="0"/>
              <w:left w:val="single" w:color="auto" w:sz="4" w:space="0"/>
              <w:bottom w:val="single" w:color="auto" w:sz="4" w:space="0"/>
              <w:right w:val="single" w:color="auto" w:sz="4" w:space="0"/>
            </w:tcBorders>
            <w:noWrap/>
            <w:vAlign w:val="center"/>
          </w:tcPr>
          <w:p w14:paraId="28DF36BF">
            <w:pPr>
              <w:snapToGrid w:val="0"/>
              <w:jc w:val="center"/>
              <w:rPr>
                <w:rFonts w:hint="default"/>
                <w:color w:val="auto"/>
                <w:sz w:val="24"/>
                <w:szCs w:val="24"/>
                <w:highlight w:val="none"/>
              </w:rPr>
            </w:pPr>
            <w:r>
              <w:rPr>
                <w:rFonts w:hint="default"/>
                <w:color w:val="auto"/>
                <w:sz w:val="24"/>
                <w:szCs w:val="24"/>
                <w:highlight w:val="none"/>
              </w:rPr>
              <w:t>采购内</w:t>
            </w:r>
          </w:p>
          <w:p w14:paraId="6E0E9A74">
            <w:pPr>
              <w:snapToGrid w:val="0"/>
              <w:jc w:val="center"/>
              <w:rPr>
                <w:rFonts w:hint="default"/>
                <w:color w:val="auto"/>
                <w:sz w:val="24"/>
                <w:szCs w:val="24"/>
                <w:highlight w:val="none"/>
              </w:rPr>
            </w:pPr>
            <w:r>
              <w:rPr>
                <w:rFonts w:hint="default"/>
                <w:color w:val="auto"/>
                <w:sz w:val="24"/>
                <w:szCs w:val="24"/>
                <w:highlight w:val="none"/>
              </w:rPr>
              <w:t>容及数量</w:t>
            </w:r>
          </w:p>
        </w:tc>
        <w:tc>
          <w:tcPr>
            <w:tcW w:w="7142" w:type="dxa"/>
            <w:tcBorders>
              <w:top w:val="single" w:color="auto" w:sz="4" w:space="0"/>
              <w:left w:val="single" w:color="auto" w:sz="4" w:space="0"/>
              <w:bottom w:val="single" w:color="auto" w:sz="4" w:space="0"/>
              <w:right w:val="single" w:color="auto" w:sz="4" w:space="0"/>
            </w:tcBorders>
            <w:noWrap/>
            <w:vAlign w:val="center"/>
          </w:tcPr>
          <w:p w14:paraId="53B88F54">
            <w:pPr>
              <w:snapToGrid w:val="0"/>
              <w:rPr>
                <w:rFonts w:hint="default"/>
                <w:color w:val="auto"/>
                <w:sz w:val="24"/>
                <w:szCs w:val="24"/>
                <w:highlight w:val="none"/>
              </w:rPr>
            </w:pPr>
            <w:r>
              <w:rPr>
                <w:rFonts w:hint="default"/>
                <w:color w:val="auto"/>
                <w:sz w:val="24"/>
                <w:szCs w:val="24"/>
                <w:highlight w:val="none"/>
              </w:rPr>
              <w:t>详见招标文件第四章采购内容及需求部分</w:t>
            </w:r>
          </w:p>
        </w:tc>
      </w:tr>
      <w:tr w14:paraId="717D30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6BF04E2D">
            <w:pPr>
              <w:snapToGrid w:val="0"/>
              <w:jc w:val="center"/>
              <w:rPr>
                <w:rFonts w:hint="default"/>
                <w:color w:val="auto"/>
                <w:sz w:val="24"/>
                <w:szCs w:val="24"/>
                <w:highlight w:val="none"/>
              </w:rPr>
            </w:pPr>
            <w:r>
              <w:rPr>
                <w:rFonts w:hint="default"/>
                <w:color w:val="auto"/>
                <w:sz w:val="24"/>
                <w:szCs w:val="24"/>
                <w:highlight w:val="none"/>
              </w:rPr>
              <w:t>3</w:t>
            </w:r>
          </w:p>
        </w:tc>
        <w:tc>
          <w:tcPr>
            <w:tcW w:w="1440" w:type="dxa"/>
            <w:tcBorders>
              <w:top w:val="single" w:color="auto" w:sz="4" w:space="0"/>
              <w:left w:val="single" w:color="auto" w:sz="4" w:space="0"/>
              <w:bottom w:val="single" w:color="auto" w:sz="4" w:space="0"/>
              <w:right w:val="single" w:color="auto" w:sz="4" w:space="0"/>
            </w:tcBorders>
            <w:noWrap/>
            <w:vAlign w:val="center"/>
          </w:tcPr>
          <w:p w14:paraId="43538C45">
            <w:pPr>
              <w:snapToGrid w:val="0"/>
              <w:jc w:val="center"/>
              <w:rPr>
                <w:rFonts w:hint="default"/>
                <w:color w:val="auto"/>
                <w:sz w:val="24"/>
                <w:szCs w:val="24"/>
                <w:highlight w:val="none"/>
              </w:rPr>
            </w:pPr>
            <w:r>
              <w:rPr>
                <w:rFonts w:hint="default"/>
                <w:color w:val="auto"/>
                <w:sz w:val="24"/>
                <w:szCs w:val="24"/>
                <w:highlight w:val="none"/>
              </w:rPr>
              <w:t>预算金额</w:t>
            </w:r>
          </w:p>
        </w:tc>
        <w:tc>
          <w:tcPr>
            <w:tcW w:w="7142" w:type="dxa"/>
            <w:tcBorders>
              <w:top w:val="single" w:color="auto" w:sz="4" w:space="0"/>
              <w:left w:val="single" w:color="auto" w:sz="4" w:space="0"/>
              <w:bottom w:val="single" w:color="auto" w:sz="4" w:space="0"/>
              <w:right w:val="single" w:color="auto" w:sz="4" w:space="0"/>
            </w:tcBorders>
            <w:noWrap/>
            <w:vAlign w:val="center"/>
          </w:tcPr>
          <w:p w14:paraId="78A8F8F5">
            <w:pPr>
              <w:snapToGrid w:val="0"/>
              <w:rPr>
                <w:rFonts w:hint="default"/>
                <w:color w:val="auto"/>
                <w:sz w:val="24"/>
                <w:szCs w:val="24"/>
                <w:highlight w:val="none"/>
              </w:rPr>
            </w:pPr>
            <w:r>
              <w:rPr>
                <w:rFonts w:hint="default"/>
                <w:color w:val="auto"/>
                <w:sz w:val="24"/>
                <w:szCs w:val="24"/>
                <w:highlight w:val="none"/>
              </w:rPr>
              <w:t>详见招标公告</w:t>
            </w:r>
          </w:p>
        </w:tc>
      </w:tr>
      <w:tr w14:paraId="19834D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59B833C2">
            <w:pPr>
              <w:snapToGrid w:val="0"/>
              <w:jc w:val="center"/>
              <w:rPr>
                <w:rFonts w:hint="default"/>
                <w:color w:val="auto"/>
                <w:sz w:val="24"/>
                <w:szCs w:val="24"/>
                <w:highlight w:val="none"/>
              </w:rPr>
            </w:pPr>
            <w:r>
              <w:rPr>
                <w:rFonts w:hint="default"/>
                <w:color w:val="auto"/>
                <w:sz w:val="24"/>
                <w:szCs w:val="24"/>
                <w:highlight w:val="none"/>
              </w:rPr>
              <w:t>4</w:t>
            </w:r>
          </w:p>
        </w:tc>
        <w:tc>
          <w:tcPr>
            <w:tcW w:w="1440" w:type="dxa"/>
            <w:tcBorders>
              <w:top w:val="single" w:color="auto" w:sz="4" w:space="0"/>
              <w:left w:val="single" w:color="auto" w:sz="4" w:space="0"/>
              <w:bottom w:val="single" w:color="auto" w:sz="4" w:space="0"/>
              <w:right w:val="single" w:color="auto" w:sz="4" w:space="0"/>
            </w:tcBorders>
            <w:noWrap/>
            <w:vAlign w:val="center"/>
          </w:tcPr>
          <w:p w14:paraId="1EC643C6">
            <w:pPr>
              <w:snapToGrid w:val="0"/>
              <w:jc w:val="center"/>
              <w:rPr>
                <w:rFonts w:hint="default"/>
                <w:color w:val="auto"/>
                <w:sz w:val="24"/>
                <w:szCs w:val="24"/>
                <w:highlight w:val="none"/>
              </w:rPr>
            </w:pPr>
            <w:r>
              <w:rPr>
                <w:rFonts w:hint="default"/>
                <w:color w:val="auto"/>
                <w:sz w:val="24"/>
                <w:szCs w:val="24"/>
                <w:highlight w:val="none"/>
              </w:rPr>
              <w:t>公告媒体</w:t>
            </w:r>
          </w:p>
        </w:tc>
        <w:tc>
          <w:tcPr>
            <w:tcW w:w="7142" w:type="dxa"/>
            <w:tcBorders>
              <w:top w:val="single" w:color="auto" w:sz="4" w:space="0"/>
              <w:left w:val="single" w:color="auto" w:sz="4" w:space="0"/>
              <w:bottom w:val="single" w:color="auto" w:sz="4" w:space="0"/>
              <w:right w:val="single" w:color="auto" w:sz="4" w:space="0"/>
            </w:tcBorders>
            <w:noWrap/>
            <w:vAlign w:val="center"/>
          </w:tcPr>
          <w:p w14:paraId="0FF3F731">
            <w:pPr>
              <w:autoSpaceDE w:val="0"/>
              <w:autoSpaceDN w:val="0"/>
              <w:snapToGrid w:val="0"/>
              <w:textAlignment w:val="bottom"/>
              <w:rPr>
                <w:rFonts w:hint="default"/>
                <w:color w:val="auto"/>
                <w:sz w:val="24"/>
                <w:szCs w:val="24"/>
                <w:highlight w:val="none"/>
              </w:rPr>
            </w:pPr>
            <w:r>
              <w:rPr>
                <w:rFonts w:hint="default"/>
                <w:color w:val="auto"/>
                <w:sz w:val="24"/>
                <w:szCs w:val="24"/>
                <w:highlight w:val="none"/>
              </w:rPr>
              <w:t>浙江政府采购网</w:t>
            </w:r>
          </w:p>
        </w:tc>
      </w:tr>
      <w:tr w14:paraId="0CE48E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03"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110EDACA">
            <w:pPr>
              <w:snapToGrid w:val="0"/>
              <w:jc w:val="center"/>
              <w:rPr>
                <w:rFonts w:hint="default"/>
                <w:color w:val="auto"/>
                <w:sz w:val="24"/>
                <w:szCs w:val="24"/>
                <w:highlight w:val="none"/>
              </w:rPr>
            </w:pPr>
            <w:r>
              <w:rPr>
                <w:rFonts w:hint="default"/>
                <w:color w:val="auto"/>
                <w:sz w:val="24"/>
                <w:szCs w:val="24"/>
                <w:highlight w:val="none"/>
              </w:rPr>
              <w:t>5</w:t>
            </w:r>
          </w:p>
        </w:tc>
        <w:tc>
          <w:tcPr>
            <w:tcW w:w="1440" w:type="dxa"/>
            <w:tcBorders>
              <w:top w:val="single" w:color="auto" w:sz="4" w:space="0"/>
              <w:left w:val="single" w:color="auto" w:sz="4" w:space="0"/>
              <w:bottom w:val="single" w:color="auto" w:sz="4" w:space="0"/>
              <w:right w:val="single" w:color="auto" w:sz="4" w:space="0"/>
            </w:tcBorders>
            <w:noWrap/>
            <w:vAlign w:val="center"/>
          </w:tcPr>
          <w:p w14:paraId="1B498B58">
            <w:pPr>
              <w:snapToGrid w:val="0"/>
              <w:jc w:val="center"/>
              <w:rPr>
                <w:rFonts w:hint="default"/>
                <w:color w:val="auto"/>
                <w:sz w:val="24"/>
                <w:szCs w:val="24"/>
                <w:highlight w:val="none"/>
              </w:rPr>
            </w:pPr>
            <w:r>
              <w:rPr>
                <w:rFonts w:hint="default"/>
                <w:color w:val="auto"/>
                <w:sz w:val="24"/>
                <w:szCs w:val="24"/>
                <w:highlight w:val="none"/>
              </w:rPr>
              <w:t>电子交</w:t>
            </w:r>
          </w:p>
          <w:p w14:paraId="47E28631">
            <w:pPr>
              <w:snapToGrid w:val="0"/>
              <w:jc w:val="center"/>
              <w:rPr>
                <w:rFonts w:hint="default"/>
                <w:color w:val="auto"/>
                <w:sz w:val="24"/>
                <w:szCs w:val="24"/>
                <w:highlight w:val="none"/>
              </w:rPr>
            </w:pPr>
            <w:r>
              <w:rPr>
                <w:rFonts w:hint="default"/>
                <w:color w:val="auto"/>
                <w:sz w:val="24"/>
                <w:szCs w:val="24"/>
                <w:highlight w:val="none"/>
              </w:rPr>
              <w:t>易平台</w:t>
            </w:r>
          </w:p>
        </w:tc>
        <w:tc>
          <w:tcPr>
            <w:tcW w:w="7142" w:type="dxa"/>
            <w:tcBorders>
              <w:top w:val="single" w:color="auto" w:sz="4" w:space="0"/>
              <w:left w:val="single" w:color="auto" w:sz="4" w:space="0"/>
              <w:bottom w:val="single" w:color="auto" w:sz="4" w:space="0"/>
              <w:right w:val="single" w:color="auto" w:sz="4" w:space="0"/>
            </w:tcBorders>
            <w:noWrap/>
            <w:vAlign w:val="center"/>
          </w:tcPr>
          <w:p w14:paraId="72058D3E">
            <w:pPr>
              <w:snapToGrid w:val="0"/>
              <w:rPr>
                <w:rFonts w:hint="default"/>
                <w:color w:val="auto"/>
                <w:sz w:val="24"/>
                <w:szCs w:val="24"/>
                <w:highlight w:val="none"/>
              </w:rPr>
            </w:pPr>
            <w:r>
              <w:rPr>
                <w:rFonts w:hint="default"/>
                <w:color w:val="auto"/>
                <w:sz w:val="24"/>
                <w:szCs w:val="24"/>
                <w:highlight w:val="none"/>
              </w:rPr>
              <w:t>政府采购云平台（www.zcygov.cn）</w:t>
            </w:r>
          </w:p>
        </w:tc>
      </w:tr>
      <w:tr w14:paraId="6EEAA69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7"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7FD65DBD">
            <w:pPr>
              <w:snapToGrid w:val="0"/>
              <w:jc w:val="center"/>
              <w:rPr>
                <w:rFonts w:hint="default"/>
                <w:color w:val="auto"/>
                <w:sz w:val="24"/>
                <w:szCs w:val="24"/>
                <w:highlight w:val="none"/>
              </w:rPr>
            </w:pPr>
            <w:r>
              <w:rPr>
                <w:rFonts w:hint="default"/>
                <w:color w:val="auto"/>
                <w:sz w:val="24"/>
                <w:szCs w:val="24"/>
                <w:highlight w:val="none"/>
              </w:rPr>
              <w:t>6</w:t>
            </w:r>
          </w:p>
        </w:tc>
        <w:tc>
          <w:tcPr>
            <w:tcW w:w="1440" w:type="dxa"/>
            <w:tcBorders>
              <w:top w:val="single" w:color="auto" w:sz="4" w:space="0"/>
              <w:left w:val="single" w:color="auto" w:sz="4" w:space="0"/>
              <w:bottom w:val="single" w:color="auto" w:sz="4" w:space="0"/>
              <w:right w:val="single" w:color="auto" w:sz="4" w:space="0"/>
            </w:tcBorders>
            <w:noWrap/>
            <w:vAlign w:val="center"/>
          </w:tcPr>
          <w:p w14:paraId="5A8148A6">
            <w:pPr>
              <w:snapToGrid w:val="0"/>
              <w:jc w:val="center"/>
              <w:rPr>
                <w:rFonts w:hint="default"/>
                <w:color w:val="auto"/>
                <w:sz w:val="24"/>
                <w:szCs w:val="24"/>
                <w:highlight w:val="none"/>
              </w:rPr>
            </w:pPr>
            <w:r>
              <w:rPr>
                <w:rFonts w:hint="default"/>
                <w:color w:val="auto"/>
                <w:sz w:val="24"/>
                <w:szCs w:val="24"/>
                <w:highlight w:val="none"/>
              </w:rPr>
              <w:t>投标报价</w:t>
            </w:r>
          </w:p>
        </w:tc>
        <w:tc>
          <w:tcPr>
            <w:tcW w:w="7142" w:type="dxa"/>
            <w:tcBorders>
              <w:top w:val="single" w:color="auto" w:sz="4" w:space="0"/>
              <w:left w:val="single" w:color="auto" w:sz="4" w:space="0"/>
              <w:bottom w:val="single" w:color="auto" w:sz="4" w:space="0"/>
              <w:right w:val="single" w:color="auto" w:sz="4" w:space="0"/>
            </w:tcBorders>
            <w:noWrap/>
            <w:vAlign w:val="center"/>
          </w:tcPr>
          <w:p w14:paraId="7A3B6CE3">
            <w:pPr>
              <w:snapToGrid w:val="0"/>
              <w:ind w:left="-315" w:leftChars="-150" w:firstLine="480" w:firstLineChars="200"/>
              <w:rPr>
                <w:rFonts w:hint="default"/>
                <w:color w:val="auto"/>
                <w:sz w:val="24"/>
                <w:szCs w:val="24"/>
                <w:highlight w:val="none"/>
              </w:rPr>
            </w:pPr>
            <w:r>
              <w:rPr>
                <w:color w:val="auto"/>
                <w:sz w:val="24"/>
                <w:szCs w:val="24"/>
                <w:highlight w:val="none"/>
              </w:rPr>
              <w:t>1、</w:t>
            </w:r>
            <w:r>
              <w:rPr>
                <w:rFonts w:hint="default"/>
                <w:color w:val="auto"/>
                <w:sz w:val="24"/>
                <w:szCs w:val="24"/>
                <w:highlight w:val="none"/>
              </w:rPr>
              <w:t>本项目应以人民币报价；</w:t>
            </w:r>
          </w:p>
          <w:p w14:paraId="17F42AF5">
            <w:pPr>
              <w:snapToGrid w:val="0"/>
              <w:ind w:firstLine="240" w:firstLineChars="100"/>
              <w:rPr>
                <w:rFonts w:hint="default"/>
                <w:color w:val="auto"/>
                <w:sz w:val="24"/>
                <w:szCs w:val="24"/>
                <w:highlight w:val="none"/>
              </w:rPr>
            </w:pPr>
            <w:r>
              <w:rPr>
                <w:color w:val="auto"/>
                <w:sz w:val="24"/>
                <w:szCs w:val="24"/>
                <w:highlight w:val="none"/>
              </w:rPr>
              <w:t>2、投标报价为交钥匙方式完成本项目的全部费用的价格体现，即供货至招标人指定的地点，总价包干。</w:t>
            </w:r>
          </w:p>
          <w:p w14:paraId="01CC012E">
            <w:pPr>
              <w:snapToGrid w:val="0"/>
              <w:ind w:firstLine="480" w:firstLineChars="200"/>
              <w:rPr>
                <w:rFonts w:hint="default"/>
                <w:color w:val="auto"/>
                <w:sz w:val="24"/>
                <w:szCs w:val="24"/>
                <w:highlight w:val="none"/>
              </w:rPr>
            </w:pPr>
            <w:r>
              <w:rPr>
                <w:color w:val="auto"/>
                <w:sz w:val="24"/>
                <w:szCs w:val="24"/>
                <w:highlight w:val="none"/>
              </w:rPr>
              <w:t>国产设备报价包含设备（包括主机、标准附件、备品备件、专用工具）价、设备运杂费、保险费、利润、税金等，</w:t>
            </w:r>
            <w:r>
              <w:rPr>
                <w:b/>
                <w:bCs/>
                <w:color w:val="auto"/>
                <w:sz w:val="24"/>
                <w:szCs w:val="24"/>
                <w:highlight w:val="none"/>
              </w:rPr>
              <w:t>以人民币报价</w:t>
            </w:r>
            <w:r>
              <w:rPr>
                <w:color w:val="auto"/>
                <w:sz w:val="24"/>
                <w:szCs w:val="24"/>
                <w:highlight w:val="none"/>
              </w:rPr>
              <w:t>；进口设备报价包含设备（包括主机、标准附件、备品备件、专用工具）价、国际运费、国际运输保险费、银行财务费、利润、税金、安装调试费、培训费以及货物到达正常条件下所包含的全部费用。进口设备预算包含外贸代理费、银行手续费、清关费、海关监管手续费、国内运杂费、国内运输保险费、强制性防疫检测及消杀费等，进口免税设备的报价不包含上述费用，但包含于预算中。</w:t>
            </w:r>
            <w:r>
              <w:rPr>
                <w:b/>
                <w:bCs/>
                <w:color w:val="auto"/>
                <w:sz w:val="24"/>
                <w:szCs w:val="24"/>
                <w:highlight w:val="none"/>
              </w:rPr>
              <w:t>进口免税设备的价格采用免税人民币报价</w:t>
            </w:r>
            <w:r>
              <w:rPr>
                <w:color w:val="auto"/>
                <w:sz w:val="24"/>
                <w:szCs w:val="24"/>
                <w:highlight w:val="none"/>
              </w:rPr>
              <w:t>，对于根据国家相关规定不能享受进口免税政策的设备采用人民币报价，交货方式为CIP杭州，由采购人委托相关的进口代理公司</w:t>
            </w:r>
            <w:r>
              <w:rPr>
                <w:b/>
                <w:bCs/>
                <w:color w:val="auto"/>
                <w:sz w:val="24"/>
                <w:szCs w:val="24"/>
                <w:highlight w:val="none"/>
              </w:rPr>
              <w:t>（</w:t>
            </w:r>
            <w:r>
              <w:rPr>
                <w:rFonts w:hint="eastAsia"/>
                <w:b/>
                <w:bCs/>
                <w:color w:val="auto"/>
                <w:sz w:val="24"/>
                <w:szCs w:val="24"/>
                <w:highlight w:val="none"/>
                <w:lang w:eastAsia="zh-CN"/>
              </w:rPr>
              <w:t>赛尔网络有限公司</w:t>
            </w:r>
            <w:r>
              <w:rPr>
                <w:b/>
                <w:bCs/>
                <w:color w:val="auto"/>
                <w:sz w:val="24"/>
                <w:szCs w:val="24"/>
                <w:highlight w:val="none"/>
              </w:rPr>
              <w:t>）</w:t>
            </w:r>
            <w:r>
              <w:rPr>
                <w:color w:val="auto"/>
                <w:sz w:val="24"/>
                <w:szCs w:val="24"/>
                <w:highlight w:val="none"/>
              </w:rPr>
              <w:t>履行代理进口事宜，外贸代理费（人民币）按合同金额乘以收费费率计算，汇率风险由中标人承担，进口设备如遇免税无法办出则采购人有权终止合同。</w:t>
            </w:r>
            <w:r>
              <w:rPr>
                <w:b/>
                <w:bCs/>
                <w:color w:val="auto"/>
                <w:sz w:val="24"/>
                <w:szCs w:val="24"/>
                <w:highlight w:val="none"/>
              </w:rPr>
              <w:t>如有惩罚性关税，费用由中标人承担，采购人不再额外支付费用；</w:t>
            </w:r>
          </w:p>
          <w:tbl>
            <w:tblPr>
              <w:tblStyle w:val="4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83"/>
              <w:gridCol w:w="2760"/>
            </w:tblGrid>
            <w:tr w14:paraId="47A86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83" w:type="dxa"/>
                  <w:vAlign w:val="center"/>
                </w:tcPr>
                <w:p w14:paraId="0D60AFB7">
                  <w:pPr>
                    <w:spacing w:line="480" w:lineRule="exact"/>
                    <w:jc w:val="center"/>
                    <w:rPr>
                      <w:rFonts w:hint="default"/>
                      <w:color w:val="auto"/>
                      <w:sz w:val="24"/>
                      <w:szCs w:val="24"/>
                      <w:highlight w:val="none"/>
                    </w:rPr>
                  </w:pPr>
                  <w:r>
                    <w:rPr>
                      <w:rFonts w:ascii="Calibri" w:hAnsi="宋体"/>
                      <w:color w:val="auto"/>
                      <w:sz w:val="24"/>
                      <w:szCs w:val="24"/>
                      <w:highlight w:val="none"/>
                    </w:rPr>
                    <w:t>代理金额(单票)</w:t>
                  </w:r>
                </w:p>
              </w:tc>
              <w:tc>
                <w:tcPr>
                  <w:tcW w:w="2760" w:type="dxa"/>
                  <w:vAlign w:val="center"/>
                </w:tcPr>
                <w:p w14:paraId="566C305D">
                  <w:pPr>
                    <w:spacing w:line="480" w:lineRule="exact"/>
                    <w:jc w:val="center"/>
                    <w:rPr>
                      <w:rFonts w:hint="default"/>
                      <w:color w:val="auto"/>
                      <w:sz w:val="24"/>
                      <w:szCs w:val="24"/>
                      <w:highlight w:val="none"/>
                    </w:rPr>
                  </w:pPr>
                  <w:r>
                    <w:rPr>
                      <w:rFonts w:ascii="Calibri" w:hAnsi="宋体"/>
                      <w:color w:val="auto"/>
                      <w:sz w:val="24"/>
                      <w:szCs w:val="24"/>
                      <w:highlight w:val="none"/>
                    </w:rPr>
                    <w:t>代理费费率</w:t>
                  </w:r>
                </w:p>
              </w:tc>
            </w:tr>
            <w:tr w14:paraId="5AA928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8" w:hRule="atLeast"/>
                <w:jc w:val="center"/>
              </w:trPr>
              <w:tc>
                <w:tcPr>
                  <w:tcW w:w="3383" w:type="dxa"/>
                  <w:vAlign w:val="center"/>
                </w:tcPr>
                <w:p w14:paraId="053F2D4C">
                  <w:pPr>
                    <w:spacing w:line="48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（0-5)万USD</w:t>
                  </w:r>
                </w:p>
              </w:tc>
              <w:tc>
                <w:tcPr>
                  <w:tcW w:w="2760" w:type="dxa"/>
                  <w:vAlign w:val="center"/>
                </w:tcPr>
                <w:p w14:paraId="442786DE">
                  <w:pPr>
                    <w:spacing w:line="48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w:t>
                  </w:r>
                </w:p>
              </w:tc>
            </w:tr>
            <w:tr w14:paraId="4EE1E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83" w:type="dxa"/>
                  <w:vAlign w:val="top"/>
                </w:tcPr>
                <w:p w14:paraId="52B1E8EB">
                  <w:pPr>
                    <w:spacing w:line="48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［5-10)万USD</w:t>
                  </w:r>
                </w:p>
              </w:tc>
              <w:tc>
                <w:tcPr>
                  <w:tcW w:w="2760" w:type="dxa"/>
                  <w:vAlign w:val="center"/>
                </w:tcPr>
                <w:p w14:paraId="3B5D188F">
                  <w:pPr>
                    <w:spacing w:line="48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1.44%</w:t>
                  </w:r>
                </w:p>
              </w:tc>
            </w:tr>
            <w:tr w14:paraId="115E7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83" w:type="dxa"/>
                  <w:vAlign w:val="top"/>
                </w:tcPr>
                <w:p w14:paraId="401F8C10">
                  <w:pPr>
                    <w:spacing w:line="48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［10-20)万USD</w:t>
                  </w:r>
                </w:p>
              </w:tc>
              <w:tc>
                <w:tcPr>
                  <w:tcW w:w="2760" w:type="dxa"/>
                  <w:vAlign w:val="center"/>
                </w:tcPr>
                <w:p w14:paraId="27D0E455">
                  <w:pPr>
                    <w:spacing w:line="48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1.08%</w:t>
                  </w:r>
                </w:p>
              </w:tc>
            </w:tr>
            <w:tr w14:paraId="07363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83" w:type="dxa"/>
                  <w:vAlign w:val="top"/>
                </w:tcPr>
                <w:p w14:paraId="6FFB88D0">
                  <w:pPr>
                    <w:spacing w:line="48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［20-50)万USD</w:t>
                  </w:r>
                </w:p>
              </w:tc>
              <w:tc>
                <w:tcPr>
                  <w:tcW w:w="2760" w:type="dxa"/>
                  <w:vAlign w:val="center"/>
                </w:tcPr>
                <w:p w14:paraId="540AD2E0">
                  <w:pPr>
                    <w:spacing w:line="48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0.72%</w:t>
                  </w:r>
                </w:p>
              </w:tc>
            </w:tr>
            <w:tr w14:paraId="45ED08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83" w:type="dxa"/>
                  <w:vAlign w:val="top"/>
                </w:tcPr>
                <w:p w14:paraId="7B93A655">
                  <w:pPr>
                    <w:spacing w:line="48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50万USD及以上</w:t>
                  </w:r>
                </w:p>
              </w:tc>
              <w:tc>
                <w:tcPr>
                  <w:tcW w:w="2760" w:type="dxa"/>
                  <w:vAlign w:val="center"/>
                </w:tcPr>
                <w:p w14:paraId="422E2677">
                  <w:pPr>
                    <w:spacing w:line="480" w:lineRule="exact"/>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0.54%</w:t>
                  </w:r>
                </w:p>
              </w:tc>
            </w:tr>
          </w:tbl>
          <w:p w14:paraId="362213E3">
            <w:pPr>
              <w:snapToGrid w:val="0"/>
              <w:ind w:firstLine="480" w:firstLineChars="200"/>
              <w:rPr>
                <w:rFonts w:hint="default"/>
                <w:color w:val="auto"/>
                <w:sz w:val="24"/>
                <w:szCs w:val="24"/>
                <w:highlight w:val="none"/>
              </w:rPr>
            </w:pPr>
            <w:r>
              <w:rPr>
                <w:color w:val="auto"/>
                <w:sz w:val="24"/>
                <w:szCs w:val="24"/>
                <w:highlight w:val="none"/>
              </w:rPr>
              <w:t>汇率风险由中标人承担。进口设备如遇不享受免税优惠政策则采购人有权终止合同。</w:t>
            </w:r>
          </w:p>
          <w:p w14:paraId="35CA6B26">
            <w:pPr>
              <w:snapToGrid w:val="0"/>
              <w:ind w:left="360" w:hanging="360" w:hangingChars="150"/>
              <w:rPr>
                <w:rFonts w:hint="default"/>
                <w:color w:val="auto"/>
                <w:sz w:val="24"/>
                <w:szCs w:val="24"/>
                <w:highlight w:val="none"/>
              </w:rPr>
            </w:pPr>
            <w:r>
              <w:rPr>
                <w:color w:val="auto"/>
                <w:sz w:val="24"/>
                <w:szCs w:val="24"/>
                <w:highlight w:val="none"/>
              </w:rPr>
              <w:t>3、不论投标结果如何，投标人均应自行承担所有与投标有关的全部费用。</w:t>
            </w:r>
          </w:p>
        </w:tc>
      </w:tr>
      <w:tr w14:paraId="21036B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0"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7BC5E349">
            <w:pPr>
              <w:snapToGrid w:val="0"/>
              <w:jc w:val="center"/>
              <w:rPr>
                <w:rFonts w:hint="default"/>
                <w:color w:val="auto"/>
                <w:sz w:val="24"/>
                <w:szCs w:val="24"/>
                <w:highlight w:val="none"/>
              </w:rPr>
            </w:pPr>
            <w:r>
              <w:rPr>
                <w:rFonts w:hint="default"/>
                <w:color w:val="auto"/>
                <w:sz w:val="24"/>
                <w:szCs w:val="24"/>
                <w:highlight w:val="none"/>
              </w:rPr>
              <w:t>7</w:t>
            </w:r>
          </w:p>
        </w:tc>
        <w:tc>
          <w:tcPr>
            <w:tcW w:w="1440" w:type="dxa"/>
            <w:tcBorders>
              <w:top w:val="single" w:color="auto" w:sz="4" w:space="0"/>
              <w:left w:val="single" w:color="auto" w:sz="4" w:space="0"/>
              <w:bottom w:val="single" w:color="auto" w:sz="4" w:space="0"/>
              <w:right w:val="single" w:color="auto" w:sz="4" w:space="0"/>
            </w:tcBorders>
            <w:noWrap/>
            <w:vAlign w:val="center"/>
          </w:tcPr>
          <w:p w14:paraId="56A23C6B">
            <w:pPr>
              <w:snapToGrid w:val="0"/>
              <w:jc w:val="center"/>
              <w:rPr>
                <w:rFonts w:hint="default"/>
                <w:color w:val="auto"/>
                <w:sz w:val="24"/>
                <w:szCs w:val="24"/>
                <w:highlight w:val="none"/>
              </w:rPr>
            </w:pPr>
            <w:r>
              <w:rPr>
                <w:rFonts w:hint="default"/>
                <w:color w:val="auto"/>
                <w:sz w:val="24"/>
                <w:szCs w:val="24"/>
                <w:highlight w:val="none"/>
              </w:rPr>
              <w:t>投标保证金</w:t>
            </w:r>
          </w:p>
        </w:tc>
        <w:tc>
          <w:tcPr>
            <w:tcW w:w="7142" w:type="dxa"/>
            <w:tcBorders>
              <w:top w:val="single" w:color="auto" w:sz="4" w:space="0"/>
              <w:left w:val="single" w:color="auto" w:sz="4" w:space="0"/>
              <w:bottom w:val="single" w:color="auto" w:sz="4" w:space="0"/>
              <w:right w:val="single" w:color="auto" w:sz="4" w:space="0"/>
            </w:tcBorders>
            <w:noWrap/>
            <w:vAlign w:val="center"/>
          </w:tcPr>
          <w:p w14:paraId="47FC201E">
            <w:pPr>
              <w:snapToGrid w:val="0"/>
              <w:ind w:left="360" w:hanging="360" w:hangingChars="150"/>
              <w:rPr>
                <w:rFonts w:hint="default"/>
                <w:b/>
                <w:color w:val="auto"/>
                <w:sz w:val="24"/>
                <w:szCs w:val="24"/>
                <w:highlight w:val="none"/>
              </w:rPr>
            </w:pPr>
            <w:r>
              <w:rPr>
                <w:rFonts w:hint="default"/>
                <w:color w:val="auto"/>
                <w:sz w:val="24"/>
                <w:szCs w:val="24"/>
                <w:highlight w:val="none"/>
              </w:rPr>
              <w:t>不收取</w:t>
            </w:r>
          </w:p>
        </w:tc>
      </w:tr>
      <w:tr w14:paraId="3B6163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5"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4A563D73">
            <w:pPr>
              <w:snapToGrid w:val="0"/>
              <w:jc w:val="center"/>
              <w:rPr>
                <w:rFonts w:hint="default"/>
                <w:color w:val="auto"/>
                <w:sz w:val="24"/>
                <w:szCs w:val="24"/>
                <w:highlight w:val="none"/>
              </w:rPr>
            </w:pPr>
            <w:r>
              <w:rPr>
                <w:rFonts w:hint="default"/>
                <w:color w:val="auto"/>
                <w:sz w:val="24"/>
                <w:szCs w:val="24"/>
                <w:highlight w:val="none"/>
              </w:rPr>
              <w:t>8</w:t>
            </w:r>
          </w:p>
        </w:tc>
        <w:tc>
          <w:tcPr>
            <w:tcW w:w="1440" w:type="dxa"/>
            <w:tcBorders>
              <w:top w:val="single" w:color="auto" w:sz="4" w:space="0"/>
              <w:left w:val="single" w:color="auto" w:sz="4" w:space="0"/>
              <w:bottom w:val="single" w:color="auto" w:sz="4" w:space="0"/>
              <w:right w:val="single" w:color="auto" w:sz="4" w:space="0"/>
            </w:tcBorders>
            <w:noWrap/>
            <w:vAlign w:val="center"/>
          </w:tcPr>
          <w:p w14:paraId="6AB14F8A">
            <w:pPr>
              <w:snapToGrid w:val="0"/>
              <w:jc w:val="center"/>
              <w:rPr>
                <w:rFonts w:hint="default"/>
                <w:color w:val="auto"/>
                <w:sz w:val="24"/>
                <w:szCs w:val="24"/>
                <w:highlight w:val="none"/>
              </w:rPr>
            </w:pPr>
            <w:r>
              <w:rPr>
                <w:rFonts w:hint="default"/>
                <w:color w:val="auto"/>
                <w:sz w:val="24"/>
                <w:szCs w:val="24"/>
                <w:highlight w:val="none"/>
              </w:rPr>
              <w:t>踏勘现场</w:t>
            </w:r>
          </w:p>
        </w:tc>
        <w:tc>
          <w:tcPr>
            <w:tcW w:w="7142" w:type="dxa"/>
            <w:tcBorders>
              <w:top w:val="single" w:color="auto" w:sz="4" w:space="0"/>
              <w:left w:val="single" w:color="auto" w:sz="4" w:space="0"/>
              <w:bottom w:val="single" w:color="auto" w:sz="4" w:space="0"/>
              <w:right w:val="single" w:color="auto" w:sz="4" w:space="0"/>
            </w:tcBorders>
            <w:noWrap/>
            <w:vAlign w:val="center"/>
          </w:tcPr>
          <w:p w14:paraId="13BEA799">
            <w:pPr>
              <w:snapToGrid w:val="0"/>
              <w:rPr>
                <w:rFonts w:hint="default"/>
                <w:color w:val="auto"/>
                <w:sz w:val="24"/>
                <w:szCs w:val="24"/>
                <w:highlight w:val="none"/>
              </w:rPr>
            </w:pPr>
            <w:r>
              <w:rPr>
                <w:rFonts w:hint="default"/>
                <w:color w:val="auto"/>
                <w:sz w:val="24"/>
                <w:szCs w:val="24"/>
                <w:highlight w:val="none"/>
              </w:rPr>
              <w:sym w:font="Wingdings 2" w:char="00A3"/>
            </w:r>
            <w:r>
              <w:rPr>
                <w:rFonts w:hint="default"/>
                <w:color w:val="auto"/>
                <w:sz w:val="24"/>
                <w:szCs w:val="24"/>
                <w:highlight w:val="none"/>
              </w:rPr>
              <w:t xml:space="preserve"> 组织（详细内容）</w:t>
            </w:r>
          </w:p>
          <w:p w14:paraId="3D8337E9">
            <w:pPr>
              <w:snapToGrid w:val="0"/>
              <w:rPr>
                <w:rFonts w:hint="default"/>
                <w:color w:val="auto"/>
                <w:sz w:val="24"/>
                <w:szCs w:val="24"/>
                <w:highlight w:val="none"/>
              </w:rPr>
            </w:pPr>
            <w:r>
              <w:rPr>
                <w:rFonts w:hint="default"/>
                <w:color w:val="auto"/>
                <w:sz w:val="24"/>
                <w:szCs w:val="24"/>
                <w:highlight w:val="none"/>
              </w:rPr>
              <w:sym w:font="Wingdings 2" w:char="0052"/>
            </w:r>
            <w:r>
              <w:rPr>
                <w:rFonts w:hint="default"/>
                <w:color w:val="auto"/>
                <w:sz w:val="24"/>
                <w:szCs w:val="24"/>
                <w:highlight w:val="none"/>
              </w:rPr>
              <w:t>不组织, 投标人自行现场踏勘</w:t>
            </w:r>
          </w:p>
        </w:tc>
      </w:tr>
      <w:tr w14:paraId="143545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3"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2EA9DAB2">
            <w:pPr>
              <w:snapToGrid w:val="0"/>
              <w:jc w:val="center"/>
              <w:rPr>
                <w:rFonts w:hint="default"/>
                <w:color w:val="auto"/>
                <w:sz w:val="24"/>
                <w:szCs w:val="24"/>
                <w:highlight w:val="none"/>
              </w:rPr>
            </w:pPr>
            <w:r>
              <w:rPr>
                <w:rFonts w:hint="default"/>
                <w:color w:val="auto"/>
                <w:sz w:val="24"/>
                <w:szCs w:val="24"/>
                <w:highlight w:val="none"/>
              </w:rPr>
              <w:t>9</w:t>
            </w:r>
          </w:p>
        </w:tc>
        <w:tc>
          <w:tcPr>
            <w:tcW w:w="1440" w:type="dxa"/>
            <w:tcBorders>
              <w:top w:val="single" w:color="auto" w:sz="4" w:space="0"/>
              <w:left w:val="single" w:color="auto" w:sz="4" w:space="0"/>
              <w:bottom w:val="single" w:color="auto" w:sz="4" w:space="0"/>
              <w:right w:val="single" w:color="auto" w:sz="4" w:space="0"/>
            </w:tcBorders>
            <w:noWrap/>
            <w:vAlign w:val="center"/>
          </w:tcPr>
          <w:p w14:paraId="6E72400C">
            <w:pPr>
              <w:snapToGrid w:val="0"/>
              <w:jc w:val="center"/>
              <w:rPr>
                <w:rFonts w:hint="default"/>
                <w:color w:val="auto"/>
                <w:sz w:val="24"/>
                <w:szCs w:val="24"/>
                <w:highlight w:val="none"/>
              </w:rPr>
            </w:pPr>
            <w:r>
              <w:rPr>
                <w:rFonts w:hint="default"/>
                <w:color w:val="auto"/>
                <w:sz w:val="24"/>
                <w:szCs w:val="24"/>
                <w:highlight w:val="none"/>
              </w:rPr>
              <w:t>样品</w:t>
            </w:r>
          </w:p>
        </w:tc>
        <w:tc>
          <w:tcPr>
            <w:tcW w:w="7142" w:type="dxa"/>
            <w:tcBorders>
              <w:top w:val="single" w:color="auto" w:sz="4" w:space="0"/>
              <w:left w:val="single" w:color="auto" w:sz="4" w:space="0"/>
              <w:bottom w:val="single" w:color="auto" w:sz="4" w:space="0"/>
              <w:right w:val="single" w:color="auto" w:sz="4" w:space="0"/>
            </w:tcBorders>
            <w:noWrap/>
            <w:vAlign w:val="center"/>
          </w:tcPr>
          <w:p w14:paraId="391CCF52">
            <w:pPr>
              <w:snapToGrid w:val="0"/>
              <w:rPr>
                <w:rFonts w:hint="default"/>
                <w:color w:val="auto"/>
                <w:sz w:val="24"/>
                <w:szCs w:val="24"/>
                <w:highlight w:val="none"/>
              </w:rPr>
            </w:pPr>
            <w:r>
              <w:rPr>
                <w:rFonts w:hint="default"/>
                <w:color w:val="auto"/>
                <w:sz w:val="24"/>
                <w:szCs w:val="24"/>
                <w:highlight w:val="none"/>
              </w:rPr>
              <w:sym w:font="Wingdings 2" w:char="00A3"/>
            </w:r>
            <w:r>
              <w:rPr>
                <w:color w:val="auto"/>
                <w:sz w:val="24"/>
                <w:szCs w:val="24"/>
                <w:highlight w:val="none"/>
              </w:rPr>
              <w:t>提供</w:t>
            </w:r>
          </w:p>
          <w:p w14:paraId="3E98E80A">
            <w:pPr>
              <w:snapToGrid w:val="0"/>
              <w:rPr>
                <w:rFonts w:hint="default"/>
                <w:color w:val="auto"/>
                <w:sz w:val="24"/>
                <w:szCs w:val="24"/>
                <w:highlight w:val="none"/>
              </w:rPr>
            </w:pPr>
            <w:r>
              <w:rPr>
                <w:rFonts w:hint="default"/>
                <w:color w:val="auto"/>
                <w:sz w:val="24"/>
                <w:szCs w:val="24"/>
                <w:highlight w:val="none"/>
              </w:rPr>
              <w:sym w:font="Wingdings 2" w:char="0052"/>
            </w:r>
            <w:r>
              <w:rPr>
                <w:rFonts w:hint="default"/>
                <w:color w:val="auto"/>
                <w:sz w:val="24"/>
                <w:szCs w:val="24"/>
                <w:highlight w:val="none"/>
              </w:rPr>
              <w:t xml:space="preserve"> 不提供</w:t>
            </w:r>
          </w:p>
        </w:tc>
      </w:tr>
      <w:tr w14:paraId="5DF640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2"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5A31096B">
            <w:pPr>
              <w:snapToGrid w:val="0"/>
              <w:jc w:val="center"/>
              <w:rPr>
                <w:rFonts w:hint="default"/>
                <w:color w:val="auto"/>
                <w:sz w:val="24"/>
                <w:szCs w:val="24"/>
                <w:highlight w:val="none"/>
              </w:rPr>
            </w:pPr>
            <w:r>
              <w:rPr>
                <w:rFonts w:hint="default"/>
                <w:color w:val="auto"/>
                <w:sz w:val="24"/>
                <w:szCs w:val="24"/>
                <w:highlight w:val="none"/>
              </w:rPr>
              <w:t>10</w:t>
            </w:r>
          </w:p>
        </w:tc>
        <w:tc>
          <w:tcPr>
            <w:tcW w:w="1440" w:type="dxa"/>
            <w:tcBorders>
              <w:top w:val="single" w:color="auto" w:sz="4" w:space="0"/>
              <w:left w:val="single" w:color="auto" w:sz="4" w:space="0"/>
              <w:bottom w:val="single" w:color="auto" w:sz="4" w:space="0"/>
              <w:right w:val="single" w:color="auto" w:sz="4" w:space="0"/>
            </w:tcBorders>
            <w:noWrap/>
            <w:vAlign w:val="center"/>
          </w:tcPr>
          <w:p w14:paraId="185AB373">
            <w:pPr>
              <w:snapToGrid w:val="0"/>
              <w:jc w:val="center"/>
              <w:rPr>
                <w:rFonts w:hint="default"/>
                <w:color w:val="auto"/>
                <w:sz w:val="24"/>
                <w:szCs w:val="24"/>
                <w:highlight w:val="none"/>
              </w:rPr>
            </w:pPr>
            <w:r>
              <w:rPr>
                <w:rFonts w:hint="default"/>
                <w:color w:val="auto"/>
                <w:sz w:val="24"/>
                <w:szCs w:val="24"/>
                <w:highlight w:val="none"/>
              </w:rPr>
              <w:t>演示</w:t>
            </w:r>
          </w:p>
        </w:tc>
        <w:tc>
          <w:tcPr>
            <w:tcW w:w="7142" w:type="dxa"/>
            <w:tcBorders>
              <w:top w:val="single" w:color="auto" w:sz="4" w:space="0"/>
              <w:left w:val="single" w:color="auto" w:sz="4" w:space="0"/>
              <w:bottom w:val="single" w:color="auto" w:sz="4" w:space="0"/>
              <w:right w:val="single" w:color="auto" w:sz="4" w:space="0"/>
            </w:tcBorders>
            <w:noWrap/>
            <w:vAlign w:val="center"/>
          </w:tcPr>
          <w:p w14:paraId="46B937F8">
            <w:pPr>
              <w:snapToGrid w:val="0"/>
              <w:rPr>
                <w:rFonts w:hint="default" w:ascii="宋体" w:hAnsi="宋体" w:cs="宋体"/>
                <w:color w:val="auto"/>
                <w:sz w:val="24"/>
                <w:szCs w:val="24"/>
                <w:highlight w:val="none"/>
              </w:rPr>
            </w:pPr>
            <w:r>
              <w:rPr>
                <w:rFonts w:hint="default"/>
                <w:color w:val="auto"/>
                <w:sz w:val="24"/>
                <w:szCs w:val="24"/>
                <w:highlight w:val="none"/>
              </w:rPr>
              <w:sym w:font="Wingdings 2" w:char="00A3"/>
            </w:r>
            <w:r>
              <w:rPr>
                <w:rFonts w:hint="default"/>
                <w:color w:val="auto"/>
                <w:sz w:val="24"/>
                <w:szCs w:val="24"/>
                <w:highlight w:val="none"/>
              </w:rPr>
              <w:t>要求</w:t>
            </w:r>
          </w:p>
          <w:p w14:paraId="56126085">
            <w:pPr>
              <w:snapToGrid w:val="0"/>
              <w:rPr>
                <w:rFonts w:hint="default"/>
                <w:color w:val="auto"/>
                <w:sz w:val="24"/>
                <w:szCs w:val="24"/>
                <w:highlight w:val="none"/>
              </w:rPr>
            </w:pPr>
            <w:r>
              <w:rPr>
                <w:rFonts w:hint="default"/>
                <w:color w:val="auto"/>
                <w:sz w:val="24"/>
                <w:szCs w:val="24"/>
                <w:highlight w:val="none"/>
              </w:rPr>
              <w:sym w:font="Wingdings 2" w:char="0052"/>
            </w:r>
            <w:r>
              <w:rPr>
                <w:rFonts w:hint="default"/>
                <w:color w:val="auto"/>
                <w:sz w:val="24"/>
                <w:szCs w:val="24"/>
                <w:highlight w:val="none"/>
              </w:rPr>
              <w:t xml:space="preserve"> 不要求</w:t>
            </w:r>
          </w:p>
        </w:tc>
      </w:tr>
      <w:tr w14:paraId="7797FE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12"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12CF2F50">
            <w:pPr>
              <w:snapToGrid w:val="0"/>
              <w:jc w:val="center"/>
              <w:rPr>
                <w:rFonts w:hint="default"/>
                <w:color w:val="auto"/>
                <w:sz w:val="24"/>
                <w:szCs w:val="24"/>
                <w:highlight w:val="none"/>
              </w:rPr>
            </w:pPr>
            <w:r>
              <w:rPr>
                <w:rFonts w:hint="default"/>
                <w:color w:val="auto"/>
                <w:sz w:val="24"/>
                <w:szCs w:val="24"/>
                <w:highlight w:val="none"/>
              </w:rPr>
              <w:t>1</w:t>
            </w:r>
            <w:r>
              <w:rPr>
                <w:color w:val="auto"/>
                <w:sz w:val="24"/>
                <w:szCs w:val="24"/>
                <w:highlight w:val="none"/>
              </w:rPr>
              <w:t>1</w:t>
            </w:r>
          </w:p>
        </w:tc>
        <w:tc>
          <w:tcPr>
            <w:tcW w:w="1440" w:type="dxa"/>
            <w:tcBorders>
              <w:top w:val="single" w:color="auto" w:sz="4" w:space="0"/>
              <w:left w:val="single" w:color="auto" w:sz="4" w:space="0"/>
              <w:bottom w:val="single" w:color="auto" w:sz="4" w:space="0"/>
              <w:right w:val="single" w:color="auto" w:sz="4" w:space="0"/>
            </w:tcBorders>
            <w:noWrap/>
            <w:vAlign w:val="center"/>
          </w:tcPr>
          <w:p w14:paraId="54BDCC7A">
            <w:pPr>
              <w:snapToGrid w:val="0"/>
              <w:jc w:val="center"/>
              <w:rPr>
                <w:rFonts w:hint="default"/>
                <w:color w:val="auto"/>
                <w:sz w:val="24"/>
                <w:szCs w:val="24"/>
                <w:highlight w:val="none"/>
              </w:rPr>
            </w:pPr>
            <w:r>
              <w:rPr>
                <w:rFonts w:hint="default"/>
                <w:color w:val="auto"/>
                <w:sz w:val="24"/>
                <w:szCs w:val="24"/>
                <w:highlight w:val="none"/>
              </w:rPr>
              <w:t>投标文</w:t>
            </w:r>
          </w:p>
          <w:p w14:paraId="40C9CE98">
            <w:pPr>
              <w:snapToGrid w:val="0"/>
              <w:jc w:val="center"/>
              <w:rPr>
                <w:rFonts w:hint="default"/>
                <w:color w:val="auto"/>
                <w:sz w:val="24"/>
                <w:szCs w:val="24"/>
                <w:highlight w:val="none"/>
              </w:rPr>
            </w:pPr>
            <w:r>
              <w:rPr>
                <w:rFonts w:hint="default"/>
                <w:color w:val="auto"/>
                <w:sz w:val="24"/>
                <w:szCs w:val="24"/>
                <w:highlight w:val="none"/>
              </w:rPr>
              <w:t>件组成</w:t>
            </w:r>
          </w:p>
        </w:tc>
        <w:tc>
          <w:tcPr>
            <w:tcW w:w="7142" w:type="dxa"/>
            <w:tcBorders>
              <w:top w:val="single" w:color="auto" w:sz="4" w:space="0"/>
              <w:left w:val="single" w:color="auto" w:sz="4" w:space="0"/>
              <w:bottom w:val="single" w:color="auto" w:sz="4" w:space="0"/>
              <w:right w:val="single" w:color="auto" w:sz="4" w:space="0"/>
            </w:tcBorders>
            <w:noWrap/>
            <w:vAlign w:val="center"/>
          </w:tcPr>
          <w:p w14:paraId="745E5D83">
            <w:pPr>
              <w:autoSpaceDE w:val="0"/>
              <w:autoSpaceDN w:val="0"/>
              <w:snapToGrid w:val="0"/>
              <w:textAlignment w:val="bottom"/>
              <w:rPr>
                <w:rFonts w:hint="default"/>
                <w:color w:val="auto"/>
                <w:sz w:val="24"/>
                <w:szCs w:val="24"/>
                <w:highlight w:val="none"/>
              </w:rPr>
            </w:pPr>
            <w:r>
              <w:rPr>
                <w:rFonts w:hint="default"/>
                <w:color w:val="auto"/>
                <w:sz w:val="24"/>
                <w:szCs w:val="24"/>
                <w:highlight w:val="none"/>
              </w:rPr>
              <w:t>投标文件由资格证明文件、商务技术文件、报价文件三部分组成。</w:t>
            </w:r>
          </w:p>
        </w:tc>
      </w:tr>
      <w:tr w14:paraId="70D812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4AB58C24">
            <w:pPr>
              <w:snapToGrid w:val="0"/>
              <w:jc w:val="center"/>
              <w:rPr>
                <w:rFonts w:hint="default"/>
                <w:color w:val="auto"/>
                <w:sz w:val="24"/>
                <w:szCs w:val="24"/>
                <w:highlight w:val="none"/>
              </w:rPr>
            </w:pPr>
            <w:r>
              <w:rPr>
                <w:rFonts w:hint="default"/>
                <w:color w:val="auto"/>
                <w:sz w:val="24"/>
                <w:szCs w:val="24"/>
                <w:highlight w:val="none"/>
              </w:rPr>
              <w:t>1</w:t>
            </w:r>
            <w:r>
              <w:rPr>
                <w:color w:val="auto"/>
                <w:sz w:val="24"/>
                <w:szCs w:val="24"/>
                <w:highlight w:val="none"/>
              </w:rPr>
              <w:t>2</w:t>
            </w:r>
          </w:p>
        </w:tc>
        <w:tc>
          <w:tcPr>
            <w:tcW w:w="1440" w:type="dxa"/>
            <w:tcBorders>
              <w:top w:val="single" w:color="auto" w:sz="4" w:space="0"/>
              <w:left w:val="single" w:color="auto" w:sz="4" w:space="0"/>
              <w:bottom w:val="single" w:color="auto" w:sz="4" w:space="0"/>
              <w:right w:val="single" w:color="auto" w:sz="4" w:space="0"/>
            </w:tcBorders>
            <w:noWrap/>
            <w:vAlign w:val="center"/>
          </w:tcPr>
          <w:p w14:paraId="33B4B0D6">
            <w:pPr>
              <w:snapToGrid w:val="0"/>
              <w:jc w:val="center"/>
              <w:rPr>
                <w:rFonts w:hint="default"/>
                <w:color w:val="auto"/>
                <w:sz w:val="24"/>
                <w:szCs w:val="24"/>
                <w:highlight w:val="none"/>
              </w:rPr>
            </w:pPr>
            <w:r>
              <w:rPr>
                <w:rFonts w:hint="default"/>
                <w:color w:val="auto"/>
                <w:sz w:val="24"/>
                <w:szCs w:val="24"/>
                <w:highlight w:val="none"/>
              </w:rPr>
              <w:t>投标文件</w:t>
            </w:r>
          </w:p>
          <w:p w14:paraId="00080A14">
            <w:pPr>
              <w:snapToGrid w:val="0"/>
              <w:jc w:val="center"/>
              <w:rPr>
                <w:rFonts w:hint="default"/>
                <w:color w:val="auto"/>
                <w:sz w:val="24"/>
                <w:szCs w:val="24"/>
                <w:highlight w:val="none"/>
              </w:rPr>
            </w:pPr>
            <w:r>
              <w:rPr>
                <w:rFonts w:hint="default"/>
                <w:color w:val="auto"/>
                <w:sz w:val="24"/>
                <w:szCs w:val="24"/>
                <w:highlight w:val="none"/>
              </w:rPr>
              <w:t>的编制</w:t>
            </w:r>
          </w:p>
        </w:tc>
        <w:tc>
          <w:tcPr>
            <w:tcW w:w="7142" w:type="dxa"/>
            <w:tcBorders>
              <w:top w:val="single" w:color="auto" w:sz="4" w:space="0"/>
              <w:left w:val="single" w:color="auto" w:sz="4" w:space="0"/>
              <w:bottom w:val="single" w:color="auto" w:sz="4" w:space="0"/>
              <w:right w:val="single" w:color="auto" w:sz="4" w:space="0"/>
            </w:tcBorders>
            <w:noWrap/>
            <w:vAlign w:val="center"/>
          </w:tcPr>
          <w:p w14:paraId="2429DC30">
            <w:pPr>
              <w:autoSpaceDE w:val="0"/>
              <w:autoSpaceDN w:val="0"/>
              <w:adjustRightInd w:val="0"/>
              <w:ind w:left="361" w:hanging="361" w:hangingChars="150"/>
              <w:jc w:val="left"/>
              <w:rPr>
                <w:rFonts w:hint="default"/>
                <w:b/>
                <w:bCs/>
                <w:color w:val="auto"/>
                <w:sz w:val="24"/>
                <w:szCs w:val="24"/>
                <w:highlight w:val="none"/>
              </w:rPr>
            </w:pPr>
            <w:r>
              <w:rPr>
                <w:rFonts w:hint="default"/>
                <w:b/>
                <w:bCs/>
                <w:color w:val="auto"/>
                <w:sz w:val="24"/>
                <w:szCs w:val="24"/>
                <w:highlight w:val="none"/>
              </w:rPr>
              <w:t>1、“电子加密投标文件”：</w:t>
            </w:r>
          </w:p>
          <w:p w14:paraId="5A508FDE">
            <w:pPr>
              <w:autoSpaceDE w:val="0"/>
              <w:autoSpaceDN w:val="0"/>
              <w:adjustRightInd w:val="0"/>
              <w:jc w:val="left"/>
              <w:rPr>
                <w:rFonts w:hint="default"/>
                <w:b/>
                <w:bCs/>
                <w:color w:val="auto"/>
                <w:sz w:val="24"/>
                <w:szCs w:val="24"/>
                <w:highlight w:val="none"/>
              </w:rPr>
            </w:pPr>
            <w:r>
              <w:rPr>
                <w:rFonts w:hint="default"/>
                <w:b/>
                <w:bCs/>
                <w:color w:val="auto"/>
                <w:sz w:val="24"/>
                <w:szCs w:val="24"/>
                <w:highlight w:val="none"/>
              </w:rPr>
              <w:t>（1）“电子加密投标文件”是指通过“政采云电子交易客户端”完成投标文件编制后生成并加密的数据电文形式的投标文件。</w:t>
            </w:r>
          </w:p>
          <w:p w14:paraId="70F8AFD7">
            <w:pPr>
              <w:rPr>
                <w:rFonts w:hint="default"/>
                <w:b/>
                <w:bCs/>
                <w:color w:val="auto"/>
                <w:sz w:val="24"/>
                <w:szCs w:val="24"/>
                <w:highlight w:val="none"/>
              </w:rPr>
            </w:pPr>
            <w:r>
              <w:rPr>
                <w:rFonts w:hint="default"/>
                <w:b/>
                <w:bCs/>
                <w:color w:val="auto"/>
                <w:sz w:val="24"/>
                <w:szCs w:val="24"/>
                <w:highlight w:val="none"/>
              </w:rPr>
              <w:t>（2）供应商应先安装“政采云电子交易客户端”，并按照本招标文件和“政府采购云平台”的要求，通过“政采云电子交易客户端”编制并加密投标文件。</w:t>
            </w:r>
          </w:p>
          <w:p w14:paraId="6C872348">
            <w:pPr>
              <w:ind w:left="361" w:hanging="361" w:hangingChars="150"/>
              <w:rPr>
                <w:rFonts w:hint="default"/>
                <w:b/>
                <w:bCs/>
                <w:color w:val="auto"/>
                <w:sz w:val="24"/>
                <w:szCs w:val="24"/>
                <w:highlight w:val="none"/>
              </w:rPr>
            </w:pPr>
            <w:r>
              <w:rPr>
                <w:rFonts w:hint="default"/>
                <w:b/>
                <w:bCs/>
                <w:color w:val="auto"/>
                <w:sz w:val="24"/>
                <w:szCs w:val="24"/>
                <w:highlight w:val="none"/>
              </w:rPr>
              <w:t>2、“电子备份投标文件”：</w:t>
            </w:r>
          </w:p>
          <w:p w14:paraId="6EB94A39">
            <w:pPr>
              <w:rPr>
                <w:rFonts w:hint="default"/>
                <w:b/>
                <w:bCs/>
                <w:color w:val="auto"/>
                <w:sz w:val="24"/>
                <w:szCs w:val="24"/>
                <w:highlight w:val="none"/>
              </w:rPr>
            </w:pPr>
            <w:r>
              <w:rPr>
                <w:rFonts w:hint="default"/>
                <w:b/>
                <w:bCs/>
                <w:color w:val="auto"/>
                <w:sz w:val="24"/>
                <w:szCs w:val="24"/>
                <w:highlight w:val="none"/>
              </w:rPr>
              <w:t>（1）“电子备份投标文件”是指与“电子加密投标文件”同时生成的数据电文形式的电子文件。</w:t>
            </w:r>
          </w:p>
          <w:p w14:paraId="2E9200FA">
            <w:pPr>
              <w:ind w:left="361" w:hanging="361" w:hangingChars="150"/>
              <w:rPr>
                <w:rFonts w:hint="default"/>
                <w:b/>
                <w:bCs/>
                <w:color w:val="auto"/>
                <w:sz w:val="24"/>
                <w:szCs w:val="24"/>
                <w:highlight w:val="none"/>
              </w:rPr>
            </w:pPr>
            <w:r>
              <w:rPr>
                <w:rFonts w:hint="default"/>
                <w:b/>
                <w:bCs/>
                <w:color w:val="auto"/>
                <w:sz w:val="24"/>
                <w:szCs w:val="24"/>
                <w:highlight w:val="none"/>
              </w:rPr>
              <w:t>（2）供应商可自主选择是否编制“电子备份投标文件”。</w:t>
            </w:r>
          </w:p>
          <w:p w14:paraId="057CC3FC">
            <w:pPr>
              <w:rPr>
                <w:rFonts w:hint="default"/>
                <w:color w:val="auto"/>
                <w:sz w:val="24"/>
                <w:szCs w:val="24"/>
                <w:highlight w:val="none"/>
              </w:rPr>
            </w:pPr>
            <w:r>
              <w:rPr>
                <w:rFonts w:hint="default"/>
                <w:b/>
                <w:bCs/>
                <w:color w:val="auto"/>
                <w:sz w:val="24"/>
                <w:szCs w:val="24"/>
                <w:highlight w:val="none"/>
              </w:rPr>
              <w:t>（3）其他方式编制的备份投标文件视为无效备份投标文件</w:t>
            </w:r>
            <w:r>
              <w:rPr>
                <w:rFonts w:hint="default"/>
                <w:color w:val="auto"/>
                <w:sz w:val="24"/>
                <w:szCs w:val="24"/>
                <w:highlight w:val="none"/>
              </w:rPr>
              <w:t>。</w:t>
            </w:r>
          </w:p>
        </w:tc>
      </w:tr>
      <w:tr w14:paraId="4D4DEC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1"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3E40EC86">
            <w:pPr>
              <w:snapToGrid w:val="0"/>
              <w:jc w:val="center"/>
              <w:rPr>
                <w:rFonts w:hint="default"/>
                <w:color w:val="auto"/>
                <w:sz w:val="24"/>
                <w:szCs w:val="24"/>
                <w:highlight w:val="none"/>
              </w:rPr>
            </w:pPr>
            <w:r>
              <w:rPr>
                <w:rFonts w:hint="default"/>
                <w:color w:val="auto"/>
                <w:sz w:val="24"/>
                <w:szCs w:val="24"/>
                <w:highlight w:val="none"/>
              </w:rPr>
              <w:t>1</w:t>
            </w:r>
            <w:r>
              <w:rPr>
                <w:color w:val="auto"/>
                <w:sz w:val="24"/>
                <w:szCs w:val="24"/>
                <w:highlight w:val="none"/>
              </w:rPr>
              <w:t>3</w:t>
            </w:r>
          </w:p>
        </w:tc>
        <w:tc>
          <w:tcPr>
            <w:tcW w:w="1440" w:type="dxa"/>
            <w:tcBorders>
              <w:top w:val="single" w:color="auto" w:sz="4" w:space="0"/>
              <w:left w:val="single" w:color="auto" w:sz="4" w:space="0"/>
              <w:bottom w:val="single" w:color="auto" w:sz="4" w:space="0"/>
              <w:right w:val="single" w:color="auto" w:sz="4" w:space="0"/>
            </w:tcBorders>
            <w:noWrap/>
            <w:vAlign w:val="center"/>
          </w:tcPr>
          <w:p w14:paraId="11E2AD7B">
            <w:pPr>
              <w:snapToGrid w:val="0"/>
              <w:jc w:val="center"/>
              <w:rPr>
                <w:rFonts w:hint="default"/>
                <w:color w:val="auto"/>
                <w:sz w:val="24"/>
                <w:szCs w:val="24"/>
                <w:highlight w:val="none"/>
              </w:rPr>
            </w:pPr>
            <w:r>
              <w:rPr>
                <w:rFonts w:hint="default"/>
                <w:color w:val="auto"/>
                <w:sz w:val="24"/>
                <w:szCs w:val="24"/>
                <w:highlight w:val="none"/>
              </w:rPr>
              <w:t>投标文件</w:t>
            </w:r>
          </w:p>
          <w:p w14:paraId="565A6E2D">
            <w:pPr>
              <w:snapToGrid w:val="0"/>
              <w:jc w:val="center"/>
              <w:rPr>
                <w:rFonts w:hint="default"/>
                <w:color w:val="auto"/>
                <w:sz w:val="24"/>
                <w:szCs w:val="24"/>
                <w:highlight w:val="none"/>
              </w:rPr>
            </w:pPr>
            <w:r>
              <w:rPr>
                <w:rFonts w:hint="default"/>
                <w:color w:val="auto"/>
                <w:sz w:val="24"/>
                <w:szCs w:val="24"/>
                <w:highlight w:val="none"/>
              </w:rPr>
              <w:t>的签章</w:t>
            </w:r>
          </w:p>
        </w:tc>
        <w:tc>
          <w:tcPr>
            <w:tcW w:w="7142" w:type="dxa"/>
            <w:tcBorders>
              <w:top w:val="single" w:color="auto" w:sz="4" w:space="0"/>
              <w:left w:val="single" w:color="auto" w:sz="4" w:space="0"/>
              <w:bottom w:val="single" w:color="auto" w:sz="4" w:space="0"/>
              <w:right w:val="single" w:color="auto" w:sz="4" w:space="0"/>
            </w:tcBorders>
            <w:noWrap/>
            <w:vAlign w:val="center"/>
          </w:tcPr>
          <w:p w14:paraId="3EC92A9C">
            <w:pPr>
              <w:autoSpaceDE w:val="0"/>
              <w:autoSpaceDN w:val="0"/>
              <w:adjustRightInd w:val="0"/>
              <w:jc w:val="left"/>
              <w:rPr>
                <w:rFonts w:hint="default"/>
                <w:color w:val="auto"/>
                <w:sz w:val="24"/>
                <w:szCs w:val="24"/>
                <w:highlight w:val="none"/>
              </w:rPr>
            </w:pPr>
            <w:r>
              <w:rPr>
                <w:rFonts w:hint="default"/>
                <w:color w:val="auto"/>
                <w:sz w:val="24"/>
                <w:szCs w:val="24"/>
                <w:highlight w:val="none"/>
              </w:rPr>
              <w:t>采用电子签章。</w:t>
            </w:r>
          </w:p>
        </w:tc>
      </w:tr>
      <w:tr w14:paraId="69005F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03"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19C4181C">
            <w:pPr>
              <w:snapToGrid w:val="0"/>
              <w:jc w:val="center"/>
              <w:rPr>
                <w:rFonts w:hint="default"/>
                <w:color w:val="auto"/>
                <w:sz w:val="24"/>
                <w:szCs w:val="24"/>
                <w:highlight w:val="none"/>
              </w:rPr>
            </w:pPr>
            <w:r>
              <w:rPr>
                <w:rFonts w:hint="default"/>
                <w:color w:val="auto"/>
                <w:sz w:val="24"/>
                <w:szCs w:val="24"/>
                <w:highlight w:val="none"/>
              </w:rPr>
              <w:t>1</w:t>
            </w:r>
            <w:r>
              <w:rPr>
                <w:color w:val="auto"/>
                <w:sz w:val="24"/>
                <w:szCs w:val="24"/>
                <w:highlight w:val="none"/>
              </w:rPr>
              <w:t>4</w:t>
            </w:r>
          </w:p>
        </w:tc>
        <w:tc>
          <w:tcPr>
            <w:tcW w:w="1440" w:type="dxa"/>
            <w:tcBorders>
              <w:top w:val="single" w:color="auto" w:sz="4" w:space="0"/>
              <w:left w:val="single" w:color="auto" w:sz="4" w:space="0"/>
              <w:bottom w:val="single" w:color="auto" w:sz="4" w:space="0"/>
              <w:right w:val="single" w:color="auto" w:sz="4" w:space="0"/>
            </w:tcBorders>
            <w:noWrap/>
            <w:vAlign w:val="center"/>
          </w:tcPr>
          <w:p w14:paraId="0063EEBF">
            <w:pPr>
              <w:snapToGrid w:val="0"/>
              <w:jc w:val="center"/>
              <w:rPr>
                <w:rFonts w:hint="default"/>
                <w:color w:val="auto"/>
                <w:sz w:val="24"/>
                <w:szCs w:val="24"/>
                <w:highlight w:val="none"/>
              </w:rPr>
            </w:pPr>
            <w:r>
              <w:rPr>
                <w:rFonts w:hint="default"/>
                <w:color w:val="auto"/>
                <w:sz w:val="24"/>
                <w:szCs w:val="24"/>
                <w:highlight w:val="none"/>
              </w:rPr>
              <w:t>投标文件</w:t>
            </w:r>
          </w:p>
          <w:p w14:paraId="6F95E634">
            <w:pPr>
              <w:snapToGrid w:val="0"/>
              <w:jc w:val="center"/>
              <w:rPr>
                <w:rFonts w:hint="default"/>
                <w:color w:val="auto"/>
                <w:sz w:val="24"/>
                <w:szCs w:val="24"/>
                <w:highlight w:val="none"/>
              </w:rPr>
            </w:pPr>
            <w:r>
              <w:rPr>
                <w:rFonts w:hint="default"/>
                <w:color w:val="auto"/>
                <w:sz w:val="24"/>
                <w:szCs w:val="24"/>
                <w:highlight w:val="none"/>
              </w:rPr>
              <w:t>的包装、密封和递交</w:t>
            </w:r>
          </w:p>
        </w:tc>
        <w:tc>
          <w:tcPr>
            <w:tcW w:w="7142" w:type="dxa"/>
            <w:tcBorders>
              <w:top w:val="single" w:color="auto" w:sz="4" w:space="0"/>
              <w:left w:val="single" w:color="auto" w:sz="4" w:space="0"/>
              <w:bottom w:val="single" w:color="auto" w:sz="4" w:space="0"/>
              <w:right w:val="single" w:color="auto" w:sz="4" w:space="0"/>
            </w:tcBorders>
            <w:noWrap/>
            <w:vAlign w:val="center"/>
          </w:tcPr>
          <w:p w14:paraId="6D36B415">
            <w:pPr>
              <w:autoSpaceDE w:val="0"/>
              <w:autoSpaceDN w:val="0"/>
              <w:snapToGrid w:val="0"/>
              <w:textAlignment w:val="bottom"/>
              <w:rPr>
                <w:rFonts w:hint="default"/>
                <w:color w:val="auto"/>
                <w:sz w:val="24"/>
                <w:szCs w:val="24"/>
                <w:highlight w:val="none"/>
              </w:rPr>
            </w:pPr>
            <w:r>
              <w:rPr>
                <w:rFonts w:hint="default"/>
                <w:color w:val="auto"/>
                <w:sz w:val="24"/>
                <w:szCs w:val="24"/>
                <w:highlight w:val="none"/>
              </w:rPr>
              <w:t>1、“电子加密投标文件”的递交：在线上传递交。</w:t>
            </w:r>
          </w:p>
          <w:p w14:paraId="4F5F6D06">
            <w:pPr>
              <w:rPr>
                <w:rFonts w:hint="default"/>
                <w:b/>
                <w:bCs/>
                <w:color w:val="auto"/>
                <w:sz w:val="24"/>
                <w:szCs w:val="24"/>
                <w:highlight w:val="none"/>
              </w:rPr>
            </w:pPr>
            <w:r>
              <w:rPr>
                <w:rFonts w:hint="default"/>
                <w:b/>
                <w:bCs/>
                <w:color w:val="auto"/>
                <w:sz w:val="24"/>
                <w:szCs w:val="24"/>
                <w:highlight w:val="none"/>
              </w:rPr>
              <w:t>（1）供应商应在投标截止时间前将“电子加密投标文件”成功上传递交至“政府采购云平台”，否则投标无效。</w:t>
            </w:r>
          </w:p>
          <w:p w14:paraId="6326DC36">
            <w:pPr>
              <w:rPr>
                <w:rFonts w:hint="default"/>
                <w:color w:val="auto"/>
                <w:sz w:val="24"/>
                <w:szCs w:val="24"/>
                <w:highlight w:val="none"/>
              </w:rPr>
            </w:pPr>
            <w:r>
              <w:rPr>
                <w:rFonts w:hint="default"/>
                <w:color w:val="auto"/>
                <w:sz w:val="24"/>
                <w:szCs w:val="24"/>
                <w:highlight w:val="none"/>
              </w:rPr>
              <w:t>（2）“电子加密投标文件”成功上传递交后，供应商可自行打印投标文件接收回执。</w:t>
            </w:r>
          </w:p>
          <w:p w14:paraId="6BB20E22">
            <w:pPr>
              <w:rPr>
                <w:rFonts w:hint="default"/>
                <w:color w:val="auto"/>
                <w:sz w:val="24"/>
                <w:szCs w:val="24"/>
                <w:highlight w:val="none"/>
              </w:rPr>
            </w:pPr>
            <w:r>
              <w:rPr>
                <w:rFonts w:hint="default"/>
                <w:color w:val="auto"/>
                <w:sz w:val="24"/>
                <w:szCs w:val="24"/>
                <w:highlight w:val="none"/>
              </w:rPr>
              <w:t>2、“电子备份投标文件”的密封、包装和递交：</w:t>
            </w:r>
          </w:p>
          <w:p w14:paraId="5B518D27">
            <w:pPr>
              <w:rPr>
                <w:rFonts w:hint="default"/>
                <w:color w:val="auto"/>
                <w:sz w:val="24"/>
                <w:szCs w:val="24"/>
                <w:highlight w:val="none"/>
              </w:rPr>
            </w:pPr>
            <w:r>
              <w:rPr>
                <w:rFonts w:hint="default"/>
                <w:color w:val="auto"/>
                <w:sz w:val="24"/>
                <w:szCs w:val="24"/>
                <w:highlight w:val="none"/>
              </w:rPr>
              <w:t>（1）供应商可自主选择是否递交“电子备份投标文件”。</w:t>
            </w:r>
          </w:p>
          <w:p w14:paraId="14C3F73C">
            <w:pPr>
              <w:rPr>
                <w:rFonts w:hint="default"/>
                <w:color w:val="auto"/>
                <w:sz w:val="24"/>
                <w:szCs w:val="24"/>
                <w:highlight w:val="none"/>
              </w:rPr>
            </w:pPr>
            <w:r>
              <w:rPr>
                <w:rFonts w:hint="default"/>
                <w:color w:val="auto"/>
                <w:sz w:val="24"/>
                <w:szCs w:val="24"/>
                <w:highlight w:val="none"/>
              </w:rPr>
              <w:t>（2）“电子备份投标文件”存入U盘（一份）。</w:t>
            </w:r>
          </w:p>
          <w:p w14:paraId="372C6A02">
            <w:pPr>
              <w:rPr>
                <w:rFonts w:hint="default"/>
                <w:color w:val="auto"/>
                <w:sz w:val="24"/>
                <w:szCs w:val="24"/>
                <w:highlight w:val="none"/>
              </w:rPr>
            </w:pPr>
            <w:r>
              <w:rPr>
                <w:rFonts w:hint="default"/>
                <w:color w:val="auto"/>
                <w:sz w:val="24"/>
                <w:szCs w:val="24"/>
                <w:highlight w:val="none"/>
              </w:rPr>
              <w:t>（3）“电子备份投标文件” 应在投标截止时间前以邮寄或送达方式递交：邮寄或送达地址：杭州市拱墅区大关路179号远洋国际中心A座17楼1706室，收件人：</w:t>
            </w:r>
            <w:r>
              <w:rPr>
                <w:color w:val="auto"/>
                <w:sz w:val="24"/>
                <w:szCs w:val="24"/>
                <w:highlight w:val="none"/>
              </w:rPr>
              <w:t>陈梦菲</w:t>
            </w:r>
            <w:r>
              <w:rPr>
                <w:rFonts w:hint="default"/>
                <w:color w:val="auto"/>
                <w:sz w:val="24"/>
                <w:szCs w:val="24"/>
                <w:highlight w:val="none"/>
              </w:rPr>
              <w:t>，0571-87981527。</w:t>
            </w:r>
          </w:p>
          <w:p w14:paraId="5D50DACC">
            <w:pPr>
              <w:rPr>
                <w:rFonts w:hint="default"/>
                <w:color w:val="auto"/>
                <w:sz w:val="24"/>
                <w:szCs w:val="24"/>
                <w:highlight w:val="none"/>
              </w:rPr>
            </w:pPr>
            <w:r>
              <w:rPr>
                <w:rFonts w:hint="default"/>
                <w:color w:val="auto"/>
                <w:sz w:val="24"/>
                <w:szCs w:val="24"/>
                <w:highlight w:val="none"/>
              </w:rPr>
              <w:t>（4）“电子备份投标文件”应当密封包装，并在包装上标注投标项目编号、项目名称、投标单位名称等并加盖公章（详见第六章投标文件格式）。没有密封包装或者逾期送达至指定地点的“电子备份投标文件”将不予接收。</w:t>
            </w:r>
          </w:p>
        </w:tc>
      </w:tr>
      <w:tr w14:paraId="389DBD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0A6EE828">
            <w:pPr>
              <w:snapToGrid w:val="0"/>
              <w:jc w:val="center"/>
              <w:rPr>
                <w:rFonts w:hint="default"/>
                <w:color w:val="auto"/>
                <w:sz w:val="24"/>
                <w:szCs w:val="24"/>
                <w:highlight w:val="none"/>
              </w:rPr>
            </w:pPr>
            <w:r>
              <w:rPr>
                <w:rFonts w:hint="default"/>
                <w:color w:val="auto"/>
                <w:sz w:val="24"/>
                <w:szCs w:val="24"/>
                <w:highlight w:val="none"/>
              </w:rPr>
              <w:t>1</w:t>
            </w:r>
            <w:r>
              <w:rPr>
                <w:color w:val="auto"/>
                <w:sz w:val="24"/>
                <w:szCs w:val="24"/>
                <w:highlight w:val="none"/>
              </w:rPr>
              <w:t>5</w:t>
            </w:r>
          </w:p>
        </w:tc>
        <w:tc>
          <w:tcPr>
            <w:tcW w:w="1440" w:type="dxa"/>
            <w:tcBorders>
              <w:top w:val="single" w:color="auto" w:sz="4" w:space="0"/>
              <w:left w:val="single" w:color="auto" w:sz="4" w:space="0"/>
              <w:bottom w:val="single" w:color="auto" w:sz="4" w:space="0"/>
              <w:right w:val="single" w:color="auto" w:sz="4" w:space="0"/>
            </w:tcBorders>
            <w:noWrap/>
            <w:vAlign w:val="center"/>
          </w:tcPr>
          <w:p w14:paraId="698D4920">
            <w:pPr>
              <w:snapToGrid w:val="0"/>
              <w:jc w:val="center"/>
              <w:rPr>
                <w:rFonts w:hint="default"/>
                <w:color w:val="auto"/>
                <w:sz w:val="24"/>
                <w:szCs w:val="24"/>
                <w:highlight w:val="none"/>
              </w:rPr>
            </w:pPr>
            <w:r>
              <w:rPr>
                <w:rFonts w:hint="default"/>
                <w:color w:val="auto"/>
                <w:sz w:val="24"/>
                <w:szCs w:val="24"/>
                <w:highlight w:val="none"/>
              </w:rPr>
              <w:t>投标截止</w:t>
            </w:r>
          </w:p>
          <w:p w14:paraId="0233E828">
            <w:pPr>
              <w:snapToGrid w:val="0"/>
              <w:jc w:val="center"/>
              <w:rPr>
                <w:rFonts w:hint="default"/>
                <w:color w:val="auto"/>
                <w:sz w:val="24"/>
                <w:szCs w:val="24"/>
                <w:highlight w:val="none"/>
              </w:rPr>
            </w:pPr>
            <w:r>
              <w:rPr>
                <w:rFonts w:hint="default"/>
                <w:color w:val="auto"/>
                <w:sz w:val="24"/>
                <w:szCs w:val="24"/>
                <w:highlight w:val="none"/>
              </w:rPr>
              <w:t>时间和地址</w:t>
            </w:r>
          </w:p>
        </w:tc>
        <w:tc>
          <w:tcPr>
            <w:tcW w:w="7142" w:type="dxa"/>
            <w:tcBorders>
              <w:top w:val="single" w:color="auto" w:sz="4" w:space="0"/>
              <w:left w:val="single" w:color="auto" w:sz="4" w:space="0"/>
              <w:bottom w:val="single" w:color="auto" w:sz="4" w:space="0"/>
              <w:right w:val="single" w:color="auto" w:sz="4" w:space="0"/>
            </w:tcBorders>
            <w:noWrap/>
            <w:vAlign w:val="center"/>
          </w:tcPr>
          <w:p w14:paraId="4F1096EC">
            <w:pPr>
              <w:snapToGrid w:val="0"/>
              <w:rPr>
                <w:rFonts w:hint="default"/>
                <w:color w:val="auto"/>
                <w:sz w:val="24"/>
                <w:szCs w:val="24"/>
                <w:highlight w:val="none"/>
              </w:rPr>
            </w:pPr>
            <w:r>
              <w:rPr>
                <w:color w:val="auto"/>
                <w:sz w:val="24"/>
                <w:szCs w:val="24"/>
                <w:highlight w:val="none"/>
              </w:rPr>
              <w:t>详见招标公告</w:t>
            </w:r>
          </w:p>
        </w:tc>
      </w:tr>
      <w:tr w14:paraId="60C3492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7E9C94CF">
            <w:pPr>
              <w:snapToGrid w:val="0"/>
              <w:jc w:val="center"/>
              <w:rPr>
                <w:rFonts w:hint="default"/>
                <w:color w:val="auto"/>
                <w:sz w:val="24"/>
                <w:szCs w:val="24"/>
                <w:highlight w:val="none"/>
              </w:rPr>
            </w:pPr>
            <w:r>
              <w:rPr>
                <w:rFonts w:hint="default"/>
                <w:color w:val="auto"/>
                <w:sz w:val="24"/>
                <w:szCs w:val="24"/>
                <w:highlight w:val="none"/>
              </w:rPr>
              <w:t>1</w:t>
            </w:r>
            <w:r>
              <w:rPr>
                <w:color w:val="auto"/>
                <w:sz w:val="24"/>
                <w:szCs w:val="24"/>
                <w:highlight w:val="none"/>
              </w:rPr>
              <w:t>6</w:t>
            </w:r>
          </w:p>
        </w:tc>
        <w:tc>
          <w:tcPr>
            <w:tcW w:w="1440" w:type="dxa"/>
            <w:tcBorders>
              <w:top w:val="single" w:color="auto" w:sz="4" w:space="0"/>
              <w:left w:val="single" w:color="auto" w:sz="4" w:space="0"/>
              <w:bottom w:val="single" w:color="auto" w:sz="4" w:space="0"/>
              <w:right w:val="single" w:color="auto" w:sz="4" w:space="0"/>
            </w:tcBorders>
            <w:noWrap/>
            <w:vAlign w:val="center"/>
          </w:tcPr>
          <w:p w14:paraId="0425B926">
            <w:pPr>
              <w:snapToGrid w:val="0"/>
              <w:jc w:val="center"/>
              <w:rPr>
                <w:rFonts w:hint="default"/>
                <w:color w:val="auto"/>
                <w:sz w:val="24"/>
                <w:szCs w:val="24"/>
                <w:highlight w:val="none"/>
              </w:rPr>
            </w:pPr>
            <w:r>
              <w:rPr>
                <w:rFonts w:hint="default"/>
                <w:color w:val="auto"/>
                <w:sz w:val="24"/>
                <w:szCs w:val="24"/>
                <w:highlight w:val="none"/>
              </w:rPr>
              <w:t>开标时</w:t>
            </w:r>
          </w:p>
          <w:p w14:paraId="04AC92E4">
            <w:pPr>
              <w:snapToGrid w:val="0"/>
              <w:jc w:val="center"/>
              <w:rPr>
                <w:rFonts w:hint="default"/>
                <w:color w:val="auto"/>
                <w:sz w:val="24"/>
                <w:szCs w:val="24"/>
                <w:highlight w:val="none"/>
              </w:rPr>
            </w:pPr>
            <w:r>
              <w:rPr>
                <w:rFonts w:hint="default"/>
                <w:color w:val="auto"/>
                <w:sz w:val="24"/>
                <w:szCs w:val="24"/>
                <w:highlight w:val="none"/>
              </w:rPr>
              <w:t>间和地址</w:t>
            </w:r>
          </w:p>
        </w:tc>
        <w:tc>
          <w:tcPr>
            <w:tcW w:w="7142" w:type="dxa"/>
            <w:tcBorders>
              <w:top w:val="single" w:color="auto" w:sz="4" w:space="0"/>
              <w:left w:val="single" w:color="auto" w:sz="4" w:space="0"/>
              <w:bottom w:val="single" w:color="auto" w:sz="4" w:space="0"/>
              <w:right w:val="single" w:color="auto" w:sz="4" w:space="0"/>
            </w:tcBorders>
            <w:noWrap/>
            <w:vAlign w:val="center"/>
          </w:tcPr>
          <w:p w14:paraId="7C351058">
            <w:pPr>
              <w:snapToGrid w:val="0"/>
              <w:rPr>
                <w:rFonts w:hint="default"/>
                <w:color w:val="auto"/>
                <w:sz w:val="24"/>
                <w:szCs w:val="24"/>
                <w:highlight w:val="none"/>
              </w:rPr>
            </w:pPr>
            <w:r>
              <w:rPr>
                <w:color w:val="auto"/>
                <w:sz w:val="24"/>
                <w:szCs w:val="24"/>
                <w:highlight w:val="none"/>
              </w:rPr>
              <w:t>详见招标公告</w:t>
            </w:r>
          </w:p>
        </w:tc>
      </w:tr>
      <w:tr w14:paraId="5D16A1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13"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471FE8A3">
            <w:pPr>
              <w:snapToGrid w:val="0"/>
              <w:jc w:val="center"/>
              <w:rPr>
                <w:rFonts w:hint="default"/>
                <w:color w:val="auto"/>
                <w:sz w:val="24"/>
                <w:szCs w:val="24"/>
                <w:highlight w:val="none"/>
              </w:rPr>
            </w:pPr>
            <w:r>
              <w:rPr>
                <w:rFonts w:hint="default"/>
                <w:color w:val="auto"/>
                <w:sz w:val="24"/>
                <w:szCs w:val="24"/>
                <w:highlight w:val="none"/>
              </w:rPr>
              <w:t>1</w:t>
            </w:r>
            <w:r>
              <w:rPr>
                <w:color w:val="auto"/>
                <w:sz w:val="24"/>
                <w:szCs w:val="24"/>
                <w:highlight w:val="none"/>
              </w:rPr>
              <w:t>7</w:t>
            </w:r>
          </w:p>
        </w:tc>
        <w:tc>
          <w:tcPr>
            <w:tcW w:w="1440" w:type="dxa"/>
            <w:tcBorders>
              <w:top w:val="single" w:color="auto" w:sz="4" w:space="0"/>
              <w:left w:val="single" w:color="auto" w:sz="4" w:space="0"/>
              <w:bottom w:val="single" w:color="auto" w:sz="4" w:space="0"/>
              <w:right w:val="single" w:color="auto" w:sz="4" w:space="0"/>
            </w:tcBorders>
            <w:noWrap/>
            <w:vAlign w:val="center"/>
          </w:tcPr>
          <w:p w14:paraId="2245694C">
            <w:pPr>
              <w:snapToGrid w:val="0"/>
              <w:jc w:val="center"/>
              <w:rPr>
                <w:rFonts w:hint="default"/>
                <w:color w:val="auto"/>
                <w:sz w:val="24"/>
                <w:szCs w:val="24"/>
                <w:highlight w:val="none"/>
              </w:rPr>
            </w:pPr>
            <w:r>
              <w:rPr>
                <w:rFonts w:hint="default"/>
                <w:color w:val="auto"/>
                <w:sz w:val="24"/>
                <w:szCs w:val="24"/>
                <w:highlight w:val="none"/>
              </w:rPr>
              <w:t>开标</w:t>
            </w:r>
          </w:p>
        </w:tc>
        <w:tc>
          <w:tcPr>
            <w:tcW w:w="7142" w:type="dxa"/>
            <w:tcBorders>
              <w:top w:val="single" w:color="auto" w:sz="4" w:space="0"/>
              <w:left w:val="single" w:color="auto" w:sz="4" w:space="0"/>
              <w:bottom w:val="single" w:color="auto" w:sz="4" w:space="0"/>
              <w:right w:val="single" w:color="auto" w:sz="4" w:space="0"/>
            </w:tcBorders>
            <w:noWrap/>
            <w:vAlign w:val="center"/>
          </w:tcPr>
          <w:p w14:paraId="7B47D8B0">
            <w:pPr>
              <w:rPr>
                <w:rFonts w:hint="default"/>
                <w:color w:val="auto"/>
                <w:sz w:val="24"/>
                <w:szCs w:val="24"/>
                <w:highlight w:val="none"/>
              </w:rPr>
            </w:pPr>
            <w:r>
              <w:rPr>
                <w:rFonts w:hint="default"/>
                <w:color w:val="auto"/>
                <w:sz w:val="24"/>
                <w:szCs w:val="24"/>
                <w:highlight w:val="none"/>
              </w:rPr>
              <w:t>1、采购组织机构（即代理机构）按照招标文件规定的时间通过电子交易平台组织开标，所有投标供应商均应当准时在线参加。</w:t>
            </w:r>
          </w:p>
          <w:p w14:paraId="2AD56318">
            <w:pPr>
              <w:rPr>
                <w:rFonts w:hint="default"/>
                <w:color w:val="auto"/>
                <w:sz w:val="24"/>
                <w:szCs w:val="24"/>
                <w:highlight w:val="none"/>
              </w:rPr>
            </w:pPr>
            <w:r>
              <w:rPr>
                <w:rFonts w:hint="default"/>
                <w:color w:val="auto"/>
                <w:sz w:val="24"/>
                <w:szCs w:val="24"/>
                <w:highlight w:val="none"/>
              </w:rPr>
              <w:t>2、开标时间后，采购组织机构将向各投标供应商发出“电子加密投标文件”的解密通知，各投标供应商代表应当在接到解密通知后</w:t>
            </w:r>
            <w:r>
              <w:rPr>
                <w:rFonts w:hint="default"/>
                <w:i/>
                <w:color w:val="auto"/>
                <w:sz w:val="24"/>
                <w:szCs w:val="24"/>
                <w:highlight w:val="none"/>
                <w:u w:val="single"/>
              </w:rPr>
              <w:t>30</w:t>
            </w:r>
            <w:r>
              <w:rPr>
                <w:rFonts w:hint="default"/>
                <w:color w:val="auto"/>
                <w:sz w:val="24"/>
                <w:szCs w:val="24"/>
                <w:highlight w:val="none"/>
              </w:rPr>
              <w:t>分钟内自行完成“电子加密投标文件”的在线解密。</w:t>
            </w:r>
          </w:p>
          <w:p w14:paraId="359590C5">
            <w:pPr>
              <w:rPr>
                <w:rFonts w:hint="default"/>
                <w:color w:val="auto"/>
                <w:sz w:val="24"/>
                <w:szCs w:val="24"/>
                <w:highlight w:val="none"/>
              </w:rPr>
            </w:pPr>
            <w:r>
              <w:rPr>
                <w:rFonts w:hint="default"/>
                <w:color w:val="auto"/>
                <w:sz w:val="24"/>
                <w:szCs w:val="24"/>
                <w:highlight w:val="none"/>
              </w:rPr>
              <w:t>3、通过“政府采购云平台”上传递交的“电子加密投标文件”已按时解密的，“电子备份投标文件”自动失效。</w:t>
            </w:r>
          </w:p>
          <w:p w14:paraId="661CA3C2">
            <w:pPr>
              <w:rPr>
                <w:rFonts w:hint="default"/>
                <w:color w:val="auto"/>
                <w:sz w:val="24"/>
                <w:szCs w:val="24"/>
                <w:highlight w:val="none"/>
              </w:rPr>
            </w:pPr>
            <w:r>
              <w:rPr>
                <w:rFonts w:hint="default"/>
                <w:color w:val="auto"/>
                <w:sz w:val="24"/>
                <w:szCs w:val="24"/>
                <w:highlight w:val="none"/>
              </w:rPr>
              <w:t>4、通过“政府采购云平台”上传递交的“电子加密投标文件”无法按时解密的，如投标供应商按规定递交“电子备份投标文件”的，则由采购组织机构按“政府采购云平台”操作规范将“电子备份投标文件”上传至“政府采购云平台”。上传成功后，以“电子备份投标文件”参与评标，“电子加密投标文件”自动失效。如投标供应商未按规定递交“电子备份投标文件”的，视为投标文件撤回。</w:t>
            </w:r>
          </w:p>
          <w:p w14:paraId="4356178D">
            <w:pPr>
              <w:snapToGrid w:val="0"/>
              <w:rPr>
                <w:rFonts w:hint="default"/>
                <w:color w:val="auto"/>
                <w:sz w:val="24"/>
                <w:szCs w:val="24"/>
                <w:highlight w:val="none"/>
              </w:rPr>
            </w:pPr>
            <w:r>
              <w:rPr>
                <w:rFonts w:hint="default"/>
                <w:color w:val="auto"/>
                <w:sz w:val="24"/>
                <w:szCs w:val="24"/>
                <w:highlight w:val="none"/>
              </w:rPr>
              <w:t>5</w:t>
            </w:r>
            <w:r>
              <w:rPr>
                <w:rFonts w:hint="default"/>
                <w:b/>
                <w:bCs/>
                <w:color w:val="auto"/>
                <w:sz w:val="24"/>
                <w:szCs w:val="24"/>
                <w:highlight w:val="none"/>
              </w:rPr>
              <w:t>、投标截止时间前，投标供应商仅递交了“电子备份投标文件”而未将“电子加密投标文件”上传至“政府采购云平台”的，投标无效。</w:t>
            </w:r>
          </w:p>
        </w:tc>
      </w:tr>
      <w:tr w14:paraId="0053AA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5"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17A01820">
            <w:pPr>
              <w:snapToGrid w:val="0"/>
              <w:jc w:val="center"/>
              <w:rPr>
                <w:rFonts w:hint="default"/>
                <w:color w:val="auto"/>
                <w:sz w:val="24"/>
                <w:szCs w:val="24"/>
                <w:highlight w:val="none"/>
              </w:rPr>
            </w:pPr>
            <w:r>
              <w:rPr>
                <w:rFonts w:hint="default"/>
                <w:color w:val="auto"/>
                <w:sz w:val="24"/>
                <w:szCs w:val="24"/>
                <w:highlight w:val="none"/>
              </w:rPr>
              <w:t>1</w:t>
            </w:r>
            <w:r>
              <w:rPr>
                <w:color w:val="auto"/>
                <w:sz w:val="24"/>
                <w:szCs w:val="24"/>
                <w:highlight w:val="none"/>
              </w:rPr>
              <w:t>8</w:t>
            </w:r>
          </w:p>
        </w:tc>
        <w:tc>
          <w:tcPr>
            <w:tcW w:w="1440" w:type="dxa"/>
            <w:tcBorders>
              <w:top w:val="single" w:color="auto" w:sz="4" w:space="0"/>
              <w:left w:val="single" w:color="auto" w:sz="4" w:space="0"/>
              <w:bottom w:val="single" w:color="auto" w:sz="4" w:space="0"/>
              <w:right w:val="single" w:color="auto" w:sz="4" w:space="0"/>
            </w:tcBorders>
            <w:noWrap/>
            <w:vAlign w:val="center"/>
          </w:tcPr>
          <w:p w14:paraId="415A0D39">
            <w:pPr>
              <w:snapToGrid w:val="0"/>
              <w:jc w:val="center"/>
              <w:rPr>
                <w:rFonts w:hint="default"/>
                <w:color w:val="auto"/>
                <w:sz w:val="24"/>
                <w:szCs w:val="24"/>
                <w:highlight w:val="none"/>
              </w:rPr>
            </w:pPr>
            <w:r>
              <w:rPr>
                <w:rFonts w:hint="default"/>
                <w:color w:val="auto"/>
                <w:sz w:val="24"/>
                <w:szCs w:val="24"/>
                <w:highlight w:val="none"/>
              </w:rPr>
              <w:t>评标办法</w:t>
            </w:r>
          </w:p>
        </w:tc>
        <w:tc>
          <w:tcPr>
            <w:tcW w:w="7142" w:type="dxa"/>
            <w:tcBorders>
              <w:top w:val="single" w:color="auto" w:sz="4" w:space="0"/>
              <w:left w:val="single" w:color="auto" w:sz="4" w:space="0"/>
              <w:bottom w:val="single" w:color="auto" w:sz="4" w:space="0"/>
              <w:right w:val="single" w:color="auto" w:sz="4" w:space="0"/>
            </w:tcBorders>
            <w:noWrap/>
            <w:vAlign w:val="center"/>
          </w:tcPr>
          <w:p w14:paraId="68FB1407">
            <w:pPr>
              <w:autoSpaceDE w:val="0"/>
              <w:autoSpaceDN w:val="0"/>
              <w:snapToGrid w:val="0"/>
              <w:textAlignment w:val="bottom"/>
              <w:rPr>
                <w:rFonts w:hint="default"/>
                <w:color w:val="auto"/>
                <w:sz w:val="24"/>
                <w:szCs w:val="24"/>
                <w:highlight w:val="none"/>
              </w:rPr>
            </w:pPr>
            <w:r>
              <w:rPr>
                <w:rFonts w:hint="default"/>
                <w:color w:val="auto"/>
                <w:sz w:val="24"/>
                <w:szCs w:val="24"/>
                <w:highlight w:val="none"/>
              </w:rPr>
              <w:t>综合评分法</w:t>
            </w:r>
          </w:p>
        </w:tc>
      </w:tr>
      <w:tr w14:paraId="15B781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8"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60597E7B">
            <w:pPr>
              <w:snapToGrid w:val="0"/>
              <w:jc w:val="center"/>
              <w:rPr>
                <w:rFonts w:hint="default"/>
                <w:color w:val="auto"/>
                <w:sz w:val="24"/>
                <w:szCs w:val="24"/>
                <w:highlight w:val="none"/>
              </w:rPr>
            </w:pPr>
            <w:r>
              <w:rPr>
                <w:color w:val="auto"/>
                <w:sz w:val="24"/>
                <w:szCs w:val="24"/>
                <w:highlight w:val="none"/>
              </w:rPr>
              <w:t>19</w:t>
            </w:r>
          </w:p>
        </w:tc>
        <w:tc>
          <w:tcPr>
            <w:tcW w:w="1440" w:type="dxa"/>
            <w:tcBorders>
              <w:top w:val="single" w:color="auto" w:sz="4" w:space="0"/>
              <w:left w:val="single" w:color="auto" w:sz="4" w:space="0"/>
              <w:bottom w:val="single" w:color="auto" w:sz="4" w:space="0"/>
              <w:right w:val="single" w:color="auto" w:sz="4" w:space="0"/>
            </w:tcBorders>
            <w:noWrap/>
            <w:vAlign w:val="center"/>
          </w:tcPr>
          <w:p w14:paraId="374FA75F">
            <w:pPr>
              <w:snapToGrid w:val="0"/>
              <w:jc w:val="center"/>
              <w:rPr>
                <w:rFonts w:hint="default"/>
                <w:color w:val="auto"/>
                <w:sz w:val="24"/>
                <w:szCs w:val="24"/>
                <w:highlight w:val="none"/>
              </w:rPr>
            </w:pPr>
            <w:r>
              <w:rPr>
                <w:rFonts w:hint="default"/>
                <w:color w:val="auto"/>
                <w:sz w:val="24"/>
                <w:szCs w:val="24"/>
                <w:highlight w:val="none"/>
              </w:rPr>
              <w:t>投标文件</w:t>
            </w:r>
          </w:p>
          <w:p w14:paraId="267F3E65">
            <w:pPr>
              <w:snapToGrid w:val="0"/>
              <w:jc w:val="center"/>
              <w:rPr>
                <w:rFonts w:hint="default"/>
                <w:color w:val="auto"/>
                <w:sz w:val="24"/>
                <w:szCs w:val="24"/>
                <w:highlight w:val="none"/>
              </w:rPr>
            </w:pPr>
            <w:r>
              <w:rPr>
                <w:rFonts w:hint="default"/>
                <w:color w:val="auto"/>
                <w:sz w:val="24"/>
                <w:szCs w:val="24"/>
                <w:highlight w:val="none"/>
              </w:rPr>
              <w:t>有效期</w:t>
            </w:r>
          </w:p>
        </w:tc>
        <w:tc>
          <w:tcPr>
            <w:tcW w:w="7142" w:type="dxa"/>
            <w:tcBorders>
              <w:top w:val="single" w:color="auto" w:sz="4" w:space="0"/>
              <w:left w:val="single" w:color="auto" w:sz="4" w:space="0"/>
              <w:bottom w:val="single" w:color="auto" w:sz="4" w:space="0"/>
              <w:right w:val="single" w:color="auto" w:sz="4" w:space="0"/>
            </w:tcBorders>
            <w:noWrap/>
            <w:vAlign w:val="center"/>
          </w:tcPr>
          <w:p w14:paraId="262A6CAD">
            <w:pPr>
              <w:autoSpaceDE w:val="0"/>
              <w:autoSpaceDN w:val="0"/>
              <w:snapToGrid w:val="0"/>
              <w:textAlignment w:val="bottom"/>
              <w:rPr>
                <w:rFonts w:hint="default"/>
                <w:color w:val="auto"/>
                <w:sz w:val="24"/>
                <w:szCs w:val="24"/>
                <w:highlight w:val="none"/>
              </w:rPr>
            </w:pPr>
            <w:r>
              <w:rPr>
                <w:rFonts w:hint="default"/>
                <w:color w:val="auto"/>
                <w:sz w:val="24"/>
                <w:szCs w:val="24"/>
                <w:highlight w:val="none"/>
              </w:rPr>
              <w:t>90天</w:t>
            </w:r>
          </w:p>
        </w:tc>
      </w:tr>
      <w:tr w14:paraId="769177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53"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5F3FF723">
            <w:pPr>
              <w:snapToGrid w:val="0"/>
              <w:jc w:val="center"/>
              <w:rPr>
                <w:rFonts w:hint="default"/>
                <w:color w:val="auto"/>
                <w:sz w:val="24"/>
                <w:szCs w:val="24"/>
                <w:highlight w:val="none"/>
              </w:rPr>
            </w:pPr>
            <w:r>
              <w:rPr>
                <w:rFonts w:hint="default"/>
                <w:color w:val="auto"/>
                <w:sz w:val="24"/>
                <w:szCs w:val="24"/>
                <w:highlight w:val="none"/>
              </w:rPr>
              <w:t>2</w:t>
            </w:r>
            <w:r>
              <w:rPr>
                <w:color w:val="auto"/>
                <w:sz w:val="24"/>
                <w:szCs w:val="24"/>
                <w:highlight w:val="none"/>
              </w:rPr>
              <w:t>0</w:t>
            </w:r>
          </w:p>
        </w:tc>
        <w:tc>
          <w:tcPr>
            <w:tcW w:w="1440" w:type="dxa"/>
            <w:tcBorders>
              <w:top w:val="single" w:color="auto" w:sz="4" w:space="0"/>
              <w:left w:val="single" w:color="auto" w:sz="4" w:space="0"/>
              <w:bottom w:val="single" w:color="auto" w:sz="4" w:space="0"/>
              <w:right w:val="single" w:color="auto" w:sz="4" w:space="0"/>
            </w:tcBorders>
            <w:noWrap/>
            <w:vAlign w:val="center"/>
          </w:tcPr>
          <w:p w14:paraId="7501C0C7">
            <w:pPr>
              <w:snapToGrid w:val="0"/>
              <w:jc w:val="center"/>
              <w:rPr>
                <w:rFonts w:hint="default"/>
                <w:color w:val="auto"/>
                <w:sz w:val="24"/>
                <w:szCs w:val="24"/>
                <w:highlight w:val="none"/>
              </w:rPr>
            </w:pPr>
            <w:r>
              <w:rPr>
                <w:rFonts w:hint="default"/>
                <w:color w:val="auto"/>
                <w:sz w:val="24"/>
                <w:szCs w:val="24"/>
                <w:highlight w:val="none"/>
              </w:rPr>
              <w:t>采购进</w:t>
            </w:r>
          </w:p>
          <w:p w14:paraId="0B5CD930">
            <w:pPr>
              <w:snapToGrid w:val="0"/>
              <w:jc w:val="center"/>
              <w:rPr>
                <w:rFonts w:hint="default"/>
                <w:color w:val="auto"/>
                <w:sz w:val="24"/>
                <w:szCs w:val="24"/>
                <w:highlight w:val="none"/>
              </w:rPr>
            </w:pPr>
            <w:r>
              <w:rPr>
                <w:rFonts w:hint="default"/>
                <w:color w:val="auto"/>
                <w:sz w:val="24"/>
                <w:szCs w:val="24"/>
                <w:highlight w:val="none"/>
              </w:rPr>
              <w:t>口产品</w:t>
            </w:r>
          </w:p>
        </w:tc>
        <w:tc>
          <w:tcPr>
            <w:tcW w:w="7142" w:type="dxa"/>
            <w:tcBorders>
              <w:top w:val="single" w:color="auto" w:sz="4" w:space="0"/>
              <w:left w:val="single" w:color="auto" w:sz="4" w:space="0"/>
              <w:bottom w:val="single" w:color="auto" w:sz="4" w:space="0"/>
              <w:right w:val="single" w:color="auto" w:sz="4" w:space="0"/>
            </w:tcBorders>
            <w:noWrap/>
            <w:vAlign w:val="center"/>
          </w:tcPr>
          <w:p w14:paraId="0B0F7AD4">
            <w:pPr>
              <w:pStyle w:val="6"/>
              <w:adjustRightInd w:val="0"/>
              <w:snapToGrid w:val="0"/>
              <w:spacing w:beforeLines="0" w:afterLines="0" w:line="320" w:lineRule="exact"/>
              <w:jc w:val="left"/>
              <w:rPr>
                <w:rFonts w:hAnsi="宋体" w:cs="宋体"/>
                <w:color w:val="auto"/>
                <w:highlight w:val="none"/>
              </w:rPr>
            </w:pPr>
            <w:r>
              <w:rPr>
                <w:rFonts w:hAnsi="宋体" w:cs="宋体"/>
                <w:color w:val="auto"/>
                <w:highlight w:val="none"/>
              </w:rPr>
              <w:sym w:font="Wingdings 2" w:char="00A3"/>
            </w:r>
            <w:r>
              <w:rPr>
                <w:rFonts w:hAnsi="宋体" w:cs="宋体"/>
                <w:color w:val="auto"/>
                <w:highlight w:val="none"/>
              </w:rPr>
              <w:t>本项目不允许采购进口产品</w:t>
            </w:r>
          </w:p>
          <w:p w14:paraId="66A85055">
            <w:pPr>
              <w:pStyle w:val="6"/>
              <w:adjustRightInd w:val="0"/>
              <w:snapToGrid w:val="0"/>
              <w:spacing w:beforeLines="0" w:afterLines="0" w:line="240" w:lineRule="auto"/>
              <w:jc w:val="left"/>
              <w:rPr>
                <w:rFonts w:ascii="Times New Roman" w:hAnsi="Times New Roman"/>
                <w:color w:val="auto"/>
                <w:highlight w:val="none"/>
              </w:rPr>
            </w:pPr>
            <w:r>
              <w:rPr>
                <w:rFonts w:hAnsi="宋体" w:cs="宋体"/>
                <w:color w:val="auto"/>
                <w:highlight w:val="none"/>
              </w:rPr>
              <w:sym w:font="Wingdings 2" w:char="0052"/>
            </w:r>
            <w:r>
              <w:rPr>
                <w:rFonts w:hAnsi="宋体" w:cs="宋体"/>
                <w:color w:val="auto"/>
                <w:highlight w:val="none"/>
              </w:rPr>
              <w:t>本项目允许采购进口产品</w:t>
            </w:r>
          </w:p>
        </w:tc>
      </w:tr>
      <w:tr w14:paraId="58A7C6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33"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65B4A8FF">
            <w:pPr>
              <w:snapToGrid w:val="0"/>
              <w:jc w:val="center"/>
              <w:rPr>
                <w:rFonts w:hint="default"/>
                <w:color w:val="auto"/>
                <w:sz w:val="24"/>
                <w:szCs w:val="24"/>
                <w:highlight w:val="none"/>
              </w:rPr>
            </w:pPr>
            <w:r>
              <w:rPr>
                <w:rFonts w:hint="default"/>
                <w:color w:val="auto"/>
                <w:sz w:val="24"/>
                <w:szCs w:val="24"/>
                <w:highlight w:val="none"/>
              </w:rPr>
              <w:t>2</w:t>
            </w:r>
            <w:r>
              <w:rPr>
                <w:color w:val="auto"/>
                <w:sz w:val="24"/>
                <w:szCs w:val="24"/>
                <w:highlight w:val="none"/>
              </w:rPr>
              <w:t>1</w:t>
            </w:r>
          </w:p>
        </w:tc>
        <w:tc>
          <w:tcPr>
            <w:tcW w:w="1440" w:type="dxa"/>
            <w:tcBorders>
              <w:top w:val="single" w:color="auto" w:sz="4" w:space="0"/>
              <w:left w:val="single" w:color="auto" w:sz="4" w:space="0"/>
              <w:bottom w:val="single" w:color="auto" w:sz="4" w:space="0"/>
              <w:right w:val="single" w:color="auto" w:sz="4" w:space="0"/>
            </w:tcBorders>
            <w:noWrap/>
            <w:vAlign w:val="center"/>
          </w:tcPr>
          <w:p w14:paraId="7A88E757">
            <w:pPr>
              <w:snapToGrid w:val="0"/>
              <w:jc w:val="center"/>
              <w:rPr>
                <w:rFonts w:hint="default"/>
                <w:color w:val="auto"/>
                <w:sz w:val="24"/>
                <w:szCs w:val="24"/>
                <w:highlight w:val="none"/>
              </w:rPr>
            </w:pPr>
            <w:r>
              <w:rPr>
                <w:rFonts w:hint="default"/>
                <w:color w:val="auto"/>
                <w:sz w:val="24"/>
                <w:szCs w:val="24"/>
                <w:highlight w:val="none"/>
              </w:rPr>
              <w:t>节能产品、环境标志产品</w:t>
            </w:r>
          </w:p>
        </w:tc>
        <w:tc>
          <w:tcPr>
            <w:tcW w:w="7142" w:type="dxa"/>
            <w:tcBorders>
              <w:top w:val="single" w:color="auto" w:sz="4" w:space="0"/>
              <w:left w:val="single" w:color="auto" w:sz="4" w:space="0"/>
              <w:bottom w:val="single" w:color="auto" w:sz="4" w:space="0"/>
              <w:right w:val="single" w:color="auto" w:sz="4" w:space="0"/>
            </w:tcBorders>
            <w:noWrap/>
            <w:vAlign w:val="center"/>
          </w:tcPr>
          <w:p w14:paraId="072E5C1F">
            <w:pPr>
              <w:pStyle w:val="6"/>
              <w:adjustRightInd w:val="0"/>
              <w:snapToGrid w:val="0"/>
              <w:spacing w:beforeLines="0" w:afterLines="0" w:line="240" w:lineRule="auto"/>
              <w:jc w:val="left"/>
              <w:rPr>
                <w:rFonts w:ascii="Times New Roman" w:hAnsi="Times New Roman"/>
                <w:color w:val="auto"/>
                <w:highlight w:val="none"/>
              </w:rPr>
            </w:pPr>
            <w:r>
              <w:rPr>
                <w:rFonts w:ascii="Times New Roman" w:hAnsi="Times New Roman"/>
                <w:color w:val="auto"/>
                <w:highlight w:val="none"/>
              </w:rPr>
              <w:sym w:font="Wingdings 2" w:char="0052"/>
            </w:r>
            <w:r>
              <w:rPr>
                <w:rFonts w:ascii="Times New Roman" w:hAnsi="Times New Roman"/>
                <w:color w:val="auto"/>
                <w:highlight w:val="none"/>
              </w:rPr>
              <w:t xml:space="preserve">适用  </w:t>
            </w:r>
            <w:r>
              <w:rPr>
                <w:rFonts w:hAnsi="宋体" w:cs="宋体"/>
                <w:color w:val="auto"/>
                <w:highlight w:val="none"/>
              </w:rPr>
              <w:sym w:font="Wingdings 2" w:char="00A3"/>
            </w:r>
            <w:r>
              <w:rPr>
                <w:rFonts w:ascii="Times New Roman" w:hAnsi="Times New Roman"/>
                <w:color w:val="auto"/>
                <w:highlight w:val="none"/>
              </w:rPr>
              <w:t xml:space="preserve">不适用  </w:t>
            </w:r>
          </w:p>
          <w:p w14:paraId="4BA261CC">
            <w:pPr>
              <w:pStyle w:val="6"/>
              <w:adjustRightInd w:val="0"/>
              <w:snapToGrid w:val="0"/>
              <w:spacing w:beforeLines="0" w:afterLines="0" w:line="240" w:lineRule="auto"/>
              <w:jc w:val="left"/>
              <w:rPr>
                <w:rFonts w:ascii="Times New Roman" w:hAnsi="Times New Roman"/>
                <w:color w:val="auto"/>
                <w:highlight w:val="none"/>
              </w:rPr>
            </w:pPr>
            <w:r>
              <w:rPr>
                <w:rFonts w:ascii="Times New Roman" w:hAnsi="Times New Roman"/>
                <w:color w:val="auto"/>
                <w:highlight w:val="none"/>
              </w:rPr>
              <w:t>（1）严格执行《财政部 发展改革委 生态环境部 市场监管总局关于调整优化节能产品、环境标志产品政府采购执行机制的通知》（财库〔2019〕9号）。</w:t>
            </w:r>
          </w:p>
          <w:p w14:paraId="6C6F61B8">
            <w:pPr>
              <w:pStyle w:val="6"/>
              <w:adjustRightInd w:val="0"/>
              <w:snapToGrid w:val="0"/>
              <w:spacing w:beforeLines="0" w:afterLines="0" w:line="240" w:lineRule="auto"/>
              <w:jc w:val="left"/>
              <w:rPr>
                <w:rFonts w:ascii="Times New Roman" w:hAnsi="Times New Roman"/>
                <w:color w:val="auto"/>
                <w:highlight w:val="none"/>
              </w:rPr>
            </w:pPr>
            <w:r>
              <w:rPr>
                <w:rFonts w:ascii="Times New Roman" w:hAnsi="Times New Roman"/>
                <w:color w:val="auto"/>
                <w:highlight w:val="none"/>
              </w:rPr>
              <w:t>（2）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p>
          <w:p w14:paraId="7C3A22DD">
            <w:pPr>
              <w:pStyle w:val="6"/>
              <w:adjustRightInd w:val="0"/>
              <w:snapToGrid w:val="0"/>
              <w:spacing w:beforeLines="0" w:afterLines="0" w:line="240" w:lineRule="auto"/>
              <w:jc w:val="left"/>
              <w:rPr>
                <w:rFonts w:ascii="Times New Roman" w:hAnsi="Times New Roman"/>
                <w:b/>
                <w:bCs/>
                <w:color w:val="auto"/>
                <w:highlight w:val="none"/>
              </w:rPr>
            </w:pPr>
            <w:r>
              <w:rPr>
                <w:rFonts w:ascii="Times New Roman" w:hAnsi="Times New Roman"/>
                <w:color w:val="auto"/>
                <w:highlight w:val="none"/>
              </w:rPr>
              <w:t>▲</w:t>
            </w:r>
            <w:r>
              <w:rPr>
                <w:rFonts w:ascii="Times New Roman" w:hAnsi="Times New Roman"/>
                <w:b/>
                <w:bCs/>
                <w:color w:val="auto"/>
                <w:highlight w:val="none"/>
              </w:rPr>
              <w:t>（3）采购人拟采购的产品属于政府强制采购的节能产品品目清单范围的，供应商未按采购文件要求提供国家确定的认证机构出具的、处于有效期之内的节能产品认证证书，投标无效。</w:t>
            </w:r>
          </w:p>
          <w:p w14:paraId="78045C3F">
            <w:pPr>
              <w:pStyle w:val="6"/>
              <w:adjustRightInd w:val="0"/>
              <w:snapToGrid w:val="0"/>
              <w:spacing w:beforeLines="0" w:afterLines="0" w:line="240" w:lineRule="auto"/>
              <w:jc w:val="left"/>
              <w:rPr>
                <w:rFonts w:ascii="Times New Roman" w:hAnsi="Times New Roman"/>
                <w:color w:val="auto"/>
                <w:highlight w:val="none"/>
              </w:rPr>
            </w:pPr>
            <w:r>
              <w:rPr>
                <w:rFonts w:ascii="Times New Roman" w:hAnsi="Times New Roman"/>
                <w:b/>
                <w:bCs/>
                <w:color w:val="auto"/>
                <w:highlight w:val="none"/>
              </w:rPr>
              <w:t>属于政府优先采购产品类别的，须按照要求提供依据国家确定的认证机构出具的、处于有效期之内的节能产品或环境标志产品认证证书，否则不予认定。</w:t>
            </w:r>
          </w:p>
        </w:tc>
      </w:tr>
      <w:tr w14:paraId="7E97AC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3C5D70E9">
            <w:pPr>
              <w:snapToGrid w:val="0"/>
              <w:jc w:val="center"/>
              <w:rPr>
                <w:rFonts w:hint="default"/>
                <w:color w:val="auto"/>
                <w:sz w:val="24"/>
                <w:szCs w:val="24"/>
                <w:highlight w:val="none"/>
              </w:rPr>
            </w:pPr>
            <w:r>
              <w:rPr>
                <w:color w:val="auto"/>
                <w:sz w:val="24"/>
                <w:szCs w:val="24"/>
                <w:highlight w:val="none"/>
              </w:rPr>
              <w:t>22</w:t>
            </w:r>
          </w:p>
        </w:tc>
        <w:tc>
          <w:tcPr>
            <w:tcW w:w="1440" w:type="dxa"/>
            <w:tcBorders>
              <w:top w:val="single" w:color="auto" w:sz="4" w:space="0"/>
              <w:left w:val="single" w:color="auto" w:sz="4" w:space="0"/>
              <w:bottom w:val="single" w:color="auto" w:sz="4" w:space="0"/>
              <w:right w:val="single" w:color="auto" w:sz="4" w:space="0"/>
            </w:tcBorders>
            <w:noWrap/>
            <w:vAlign w:val="center"/>
          </w:tcPr>
          <w:p w14:paraId="21FA5F6A">
            <w:pPr>
              <w:snapToGrid w:val="0"/>
              <w:jc w:val="center"/>
              <w:rPr>
                <w:rFonts w:hint="default"/>
                <w:color w:val="auto"/>
                <w:sz w:val="24"/>
                <w:szCs w:val="24"/>
                <w:highlight w:val="none"/>
              </w:rPr>
            </w:pPr>
            <w:r>
              <w:rPr>
                <w:rFonts w:hint="default"/>
                <w:color w:val="auto"/>
                <w:sz w:val="24"/>
                <w:szCs w:val="24"/>
                <w:highlight w:val="none"/>
              </w:rPr>
              <w:t>促进中小</w:t>
            </w:r>
          </w:p>
          <w:p w14:paraId="0B372F3B">
            <w:pPr>
              <w:snapToGrid w:val="0"/>
              <w:jc w:val="center"/>
              <w:rPr>
                <w:rFonts w:hint="default"/>
                <w:color w:val="auto"/>
                <w:sz w:val="24"/>
                <w:szCs w:val="24"/>
                <w:highlight w:val="none"/>
              </w:rPr>
            </w:pPr>
            <w:r>
              <w:rPr>
                <w:rFonts w:hint="default"/>
                <w:color w:val="auto"/>
                <w:sz w:val="24"/>
                <w:szCs w:val="24"/>
                <w:highlight w:val="none"/>
              </w:rPr>
              <w:t>企业发展</w:t>
            </w:r>
          </w:p>
        </w:tc>
        <w:tc>
          <w:tcPr>
            <w:tcW w:w="7142" w:type="dxa"/>
            <w:tcBorders>
              <w:top w:val="single" w:color="auto" w:sz="4" w:space="0"/>
              <w:left w:val="single" w:color="auto" w:sz="4" w:space="0"/>
              <w:bottom w:val="single" w:color="auto" w:sz="4" w:space="0"/>
              <w:right w:val="single" w:color="auto" w:sz="4" w:space="0"/>
            </w:tcBorders>
            <w:noWrap/>
            <w:vAlign w:val="center"/>
          </w:tcPr>
          <w:p w14:paraId="2856CC79">
            <w:pPr>
              <w:autoSpaceDE w:val="0"/>
              <w:autoSpaceDN w:val="0"/>
              <w:snapToGrid w:val="0"/>
              <w:textAlignment w:val="bottom"/>
              <w:rPr>
                <w:rFonts w:hint="default" w:ascii="宋体" w:hAnsi="宋体" w:cs="宋体"/>
                <w:color w:val="auto"/>
                <w:sz w:val="24"/>
                <w:szCs w:val="24"/>
                <w:highlight w:val="none"/>
              </w:rPr>
            </w:pPr>
            <w:r>
              <w:rPr>
                <w:rFonts w:ascii="宋体" w:hAnsi="宋体" w:cs="宋体"/>
                <w:color w:val="auto"/>
                <w:sz w:val="24"/>
                <w:szCs w:val="24"/>
                <w:highlight w:val="none"/>
              </w:rPr>
              <w:t>1.本次采购为非专门面向中小企业预留采购份额的采购项目。</w:t>
            </w:r>
          </w:p>
          <w:p w14:paraId="268325C9">
            <w:pPr>
              <w:autoSpaceDE w:val="0"/>
              <w:autoSpaceDN w:val="0"/>
              <w:snapToGrid w:val="0"/>
              <w:textAlignment w:val="bottom"/>
              <w:rPr>
                <w:rFonts w:hint="default" w:ascii="宋体" w:hAnsi="宋体" w:cs="宋体"/>
                <w:color w:val="auto"/>
                <w:sz w:val="24"/>
                <w:szCs w:val="24"/>
                <w:highlight w:val="none"/>
              </w:rPr>
            </w:pPr>
            <w:r>
              <w:rPr>
                <w:rFonts w:ascii="宋体" w:hAnsi="宋体" w:cs="宋体"/>
                <w:color w:val="auto"/>
                <w:sz w:val="24"/>
                <w:szCs w:val="24"/>
                <w:highlight w:val="none"/>
              </w:rPr>
              <w:t>2.本采购文件所称中小企业，是指在中华人民共和国境内依法设立，依据国务院批准的中小企业划分标准确定的中型企业、小型企业和微型企业，但与大企业的负责人为同一人，或者与大企业存在直接控股、管理关系的除外。</w:t>
            </w:r>
          </w:p>
          <w:p w14:paraId="479FA889">
            <w:pPr>
              <w:autoSpaceDE w:val="0"/>
              <w:autoSpaceDN w:val="0"/>
              <w:snapToGrid w:val="0"/>
              <w:textAlignment w:val="bottom"/>
              <w:rPr>
                <w:rFonts w:hint="default" w:ascii="宋体" w:hAnsi="宋体" w:cs="宋体"/>
                <w:color w:val="auto"/>
                <w:sz w:val="24"/>
                <w:szCs w:val="24"/>
                <w:highlight w:val="none"/>
              </w:rPr>
            </w:pPr>
            <w:r>
              <w:rPr>
                <w:rFonts w:ascii="宋体" w:hAnsi="宋体" w:cs="宋体"/>
                <w:color w:val="auto"/>
                <w:sz w:val="24"/>
                <w:szCs w:val="24"/>
                <w:highlight w:val="none"/>
              </w:rPr>
              <w:t>3.以联合体形式参加政府采购活动，联合体各方均为小微企业的，联合体视同小微企业。</w:t>
            </w:r>
          </w:p>
          <w:p w14:paraId="02343197">
            <w:pPr>
              <w:autoSpaceDE w:val="0"/>
              <w:autoSpaceDN w:val="0"/>
              <w:snapToGrid w:val="0"/>
              <w:textAlignment w:val="bottom"/>
              <w:rPr>
                <w:rFonts w:hint="default" w:ascii="宋体" w:hAnsi="宋体" w:cs="宋体"/>
                <w:color w:val="auto"/>
                <w:sz w:val="24"/>
                <w:szCs w:val="24"/>
                <w:highlight w:val="none"/>
              </w:rPr>
            </w:pPr>
            <w:r>
              <w:rPr>
                <w:rFonts w:ascii="宋体" w:hAnsi="宋体" w:cs="宋体"/>
                <w:color w:val="auto"/>
                <w:sz w:val="24"/>
                <w:szCs w:val="24"/>
                <w:highlight w:val="none"/>
              </w:rPr>
              <w:t>4.符合小微企业划分标准的个体工商户，视同小微企业。</w:t>
            </w:r>
          </w:p>
          <w:p w14:paraId="127C1B87">
            <w:pPr>
              <w:autoSpaceDE w:val="0"/>
              <w:autoSpaceDN w:val="0"/>
              <w:adjustRightInd w:val="0"/>
              <w:snapToGrid w:val="0"/>
              <w:spacing w:line="320" w:lineRule="exact"/>
              <w:textAlignment w:val="bottom"/>
              <w:rPr>
                <w:rFonts w:hint="default" w:ascii="宋体" w:hAnsi="宋体" w:cs="宋体"/>
                <w:color w:val="auto"/>
                <w:sz w:val="24"/>
                <w:szCs w:val="24"/>
                <w:highlight w:val="none"/>
              </w:rPr>
            </w:pPr>
            <w:r>
              <w:rPr>
                <w:rFonts w:ascii="宋体" w:hAnsi="宋体" w:cs="宋体"/>
                <w:color w:val="auto"/>
                <w:sz w:val="24"/>
                <w:szCs w:val="24"/>
                <w:highlight w:val="none"/>
              </w:rPr>
              <w:t>5.本次采购的货物全部由小微企业制造的，其报价给予10%的扣除，用扣除后的价格参加评审。接受大中型企业与小微企业组成联合体或者允许大中型企业向一家或者多家小微企业分包的，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3D44FD2A">
            <w:pPr>
              <w:autoSpaceDE w:val="0"/>
              <w:autoSpaceDN w:val="0"/>
              <w:adjustRightInd w:val="0"/>
              <w:snapToGrid w:val="0"/>
              <w:spacing w:line="320" w:lineRule="exact"/>
              <w:textAlignment w:val="bottom"/>
              <w:rPr>
                <w:rFonts w:hint="default" w:ascii="宋体" w:hAnsi="宋体" w:cs="宋体"/>
                <w:color w:val="auto"/>
                <w:sz w:val="24"/>
                <w:szCs w:val="24"/>
                <w:highlight w:val="none"/>
              </w:rPr>
            </w:pPr>
            <w:r>
              <w:rPr>
                <w:rFonts w:ascii="宋体" w:hAnsi="宋体" w:cs="宋体"/>
                <w:color w:val="auto"/>
                <w:sz w:val="24"/>
                <w:szCs w:val="24"/>
                <w:highlight w:val="none"/>
              </w:rPr>
              <w:t>6.本项目接受投标单位为大中型企业时，允许其与小微企业组成联合体投标。</w:t>
            </w:r>
          </w:p>
          <w:p w14:paraId="1B402570">
            <w:pPr>
              <w:autoSpaceDE w:val="0"/>
              <w:autoSpaceDN w:val="0"/>
              <w:adjustRightInd w:val="0"/>
              <w:snapToGrid w:val="0"/>
              <w:spacing w:line="320" w:lineRule="exact"/>
              <w:textAlignment w:val="bottom"/>
              <w:rPr>
                <w:rFonts w:hint="default" w:ascii="宋体" w:hAnsi="宋体" w:cs="宋体"/>
                <w:color w:val="auto"/>
                <w:sz w:val="24"/>
                <w:szCs w:val="24"/>
                <w:highlight w:val="none"/>
              </w:rPr>
            </w:pPr>
            <w:r>
              <w:rPr>
                <w:rFonts w:ascii="宋体" w:hAnsi="宋体" w:cs="宋体"/>
                <w:color w:val="auto"/>
                <w:sz w:val="24"/>
                <w:szCs w:val="24"/>
                <w:highlight w:val="none"/>
              </w:rPr>
              <w:t>7.本项目允许大中型企业向一家或者多家小微企业分包。</w:t>
            </w:r>
          </w:p>
          <w:p w14:paraId="6EFD0A10">
            <w:pPr>
              <w:autoSpaceDE w:val="0"/>
              <w:autoSpaceDN w:val="0"/>
              <w:adjustRightInd w:val="0"/>
              <w:snapToGrid w:val="0"/>
              <w:spacing w:line="320" w:lineRule="exact"/>
              <w:textAlignment w:val="bottom"/>
              <w:rPr>
                <w:rFonts w:hint="default" w:ascii="宋体" w:hAnsi="宋体" w:cs="宋体"/>
                <w:color w:val="auto"/>
                <w:sz w:val="24"/>
                <w:szCs w:val="24"/>
                <w:highlight w:val="none"/>
              </w:rPr>
            </w:pPr>
            <w:r>
              <w:rPr>
                <w:rFonts w:ascii="宋体" w:hAnsi="宋体" w:cs="宋体"/>
                <w:color w:val="auto"/>
                <w:sz w:val="24"/>
                <w:szCs w:val="24"/>
                <w:highlight w:val="none"/>
              </w:rPr>
              <w:t>8.残疾人福利性单位视同小微企业，享受小微企业同等的价格扣除。残疾人福利性单位参加政府采购活动时，应当提供《残疾人福利性单位声明函》。</w:t>
            </w:r>
          </w:p>
          <w:p w14:paraId="3BC18CD3">
            <w:pPr>
              <w:autoSpaceDE w:val="0"/>
              <w:autoSpaceDN w:val="0"/>
              <w:snapToGrid w:val="0"/>
              <w:textAlignment w:val="bottom"/>
              <w:rPr>
                <w:rFonts w:hint="default"/>
                <w:color w:val="auto"/>
                <w:sz w:val="24"/>
                <w:szCs w:val="24"/>
                <w:highlight w:val="none"/>
              </w:rPr>
            </w:pPr>
            <w:r>
              <w:rPr>
                <w:rFonts w:ascii="宋体" w:hAnsi="宋体" w:cs="宋体"/>
                <w:color w:val="auto"/>
                <w:sz w:val="24"/>
                <w:szCs w:val="24"/>
                <w:highlight w:val="none"/>
              </w:rPr>
              <w:t>9.监狱企业视同小微企业，享受小微企业同等的价格扣除。监狱企业参加政府采购活动时，应当出具省级以上监狱管理局、戒毒管理局（含新疆生产建设兵团）提供的属于监狱企业的证明文件。</w:t>
            </w:r>
          </w:p>
        </w:tc>
      </w:tr>
      <w:tr w14:paraId="1598DA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7D68C061">
            <w:pPr>
              <w:snapToGrid w:val="0"/>
              <w:jc w:val="center"/>
              <w:rPr>
                <w:rFonts w:hint="default"/>
                <w:color w:val="auto"/>
                <w:sz w:val="24"/>
                <w:szCs w:val="24"/>
                <w:highlight w:val="none"/>
              </w:rPr>
            </w:pPr>
            <w:r>
              <w:rPr>
                <w:color w:val="auto"/>
                <w:sz w:val="24"/>
                <w:szCs w:val="24"/>
                <w:highlight w:val="none"/>
              </w:rPr>
              <w:t>23</w:t>
            </w:r>
          </w:p>
        </w:tc>
        <w:tc>
          <w:tcPr>
            <w:tcW w:w="1440" w:type="dxa"/>
            <w:tcBorders>
              <w:top w:val="single" w:color="auto" w:sz="4" w:space="0"/>
              <w:left w:val="single" w:color="auto" w:sz="4" w:space="0"/>
              <w:bottom w:val="single" w:color="auto" w:sz="4" w:space="0"/>
              <w:right w:val="single" w:color="auto" w:sz="4" w:space="0"/>
            </w:tcBorders>
            <w:noWrap/>
            <w:vAlign w:val="center"/>
          </w:tcPr>
          <w:p w14:paraId="7B4B1813">
            <w:pPr>
              <w:snapToGrid w:val="0"/>
              <w:jc w:val="center"/>
              <w:rPr>
                <w:rFonts w:hint="default"/>
                <w:color w:val="auto"/>
                <w:sz w:val="24"/>
                <w:szCs w:val="24"/>
                <w:highlight w:val="none"/>
              </w:rPr>
            </w:pPr>
            <w:r>
              <w:rPr>
                <w:rFonts w:hint="default"/>
                <w:color w:val="auto"/>
                <w:sz w:val="24"/>
                <w:szCs w:val="24"/>
                <w:highlight w:val="none"/>
              </w:rPr>
              <w:t>采购标的对应的中小企业划分标准所属行业</w:t>
            </w:r>
          </w:p>
        </w:tc>
        <w:tc>
          <w:tcPr>
            <w:tcW w:w="7142" w:type="dxa"/>
            <w:tcBorders>
              <w:top w:val="single" w:color="auto" w:sz="4" w:space="0"/>
              <w:left w:val="single" w:color="auto" w:sz="4" w:space="0"/>
              <w:bottom w:val="single" w:color="auto" w:sz="4" w:space="0"/>
              <w:right w:val="single" w:color="auto" w:sz="4" w:space="0"/>
            </w:tcBorders>
            <w:noWrap/>
            <w:vAlign w:val="center"/>
          </w:tcPr>
          <w:p w14:paraId="5E8C6DBD">
            <w:pPr>
              <w:autoSpaceDE w:val="0"/>
              <w:autoSpaceDN w:val="0"/>
              <w:snapToGrid w:val="0"/>
              <w:textAlignment w:val="bottom"/>
              <w:rPr>
                <w:rFonts w:hint="default" w:ascii="宋体" w:hAnsi="宋体" w:cs="宋体"/>
                <w:color w:val="auto"/>
                <w:sz w:val="24"/>
                <w:szCs w:val="24"/>
                <w:highlight w:val="none"/>
              </w:rPr>
            </w:pPr>
            <w:r>
              <w:rPr>
                <w:rFonts w:hint="default"/>
                <w:color w:val="auto"/>
                <w:sz w:val="24"/>
                <w:szCs w:val="24"/>
                <w:highlight w:val="none"/>
              </w:rPr>
              <w:t>本次采购标的为</w:t>
            </w:r>
            <w:r>
              <w:rPr>
                <w:rFonts w:ascii="宋体" w:hAnsi="宋体" w:cs="宋体"/>
                <w:b/>
                <w:bCs/>
                <w:color w:val="auto"/>
                <w:sz w:val="24"/>
                <w:szCs w:val="24"/>
                <w:highlight w:val="none"/>
                <w:u w:val="single"/>
              </w:rPr>
              <w:t xml:space="preserve"> </w:t>
            </w:r>
            <w:bookmarkStart w:id="30" w:name="OLE_LINK1"/>
            <w:r>
              <w:rPr>
                <w:rFonts w:ascii="宋体" w:hAnsi="宋体" w:cs="宋体"/>
                <w:b/>
                <w:bCs/>
                <w:color w:val="auto"/>
                <w:sz w:val="24"/>
                <w:szCs w:val="24"/>
                <w:highlight w:val="none"/>
                <w:u w:val="single"/>
              </w:rPr>
              <w:t>气相色谱仪</w:t>
            </w:r>
            <w:bookmarkEnd w:id="30"/>
            <w:r>
              <w:rPr>
                <w:rFonts w:hint="eastAsia" w:ascii="宋体" w:hAnsi="宋体" w:cs="宋体"/>
                <w:b/>
                <w:bCs/>
                <w:color w:val="auto"/>
                <w:sz w:val="24"/>
                <w:szCs w:val="24"/>
                <w:highlight w:val="none"/>
                <w:u w:val="single"/>
                <w:lang w:eastAsia="zh-CN"/>
              </w:rPr>
              <w:t>、</w:t>
            </w:r>
            <w:bookmarkStart w:id="31" w:name="_Hlk178275848"/>
            <w:r>
              <w:rPr>
                <w:rFonts w:hint="eastAsia" w:ascii="宋体" w:hAnsi="宋体" w:cs="宋体"/>
                <w:b/>
                <w:bCs/>
                <w:color w:val="auto"/>
                <w:sz w:val="24"/>
                <w:szCs w:val="24"/>
                <w:highlight w:val="none"/>
                <w:u w:val="single"/>
                <w:lang w:eastAsia="zh-CN"/>
              </w:rPr>
              <w:t>制备液相色谱仪</w:t>
            </w:r>
            <w:bookmarkEnd w:id="31"/>
            <w:r>
              <w:rPr>
                <w:rFonts w:ascii="宋体" w:hAnsi="宋体" w:cs="宋体"/>
                <w:b/>
                <w:bCs/>
                <w:color w:val="auto"/>
                <w:sz w:val="24"/>
                <w:szCs w:val="24"/>
                <w:highlight w:val="none"/>
                <w:u w:val="single"/>
              </w:rPr>
              <w:t xml:space="preserve"> </w:t>
            </w:r>
            <w:r>
              <w:rPr>
                <w:rFonts w:hint="default"/>
                <w:color w:val="auto"/>
                <w:sz w:val="24"/>
                <w:szCs w:val="24"/>
                <w:highlight w:val="none"/>
              </w:rPr>
              <w:t>，对应的中小企业划分标准所属行业是：</w:t>
            </w:r>
            <w:r>
              <w:rPr>
                <w:b/>
                <w:bCs/>
                <w:color w:val="auto"/>
                <w:sz w:val="24"/>
                <w:szCs w:val="24"/>
                <w:highlight w:val="none"/>
                <w:u w:val="single"/>
              </w:rPr>
              <w:t>工业</w:t>
            </w:r>
            <w:r>
              <w:rPr>
                <w:rFonts w:hint="default"/>
                <w:color w:val="auto"/>
                <w:sz w:val="24"/>
                <w:szCs w:val="24"/>
                <w:highlight w:val="none"/>
                <w:u w:val="single"/>
              </w:rPr>
              <w:t>。</w:t>
            </w:r>
          </w:p>
        </w:tc>
      </w:tr>
      <w:tr w14:paraId="4E5010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2"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32E03393">
            <w:pPr>
              <w:snapToGrid w:val="0"/>
              <w:jc w:val="center"/>
              <w:rPr>
                <w:rFonts w:hint="default"/>
                <w:color w:val="auto"/>
                <w:sz w:val="24"/>
                <w:szCs w:val="24"/>
                <w:highlight w:val="none"/>
              </w:rPr>
            </w:pPr>
            <w:r>
              <w:rPr>
                <w:color w:val="auto"/>
                <w:sz w:val="24"/>
                <w:szCs w:val="24"/>
                <w:highlight w:val="none"/>
              </w:rPr>
              <w:t>24</w:t>
            </w:r>
          </w:p>
        </w:tc>
        <w:tc>
          <w:tcPr>
            <w:tcW w:w="1440" w:type="dxa"/>
            <w:tcBorders>
              <w:top w:val="single" w:color="auto" w:sz="4" w:space="0"/>
              <w:left w:val="single" w:color="auto" w:sz="4" w:space="0"/>
              <w:bottom w:val="single" w:color="auto" w:sz="4" w:space="0"/>
              <w:right w:val="single" w:color="auto" w:sz="4" w:space="0"/>
            </w:tcBorders>
            <w:noWrap/>
            <w:vAlign w:val="center"/>
          </w:tcPr>
          <w:p w14:paraId="02ACADC3">
            <w:pPr>
              <w:snapToGrid w:val="0"/>
              <w:jc w:val="center"/>
              <w:rPr>
                <w:rFonts w:hint="default"/>
                <w:b/>
                <w:bCs/>
                <w:color w:val="auto"/>
                <w:sz w:val="24"/>
                <w:szCs w:val="24"/>
                <w:highlight w:val="none"/>
              </w:rPr>
            </w:pPr>
            <w:r>
              <w:rPr>
                <w:b/>
                <w:bCs/>
                <w:color w:val="auto"/>
                <w:sz w:val="24"/>
                <w:szCs w:val="24"/>
                <w:highlight w:val="none"/>
              </w:rPr>
              <w:t>联合体</w:t>
            </w:r>
          </w:p>
        </w:tc>
        <w:tc>
          <w:tcPr>
            <w:tcW w:w="7142" w:type="dxa"/>
            <w:tcBorders>
              <w:top w:val="single" w:color="auto" w:sz="4" w:space="0"/>
              <w:left w:val="single" w:color="auto" w:sz="4" w:space="0"/>
              <w:bottom w:val="single" w:color="auto" w:sz="4" w:space="0"/>
              <w:right w:val="single" w:color="auto" w:sz="4" w:space="0"/>
            </w:tcBorders>
            <w:noWrap/>
            <w:vAlign w:val="center"/>
          </w:tcPr>
          <w:p w14:paraId="75802C60">
            <w:pPr>
              <w:rPr>
                <w:rFonts w:hint="default" w:ascii="宋体" w:hAnsi="宋体" w:cs="宋体"/>
                <w:b/>
                <w:bCs/>
                <w:color w:val="auto"/>
                <w:sz w:val="24"/>
                <w:szCs w:val="24"/>
                <w:highlight w:val="none"/>
              </w:rPr>
            </w:pPr>
            <w:r>
              <w:rPr>
                <w:rFonts w:hint="default" w:ascii="Wingdings" w:hAnsi="Wingdings" w:cs="宋体"/>
                <w:b/>
                <w:bCs/>
                <w:color w:val="auto"/>
                <w:kern w:val="0"/>
                <w:sz w:val="24"/>
                <w:szCs w:val="24"/>
                <w:highlight w:val="none"/>
              </w:rPr>
              <w:t>详见招标公告</w:t>
            </w:r>
          </w:p>
        </w:tc>
      </w:tr>
      <w:tr w14:paraId="4B8DAC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0"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4A6F9116">
            <w:pPr>
              <w:adjustRightInd w:val="0"/>
              <w:snapToGrid w:val="0"/>
              <w:spacing w:line="320" w:lineRule="exact"/>
              <w:jc w:val="center"/>
              <w:rPr>
                <w:rFonts w:hint="default"/>
                <w:color w:val="auto"/>
                <w:sz w:val="24"/>
                <w:szCs w:val="24"/>
                <w:highlight w:val="none"/>
              </w:rPr>
            </w:pPr>
            <w:r>
              <w:rPr>
                <w:rFonts w:ascii="宋体" w:hAnsi="宋体" w:cs="宋体"/>
                <w:color w:val="auto"/>
                <w:sz w:val="24"/>
                <w:szCs w:val="24"/>
                <w:highlight w:val="none"/>
              </w:rPr>
              <w:t>25</w:t>
            </w:r>
          </w:p>
        </w:tc>
        <w:tc>
          <w:tcPr>
            <w:tcW w:w="1440" w:type="dxa"/>
            <w:tcBorders>
              <w:top w:val="single" w:color="auto" w:sz="4" w:space="0"/>
              <w:left w:val="single" w:color="auto" w:sz="4" w:space="0"/>
              <w:bottom w:val="single" w:color="auto" w:sz="4" w:space="0"/>
              <w:right w:val="single" w:color="auto" w:sz="4" w:space="0"/>
            </w:tcBorders>
            <w:noWrap/>
            <w:vAlign w:val="center"/>
          </w:tcPr>
          <w:p w14:paraId="7997FD97">
            <w:pPr>
              <w:adjustRightInd w:val="0"/>
              <w:snapToGrid w:val="0"/>
              <w:spacing w:line="320" w:lineRule="exact"/>
              <w:jc w:val="center"/>
              <w:rPr>
                <w:rFonts w:hint="default"/>
                <w:color w:val="auto"/>
                <w:sz w:val="24"/>
                <w:szCs w:val="24"/>
                <w:highlight w:val="none"/>
              </w:rPr>
            </w:pPr>
            <w:r>
              <w:rPr>
                <w:rFonts w:ascii="宋体" w:hAnsi="宋体" w:cs="宋体"/>
                <w:color w:val="auto"/>
                <w:sz w:val="24"/>
                <w:szCs w:val="24"/>
                <w:highlight w:val="none"/>
              </w:rPr>
              <w:t>转包</w:t>
            </w:r>
          </w:p>
        </w:tc>
        <w:tc>
          <w:tcPr>
            <w:tcW w:w="7142" w:type="dxa"/>
            <w:tcBorders>
              <w:top w:val="single" w:color="auto" w:sz="4" w:space="0"/>
              <w:left w:val="single" w:color="auto" w:sz="4" w:space="0"/>
              <w:bottom w:val="single" w:color="auto" w:sz="4" w:space="0"/>
              <w:right w:val="single" w:color="auto" w:sz="4" w:space="0"/>
            </w:tcBorders>
            <w:noWrap/>
            <w:vAlign w:val="center"/>
          </w:tcPr>
          <w:p w14:paraId="0D3DFC26">
            <w:pPr>
              <w:autoSpaceDE w:val="0"/>
              <w:autoSpaceDN w:val="0"/>
              <w:adjustRightInd w:val="0"/>
              <w:snapToGrid w:val="0"/>
              <w:spacing w:line="320" w:lineRule="exact"/>
              <w:textAlignment w:val="bottom"/>
              <w:rPr>
                <w:rFonts w:hint="default"/>
                <w:color w:val="auto"/>
                <w:sz w:val="24"/>
                <w:szCs w:val="24"/>
                <w:highlight w:val="none"/>
              </w:rPr>
            </w:pPr>
            <w:r>
              <w:rPr>
                <w:rFonts w:ascii="宋体" w:hAnsi="宋体" w:cs="宋体"/>
                <w:color w:val="auto"/>
                <w:sz w:val="24"/>
                <w:szCs w:val="24"/>
                <w:highlight w:val="none"/>
              </w:rPr>
              <w:t>本项目不允许转包</w:t>
            </w:r>
          </w:p>
        </w:tc>
      </w:tr>
      <w:tr w14:paraId="333324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8"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661EA533">
            <w:pPr>
              <w:adjustRightInd w:val="0"/>
              <w:snapToGrid w:val="0"/>
              <w:spacing w:line="320" w:lineRule="exact"/>
              <w:jc w:val="center"/>
              <w:rPr>
                <w:rFonts w:hint="default"/>
                <w:color w:val="auto"/>
                <w:sz w:val="24"/>
                <w:szCs w:val="24"/>
                <w:highlight w:val="none"/>
              </w:rPr>
            </w:pPr>
            <w:r>
              <w:rPr>
                <w:rFonts w:ascii="宋体" w:hAnsi="宋体" w:cs="宋体"/>
                <w:color w:val="auto"/>
                <w:sz w:val="24"/>
                <w:szCs w:val="24"/>
                <w:highlight w:val="none"/>
              </w:rPr>
              <w:t>26</w:t>
            </w:r>
          </w:p>
        </w:tc>
        <w:tc>
          <w:tcPr>
            <w:tcW w:w="1440" w:type="dxa"/>
            <w:tcBorders>
              <w:top w:val="single" w:color="auto" w:sz="4" w:space="0"/>
              <w:left w:val="single" w:color="auto" w:sz="4" w:space="0"/>
              <w:bottom w:val="single" w:color="auto" w:sz="4" w:space="0"/>
              <w:right w:val="single" w:color="auto" w:sz="4" w:space="0"/>
            </w:tcBorders>
            <w:noWrap/>
            <w:vAlign w:val="center"/>
          </w:tcPr>
          <w:p w14:paraId="4358546D">
            <w:pPr>
              <w:adjustRightInd w:val="0"/>
              <w:snapToGrid w:val="0"/>
              <w:spacing w:line="320" w:lineRule="exact"/>
              <w:jc w:val="center"/>
              <w:rPr>
                <w:rFonts w:hint="default"/>
                <w:color w:val="auto"/>
                <w:sz w:val="24"/>
                <w:szCs w:val="24"/>
                <w:highlight w:val="none"/>
              </w:rPr>
            </w:pPr>
            <w:r>
              <w:rPr>
                <w:rFonts w:ascii="宋体" w:hAnsi="宋体" w:cs="宋体"/>
                <w:color w:val="auto"/>
                <w:sz w:val="24"/>
                <w:szCs w:val="24"/>
                <w:highlight w:val="none"/>
              </w:rPr>
              <w:t>分包</w:t>
            </w:r>
          </w:p>
        </w:tc>
        <w:tc>
          <w:tcPr>
            <w:tcW w:w="7142" w:type="dxa"/>
            <w:tcBorders>
              <w:top w:val="single" w:color="auto" w:sz="4" w:space="0"/>
              <w:left w:val="single" w:color="auto" w:sz="4" w:space="0"/>
              <w:bottom w:val="single" w:color="auto" w:sz="4" w:space="0"/>
              <w:right w:val="single" w:color="auto" w:sz="4" w:space="0"/>
            </w:tcBorders>
            <w:noWrap/>
            <w:vAlign w:val="center"/>
          </w:tcPr>
          <w:p w14:paraId="63C8FD54">
            <w:pPr>
              <w:rPr>
                <w:rFonts w:hint="default" w:ascii="宋体" w:hAnsi="宋体" w:cs="宋体"/>
                <w:b/>
                <w:bCs/>
                <w:color w:val="auto"/>
                <w:sz w:val="24"/>
                <w:szCs w:val="24"/>
                <w:highlight w:val="none"/>
              </w:rPr>
            </w:pPr>
            <w:r>
              <w:rPr>
                <w:rFonts w:hint="default" w:ascii="Wingdings" w:hAnsi="Wingdings" w:cs="宋体"/>
                <w:b/>
                <w:bCs/>
                <w:color w:val="auto"/>
                <w:kern w:val="0"/>
                <w:sz w:val="24"/>
                <w:szCs w:val="24"/>
                <w:highlight w:val="none"/>
              </w:rPr>
              <w:t></w:t>
            </w:r>
            <w:r>
              <w:rPr>
                <w:rFonts w:ascii="宋体" w:hAnsi="宋体" w:cs="宋体"/>
                <w:b/>
                <w:bCs/>
                <w:color w:val="auto"/>
                <w:sz w:val="24"/>
                <w:szCs w:val="24"/>
                <w:highlight w:val="none"/>
              </w:rPr>
              <w:t>同意将非主体、非关键性的（货物运输）工作分包。</w:t>
            </w:r>
          </w:p>
          <w:p w14:paraId="148CB577">
            <w:pPr>
              <w:rPr>
                <w:rFonts w:hint="default"/>
                <w:color w:val="auto"/>
                <w:sz w:val="24"/>
                <w:szCs w:val="24"/>
                <w:highlight w:val="none"/>
              </w:rPr>
            </w:pPr>
            <w:r>
              <w:rPr>
                <w:rFonts w:ascii="MS Gothic" w:hAnsi="MS Gothic" w:cs="宋体"/>
                <w:b/>
                <w:bCs/>
                <w:color w:val="auto"/>
                <w:kern w:val="0"/>
                <w:sz w:val="24"/>
                <w:szCs w:val="24"/>
                <w:highlight w:val="none"/>
              </w:rPr>
              <w:t>☐</w:t>
            </w:r>
            <w:r>
              <w:rPr>
                <w:rFonts w:ascii="宋体" w:hAnsi="宋体" w:cs="宋体"/>
                <w:b/>
                <w:bCs/>
                <w:color w:val="auto"/>
                <w:sz w:val="24"/>
                <w:szCs w:val="24"/>
                <w:highlight w:val="none"/>
              </w:rPr>
              <w:t>不同意分包。</w:t>
            </w:r>
          </w:p>
        </w:tc>
      </w:tr>
      <w:tr w14:paraId="718119D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092"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405C10C7">
            <w:pPr>
              <w:snapToGrid w:val="0"/>
              <w:jc w:val="center"/>
              <w:rPr>
                <w:rFonts w:hint="default"/>
                <w:color w:val="auto"/>
                <w:sz w:val="24"/>
                <w:szCs w:val="24"/>
                <w:highlight w:val="none"/>
              </w:rPr>
            </w:pPr>
            <w:r>
              <w:rPr>
                <w:color w:val="auto"/>
                <w:sz w:val="24"/>
                <w:szCs w:val="24"/>
                <w:highlight w:val="none"/>
              </w:rPr>
              <w:t>27</w:t>
            </w:r>
          </w:p>
        </w:tc>
        <w:tc>
          <w:tcPr>
            <w:tcW w:w="1440" w:type="dxa"/>
            <w:tcBorders>
              <w:top w:val="single" w:color="auto" w:sz="4" w:space="0"/>
              <w:left w:val="single" w:color="auto" w:sz="4" w:space="0"/>
              <w:bottom w:val="single" w:color="auto" w:sz="4" w:space="0"/>
              <w:right w:val="single" w:color="auto" w:sz="4" w:space="0"/>
            </w:tcBorders>
            <w:noWrap/>
            <w:vAlign w:val="center"/>
          </w:tcPr>
          <w:p w14:paraId="2C3707D3">
            <w:pPr>
              <w:snapToGrid w:val="0"/>
              <w:jc w:val="center"/>
              <w:rPr>
                <w:rFonts w:hint="default"/>
                <w:color w:val="auto"/>
                <w:sz w:val="24"/>
                <w:szCs w:val="24"/>
                <w:highlight w:val="none"/>
              </w:rPr>
            </w:pPr>
            <w:r>
              <w:rPr>
                <w:rFonts w:hint="default"/>
                <w:color w:val="auto"/>
                <w:sz w:val="24"/>
                <w:szCs w:val="24"/>
                <w:highlight w:val="none"/>
              </w:rPr>
              <w:t>履约保证金</w:t>
            </w:r>
          </w:p>
        </w:tc>
        <w:tc>
          <w:tcPr>
            <w:tcW w:w="7142" w:type="dxa"/>
            <w:tcBorders>
              <w:top w:val="single" w:color="auto" w:sz="4" w:space="0"/>
              <w:left w:val="single" w:color="auto" w:sz="4" w:space="0"/>
              <w:bottom w:val="single" w:color="auto" w:sz="4" w:space="0"/>
              <w:right w:val="single" w:color="auto" w:sz="4" w:space="0"/>
            </w:tcBorders>
            <w:noWrap/>
            <w:vAlign w:val="center"/>
          </w:tcPr>
          <w:p w14:paraId="04543F8F">
            <w:pPr>
              <w:autoSpaceDE w:val="0"/>
              <w:autoSpaceDN w:val="0"/>
              <w:snapToGrid w:val="0"/>
              <w:textAlignment w:val="bottom"/>
              <w:rPr>
                <w:rFonts w:hint="default"/>
                <w:color w:val="auto"/>
                <w:sz w:val="24"/>
                <w:szCs w:val="24"/>
                <w:highlight w:val="none"/>
              </w:rPr>
            </w:pPr>
            <w:r>
              <w:rPr>
                <w:rFonts w:hint="default"/>
                <w:color w:val="auto"/>
                <w:sz w:val="24"/>
                <w:szCs w:val="24"/>
                <w:highlight w:val="none"/>
              </w:rPr>
              <w:sym w:font="Wingdings 2" w:char="00A3"/>
            </w:r>
            <w:r>
              <w:rPr>
                <w:rFonts w:hint="default"/>
                <w:color w:val="auto"/>
                <w:sz w:val="24"/>
                <w:szCs w:val="24"/>
                <w:highlight w:val="none"/>
              </w:rPr>
              <w:t>不要求提供</w:t>
            </w:r>
          </w:p>
          <w:p w14:paraId="0F464FF2">
            <w:pPr>
              <w:snapToGrid w:val="0"/>
              <w:rPr>
                <w:rFonts w:hint="default"/>
                <w:color w:val="auto"/>
                <w:sz w:val="24"/>
                <w:szCs w:val="24"/>
                <w:highlight w:val="none"/>
              </w:rPr>
            </w:pPr>
            <w:r>
              <w:rPr>
                <w:rFonts w:hint="default"/>
                <w:color w:val="auto"/>
                <w:sz w:val="24"/>
                <w:szCs w:val="24"/>
                <w:highlight w:val="none"/>
              </w:rPr>
              <w:sym w:font="Wingdings 2" w:char="0052"/>
            </w:r>
            <w:r>
              <w:rPr>
                <w:rFonts w:hint="default"/>
                <w:color w:val="auto"/>
                <w:sz w:val="24"/>
                <w:szCs w:val="24"/>
                <w:highlight w:val="none"/>
              </w:rPr>
              <w:t>要求提供：</w:t>
            </w:r>
            <w:r>
              <w:rPr>
                <w:color w:val="auto"/>
                <w:sz w:val="24"/>
                <w:szCs w:val="24"/>
                <w:highlight w:val="none"/>
              </w:rPr>
              <w:t>在收到采购人发出的签订合同要约后7天内提交合同金额1%的履约保证金（提交方式：支票、汇票、本票或者金融机构、担保机构出具的保函等非现金形式）</w:t>
            </w:r>
            <w:r>
              <w:rPr>
                <w:rFonts w:ascii="宋体" w:hAnsi="宋体" w:cs="宋体"/>
                <w:color w:val="auto"/>
                <w:sz w:val="24"/>
                <w:szCs w:val="24"/>
                <w:highlight w:val="none"/>
              </w:rPr>
              <w:t>。合同履约期间无违约情形的，项目经校级验收合格后采购人财务部门及时无息退还。如校级验收未通过，履约保证金不予退还。</w:t>
            </w:r>
          </w:p>
        </w:tc>
      </w:tr>
      <w:tr w14:paraId="617FDC4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56"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6B2833E6">
            <w:pPr>
              <w:snapToGrid w:val="0"/>
              <w:jc w:val="center"/>
              <w:rPr>
                <w:rFonts w:hint="default"/>
                <w:color w:val="auto"/>
                <w:sz w:val="24"/>
                <w:szCs w:val="24"/>
                <w:highlight w:val="none"/>
              </w:rPr>
            </w:pPr>
            <w:r>
              <w:rPr>
                <w:color w:val="auto"/>
                <w:sz w:val="24"/>
                <w:szCs w:val="24"/>
                <w:highlight w:val="none"/>
              </w:rPr>
              <w:t>28</w:t>
            </w:r>
          </w:p>
        </w:tc>
        <w:tc>
          <w:tcPr>
            <w:tcW w:w="1440" w:type="dxa"/>
            <w:tcBorders>
              <w:top w:val="single" w:color="auto" w:sz="4" w:space="0"/>
              <w:left w:val="single" w:color="auto" w:sz="4" w:space="0"/>
              <w:bottom w:val="single" w:color="auto" w:sz="4" w:space="0"/>
              <w:right w:val="single" w:color="auto" w:sz="4" w:space="0"/>
            </w:tcBorders>
            <w:noWrap/>
            <w:vAlign w:val="center"/>
          </w:tcPr>
          <w:p w14:paraId="2BA3D741">
            <w:pPr>
              <w:snapToGrid w:val="0"/>
              <w:jc w:val="center"/>
              <w:rPr>
                <w:rFonts w:hint="default"/>
                <w:color w:val="auto"/>
                <w:sz w:val="24"/>
                <w:szCs w:val="24"/>
                <w:highlight w:val="none"/>
              </w:rPr>
            </w:pPr>
            <w:r>
              <w:rPr>
                <w:rFonts w:hint="default"/>
                <w:color w:val="auto"/>
                <w:sz w:val="24"/>
                <w:szCs w:val="24"/>
                <w:highlight w:val="none"/>
              </w:rPr>
              <w:t>代理服务费</w:t>
            </w:r>
          </w:p>
        </w:tc>
        <w:tc>
          <w:tcPr>
            <w:tcW w:w="7142" w:type="dxa"/>
            <w:tcBorders>
              <w:top w:val="single" w:color="auto" w:sz="4" w:space="0"/>
              <w:left w:val="single" w:color="auto" w:sz="4" w:space="0"/>
              <w:bottom w:val="single" w:color="auto" w:sz="4" w:space="0"/>
              <w:right w:val="single" w:color="auto" w:sz="4" w:space="0"/>
            </w:tcBorders>
            <w:noWrap/>
            <w:vAlign w:val="center"/>
          </w:tcPr>
          <w:p w14:paraId="321F8FEB">
            <w:pPr>
              <w:adjustRightInd w:val="0"/>
              <w:snapToGrid w:val="0"/>
              <w:rPr>
                <w:rFonts w:hint="default"/>
                <w:color w:val="auto"/>
                <w:sz w:val="24"/>
                <w:szCs w:val="24"/>
                <w:highlight w:val="none"/>
              </w:rPr>
            </w:pPr>
            <w:r>
              <w:rPr>
                <w:rFonts w:hint="default"/>
                <w:color w:val="auto"/>
                <w:sz w:val="24"/>
                <w:szCs w:val="24"/>
                <w:highlight w:val="none"/>
              </w:rPr>
              <w:t>本次采购代理服务费按中标价作为基数，依据</w:t>
            </w:r>
            <w:r>
              <w:rPr>
                <w:color w:val="auto"/>
                <w:sz w:val="24"/>
                <w:szCs w:val="24"/>
                <w:highlight w:val="none"/>
              </w:rPr>
              <w:t>原</w:t>
            </w:r>
            <w:r>
              <w:rPr>
                <w:rFonts w:hint="default"/>
                <w:color w:val="auto"/>
                <w:sz w:val="24"/>
                <w:szCs w:val="24"/>
                <w:highlight w:val="none"/>
              </w:rPr>
              <w:t>国家发展计划委员会《招标代理服务收费管理办法》</w:t>
            </w:r>
            <w:r>
              <w:rPr>
                <w:color w:val="auto"/>
                <w:sz w:val="24"/>
                <w:szCs w:val="24"/>
                <w:highlight w:val="none"/>
              </w:rPr>
              <w:t>（</w:t>
            </w:r>
            <w:r>
              <w:rPr>
                <w:rFonts w:hint="default"/>
                <w:color w:val="auto"/>
                <w:sz w:val="24"/>
                <w:szCs w:val="24"/>
                <w:highlight w:val="none"/>
              </w:rPr>
              <w:t>计价格[2002]1980号</w:t>
            </w:r>
            <w:r>
              <w:rPr>
                <w:color w:val="auto"/>
                <w:sz w:val="24"/>
                <w:szCs w:val="24"/>
                <w:highlight w:val="none"/>
              </w:rPr>
              <w:t>）规定和国家发展改革委员会办公厅关于招标代理服务收费有关问题的通知（</w:t>
            </w:r>
            <w:r>
              <w:rPr>
                <w:rFonts w:hint="default"/>
                <w:color w:val="auto"/>
                <w:sz w:val="24"/>
                <w:szCs w:val="24"/>
                <w:highlight w:val="none"/>
              </w:rPr>
              <w:t>发改</w:t>
            </w:r>
            <w:r>
              <w:rPr>
                <w:color w:val="auto"/>
                <w:sz w:val="24"/>
                <w:szCs w:val="24"/>
                <w:highlight w:val="none"/>
              </w:rPr>
              <w:t>办</w:t>
            </w:r>
            <w:r>
              <w:rPr>
                <w:rFonts w:hint="default"/>
                <w:color w:val="auto"/>
                <w:sz w:val="24"/>
                <w:szCs w:val="24"/>
                <w:highlight w:val="none"/>
              </w:rPr>
              <w:t>价格[2011]534号</w:t>
            </w:r>
            <w:r>
              <w:rPr>
                <w:color w:val="auto"/>
                <w:sz w:val="24"/>
                <w:szCs w:val="24"/>
                <w:highlight w:val="none"/>
              </w:rPr>
              <w:t>）</w:t>
            </w:r>
            <w:r>
              <w:rPr>
                <w:rFonts w:hint="default"/>
                <w:color w:val="auto"/>
                <w:sz w:val="24"/>
                <w:szCs w:val="24"/>
                <w:highlight w:val="none"/>
              </w:rPr>
              <w:t>收费标准的</w:t>
            </w:r>
            <w:r>
              <w:rPr>
                <w:color w:val="auto"/>
                <w:sz w:val="24"/>
                <w:szCs w:val="24"/>
                <w:highlight w:val="none"/>
              </w:rPr>
              <w:t>7</w:t>
            </w:r>
            <w:r>
              <w:rPr>
                <w:rFonts w:hint="default"/>
                <w:color w:val="auto"/>
                <w:sz w:val="24"/>
                <w:szCs w:val="24"/>
                <w:highlight w:val="none"/>
              </w:rPr>
              <w:t>0%进行计算（不足3000元时按3000元）。由成交供应商在领取中标通知书时一次性向代理机构支付。该费用在投标文件中不单列，由投标人在投标总报价中综合考虑。</w:t>
            </w:r>
          </w:p>
        </w:tc>
      </w:tr>
      <w:tr w14:paraId="6F210E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92" w:hRule="atLeast"/>
          <w:jc w:val="center"/>
        </w:trPr>
        <w:tc>
          <w:tcPr>
            <w:tcW w:w="860" w:type="dxa"/>
            <w:tcBorders>
              <w:top w:val="single" w:color="auto" w:sz="4" w:space="0"/>
              <w:left w:val="single" w:color="auto" w:sz="4" w:space="0"/>
              <w:bottom w:val="single" w:color="auto" w:sz="4" w:space="0"/>
              <w:right w:val="single" w:color="auto" w:sz="4" w:space="0"/>
            </w:tcBorders>
            <w:noWrap/>
            <w:vAlign w:val="center"/>
          </w:tcPr>
          <w:p w14:paraId="6B893D9C">
            <w:pPr>
              <w:snapToGrid w:val="0"/>
              <w:jc w:val="center"/>
              <w:rPr>
                <w:rFonts w:hint="default"/>
                <w:color w:val="auto"/>
                <w:sz w:val="24"/>
                <w:szCs w:val="24"/>
                <w:highlight w:val="none"/>
              </w:rPr>
            </w:pPr>
            <w:r>
              <w:rPr>
                <w:color w:val="auto"/>
                <w:sz w:val="24"/>
                <w:szCs w:val="24"/>
                <w:highlight w:val="none"/>
              </w:rPr>
              <w:t>29</w:t>
            </w:r>
          </w:p>
        </w:tc>
        <w:tc>
          <w:tcPr>
            <w:tcW w:w="1440" w:type="dxa"/>
            <w:tcBorders>
              <w:top w:val="single" w:color="auto" w:sz="4" w:space="0"/>
              <w:left w:val="single" w:color="auto" w:sz="4" w:space="0"/>
              <w:bottom w:val="single" w:color="auto" w:sz="4" w:space="0"/>
              <w:right w:val="single" w:color="auto" w:sz="4" w:space="0"/>
            </w:tcBorders>
            <w:noWrap/>
            <w:vAlign w:val="center"/>
          </w:tcPr>
          <w:p w14:paraId="6A923944">
            <w:pPr>
              <w:snapToGrid w:val="0"/>
              <w:jc w:val="center"/>
              <w:rPr>
                <w:rFonts w:hint="default"/>
                <w:color w:val="auto"/>
                <w:sz w:val="24"/>
                <w:szCs w:val="24"/>
                <w:highlight w:val="none"/>
              </w:rPr>
            </w:pPr>
            <w:r>
              <w:rPr>
                <w:rFonts w:hint="default"/>
                <w:color w:val="auto"/>
                <w:sz w:val="24"/>
                <w:szCs w:val="24"/>
                <w:highlight w:val="none"/>
              </w:rPr>
              <w:t>解释权</w:t>
            </w:r>
          </w:p>
        </w:tc>
        <w:tc>
          <w:tcPr>
            <w:tcW w:w="7142" w:type="dxa"/>
            <w:tcBorders>
              <w:top w:val="single" w:color="auto" w:sz="4" w:space="0"/>
              <w:left w:val="single" w:color="auto" w:sz="4" w:space="0"/>
              <w:bottom w:val="single" w:color="auto" w:sz="4" w:space="0"/>
              <w:right w:val="single" w:color="auto" w:sz="4" w:space="0"/>
            </w:tcBorders>
            <w:noWrap/>
            <w:vAlign w:val="center"/>
          </w:tcPr>
          <w:p w14:paraId="2F7990AF">
            <w:pPr>
              <w:autoSpaceDE w:val="0"/>
              <w:autoSpaceDN w:val="0"/>
              <w:snapToGrid w:val="0"/>
              <w:textAlignment w:val="bottom"/>
              <w:rPr>
                <w:rFonts w:hint="default"/>
                <w:b/>
                <w:bCs/>
                <w:color w:val="auto"/>
                <w:sz w:val="24"/>
                <w:szCs w:val="24"/>
                <w:highlight w:val="none"/>
              </w:rPr>
            </w:pPr>
            <w:r>
              <w:rPr>
                <w:rFonts w:hint="default"/>
                <w:b/>
                <w:bCs/>
                <w:color w:val="auto"/>
                <w:sz w:val="24"/>
                <w:szCs w:val="24"/>
                <w:highlight w:val="none"/>
                <w:lang w:val="en-US" w:eastAsia="zh-CN"/>
              </w:rPr>
              <w:t>参与同一标段</w:t>
            </w:r>
            <w:r>
              <w:rPr>
                <w:rFonts w:hint="eastAsia"/>
                <w:b/>
                <w:bCs/>
                <w:color w:val="auto"/>
                <w:sz w:val="24"/>
                <w:szCs w:val="24"/>
                <w:highlight w:val="none"/>
                <w:lang w:val="en-US" w:eastAsia="zh-CN"/>
              </w:rPr>
              <w:t>（</w:t>
            </w:r>
            <w:r>
              <w:rPr>
                <w:rFonts w:hint="default"/>
                <w:b/>
                <w:bCs/>
                <w:color w:val="auto"/>
                <w:sz w:val="24"/>
                <w:szCs w:val="24"/>
                <w:highlight w:val="none"/>
                <w:lang w:val="en-US" w:eastAsia="zh-CN"/>
              </w:rPr>
              <w:t>包</w:t>
            </w:r>
            <w:r>
              <w:rPr>
                <w:rFonts w:hint="eastAsia"/>
                <w:b/>
                <w:bCs/>
                <w:color w:val="auto"/>
                <w:sz w:val="24"/>
                <w:szCs w:val="24"/>
                <w:highlight w:val="none"/>
                <w:lang w:val="en-US" w:eastAsia="zh-CN"/>
              </w:rPr>
              <w:t>）</w:t>
            </w:r>
            <w:r>
              <w:rPr>
                <w:rFonts w:hint="default"/>
                <w:b/>
                <w:bCs/>
                <w:color w:val="auto"/>
                <w:sz w:val="24"/>
                <w:szCs w:val="24"/>
                <w:highlight w:val="none"/>
                <w:lang w:val="en-US" w:eastAsia="zh-CN"/>
              </w:rPr>
              <w:t>的投标人</w:t>
            </w:r>
            <w:r>
              <w:rPr>
                <w:rFonts w:hint="eastAsia"/>
                <w:b/>
                <w:bCs/>
                <w:color w:val="auto"/>
                <w:sz w:val="24"/>
                <w:szCs w:val="24"/>
                <w:highlight w:val="none"/>
                <w:lang w:val="en-US" w:eastAsia="zh-CN"/>
              </w:rPr>
              <w:t>（</w:t>
            </w:r>
            <w:r>
              <w:rPr>
                <w:rFonts w:hint="default"/>
                <w:b/>
                <w:bCs/>
                <w:color w:val="auto"/>
                <w:sz w:val="24"/>
                <w:szCs w:val="24"/>
                <w:highlight w:val="none"/>
                <w:lang w:val="en-US" w:eastAsia="zh-CN"/>
              </w:rPr>
              <w:t>供应商</w:t>
            </w:r>
            <w:r>
              <w:rPr>
                <w:rFonts w:hint="eastAsia"/>
                <w:b/>
                <w:bCs/>
                <w:color w:val="auto"/>
                <w:sz w:val="24"/>
                <w:szCs w:val="24"/>
                <w:highlight w:val="none"/>
                <w:lang w:val="en-US" w:eastAsia="zh-CN"/>
              </w:rPr>
              <w:t>）</w:t>
            </w:r>
            <w:r>
              <w:rPr>
                <w:rFonts w:hint="default"/>
                <w:b/>
                <w:bCs/>
                <w:color w:val="auto"/>
                <w:sz w:val="24"/>
                <w:szCs w:val="24"/>
                <w:highlight w:val="none"/>
                <w:lang w:val="en-US" w:eastAsia="zh-CN"/>
              </w:rPr>
              <w:t>存在IP或MAC或硬件信息或供应商手机号相同</w:t>
            </w:r>
            <w:r>
              <w:rPr>
                <w:rFonts w:hint="eastAsia"/>
                <w:b/>
                <w:bCs/>
                <w:color w:val="auto"/>
                <w:sz w:val="24"/>
                <w:szCs w:val="24"/>
                <w:highlight w:val="none"/>
                <w:lang w:val="en-US" w:eastAsia="zh-CN"/>
              </w:rPr>
              <w:t>，</w:t>
            </w:r>
            <w:r>
              <w:rPr>
                <w:rFonts w:hint="default"/>
                <w:b/>
                <w:bCs/>
                <w:color w:val="auto"/>
                <w:sz w:val="24"/>
                <w:szCs w:val="24"/>
                <w:highlight w:val="none"/>
                <w:lang w:val="en-US" w:eastAsia="zh-CN"/>
              </w:rPr>
              <w:t>且无合理解释的情形的（注：IP、MAC、硬件信息是供应商投标客户端制作标书IP、MAC、硬件信息；手机号是上传投标文件时的手机号信息）</w:t>
            </w:r>
            <w:r>
              <w:rPr>
                <w:rFonts w:hint="default"/>
                <w:b/>
                <w:bCs/>
                <w:color w:val="auto"/>
                <w:sz w:val="24"/>
                <w:szCs w:val="24"/>
                <w:highlight w:val="none"/>
              </w:rPr>
              <w:t>，其响应文件无效。</w:t>
            </w:r>
          </w:p>
          <w:p w14:paraId="6047D317">
            <w:pPr>
              <w:autoSpaceDE w:val="0"/>
              <w:autoSpaceDN w:val="0"/>
              <w:snapToGrid w:val="0"/>
              <w:textAlignment w:val="bottom"/>
              <w:rPr>
                <w:rFonts w:hint="default"/>
                <w:color w:val="auto"/>
                <w:sz w:val="24"/>
                <w:szCs w:val="24"/>
                <w:highlight w:val="none"/>
              </w:rPr>
            </w:pPr>
            <w:r>
              <w:rPr>
                <w:rFonts w:hint="default"/>
                <w:color w:val="auto"/>
                <w:sz w:val="24"/>
                <w:szCs w:val="24"/>
                <w:highlight w:val="none"/>
              </w:rPr>
              <w:t>本招标文件的解释权属于采购人和采购代理机构。</w:t>
            </w:r>
          </w:p>
        </w:tc>
      </w:tr>
    </w:tbl>
    <w:p w14:paraId="34FFA862">
      <w:pPr>
        <w:pStyle w:val="6"/>
        <w:adjustRightInd w:val="0"/>
        <w:snapToGrid w:val="0"/>
        <w:spacing w:beforeLines="0" w:afterLines="0" w:line="360" w:lineRule="auto"/>
        <w:rPr>
          <w:rFonts w:ascii="Times New Roman" w:hAnsi="Times New Roman"/>
          <w:b/>
          <w:color w:val="auto"/>
          <w:sz w:val="28"/>
          <w:szCs w:val="28"/>
          <w:highlight w:val="none"/>
        </w:rPr>
      </w:pPr>
      <w:r>
        <w:rPr>
          <w:rFonts w:ascii="Times New Roman" w:hAnsi="Times New Roman"/>
          <w:color w:val="auto"/>
          <w:highlight w:val="none"/>
        </w:rPr>
        <w:br w:type="page"/>
      </w:r>
      <w:r>
        <w:rPr>
          <w:rFonts w:ascii="Times New Roman" w:hAnsi="Times New Roman"/>
          <w:b/>
          <w:color w:val="auto"/>
          <w:sz w:val="28"/>
          <w:szCs w:val="28"/>
          <w:highlight w:val="none"/>
        </w:rPr>
        <w:t>一、总则</w:t>
      </w:r>
    </w:p>
    <w:p w14:paraId="3876AA19">
      <w:pPr>
        <w:adjustRightInd w:val="0"/>
        <w:snapToGrid w:val="0"/>
        <w:spacing w:line="360" w:lineRule="auto"/>
        <w:ind w:firstLine="354" w:firstLineChars="147"/>
        <w:jc w:val="left"/>
        <w:outlineLvl w:val="1"/>
        <w:rPr>
          <w:rFonts w:hint="default"/>
          <w:b/>
          <w:color w:val="auto"/>
          <w:sz w:val="24"/>
          <w:highlight w:val="none"/>
        </w:rPr>
      </w:pPr>
      <w:r>
        <w:rPr>
          <w:rFonts w:hint="default"/>
          <w:b/>
          <w:color w:val="auto"/>
          <w:sz w:val="24"/>
          <w:highlight w:val="none"/>
        </w:rPr>
        <w:t>（一）适用范围</w:t>
      </w:r>
    </w:p>
    <w:p w14:paraId="65D34032">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本招标文件适用于本次采购项目的招标、投标、评标、定标、验收、合同履约、付款等行为（法律、法规另有规定的，从其规定）。</w:t>
      </w:r>
    </w:p>
    <w:p w14:paraId="654AD710">
      <w:pPr>
        <w:adjustRightInd w:val="0"/>
        <w:snapToGrid w:val="0"/>
        <w:spacing w:line="360" w:lineRule="auto"/>
        <w:ind w:firstLine="354" w:firstLineChars="147"/>
        <w:jc w:val="left"/>
        <w:outlineLvl w:val="1"/>
        <w:rPr>
          <w:rFonts w:hint="default"/>
          <w:b/>
          <w:color w:val="auto"/>
          <w:sz w:val="24"/>
          <w:highlight w:val="none"/>
        </w:rPr>
      </w:pPr>
      <w:r>
        <w:rPr>
          <w:rFonts w:hint="default"/>
          <w:b/>
          <w:color w:val="auto"/>
          <w:sz w:val="24"/>
          <w:highlight w:val="none"/>
        </w:rPr>
        <w:t>（二）定义</w:t>
      </w:r>
    </w:p>
    <w:p w14:paraId="52998D28">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1.招标采购单位：系指组织本次招标的代理机构和采购人。</w:t>
      </w:r>
    </w:p>
    <w:p w14:paraId="6B48CF20">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2.投标人：系指向招标方提交投标文件的单位或个人，也称作供应商。</w:t>
      </w:r>
    </w:p>
    <w:p w14:paraId="1DD1BFA8">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3.投标人代表：是指参加本项目投标活动的供应商法定代表人或法定代表人授权代表。</w:t>
      </w:r>
    </w:p>
    <w:p w14:paraId="7B88E655">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4.联合体：是指两个以上供应商组成联合体，以一个供应商的身份参加投标。</w:t>
      </w:r>
    </w:p>
    <w:p w14:paraId="523EC512">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5.甲方：是指合同签订的一方，一般与采购人、</w:t>
      </w:r>
      <w:r>
        <w:rPr>
          <w:color w:val="auto"/>
          <w:sz w:val="24"/>
          <w:highlight w:val="none"/>
        </w:rPr>
        <w:t>采购单位</w:t>
      </w:r>
      <w:r>
        <w:rPr>
          <w:rFonts w:hint="default"/>
          <w:color w:val="auto"/>
          <w:sz w:val="24"/>
          <w:highlight w:val="none"/>
        </w:rPr>
        <w:t>、用户相同。</w:t>
      </w:r>
    </w:p>
    <w:p w14:paraId="5EE4C414">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6.乙方：是指合同签订的另一方，与中标人相同。</w:t>
      </w:r>
    </w:p>
    <w:p w14:paraId="2916A212">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7.“产品”系指供方按招标文件规定，须向采购人提供的一切设备、保险、税金、备品备件、工具、手册及其它有关技术资料和材料。</w:t>
      </w:r>
    </w:p>
    <w:p w14:paraId="21F044CD">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8.“服务”系指招标文件规定投标人须承担的</w:t>
      </w:r>
      <w:r>
        <w:rPr>
          <w:color w:val="auto"/>
          <w:sz w:val="24"/>
          <w:highlight w:val="none"/>
        </w:rPr>
        <w:t>本项目相关</w:t>
      </w:r>
      <w:r>
        <w:rPr>
          <w:rFonts w:hint="default"/>
          <w:color w:val="auto"/>
          <w:sz w:val="24"/>
          <w:highlight w:val="none"/>
        </w:rPr>
        <w:t>服务以及其他类似的义务。</w:t>
      </w:r>
    </w:p>
    <w:p w14:paraId="2B386334">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9.“项目”系指投标人按招标文件规定向采购人提供的产品和服务。</w:t>
      </w:r>
    </w:p>
    <w:p w14:paraId="33899A39">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10.“书面形式”包括信函、传真、电报等。</w:t>
      </w:r>
    </w:p>
    <w:p w14:paraId="5250DE9C">
      <w:pPr>
        <w:snapToGrid w:val="0"/>
        <w:spacing w:line="360" w:lineRule="auto"/>
        <w:ind w:firstLine="480" w:firstLineChars="200"/>
        <w:rPr>
          <w:rFonts w:hint="default" w:ascii="宋体" w:hAnsi="宋体" w:cs="宋体"/>
          <w:color w:val="auto"/>
          <w:sz w:val="24"/>
          <w:highlight w:val="none"/>
        </w:rPr>
      </w:pPr>
      <w:r>
        <w:rPr>
          <w:rFonts w:ascii="宋体" w:hAnsi="宋体" w:cs="宋体"/>
          <w:color w:val="auto"/>
          <w:sz w:val="24"/>
          <w:highlight w:val="none"/>
        </w:rPr>
        <w:t>11.“电子签名”系指数据电文中以电子形式所含、所附用于识别签名人身份并表明签名人认可其中内容的数据；“公章”系指单位法定名称章。因特殊原因需要使用冠以法定名称的业务专用章的，投标时须提供《业务专用章使用说明函》。</w:t>
      </w:r>
    </w:p>
    <w:p w14:paraId="15A8C3A5">
      <w:pPr>
        <w:snapToGrid w:val="0"/>
        <w:spacing w:line="360" w:lineRule="auto"/>
        <w:ind w:firstLine="480" w:firstLineChars="200"/>
        <w:rPr>
          <w:rFonts w:hint="default" w:ascii="宋体" w:hAnsi="宋体" w:cs="宋体"/>
          <w:color w:val="auto"/>
          <w:sz w:val="24"/>
          <w:highlight w:val="none"/>
        </w:rPr>
      </w:pPr>
      <w:r>
        <w:rPr>
          <w:rFonts w:ascii="宋体" w:hAnsi="宋体" w:cs="宋体"/>
          <w:color w:val="auto"/>
          <w:sz w:val="24"/>
          <w:highlight w:val="none"/>
        </w:rPr>
        <w:t>12.“电子交易平台”系指本项目政府采购活动所依托的政府采购云平台（https://www.zcygov.cn/）。</w:t>
      </w:r>
    </w:p>
    <w:p w14:paraId="36010219">
      <w:pPr>
        <w:snapToGrid w:val="0"/>
        <w:spacing w:line="360" w:lineRule="auto"/>
        <w:ind w:firstLine="482" w:firstLineChars="200"/>
        <w:rPr>
          <w:rFonts w:hint="default" w:ascii="宋体" w:hAnsi="宋体" w:cs="宋体"/>
          <w:b/>
          <w:bCs/>
          <w:color w:val="auto"/>
          <w:sz w:val="24"/>
          <w:szCs w:val="22"/>
          <w:highlight w:val="none"/>
        </w:rPr>
      </w:pPr>
      <w:r>
        <w:rPr>
          <w:rFonts w:ascii="宋体" w:hAnsi="宋体" w:cs="宋体"/>
          <w:b/>
          <w:bCs/>
          <w:color w:val="auto"/>
          <w:sz w:val="24"/>
          <w:szCs w:val="22"/>
          <w:highlight w:val="none"/>
        </w:rPr>
        <w:t>13.“▲”系指实质性要求条款。“</w:t>
      </w:r>
      <w:r>
        <w:rPr>
          <w:rFonts w:ascii="宋体" w:hAnsi="宋体" w:cs="宋体"/>
          <w:color w:val="auto"/>
          <w:sz w:val="24"/>
          <w:szCs w:val="24"/>
          <w:highlight w:val="none"/>
        </w:rPr>
        <w:sym w:font="Wingdings 2" w:char="0052"/>
      </w:r>
      <w:r>
        <w:rPr>
          <w:rFonts w:ascii="宋体" w:hAnsi="宋体" w:cs="宋体"/>
          <w:b/>
          <w:bCs/>
          <w:color w:val="auto"/>
          <w:sz w:val="24"/>
          <w:szCs w:val="22"/>
          <w:highlight w:val="none"/>
        </w:rPr>
        <w:t>” 系指适用本项目的要求，“☐” 系指不适用本项目的要求。</w:t>
      </w:r>
    </w:p>
    <w:p w14:paraId="7013EF19">
      <w:pPr>
        <w:adjustRightInd w:val="0"/>
        <w:snapToGrid w:val="0"/>
        <w:spacing w:line="360" w:lineRule="auto"/>
        <w:ind w:firstLine="472" w:firstLineChars="196"/>
        <w:jc w:val="left"/>
        <w:outlineLvl w:val="1"/>
        <w:rPr>
          <w:rFonts w:hint="default"/>
          <w:b/>
          <w:color w:val="auto"/>
          <w:sz w:val="24"/>
          <w:highlight w:val="none"/>
        </w:rPr>
      </w:pPr>
      <w:r>
        <w:rPr>
          <w:rFonts w:hint="default"/>
          <w:b/>
          <w:color w:val="auto"/>
          <w:sz w:val="24"/>
          <w:highlight w:val="none"/>
        </w:rPr>
        <w:t>（三）招标方式</w:t>
      </w:r>
    </w:p>
    <w:p w14:paraId="72C178B7">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本次招标采用公开招标方式进行。</w:t>
      </w:r>
    </w:p>
    <w:p w14:paraId="2B6A598C">
      <w:pPr>
        <w:adjustRightInd w:val="0"/>
        <w:snapToGrid w:val="0"/>
        <w:spacing w:line="360" w:lineRule="auto"/>
        <w:ind w:firstLine="472" w:firstLineChars="196"/>
        <w:jc w:val="left"/>
        <w:outlineLvl w:val="1"/>
        <w:rPr>
          <w:rFonts w:hint="default"/>
          <w:b/>
          <w:color w:val="auto"/>
          <w:sz w:val="24"/>
          <w:highlight w:val="none"/>
        </w:rPr>
      </w:pPr>
      <w:r>
        <w:rPr>
          <w:rFonts w:hint="default"/>
          <w:b/>
          <w:color w:val="auto"/>
          <w:sz w:val="24"/>
          <w:highlight w:val="none"/>
        </w:rPr>
        <w:t>（</w:t>
      </w:r>
      <w:r>
        <w:rPr>
          <w:b/>
          <w:color w:val="auto"/>
          <w:sz w:val="24"/>
          <w:highlight w:val="none"/>
        </w:rPr>
        <w:t>四</w:t>
      </w:r>
      <w:r>
        <w:rPr>
          <w:rFonts w:hint="default"/>
          <w:b/>
          <w:color w:val="auto"/>
          <w:sz w:val="24"/>
          <w:highlight w:val="none"/>
        </w:rPr>
        <w:t>）投标费用</w:t>
      </w:r>
    </w:p>
    <w:p w14:paraId="3C1EF212">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不论投标结果如何，投标人均应自行承担所有与投标有关的全部费用。</w:t>
      </w:r>
    </w:p>
    <w:p w14:paraId="35A0D1A0">
      <w:pPr>
        <w:adjustRightInd w:val="0"/>
        <w:snapToGrid w:val="0"/>
        <w:spacing w:line="360" w:lineRule="auto"/>
        <w:ind w:firstLine="472" w:firstLineChars="196"/>
        <w:jc w:val="left"/>
        <w:rPr>
          <w:rFonts w:hint="default"/>
          <w:b/>
          <w:color w:val="auto"/>
          <w:sz w:val="24"/>
          <w:highlight w:val="none"/>
        </w:rPr>
      </w:pPr>
      <w:r>
        <w:rPr>
          <w:rFonts w:hint="default"/>
          <w:b/>
          <w:color w:val="auto"/>
          <w:sz w:val="24"/>
          <w:highlight w:val="none"/>
        </w:rPr>
        <w:t>（</w:t>
      </w:r>
      <w:r>
        <w:rPr>
          <w:b/>
          <w:color w:val="auto"/>
          <w:sz w:val="24"/>
          <w:highlight w:val="none"/>
        </w:rPr>
        <w:t>五</w:t>
      </w:r>
      <w:r>
        <w:rPr>
          <w:rFonts w:hint="default"/>
          <w:b/>
          <w:color w:val="auto"/>
          <w:sz w:val="24"/>
          <w:highlight w:val="none"/>
        </w:rPr>
        <w:t>）联合体投标</w:t>
      </w:r>
    </w:p>
    <w:p w14:paraId="1028601A">
      <w:pPr>
        <w:adjustRightInd w:val="0"/>
        <w:snapToGrid w:val="0"/>
        <w:spacing w:line="360" w:lineRule="auto"/>
        <w:ind w:firstLine="480" w:firstLineChars="200"/>
        <w:jc w:val="left"/>
        <w:rPr>
          <w:rFonts w:hint="default"/>
          <w:b/>
          <w:bCs/>
          <w:color w:val="auto"/>
          <w:sz w:val="24"/>
          <w:highlight w:val="none"/>
        </w:rPr>
      </w:pPr>
      <w:r>
        <w:rPr>
          <w:color w:val="auto"/>
          <w:sz w:val="24"/>
          <w:highlight w:val="none"/>
        </w:rPr>
        <w:t>详见投标人须知前附表</w:t>
      </w:r>
    </w:p>
    <w:p w14:paraId="54F43E54">
      <w:pPr>
        <w:adjustRightInd w:val="0"/>
        <w:snapToGrid w:val="0"/>
        <w:spacing w:line="360" w:lineRule="auto"/>
        <w:ind w:firstLine="472" w:firstLineChars="196"/>
        <w:rPr>
          <w:rFonts w:hint="default"/>
          <w:b/>
          <w:color w:val="auto"/>
          <w:kern w:val="0"/>
          <w:sz w:val="24"/>
          <w:highlight w:val="none"/>
        </w:rPr>
      </w:pPr>
      <w:r>
        <w:rPr>
          <w:rFonts w:hint="default"/>
          <w:b/>
          <w:color w:val="auto"/>
          <w:sz w:val="24"/>
          <w:highlight w:val="none"/>
        </w:rPr>
        <w:t>（</w:t>
      </w:r>
      <w:r>
        <w:rPr>
          <w:b/>
          <w:color w:val="auto"/>
          <w:sz w:val="24"/>
          <w:highlight w:val="none"/>
        </w:rPr>
        <w:t>六</w:t>
      </w:r>
      <w:r>
        <w:rPr>
          <w:rFonts w:hint="default"/>
          <w:b/>
          <w:color w:val="auto"/>
          <w:sz w:val="24"/>
          <w:highlight w:val="none"/>
        </w:rPr>
        <w:t>）</w:t>
      </w:r>
      <w:r>
        <w:rPr>
          <w:rFonts w:hint="default"/>
          <w:b/>
          <w:color w:val="auto"/>
          <w:kern w:val="0"/>
          <w:sz w:val="24"/>
          <w:highlight w:val="none"/>
        </w:rPr>
        <w:t>转包与分包</w:t>
      </w:r>
    </w:p>
    <w:p w14:paraId="155FA322">
      <w:pPr>
        <w:adjustRightInd w:val="0"/>
        <w:snapToGrid w:val="0"/>
        <w:spacing w:line="360" w:lineRule="auto"/>
        <w:ind w:firstLine="470" w:firstLineChars="196"/>
        <w:jc w:val="left"/>
        <w:outlineLvl w:val="1"/>
        <w:rPr>
          <w:rFonts w:hint="default"/>
          <w:color w:val="auto"/>
          <w:sz w:val="24"/>
          <w:highlight w:val="none"/>
        </w:rPr>
      </w:pPr>
      <w:r>
        <w:rPr>
          <w:color w:val="auto"/>
          <w:sz w:val="24"/>
          <w:highlight w:val="none"/>
        </w:rPr>
        <w:t>详见投标人须知前附表</w:t>
      </w:r>
    </w:p>
    <w:p w14:paraId="63C16865">
      <w:pPr>
        <w:adjustRightInd w:val="0"/>
        <w:snapToGrid w:val="0"/>
        <w:spacing w:line="360" w:lineRule="auto"/>
        <w:ind w:firstLine="472" w:firstLineChars="196"/>
        <w:outlineLvl w:val="1"/>
        <w:rPr>
          <w:rFonts w:hint="default" w:ascii="宋体" w:hAnsi="宋体" w:cs="宋体"/>
          <w:b/>
          <w:color w:val="auto"/>
          <w:sz w:val="24"/>
          <w:highlight w:val="none"/>
        </w:rPr>
      </w:pPr>
      <w:r>
        <w:rPr>
          <w:rFonts w:ascii="宋体" w:hAnsi="宋体" w:cs="宋体"/>
          <w:b/>
          <w:color w:val="auto"/>
          <w:sz w:val="24"/>
          <w:highlight w:val="none"/>
        </w:rPr>
        <w:t>（七）采购项目需要落实的政府采购政策</w:t>
      </w:r>
    </w:p>
    <w:p w14:paraId="089951A0">
      <w:pPr>
        <w:adjustRightInd w:val="0"/>
        <w:snapToGrid w:val="0"/>
        <w:spacing w:line="360" w:lineRule="auto"/>
        <w:ind w:firstLine="480" w:firstLineChars="200"/>
        <w:rPr>
          <w:rFonts w:hint="default" w:ascii="宋体" w:hAnsi="宋体" w:cs="宋体"/>
          <w:color w:val="auto"/>
          <w:sz w:val="24"/>
          <w:highlight w:val="none"/>
        </w:rPr>
      </w:pPr>
      <w:r>
        <w:rPr>
          <w:rFonts w:ascii="宋体" w:hAnsi="宋体" w:cs="宋体"/>
          <w:color w:val="auto"/>
          <w:sz w:val="24"/>
          <w:highlight w:val="none"/>
        </w:rPr>
        <w:t>1.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ascii="宋体" w:hAnsi="宋体" w:cs="宋体"/>
          <w:color w:val="auto"/>
          <w:kern w:val="0"/>
          <w:sz w:val="24"/>
          <w:highlight w:val="none"/>
        </w:rPr>
        <w:t>优先采购向我国企业转让技术、与我国企业签订消化吸收再创新方案的供应商的进口产品</w:t>
      </w:r>
      <w:r>
        <w:rPr>
          <w:rFonts w:ascii="宋体" w:hAnsi="宋体" w:cs="宋体"/>
          <w:color w:val="auto"/>
          <w:sz w:val="24"/>
          <w:highlight w:val="none"/>
        </w:rPr>
        <w:t>。</w:t>
      </w:r>
    </w:p>
    <w:p w14:paraId="0EC4EA64">
      <w:pPr>
        <w:adjustRightInd w:val="0"/>
        <w:snapToGrid w:val="0"/>
        <w:spacing w:line="360" w:lineRule="auto"/>
        <w:ind w:firstLine="480" w:firstLineChars="200"/>
        <w:rPr>
          <w:rFonts w:hint="default" w:ascii="宋体" w:hAnsi="宋体" w:cs="宋体"/>
          <w:color w:val="auto"/>
          <w:sz w:val="24"/>
          <w:highlight w:val="none"/>
        </w:rPr>
      </w:pPr>
      <w:r>
        <w:rPr>
          <w:rFonts w:ascii="宋体" w:hAnsi="宋体" w:cs="宋体"/>
          <w:color w:val="auto"/>
          <w:sz w:val="24"/>
          <w:highlight w:val="none"/>
        </w:rPr>
        <w:t>2.支持绿色发展</w:t>
      </w:r>
    </w:p>
    <w:p w14:paraId="2FC91430">
      <w:pPr>
        <w:adjustRightInd w:val="0"/>
        <w:snapToGrid w:val="0"/>
        <w:spacing w:line="360" w:lineRule="auto"/>
        <w:ind w:firstLine="480" w:firstLineChars="200"/>
        <w:rPr>
          <w:rFonts w:hint="default" w:ascii="宋体" w:hAnsi="宋体" w:cs="宋体"/>
          <w:b/>
          <w:bCs/>
          <w:color w:val="auto"/>
          <w:sz w:val="24"/>
          <w:highlight w:val="none"/>
        </w:rPr>
      </w:pPr>
      <w:r>
        <w:rPr>
          <w:rFonts w:ascii="宋体" w:hAnsi="宋体" w:cs="宋体"/>
          <w:color w:val="auto"/>
          <w:sz w:val="24"/>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ascii="宋体" w:hAnsi="宋体" w:cs="宋体"/>
          <w:b/>
          <w:bCs/>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59259C52">
      <w:pPr>
        <w:adjustRightInd w:val="0"/>
        <w:snapToGrid w:val="0"/>
        <w:spacing w:line="360" w:lineRule="auto"/>
        <w:ind w:firstLine="482" w:firstLineChars="200"/>
        <w:rPr>
          <w:rFonts w:hint="default" w:ascii="宋体" w:hAnsi="宋体" w:cs="宋体"/>
          <w:b/>
          <w:bCs/>
          <w:color w:val="auto"/>
          <w:sz w:val="24"/>
          <w:highlight w:val="none"/>
        </w:rPr>
      </w:pPr>
      <w:r>
        <w:rPr>
          <w:rFonts w:ascii="宋体" w:hAnsi="宋体" w:cs="宋体"/>
          <w:b/>
          <w:bCs/>
          <w:color w:val="auto"/>
          <w:sz w:val="24"/>
          <w:highlight w:val="none"/>
        </w:rPr>
        <w:t>《节能产品政府采购品目清单》详见《关于印发节能产品政府采购品目清单的通知(财库[2019]19号)》(如遇调整，按最新清单执行)。</w:t>
      </w:r>
    </w:p>
    <w:tbl>
      <w:tblPr>
        <w:tblStyle w:val="41"/>
        <w:tblW w:w="9940" w:type="dxa"/>
        <w:jc w:val="center"/>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Layout w:type="fixed"/>
        <w:tblCellMar>
          <w:top w:w="0" w:type="dxa"/>
          <w:left w:w="108" w:type="dxa"/>
          <w:bottom w:w="0" w:type="dxa"/>
          <w:right w:w="108" w:type="dxa"/>
        </w:tblCellMar>
      </w:tblPr>
      <w:tblGrid>
        <w:gridCol w:w="690"/>
        <w:gridCol w:w="1933"/>
        <w:gridCol w:w="2334"/>
        <w:gridCol w:w="1682"/>
        <w:gridCol w:w="3301"/>
      </w:tblGrid>
      <w:tr w14:paraId="3D358CB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tblHeader/>
          <w:jc w:val="center"/>
        </w:trPr>
        <w:tc>
          <w:tcPr>
            <w:tcW w:w="690" w:type="dxa"/>
            <w:shd w:val="clear" w:color="auto" w:fill="DAEEF3"/>
            <w:noWrap/>
            <w:vAlign w:val="center"/>
          </w:tcPr>
          <w:p w14:paraId="77D4719B">
            <w:pPr>
              <w:jc w:val="center"/>
              <w:rPr>
                <w:rFonts w:hint="default" w:ascii="宋体" w:hAnsi="宋体"/>
                <w:b/>
                <w:color w:val="auto"/>
                <w:w w:val="90"/>
                <w:szCs w:val="21"/>
                <w:highlight w:val="none"/>
              </w:rPr>
            </w:pPr>
            <w:r>
              <w:rPr>
                <w:rFonts w:ascii="宋体" w:hAnsi="宋体"/>
                <w:b/>
                <w:color w:val="auto"/>
                <w:w w:val="90"/>
                <w:szCs w:val="21"/>
                <w:highlight w:val="none"/>
              </w:rPr>
              <w:t>品目序号</w:t>
            </w:r>
          </w:p>
        </w:tc>
        <w:tc>
          <w:tcPr>
            <w:tcW w:w="5949" w:type="dxa"/>
            <w:gridSpan w:val="3"/>
            <w:shd w:val="clear" w:color="auto" w:fill="DAEEF3"/>
            <w:noWrap/>
            <w:vAlign w:val="center"/>
          </w:tcPr>
          <w:p w14:paraId="6F8E61BD">
            <w:pPr>
              <w:jc w:val="center"/>
              <w:rPr>
                <w:rFonts w:hint="default" w:ascii="宋体" w:hAnsi="宋体"/>
                <w:b/>
                <w:color w:val="auto"/>
                <w:w w:val="90"/>
                <w:szCs w:val="21"/>
                <w:highlight w:val="none"/>
              </w:rPr>
            </w:pPr>
            <w:r>
              <w:rPr>
                <w:rFonts w:ascii="宋体" w:hAnsi="宋体"/>
                <w:b/>
                <w:color w:val="auto"/>
                <w:w w:val="90"/>
                <w:szCs w:val="21"/>
                <w:highlight w:val="none"/>
              </w:rPr>
              <w:t>名称（</w:t>
            </w:r>
            <w:r>
              <w:rPr>
                <w:rFonts w:ascii="宋体" w:hAnsi="宋体"/>
                <w:b/>
                <w:color w:val="auto"/>
                <w:w w:val="90"/>
                <w:szCs w:val="22"/>
                <w:highlight w:val="none"/>
              </w:rPr>
              <w:t>以“</w:t>
            </w:r>
            <w:r>
              <w:rPr>
                <w:rFonts w:ascii="宋体" w:hAnsi="宋体" w:cs="宋体"/>
                <w:b/>
                <w:color w:val="auto"/>
                <w:w w:val="90"/>
                <w:szCs w:val="22"/>
                <w:highlight w:val="none"/>
              </w:rPr>
              <w:t>★</w:t>
            </w:r>
            <w:r>
              <w:rPr>
                <w:rFonts w:ascii="宋体" w:hAnsi="宋体" w:cs="Calibri"/>
                <w:b/>
                <w:color w:val="auto"/>
                <w:w w:val="90"/>
                <w:szCs w:val="22"/>
                <w:highlight w:val="none"/>
              </w:rPr>
              <w:t>”</w:t>
            </w:r>
            <w:r>
              <w:rPr>
                <w:rFonts w:ascii="宋体" w:hAnsi="宋体"/>
                <w:b/>
                <w:color w:val="auto"/>
                <w:w w:val="90"/>
                <w:szCs w:val="22"/>
                <w:highlight w:val="none"/>
              </w:rPr>
              <w:t>标注的为政府强制采购产品）</w:t>
            </w:r>
          </w:p>
        </w:tc>
        <w:tc>
          <w:tcPr>
            <w:tcW w:w="3301" w:type="dxa"/>
            <w:shd w:val="clear" w:color="auto" w:fill="DAEEF3"/>
            <w:noWrap/>
            <w:vAlign w:val="center"/>
          </w:tcPr>
          <w:p w14:paraId="1ED25E12">
            <w:pPr>
              <w:jc w:val="center"/>
              <w:rPr>
                <w:rFonts w:hint="default" w:ascii="宋体" w:hAnsi="宋体"/>
                <w:b/>
                <w:color w:val="auto"/>
                <w:w w:val="90"/>
                <w:szCs w:val="21"/>
                <w:highlight w:val="none"/>
              </w:rPr>
            </w:pPr>
            <w:r>
              <w:rPr>
                <w:rFonts w:ascii="宋体" w:hAnsi="宋体"/>
                <w:b/>
                <w:color w:val="auto"/>
                <w:w w:val="90"/>
                <w:szCs w:val="21"/>
                <w:highlight w:val="none"/>
              </w:rPr>
              <w:t>依据的标准</w:t>
            </w:r>
          </w:p>
        </w:tc>
      </w:tr>
      <w:tr w14:paraId="63829EC9">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restart"/>
            <w:noWrap/>
            <w:vAlign w:val="center"/>
          </w:tcPr>
          <w:p w14:paraId="46760360">
            <w:pPr>
              <w:jc w:val="center"/>
              <w:rPr>
                <w:rFonts w:hint="default" w:ascii="宋体" w:hAnsi="宋体"/>
                <w:color w:val="auto"/>
                <w:w w:val="90"/>
                <w:szCs w:val="21"/>
                <w:highlight w:val="none"/>
              </w:rPr>
            </w:pPr>
            <w:r>
              <w:rPr>
                <w:rFonts w:ascii="宋体" w:hAnsi="宋体"/>
                <w:color w:val="auto"/>
                <w:w w:val="90"/>
                <w:szCs w:val="21"/>
                <w:highlight w:val="none"/>
              </w:rPr>
              <w:t>1</w:t>
            </w:r>
          </w:p>
        </w:tc>
        <w:tc>
          <w:tcPr>
            <w:tcW w:w="1933" w:type="dxa"/>
            <w:vMerge w:val="restart"/>
            <w:noWrap/>
            <w:vAlign w:val="center"/>
          </w:tcPr>
          <w:p w14:paraId="0FFA731A">
            <w:pPr>
              <w:jc w:val="left"/>
              <w:rPr>
                <w:rFonts w:hint="default" w:ascii="宋体" w:hAnsi="宋体"/>
                <w:color w:val="auto"/>
                <w:w w:val="90"/>
                <w:szCs w:val="21"/>
                <w:highlight w:val="none"/>
              </w:rPr>
            </w:pPr>
            <w:r>
              <w:rPr>
                <w:rFonts w:ascii="宋体" w:hAnsi="宋体"/>
                <w:color w:val="auto"/>
                <w:w w:val="90"/>
                <w:szCs w:val="21"/>
                <w:highlight w:val="none"/>
              </w:rPr>
              <w:t>A020101计算机设备</w:t>
            </w:r>
          </w:p>
        </w:tc>
        <w:tc>
          <w:tcPr>
            <w:tcW w:w="2334" w:type="dxa"/>
            <w:noWrap/>
            <w:vAlign w:val="center"/>
          </w:tcPr>
          <w:p w14:paraId="68272AC1">
            <w:pPr>
              <w:jc w:val="left"/>
              <w:rPr>
                <w:rFonts w:hint="default" w:ascii="宋体" w:hAnsi="宋体"/>
                <w:b/>
                <w:color w:val="auto"/>
                <w:w w:val="90"/>
                <w:szCs w:val="21"/>
                <w:highlight w:val="none"/>
              </w:rPr>
            </w:pPr>
            <w:r>
              <w:rPr>
                <w:rFonts w:ascii="宋体" w:hAnsi="宋体" w:cs="宋体"/>
                <w:color w:val="auto"/>
                <w:w w:val="90"/>
                <w:szCs w:val="21"/>
                <w:highlight w:val="none"/>
              </w:rPr>
              <w:t>★</w:t>
            </w:r>
            <w:r>
              <w:rPr>
                <w:rFonts w:ascii="宋体" w:hAnsi="宋体" w:cs="Calibri"/>
                <w:b/>
                <w:color w:val="auto"/>
                <w:w w:val="90"/>
                <w:szCs w:val="21"/>
                <w:highlight w:val="none"/>
              </w:rPr>
              <w:t>A02010104</w:t>
            </w:r>
            <w:r>
              <w:rPr>
                <w:rFonts w:ascii="宋体" w:hAnsi="宋体"/>
                <w:b/>
                <w:color w:val="auto"/>
                <w:w w:val="90"/>
                <w:szCs w:val="21"/>
                <w:highlight w:val="none"/>
              </w:rPr>
              <w:t>台式计算机</w:t>
            </w:r>
          </w:p>
        </w:tc>
        <w:tc>
          <w:tcPr>
            <w:tcW w:w="1682" w:type="dxa"/>
            <w:noWrap/>
            <w:vAlign w:val="center"/>
          </w:tcPr>
          <w:p w14:paraId="2F5EFEF0">
            <w:pPr>
              <w:jc w:val="center"/>
              <w:rPr>
                <w:rFonts w:hint="default" w:ascii="宋体" w:hAnsi="宋体"/>
                <w:color w:val="auto"/>
                <w:w w:val="90"/>
                <w:szCs w:val="21"/>
                <w:highlight w:val="none"/>
              </w:rPr>
            </w:pPr>
          </w:p>
        </w:tc>
        <w:tc>
          <w:tcPr>
            <w:tcW w:w="3301" w:type="dxa"/>
            <w:noWrap/>
            <w:vAlign w:val="center"/>
          </w:tcPr>
          <w:p w14:paraId="69F0E500">
            <w:pPr>
              <w:jc w:val="left"/>
              <w:rPr>
                <w:rFonts w:hint="default" w:ascii="宋体" w:hAnsi="宋体"/>
                <w:color w:val="auto"/>
                <w:w w:val="90"/>
                <w:szCs w:val="21"/>
                <w:highlight w:val="none"/>
              </w:rPr>
            </w:pPr>
            <w:r>
              <w:rPr>
                <w:rFonts w:ascii="宋体" w:hAnsi="宋体"/>
                <w:color w:val="auto"/>
                <w:w w:val="90"/>
                <w:szCs w:val="21"/>
                <w:highlight w:val="none"/>
              </w:rPr>
              <w:t>《微型计算机能效限定值及能效等级》（GB 28380）</w:t>
            </w:r>
          </w:p>
        </w:tc>
      </w:tr>
      <w:tr w14:paraId="77284BEF">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ign w:val="center"/>
          </w:tcPr>
          <w:p w14:paraId="64C4E327">
            <w:pPr>
              <w:jc w:val="center"/>
              <w:rPr>
                <w:rFonts w:hint="default" w:ascii="宋体" w:hAnsi="宋体"/>
                <w:color w:val="auto"/>
                <w:w w:val="90"/>
                <w:szCs w:val="21"/>
                <w:highlight w:val="none"/>
              </w:rPr>
            </w:pPr>
          </w:p>
        </w:tc>
        <w:tc>
          <w:tcPr>
            <w:tcW w:w="1933" w:type="dxa"/>
            <w:vMerge w:val="continue"/>
            <w:noWrap/>
            <w:vAlign w:val="center"/>
          </w:tcPr>
          <w:p w14:paraId="0CAE3B7A">
            <w:pPr>
              <w:jc w:val="left"/>
              <w:rPr>
                <w:rFonts w:hint="default" w:ascii="宋体" w:hAnsi="宋体"/>
                <w:color w:val="auto"/>
                <w:w w:val="90"/>
                <w:szCs w:val="21"/>
                <w:highlight w:val="none"/>
              </w:rPr>
            </w:pPr>
          </w:p>
        </w:tc>
        <w:tc>
          <w:tcPr>
            <w:tcW w:w="2334" w:type="dxa"/>
            <w:noWrap/>
            <w:vAlign w:val="center"/>
          </w:tcPr>
          <w:p w14:paraId="2073052C">
            <w:pPr>
              <w:jc w:val="left"/>
              <w:rPr>
                <w:rFonts w:hint="default" w:ascii="宋体" w:hAnsi="宋体"/>
                <w:b/>
                <w:color w:val="auto"/>
                <w:w w:val="90"/>
                <w:szCs w:val="21"/>
                <w:highlight w:val="none"/>
              </w:rPr>
            </w:pPr>
            <w:r>
              <w:rPr>
                <w:rFonts w:ascii="宋体" w:hAnsi="宋体" w:cs="宋体"/>
                <w:color w:val="auto"/>
                <w:w w:val="90"/>
                <w:szCs w:val="21"/>
                <w:highlight w:val="none"/>
              </w:rPr>
              <w:t>★</w:t>
            </w:r>
            <w:r>
              <w:rPr>
                <w:rFonts w:ascii="宋体" w:hAnsi="宋体" w:cs="Calibri"/>
                <w:b/>
                <w:color w:val="auto"/>
                <w:w w:val="90"/>
                <w:szCs w:val="21"/>
                <w:highlight w:val="none"/>
              </w:rPr>
              <w:t>A02010105</w:t>
            </w:r>
            <w:r>
              <w:rPr>
                <w:rFonts w:ascii="宋体" w:hAnsi="宋体"/>
                <w:b/>
                <w:color w:val="auto"/>
                <w:w w:val="90"/>
                <w:szCs w:val="21"/>
                <w:highlight w:val="none"/>
              </w:rPr>
              <w:t>便携式计算</w:t>
            </w:r>
          </w:p>
        </w:tc>
        <w:tc>
          <w:tcPr>
            <w:tcW w:w="1682" w:type="dxa"/>
            <w:noWrap/>
            <w:vAlign w:val="center"/>
          </w:tcPr>
          <w:p w14:paraId="3BFBA2BF">
            <w:pPr>
              <w:jc w:val="center"/>
              <w:rPr>
                <w:rFonts w:hint="default" w:ascii="宋体" w:hAnsi="宋体"/>
                <w:color w:val="auto"/>
                <w:w w:val="90"/>
                <w:szCs w:val="21"/>
                <w:highlight w:val="none"/>
              </w:rPr>
            </w:pPr>
          </w:p>
        </w:tc>
        <w:tc>
          <w:tcPr>
            <w:tcW w:w="3301" w:type="dxa"/>
            <w:noWrap/>
            <w:vAlign w:val="center"/>
          </w:tcPr>
          <w:p w14:paraId="6F570C69">
            <w:pPr>
              <w:jc w:val="left"/>
              <w:rPr>
                <w:rFonts w:hint="default" w:ascii="宋体" w:hAnsi="宋体"/>
                <w:color w:val="auto"/>
                <w:w w:val="90"/>
                <w:szCs w:val="21"/>
                <w:highlight w:val="none"/>
              </w:rPr>
            </w:pPr>
            <w:r>
              <w:rPr>
                <w:rFonts w:ascii="宋体" w:hAnsi="宋体"/>
                <w:color w:val="auto"/>
                <w:w w:val="90"/>
                <w:szCs w:val="21"/>
                <w:highlight w:val="none"/>
              </w:rPr>
              <w:t>《微型计算机能效限定值及能效等级》（GB 28380）</w:t>
            </w:r>
          </w:p>
        </w:tc>
      </w:tr>
      <w:tr w14:paraId="3288B5B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ign w:val="center"/>
          </w:tcPr>
          <w:p w14:paraId="013384D8">
            <w:pPr>
              <w:jc w:val="center"/>
              <w:rPr>
                <w:rFonts w:hint="default" w:ascii="宋体" w:hAnsi="宋体"/>
                <w:color w:val="auto"/>
                <w:w w:val="90"/>
                <w:szCs w:val="21"/>
                <w:highlight w:val="none"/>
              </w:rPr>
            </w:pPr>
          </w:p>
        </w:tc>
        <w:tc>
          <w:tcPr>
            <w:tcW w:w="1933" w:type="dxa"/>
            <w:vMerge w:val="continue"/>
            <w:noWrap/>
            <w:vAlign w:val="center"/>
          </w:tcPr>
          <w:p w14:paraId="195456D4">
            <w:pPr>
              <w:jc w:val="left"/>
              <w:rPr>
                <w:rFonts w:hint="default" w:ascii="宋体" w:hAnsi="宋体"/>
                <w:color w:val="auto"/>
                <w:w w:val="90"/>
                <w:szCs w:val="21"/>
                <w:highlight w:val="none"/>
              </w:rPr>
            </w:pPr>
          </w:p>
        </w:tc>
        <w:tc>
          <w:tcPr>
            <w:tcW w:w="2334" w:type="dxa"/>
            <w:noWrap/>
            <w:vAlign w:val="center"/>
          </w:tcPr>
          <w:p w14:paraId="4597B644">
            <w:pPr>
              <w:jc w:val="left"/>
              <w:rPr>
                <w:rFonts w:hint="default" w:ascii="宋体" w:hAnsi="宋体"/>
                <w:b/>
                <w:color w:val="auto"/>
                <w:w w:val="90"/>
                <w:szCs w:val="21"/>
                <w:highlight w:val="none"/>
              </w:rPr>
            </w:pPr>
            <w:r>
              <w:rPr>
                <w:rFonts w:ascii="宋体" w:hAnsi="宋体" w:cs="宋体"/>
                <w:color w:val="auto"/>
                <w:w w:val="90"/>
                <w:szCs w:val="21"/>
                <w:highlight w:val="none"/>
              </w:rPr>
              <w:t>★</w:t>
            </w:r>
            <w:r>
              <w:rPr>
                <w:rFonts w:ascii="宋体" w:hAnsi="宋体" w:cs="Calibri"/>
                <w:b/>
                <w:color w:val="auto"/>
                <w:w w:val="90"/>
                <w:szCs w:val="21"/>
                <w:highlight w:val="none"/>
              </w:rPr>
              <w:t>A02010107</w:t>
            </w:r>
            <w:r>
              <w:rPr>
                <w:rFonts w:ascii="宋体" w:hAnsi="宋体"/>
                <w:b/>
                <w:color w:val="auto"/>
                <w:w w:val="90"/>
                <w:szCs w:val="21"/>
                <w:highlight w:val="none"/>
              </w:rPr>
              <w:t>平板式微型计算机</w:t>
            </w:r>
          </w:p>
        </w:tc>
        <w:tc>
          <w:tcPr>
            <w:tcW w:w="1682" w:type="dxa"/>
            <w:noWrap/>
            <w:vAlign w:val="center"/>
          </w:tcPr>
          <w:p w14:paraId="4CDBF2FD">
            <w:pPr>
              <w:jc w:val="center"/>
              <w:rPr>
                <w:rFonts w:hint="default" w:ascii="宋体" w:hAnsi="宋体"/>
                <w:color w:val="auto"/>
                <w:w w:val="90"/>
                <w:szCs w:val="21"/>
                <w:highlight w:val="none"/>
              </w:rPr>
            </w:pPr>
          </w:p>
        </w:tc>
        <w:tc>
          <w:tcPr>
            <w:tcW w:w="3301" w:type="dxa"/>
            <w:noWrap/>
            <w:vAlign w:val="center"/>
          </w:tcPr>
          <w:p w14:paraId="1A96A76B">
            <w:pPr>
              <w:jc w:val="left"/>
              <w:rPr>
                <w:rFonts w:hint="default" w:ascii="宋体" w:hAnsi="宋体"/>
                <w:color w:val="auto"/>
                <w:w w:val="90"/>
                <w:szCs w:val="21"/>
                <w:highlight w:val="none"/>
              </w:rPr>
            </w:pPr>
            <w:r>
              <w:rPr>
                <w:rFonts w:ascii="宋体" w:hAnsi="宋体"/>
                <w:color w:val="auto"/>
                <w:w w:val="90"/>
                <w:szCs w:val="21"/>
                <w:highlight w:val="none"/>
              </w:rPr>
              <w:t>《微型计算机能效限定值及能效等级》（GB 28380）</w:t>
            </w:r>
          </w:p>
        </w:tc>
      </w:tr>
      <w:tr w14:paraId="6D4C3BC2">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restart"/>
            <w:noWrap/>
            <w:vAlign w:val="center"/>
          </w:tcPr>
          <w:p w14:paraId="39A797EC">
            <w:pPr>
              <w:jc w:val="center"/>
              <w:rPr>
                <w:rFonts w:hint="default" w:ascii="宋体" w:hAnsi="宋体"/>
                <w:color w:val="auto"/>
                <w:w w:val="90"/>
                <w:szCs w:val="21"/>
                <w:highlight w:val="none"/>
              </w:rPr>
            </w:pPr>
            <w:r>
              <w:rPr>
                <w:rFonts w:ascii="宋体" w:hAnsi="宋体"/>
                <w:color w:val="auto"/>
                <w:w w:val="90"/>
                <w:szCs w:val="21"/>
                <w:highlight w:val="none"/>
              </w:rPr>
              <w:t>2</w:t>
            </w:r>
          </w:p>
        </w:tc>
        <w:tc>
          <w:tcPr>
            <w:tcW w:w="1933" w:type="dxa"/>
            <w:vMerge w:val="restart"/>
            <w:noWrap/>
            <w:vAlign w:val="center"/>
          </w:tcPr>
          <w:p w14:paraId="48D66FB6">
            <w:pPr>
              <w:jc w:val="left"/>
              <w:rPr>
                <w:rFonts w:hint="default" w:ascii="宋体" w:hAnsi="宋体"/>
                <w:color w:val="auto"/>
                <w:w w:val="90"/>
                <w:szCs w:val="21"/>
                <w:highlight w:val="none"/>
              </w:rPr>
            </w:pPr>
            <w:r>
              <w:rPr>
                <w:rFonts w:ascii="宋体" w:hAnsi="宋体"/>
                <w:color w:val="auto"/>
                <w:w w:val="90"/>
                <w:szCs w:val="21"/>
                <w:highlight w:val="none"/>
              </w:rPr>
              <w:t>A020106输入输出设备</w:t>
            </w:r>
          </w:p>
        </w:tc>
        <w:tc>
          <w:tcPr>
            <w:tcW w:w="2334" w:type="dxa"/>
            <w:vMerge w:val="restart"/>
            <w:noWrap/>
            <w:vAlign w:val="center"/>
          </w:tcPr>
          <w:p w14:paraId="28001F33">
            <w:pPr>
              <w:jc w:val="left"/>
              <w:rPr>
                <w:rFonts w:hint="default" w:ascii="宋体" w:hAnsi="宋体"/>
                <w:color w:val="auto"/>
                <w:w w:val="90"/>
                <w:szCs w:val="21"/>
                <w:highlight w:val="none"/>
              </w:rPr>
            </w:pPr>
            <w:r>
              <w:rPr>
                <w:rFonts w:ascii="宋体" w:hAnsi="宋体"/>
                <w:color w:val="auto"/>
                <w:w w:val="90"/>
                <w:szCs w:val="21"/>
                <w:highlight w:val="none"/>
              </w:rPr>
              <w:t>A02010601打印设备</w:t>
            </w:r>
          </w:p>
        </w:tc>
        <w:tc>
          <w:tcPr>
            <w:tcW w:w="1682" w:type="dxa"/>
            <w:noWrap/>
            <w:vAlign w:val="center"/>
          </w:tcPr>
          <w:p w14:paraId="4C0748BD">
            <w:pPr>
              <w:jc w:val="left"/>
              <w:rPr>
                <w:rFonts w:hint="default" w:ascii="宋体" w:hAnsi="宋体"/>
                <w:color w:val="auto"/>
                <w:w w:val="90"/>
                <w:szCs w:val="21"/>
                <w:highlight w:val="none"/>
              </w:rPr>
            </w:pPr>
            <w:r>
              <w:rPr>
                <w:rFonts w:ascii="宋体" w:hAnsi="宋体" w:cs="宋体"/>
                <w:b/>
                <w:bCs/>
                <w:color w:val="auto"/>
                <w:w w:val="90"/>
                <w:szCs w:val="21"/>
                <w:highlight w:val="none"/>
              </w:rPr>
              <w:t>A0201060101喷墨打印机</w:t>
            </w:r>
          </w:p>
        </w:tc>
        <w:tc>
          <w:tcPr>
            <w:tcW w:w="3301" w:type="dxa"/>
            <w:noWrap/>
            <w:vAlign w:val="center"/>
          </w:tcPr>
          <w:p w14:paraId="787E1E12">
            <w:pPr>
              <w:jc w:val="left"/>
              <w:rPr>
                <w:rFonts w:hint="default" w:ascii="宋体" w:hAnsi="宋体"/>
                <w:color w:val="auto"/>
                <w:w w:val="90"/>
                <w:szCs w:val="21"/>
                <w:highlight w:val="none"/>
              </w:rPr>
            </w:pPr>
            <w:r>
              <w:rPr>
                <w:rFonts w:ascii="宋体" w:hAnsi="宋体"/>
                <w:color w:val="auto"/>
                <w:w w:val="90"/>
                <w:szCs w:val="21"/>
                <w:highlight w:val="none"/>
              </w:rPr>
              <w:t>《复印机、打印机和传真机能效限定值及能效等级》（GB 21521）</w:t>
            </w:r>
          </w:p>
        </w:tc>
      </w:tr>
      <w:tr w14:paraId="6E5808EB">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ign w:val="center"/>
          </w:tcPr>
          <w:p w14:paraId="0B3215CF">
            <w:pPr>
              <w:jc w:val="center"/>
              <w:rPr>
                <w:rFonts w:hint="default" w:ascii="宋体" w:hAnsi="宋体"/>
                <w:color w:val="auto"/>
                <w:w w:val="90"/>
                <w:szCs w:val="21"/>
                <w:highlight w:val="none"/>
              </w:rPr>
            </w:pPr>
          </w:p>
        </w:tc>
        <w:tc>
          <w:tcPr>
            <w:tcW w:w="1933" w:type="dxa"/>
            <w:vMerge w:val="continue"/>
            <w:noWrap/>
            <w:vAlign w:val="center"/>
          </w:tcPr>
          <w:p w14:paraId="15625543">
            <w:pPr>
              <w:jc w:val="left"/>
              <w:rPr>
                <w:rFonts w:hint="default" w:ascii="宋体" w:hAnsi="宋体"/>
                <w:color w:val="auto"/>
                <w:w w:val="90"/>
                <w:szCs w:val="21"/>
                <w:highlight w:val="none"/>
              </w:rPr>
            </w:pPr>
          </w:p>
        </w:tc>
        <w:tc>
          <w:tcPr>
            <w:tcW w:w="2334" w:type="dxa"/>
            <w:vMerge w:val="continue"/>
            <w:noWrap/>
            <w:vAlign w:val="center"/>
          </w:tcPr>
          <w:p w14:paraId="1F6ECED9">
            <w:pPr>
              <w:jc w:val="left"/>
              <w:rPr>
                <w:rFonts w:hint="default" w:ascii="宋体" w:hAnsi="宋体"/>
                <w:color w:val="auto"/>
                <w:w w:val="90"/>
                <w:szCs w:val="21"/>
                <w:highlight w:val="none"/>
              </w:rPr>
            </w:pPr>
          </w:p>
        </w:tc>
        <w:tc>
          <w:tcPr>
            <w:tcW w:w="1682" w:type="dxa"/>
            <w:noWrap/>
            <w:vAlign w:val="center"/>
          </w:tcPr>
          <w:p w14:paraId="123D4658">
            <w:pPr>
              <w:jc w:val="left"/>
              <w:rPr>
                <w:rFonts w:hint="default" w:ascii="宋体" w:hAnsi="宋体"/>
                <w:b/>
                <w:color w:val="auto"/>
                <w:w w:val="90"/>
                <w:szCs w:val="21"/>
                <w:highlight w:val="none"/>
              </w:rPr>
            </w:pPr>
            <w:r>
              <w:rPr>
                <w:rFonts w:ascii="宋体" w:hAnsi="宋体" w:cs="宋体"/>
                <w:color w:val="auto"/>
                <w:w w:val="90"/>
                <w:szCs w:val="21"/>
                <w:highlight w:val="none"/>
              </w:rPr>
              <w:t>★</w:t>
            </w:r>
            <w:r>
              <w:rPr>
                <w:rFonts w:ascii="宋体" w:hAnsi="宋体"/>
                <w:b/>
                <w:color w:val="auto"/>
                <w:w w:val="90"/>
                <w:szCs w:val="21"/>
                <w:highlight w:val="none"/>
              </w:rPr>
              <w:t>A0201060102激光打印机</w:t>
            </w:r>
          </w:p>
        </w:tc>
        <w:tc>
          <w:tcPr>
            <w:tcW w:w="3301" w:type="dxa"/>
            <w:noWrap/>
            <w:vAlign w:val="center"/>
          </w:tcPr>
          <w:p w14:paraId="5EC893EE">
            <w:pPr>
              <w:jc w:val="left"/>
              <w:rPr>
                <w:rFonts w:hint="default" w:ascii="宋体" w:hAnsi="宋体"/>
                <w:color w:val="auto"/>
                <w:w w:val="90"/>
                <w:szCs w:val="21"/>
                <w:highlight w:val="none"/>
              </w:rPr>
            </w:pPr>
            <w:r>
              <w:rPr>
                <w:rFonts w:ascii="宋体" w:hAnsi="宋体"/>
                <w:color w:val="auto"/>
                <w:w w:val="90"/>
                <w:szCs w:val="21"/>
                <w:highlight w:val="none"/>
              </w:rPr>
              <w:t>《复印机、打印机和传真机能效限定值及能效等级》（GB 21521）</w:t>
            </w:r>
          </w:p>
        </w:tc>
      </w:tr>
      <w:tr w14:paraId="7520BC1D">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ign w:val="center"/>
          </w:tcPr>
          <w:p w14:paraId="530DFAFD">
            <w:pPr>
              <w:jc w:val="center"/>
              <w:rPr>
                <w:rFonts w:hint="default" w:ascii="宋体" w:hAnsi="宋体"/>
                <w:color w:val="auto"/>
                <w:w w:val="90"/>
                <w:szCs w:val="21"/>
                <w:highlight w:val="none"/>
              </w:rPr>
            </w:pPr>
          </w:p>
        </w:tc>
        <w:tc>
          <w:tcPr>
            <w:tcW w:w="1933" w:type="dxa"/>
            <w:vMerge w:val="continue"/>
            <w:noWrap/>
            <w:vAlign w:val="center"/>
          </w:tcPr>
          <w:p w14:paraId="007C16A2">
            <w:pPr>
              <w:jc w:val="left"/>
              <w:rPr>
                <w:rFonts w:hint="default" w:ascii="宋体" w:hAnsi="宋体"/>
                <w:color w:val="auto"/>
                <w:w w:val="90"/>
                <w:szCs w:val="21"/>
                <w:highlight w:val="none"/>
              </w:rPr>
            </w:pPr>
          </w:p>
        </w:tc>
        <w:tc>
          <w:tcPr>
            <w:tcW w:w="2334" w:type="dxa"/>
            <w:vMerge w:val="continue"/>
            <w:noWrap/>
            <w:vAlign w:val="center"/>
          </w:tcPr>
          <w:p w14:paraId="4A99C4A2">
            <w:pPr>
              <w:jc w:val="left"/>
              <w:rPr>
                <w:rFonts w:hint="default" w:ascii="宋体" w:hAnsi="宋体"/>
                <w:color w:val="auto"/>
                <w:w w:val="90"/>
                <w:szCs w:val="21"/>
                <w:highlight w:val="none"/>
              </w:rPr>
            </w:pPr>
          </w:p>
        </w:tc>
        <w:tc>
          <w:tcPr>
            <w:tcW w:w="1682" w:type="dxa"/>
            <w:noWrap/>
            <w:vAlign w:val="center"/>
          </w:tcPr>
          <w:p w14:paraId="02ED092C">
            <w:pPr>
              <w:jc w:val="left"/>
              <w:rPr>
                <w:rFonts w:hint="default" w:ascii="宋体" w:hAnsi="宋体"/>
                <w:b/>
                <w:color w:val="auto"/>
                <w:w w:val="90"/>
                <w:szCs w:val="21"/>
                <w:highlight w:val="none"/>
              </w:rPr>
            </w:pPr>
            <w:r>
              <w:rPr>
                <w:rFonts w:ascii="宋体" w:hAnsi="宋体" w:cs="宋体"/>
                <w:color w:val="auto"/>
                <w:w w:val="90"/>
                <w:szCs w:val="21"/>
                <w:highlight w:val="none"/>
              </w:rPr>
              <w:t>★</w:t>
            </w:r>
            <w:r>
              <w:rPr>
                <w:rFonts w:ascii="宋体" w:hAnsi="宋体"/>
                <w:b/>
                <w:color w:val="auto"/>
                <w:w w:val="90"/>
                <w:szCs w:val="21"/>
                <w:highlight w:val="none"/>
              </w:rPr>
              <w:t>A0201060104针式打印机</w:t>
            </w:r>
          </w:p>
        </w:tc>
        <w:tc>
          <w:tcPr>
            <w:tcW w:w="3301" w:type="dxa"/>
            <w:noWrap/>
            <w:vAlign w:val="center"/>
          </w:tcPr>
          <w:p w14:paraId="6DCCC17F">
            <w:pPr>
              <w:jc w:val="left"/>
              <w:rPr>
                <w:rFonts w:hint="default" w:ascii="宋体" w:hAnsi="宋体"/>
                <w:color w:val="auto"/>
                <w:w w:val="90"/>
                <w:szCs w:val="21"/>
                <w:highlight w:val="none"/>
              </w:rPr>
            </w:pPr>
            <w:r>
              <w:rPr>
                <w:rFonts w:ascii="宋体" w:hAnsi="宋体"/>
                <w:color w:val="auto"/>
                <w:w w:val="90"/>
                <w:szCs w:val="21"/>
                <w:highlight w:val="none"/>
              </w:rPr>
              <w:t>《复印机、打印机和传真机能效限定值及能效等级》（GB 21521）</w:t>
            </w:r>
          </w:p>
        </w:tc>
      </w:tr>
      <w:tr w14:paraId="3737FCA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ign w:val="center"/>
          </w:tcPr>
          <w:p w14:paraId="0D553AB5">
            <w:pPr>
              <w:jc w:val="center"/>
              <w:rPr>
                <w:rFonts w:hint="default" w:ascii="宋体" w:hAnsi="宋体"/>
                <w:color w:val="auto"/>
                <w:w w:val="90"/>
                <w:szCs w:val="21"/>
                <w:highlight w:val="none"/>
              </w:rPr>
            </w:pPr>
          </w:p>
        </w:tc>
        <w:tc>
          <w:tcPr>
            <w:tcW w:w="1933" w:type="dxa"/>
            <w:vMerge w:val="continue"/>
            <w:noWrap/>
            <w:vAlign w:val="center"/>
          </w:tcPr>
          <w:p w14:paraId="0493E3F8">
            <w:pPr>
              <w:jc w:val="left"/>
              <w:rPr>
                <w:rFonts w:hint="default" w:ascii="宋体" w:hAnsi="宋体"/>
                <w:color w:val="auto"/>
                <w:w w:val="90"/>
                <w:szCs w:val="21"/>
                <w:highlight w:val="none"/>
              </w:rPr>
            </w:pPr>
          </w:p>
        </w:tc>
        <w:tc>
          <w:tcPr>
            <w:tcW w:w="2334" w:type="dxa"/>
            <w:noWrap/>
            <w:vAlign w:val="center"/>
          </w:tcPr>
          <w:p w14:paraId="2D583306">
            <w:pPr>
              <w:jc w:val="left"/>
              <w:rPr>
                <w:rFonts w:hint="default" w:ascii="宋体" w:hAnsi="宋体"/>
                <w:color w:val="auto"/>
                <w:w w:val="90"/>
                <w:szCs w:val="21"/>
                <w:highlight w:val="none"/>
              </w:rPr>
            </w:pPr>
            <w:r>
              <w:rPr>
                <w:rFonts w:ascii="宋体" w:hAnsi="宋体"/>
                <w:color w:val="auto"/>
                <w:w w:val="90"/>
                <w:szCs w:val="21"/>
                <w:highlight w:val="none"/>
              </w:rPr>
              <w:t>A02010604显示设备</w:t>
            </w:r>
          </w:p>
        </w:tc>
        <w:tc>
          <w:tcPr>
            <w:tcW w:w="1682" w:type="dxa"/>
            <w:noWrap/>
            <w:vAlign w:val="center"/>
          </w:tcPr>
          <w:p w14:paraId="126F38B4">
            <w:pPr>
              <w:jc w:val="left"/>
              <w:rPr>
                <w:rFonts w:hint="default" w:ascii="宋体" w:hAnsi="宋体"/>
                <w:b/>
                <w:color w:val="auto"/>
                <w:w w:val="90"/>
                <w:szCs w:val="21"/>
                <w:highlight w:val="none"/>
              </w:rPr>
            </w:pPr>
            <w:r>
              <w:rPr>
                <w:rFonts w:ascii="宋体" w:hAnsi="宋体" w:cs="宋体"/>
                <w:color w:val="auto"/>
                <w:w w:val="90"/>
                <w:szCs w:val="21"/>
                <w:highlight w:val="none"/>
              </w:rPr>
              <w:t>★</w:t>
            </w:r>
            <w:r>
              <w:rPr>
                <w:rFonts w:ascii="宋体" w:hAnsi="宋体"/>
                <w:b/>
                <w:color w:val="auto"/>
                <w:w w:val="90"/>
                <w:szCs w:val="21"/>
                <w:highlight w:val="none"/>
              </w:rPr>
              <w:t>A0201060401液晶显示器</w:t>
            </w:r>
          </w:p>
        </w:tc>
        <w:tc>
          <w:tcPr>
            <w:tcW w:w="3301" w:type="dxa"/>
            <w:noWrap/>
            <w:vAlign w:val="center"/>
          </w:tcPr>
          <w:p w14:paraId="366A01E9">
            <w:pPr>
              <w:jc w:val="left"/>
              <w:rPr>
                <w:rFonts w:hint="default" w:ascii="宋体" w:hAnsi="宋体"/>
                <w:color w:val="auto"/>
                <w:w w:val="90"/>
                <w:szCs w:val="21"/>
                <w:highlight w:val="none"/>
              </w:rPr>
            </w:pPr>
            <w:r>
              <w:rPr>
                <w:rFonts w:ascii="宋体" w:hAnsi="宋体"/>
                <w:color w:val="auto"/>
                <w:w w:val="90"/>
                <w:szCs w:val="21"/>
                <w:highlight w:val="none"/>
              </w:rPr>
              <w:t>《计算机显示器能效限定值及能效等级》（GB 21520）</w:t>
            </w:r>
          </w:p>
        </w:tc>
      </w:tr>
      <w:tr w14:paraId="339C87EB">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ign w:val="center"/>
          </w:tcPr>
          <w:p w14:paraId="3CB4BFC7">
            <w:pPr>
              <w:jc w:val="center"/>
              <w:rPr>
                <w:rFonts w:hint="default" w:ascii="宋体" w:hAnsi="宋体"/>
                <w:color w:val="auto"/>
                <w:w w:val="90"/>
                <w:szCs w:val="21"/>
                <w:highlight w:val="none"/>
              </w:rPr>
            </w:pPr>
          </w:p>
        </w:tc>
        <w:tc>
          <w:tcPr>
            <w:tcW w:w="1933" w:type="dxa"/>
            <w:vMerge w:val="continue"/>
            <w:noWrap/>
            <w:vAlign w:val="center"/>
          </w:tcPr>
          <w:p w14:paraId="68D11B1F">
            <w:pPr>
              <w:jc w:val="left"/>
              <w:rPr>
                <w:rFonts w:hint="default" w:ascii="宋体" w:hAnsi="宋体"/>
                <w:color w:val="auto"/>
                <w:w w:val="90"/>
                <w:szCs w:val="21"/>
                <w:highlight w:val="none"/>
              </w:rPr>
            </w:pPr>
          </w:p>
        </w:tc>
        <w:tc>
          <w:tcPr>
            <w:tcW w:w="2334" w:type="dxa"/>
            <w:noWrap/>
            <w:vAlign w:val="center"/>
          </w:tcPr>
          <w:p w14:paraId="1609FA41">
            <w:pPr>
              <w:jc w:val="left"/>
              <w:rPr>
                <w:rFonts w:hint="default" w:ascii="宋体" w:hAnsi="宋体"/>
                <w:color w:val="auto"/>
                <w:w w:val="90"/>
                <w:szCs w:val="21"/>
                <w:highlight w:val="none"/>
              </w:rPr>
            </w:pPr>
            <w:r>
              <w:rPr>
                <w:rFonts w:ascii="宋体" w:hAnsi="宋体"/>
                <w:color w:val="auto"/>
                <w:w w:val="90"/>
                <w:szCs w:val="21"/>
                <w:highlight w:val="none"/>
              </w:rPr>
              <w:t>A02010609图形图像输入设备</w:t>
            </w:r>
          </w:p>
        </w:tc>
        <w:tc>
          <w:tcPr>
            <w:tcW w:w="1682" w:type="dxa"/>
            <w:noWrap/>
            <w:vAlign w:val="center"/>
          </w:tcPr>
          <w:p w14:paraId="63198E2D">
            <w:pPr>
              <w:jc w:val="left"/>
              <w:rPr>
                <w:rFonts w:hint="default" w:ascii="宋体" w:hAnsi="宋体"/>
                <w:color w:val="auto"/>
                <w:w w:val="90"/>
                <w:szCs w:val="21"/>
                <w:highlight w:val="none"/>
              </w:rPr>
            </w:pPr>
            <w:r>
              <w:rPr>
                <w:rFonts w:ascii="宋体" w:hAnsi="宋体"/>
                <w:color w:val="auto"/>
                <w:w w:val="90"/>
                <w:szCs w:val="21"/>
                <w:highlight w:val="none"/>
              </w:rPr>
              <w:t>A0201060901扫描仪</w:t>
            </w:r>
          </w:p>
        </w:tc>
        <w:tc>
          <w:tcPr>
            <w:tcW w:w="3301" w:type="dxa"/>
            <w:noWrap/>
            <w:vAlign w:val="center"/>
          </w:tcPr>
          <w:p w14:paraId="269000DC">
            <w:pPr>
              <w:jc w:val="left"/>
              <w:rPr>
                <w:rFonts w:hint="default" w:ascii="宋体" w:hAnsi="宋体"/>
                <w:color w:val="auto"/>
                <w:w w:val="90"/>
                <w:szCs w:val="21"/>
                <w:highlight w:val="none"/>
              </w:rPr>
            </w:pPr>
            <w:r>
              <w:rPr>
                <w:rFonts w:ascii="宋体" w:hAnsi="宋体"/>
                <w:color w:val="auto"/>
                <w:w w:val="90"/>
                <w:szCs w:val="21"/>
                <w:highlight w:val="none"/>
              </w:rPr>
              <w:t>参照《复印机、打印机和传真机能效限定值及能效等级》（GB 21521中打印速度为 15 页/分的针式打印机相关要求</w:t>
            </w:r>
          </w:p>
        </w:tc>
      </w:tr>
      <w:tr w14:paraId="14B837CF">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noWrap/>
            <w:vAlign w:val="center"/>
          </w:tcPr>
          <w:p w14:paraId="3B9BFF7D">
            <w:pPr>
              <w:jc w:val="center"/>
              <w:rPr>
                <w:rFonts w:hint="default" w:ascii="宋体" w:hAnsi="宋体"/>
                <w:color w:val="auto"/>
                <w:w w:val="90"/>
                <w:szCs w:val="21"/>
                <w:highlight w:val="none"/>
              </w:rPr>
            </w:pPr>
            <w:r>
              <w:rPr>
                <w:rFonts w:ascii="宋体" w:hAnsi="宋体"/>
                <w:color w:val="auto"/>
                <w:w w:val="90"/>
                <w:szCs w:val="21"/>
                <w:highlight w:val="none"/>
              </w:rPr>
              <w:t>3</w:t>
            </w:r>
          </w:p>
        </w:tc>
        <w:tc>
          <w:tcPr>
            <w:tcW w:w="1933" w:type="dxa"/>
            <w:noWrap/>
            <w:vAlign w:val="center"/>
          </w:tcPr>
          <w:p w14:paraId="2EAAB9A5">
            <w:pPr>
              <w:jc w:val="left"/>
              <w:rPr>
                <w:rFonts w:hint="default" w:ascii="宋体" w:hAnsi="宋体"/>
                <w:color w:val="auto"/>
                <w:w w:val="90"/>
                <w:szCs w:val="21"/>
                <w:highlight w:val="none"/>
              </w:rPr>
            </w:pPr>
            <w:r>
              <w:rPr>
                <w:rFonts w:ascii="宋体" w:hAnsi="宋体"/>
                <w:color w:val="auto"/>
                <w:w w:val="90"/>
                <w:szCs w:val="21"/>
                <w:highlight w:val="none"/>
              </w:rPr>
              <w:t>A020202投影仪</w:t>
            </w:r>
          </w:p>
        </w:tc>
        <w:tc>
          <w:tcPr>
            <w:tcW w:w="2334" w:type="dxa"/>
            <w:noWrap/>
            <w:vAlign w:val="center"/>
          </w:tcPr>
          <w:p w14:paraId="655B2F9A">
            <w:pPr>
              <w:jc w:val="left"/>
              <w:rPr>
                <w:rFonts w:hint="default" w:ascii="宋体" w:hAnsi="宋体"/>
                <w:color w:val="auto"/>
                <w:w w:val="90"/>
                <w:szCs w:val="21"/>
                <w:highlight w:val="none"/>
              </w:rPr>
            </w:pPr>
          </w:p>
        </w:tc>
        <w:tc>
          <w:tcPr>
            <w:tcW w:w="1682" w:type="dxa"/>
            <w:noWrap/>
            <w:vAlign w:val="center"/>
          </w:tcPr>
          <w:p w14:paraId="0A96BA71">
            <w:pPr>
              <w:jc w:val="center"/>
              <w:rPr>
                <w:rFonts w:hint="default" w:ascii="宋体" w:hAnsi="宋体"/>
                <w:color w:val="auto"/>
                <w:w w:val="90"/>
                <w:szCs w:val="21"/>
                <w:highlight w:val="none"/>
              </w:rPr>
            </w:pPr>
          </w:p>
        </w:tc>
        <w:tc>
          <w:tcPr>
            <w:tcW w:w="3301" w:type="dxa"/>
            <w:noWrap/>
            <w:vAlign w:val="center"/>
          </w:tcPr>
          <w:p w14:paraId="4627B4A6">
            <w:pPr>
              <w:jc w:val="left"/>
              <w:rPr>
                <w:rFonts w:hint="default" w:ascii="宋体" w:hAnsi="宋体"/>
                <w:color w:val="auto"/>
                <w:w w:val="90"/>
                <w:szCs w:val="21"/>
                <w:highlight w:val="none"/>
              </w:rPr>
            </w:pPr>
            <w:r>
              <w:rPr>
                <w:rFonts w:ascii="宋体" w:hAnsi="宋体"/>
                <w:color w:val="auto"/>
                <w:w w:val="90"/>
                <w:szCs w:val="21"/>
                <w:highlight w:val="none"/>
              </w:rPr>
              <w:t>《投影机能效限定值及能效等级（GB 32028）</w:t>
            </w:r>
          </w:p>
        </w:tc>
      </w:tr>
      <w:tr w14:paraId="7F9236A7">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noWrap/>
            <w:vAlign w:val="center"/>
          </w:tcPr>
          <w:p w14:paraId="3589A62C">
            <w:pPr>
              <w:jc w:val="center"/>
              <w:rPr>
                <w:rFonts w:hint="default" w:ascii="宋体" w:hAnsi="宋体"/>
                <w:color w:val="auto"/>
                <w:w w:val="90"/>
                <w:szCs w:val="21"/>
                <w:highlight w:val="none"/>
              </w:rPr>
            </w:pPr>
            <w:r>
              <w:rPr>
                <w:rFonts w:ascii="宋体" w:hAnsi="宋体"/>
                <w:color w:val="auto"/>
                <w:w w:val="90"/>
                <w:szCs w:val="21"/>
                <w:highlight w:val="none"/>
              </w:rPr>
              <w:t>4</w:t>
            </w:r>
          </w:p>
        </w:tc>
        <w:tc>
          <w:tcPr>
            <w:tcW w:w="1933" w:type="dxa"/>
            <w:noWrap/>
            <w:vAlign w:val="center"/>
          </w:tcPr>
          <w:p w14:paraId="3E14579E">
            <w:pPr>
              <w:jc w:val="left"/>
              <w:rPr>
                <w:rFonts w:hint="default" w:ascii="宋体" w:hAnsi="宋体"/>
                <w:color w:val="auto"/>
                <w:w w:val="90"/>
                <w:szCs w:val="21"/>
                <w:highlight w:val="none"/>
              </w:rPr>
            </w:pPr>
            <w:r>
              <w:rPr>
                <w:rFonts w:ascii="宋体" w:hAnsi="宋体"/>
                <w:color w:val="auto"/>
                <w:w w:val="90"/>
                <w:szCs w:val="21"/>
                <w:highlight w:val="none"/>
              </w:rPr>
              <w:t>A020204352多功能一体机</w:t>
            </w:r>
          </w:p>
        </w:tc>
        <w:tc>
          <w:tcPr>
            <w:tcW w:w="2334" w:type="dxa"/>
            <w:noWrap/>
            <w:vAlign w:val="center"/>
          </w:tcPr>
          <w:p w14:paraId="17A9DF06">
            <w:pPr>
              <w:jc w:val="left"/>
              <w:rPr>
                <w:rFonts w:hint="default" w:ascii="宋体" w:hAnsi="宋体"/>
                <w:color w:val="auto"/>
                <w:w w:val="90"/>
                <w:szCs w:val="21"/>
                <w:highlight w:val="none"/>
              </w:rPr>
            </w:pPr>
          </w:p>
        </w:tc>
        <w:tc>
          <w:tcPr>
            <w:tcW w:w="1682" w:type="dxa"/>
            <w:noWrap/>
            <w:vAlign w:val="center"/>
          </w:tcPr>
          <w:p w14:paraId="42453B3E">
            <w:pPr>
              <w:jc w:val="center"/>
              <w:rPr>
                <w:rFonts w:hint="default" w:ascii="宋体" w:hAnsi="宋体"/>
                <w:color w:val="auto"/>
                <w:w w:val="90"/>
                <w:szCs w:val="21"/>
                <w:highlight w:val="none"/>
              </w:rPr>
            </w:pPr>
          </w:p>
        </w:tc>
        <w:tc>
          <w:tcPr>
            <w:tcW w:w="3301" w:type="dxa"/>
            <w:noWrap/>
            <w:vAlign w:val="center"/>
          </w:tcPr>
          <w:p w14:paraId="1732754C">
            <w:pPr>
              <w:jc w:val="left"/>
              <w:rPr>
                <w:rFonts w:hint="default" w:ascii="宋体" w:hAnsi="宋体"/>
                <w:color w:val="auto"/>
                <w:w w:val="90"/>
                <w:szCs w:val="21"/>
                <w:highlight w:val="none"/>
              </w:rPr>
            </w:pPr>
            <w:r>
              <w:rPr>
                <w:rFonts w:ascii="宋体" w:hAnsi="宋体"/>
                <w:color w:val="auto"/>
                <w:w w:val="90"/>
                <w:szCs w:val="21"/>
                <w:highlight w:val="none"/>
              </w:rPr>
              <w:t>《复印机、打印机和传真机能效限定值及能效等级》（GB 21521）</w:t>
            </w:r>
          </w:p>
        </w:tc>
      </w:tr>
      <w:tr w14:paraId="2A452237">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noWrap/>
            <w:vAlign w:val="center"/>
          </w:tcPr>
          <w:p w14:paraId="1370BA1C">
            <w:pPr>
              <w:jc w:val="center"/>
              <w:rPr>
                <w:rFonts w:hint="default" w:ascii="宋体" w:hAnsi="宋体"/>
                <w:color w:val="auto"/>
                <w:w w:val="90"/>
                <w:szCs w:val="21"/>
                <w:highlight w:val="none"/>
              </w:rPr>
            </w:pPr>
            <w:r>
              <w:rPr>
                <w:rFonts w:ascii="宋体" w:hAnsi="宋体"/>
                <w:color w:val="auto"/>
                <w:w w:val="90"/>
                <w:szCs w:val="21"/>
                <w:highlight w:val="none"/>
              </w:rPr>
              <w:t>5</w:t>
            </w:r>
          </w:p>
        </w:tc>
        <w:tc>
          <w:tcPr>
            <w:tcW w:w="1933" w:type="dxa"/>
            <w:noWrap/>
            <w:vAlign w:val="center"/>
          </w:tcPr>
          <w:p w14:paraId="47619BBD">
            <w:pPr>
              <w:jc w:val="left"/>
              <w:rPr>
                <w:rFonts w:hint="default" w:ascii="宋体" w:hAnsi="宋体"/>
                <w:color w:val="auto"/>
                <w:w w:val="90"/>
                <w:szCs w:val="21"/>
                <w:highlight w:val="none"/>
              </w:rPr>
            </w:pPr>
            <w:r>
              <w:rPr>
                <w:rFonts w:ascii="宋体" w:hAnsi="宋体"/>
                <w:color w:val="auto"/>
                <w:w w:val="90"/>
                <w:szCs w:val="21"/>
                <w:highlight w:val="none"/>
              </w:rPr>
              <w:t>A020519泵</w:t>
            </w:r>
          </w:p>
        </w:tc>
        <w:tc>
          <w:tcPr>
            <w:tcW w:w="2334" w:type="dxa"/>
            <w:noWrap/>
            <w:vAlign w:val="center"/>
          </w:tcPr>
          <w:p w14:paraId="43933853">
            <w:pPr>
              <w:jc w:val="left"/>
              <w:rPr>
                <w:rFonts w:hint="default" w:ascii="宋体" w:hAnsi="宋体"/>
                <w:color w:val="auto"/>
                <w:w w:val="90"/>
                <w:szCs w:val="21"/>
                <w:highlight w:val="none"/>
              </w:rPr>
            </w:pPr>
            <w:r>
              <w:rPr>
                <w:rFonts w:ascii="宋体" w:hAnsi="宋体"/>
                <w:color w:val="auto"/>
                <w:w w:val="90"/>
                <w:szCs w:val="21"/>
                <w:highlight w:val="none"/>
              </w:rPr>
              <w:t>A02051901离心泵</w:t>
            </w:r>
          </w:p>
        </w:tc>
        <w:tc>
          <w:tcPr>
            <w:tcW w:w="1682" w:type="dxa"/>
            <w:noWrap/>
            <w:vAlign w:val="center"/>
          </w:tcPr>
          <w:p w14:paraId="61C95EEA">
            <w:pPr>
              <w:jc w:val="center"/>
              <w:rPr>
                <w:rFonts w:hint="default" w:ascii="宋体" w:hAnsi="宋体"/>
                <w:color w:val="auto"/>
                <w:w w:val="90"/>
                <w:szCs w:val="21"/>
                <w:highlight w:val="none"/>
              </w:rPr>
            </w:pPr>
          </w:p>
        </w:tc>
        <w:tc>
          <w:tcPr>
            <w:tcW w:w="3301" w:type="dxa"/>
            <w:noWrap/>
            <w:vAlign w:val="center"/>
          </w:tcPr>
          <w:p w14:paraId="657479CB">
            <w:pPr>
              <w:jc w:val="left"/>
              <w:rPr>
                <w:rFonts w:hint="default" w:ascii="宋体" w:hAnsi="宋体"/>
                <w:color w:val="auto"/>
                <w:w w:val="90"/>
                <w:szCs w:val="21"/>
                <w:highlight w:val="none"/>
              </w:rPr>
            </w:pPr>
            <w:r>
              <w:rPr>
                <w:rFonts w:ascii="宋体" w:hAnsi="宋体"/>
                <w:color w:val="auto"/>
                <w:w w:val="90"/>
                <w:szCs w:val="21"/>
                <w:highlight w:val="none"/>
              </w:rPr>
              <w:t>《清水离心泵能效限定值及节能评价值》（GB 19762）</w:t>
            </w:r>
          </w:p>
        </w:tc>
      </w:tr>
      <w:tr w14:paraId="1CC34205">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restart"/>
            <w:noWrap/>
            <w:vAlign w:val="center"/>
          </w:tcPr>
          <w:p w14:paraId="40F5FA93">
            <w:pPr>
              <w:jc w:val="center"/>
              <w:rPr>
                <w:rFonts w:hint="default" w:ascii="宋体" w:hAnsi="宋体"/>
                <w:color w:val="auto"/>
                <w:w w:val="90"/>
                <w:szCs w:val="21"/>
                <w:highlight w:val="none"/>
              </w:rPr>
            </w:pPr>
            <w:r>
              <w:rPr>
                <w:rFonts w:ascii="宋体" w:hAnsi="宋体"/>
                <w:color w:val="auto"/>
                <w:w w:val="90"/>
                <w:szCs w:val="21"/>
                <w:highlight w:val="none"/>
              </w:rPr>
              <w:t>6</w:t>
            </w:r>
          </w:p>
        </w:tc>
        <w:tc>
          <w:tcPr>
            <w:tcW w:w="1933" w:type="dxa"/>
            <w:vMerge w:val="restart"/>
            <w:noWrap/>
            <w:vAlign w:val="center"/>
          </w:tcPr>
          <w:p w14:paraId="5505C154">
            <w:pPr>
              <w:jc w:val="left"/>
              <w:rPr>
                <w:rFonts w:hint="default" w:ascii="宋体" w:hAnsi="宋体"/>
                <w:color w:val="auto"/>
                <w:w w:val="90"/>
                <w:szCs w:val="21"/>
                <w:highlight w:val="none"/>
              </w:rPr>
            </w:pPr>
            <w:r>
              <w:rPr>
                <w:rFonts w:ascii="宋体" w:hAnsi="宋体"/>
                <w:color w:val="auto"/>
                <w:w w:val="90"/>
                <w:szCs w:val="21"/>
                <w:highlight w:val="none"/>
              </w:rPr>
              <w:t>A020523制冷空调设备</w:t>
            </w:r>
          </w:p>
        </w:tc>
        <w:tc>
          <w:tcPr>
            <w:tcW w:w="2334" w:type="dxa"/>
            <w:vMerge w:val="restart"/>
            <w:noWrap/>
            <w:vAlign w:val="center"/>
          </w:tcPr>
          <w:p w14:paraId="6579AD15">
            <w:pPr>
              <w:jc w:val="left"/>
              <w:rPr>
                <w:rFonts w:hint="default" w:ascii="宋体" w:hAnsi="宋体"/>
                <w:b/>
                <w:color w:val="auto"/>
                <w:w w:val="90"/>
                <w:szCs w:val="21"/>
                <w:highlight w:val="none"/>
              </w:rPr>
            </w:pPr>
            <w:r>
              <w:rPr>
                <w:rFonts w:ascii="宋体" w:hAnsi="宋体" w:cs="宋体"/>
                <w:color w:val="auto"/>
                <w:w w:val="90"/>
                <w:szCs w:val="21"/>
                <w:highlight w:val="none"/>
              </w:rPr>
              <w:t>★</w:t>
            </w:r>
            <w:r>
              <w:rPr>
                <w:rFonts w:ascii="宋体" w:hAnsi="宋体" w:cs="Calibri"/>
                <w:b/>
                <w:color w:val="auto"/>
                <w:w w:val="90"/>
                <w:szCs w:val="21"/>
                <w:highlight w:val="none"/>
              </w:rPr>
              <w:t>A02052301</w:t>
            </w:r>
            <w:r>
              <w:rPr>
                <w:rFonts w:ascii="宋体" w:hAnsi="宋体"/>
                <w:b/>
                <w:color w:val="auto"/>
                <w:w w:val="90"/>
                <w:szCs w:val="21"/>
                <w:highlight w:val="none"/>
              </w:rPr>
              <w:t>制冷压缩机</w:t>
            </w:r>
          </w:p>
        </w:tc>
        <w:tc>
          <w:tcPr>
            <w:tcW w:w="1682" w:type="dxa"/>
            <w:noWrap/>
            <w:vAlign w:val="center"/>
          </w:tcPr>
          <w:p w14:paraId="3340395F">
            <w:pPr>
              <w:jc w:val="left"/>
              <w:rPr>
                <w:rFonts w:hint="default" w:ascii="宋体" w:hAnsi="宋体"/>
                <w:b/>
                <w:color w:val="auto"/>
                <w:w w:val="90"/>
                <w:szCs w:val="21"/>
                <w:highlight w:val="none"/>
              </w:rPr>
            </w:pPr>
            <w:r>
              <w:rPr>
                <w:rFonts w:ascii="宋体" w:hAnsi="宋体"/>
                <w:b/>
                <w:color w:val="auto"/>
                <w:w w:val="90"/>
                <w:szCs w:val="21"/>
                <w:highlight w:val="none"/>
              </w:rPr>
              <w:t>冷水机组</w:t>
            </w:r>
          </w:p>
        </w:tc>
        <w:tc>
          <w:tcPr>
            <w:tcW w:w="3301" w:type="dxa"/>
            <w:noWrap/>
            <w:vAlign w:val="center"/>
          </w:tcPr>
          <w:p w14:paraId="6BF1F799">
            <w:pPr>
              <w:jc w:val="left"/>
              <w:rPr>
                <w:rFonts w:hint="default" w:ascii="宋体" w:hAnsi="宋体"/>
                <w:color w:val="auto"/>
                <w:w w:val="90"/>
                <w:szCs w:val="21"/>
                <w:highlight w:val="none"/>
              </w:rPr>
            </w:pPr>
            <w:r>
              <w:rPr>
                <w:rFonts w:ascii="宋体" w:hAnsi="宋体"/>
                <w:color w:val="auto"/>
                <w:w w:val="90"/>
                <w:szCs w:val="21"/>
                <w:highlight w:val="none"/>
              </w:rPr>
              <w:t>《冷水机组能效限定值及能效等级》（GB 19577），《低环境温度空气源热泵（冷水）机组能效限定值及能效等级》（GB 37480）</w:t>
            </w:r>
          </w:p>
        </w:tc>
      </w:tr>
      <w:tr w14:paraId="0543A7F0">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ign w:val="center"/>
          </w:tcPr>
          <w:p w14:paraId="65295766">
            <w:pPr>
              <w:jc w:val="center"/>
              <w:rPr>
                <w:rFonts w:hint="default" w:ascii="宋体" w:hAnsi="宋体"/>
                <w:color w:val="auto"/>
                <w:w w:val="90"/>
                <w:szCs w:val="21"/>
                <w:highlight w:val="none"/>
              </w:rPr>
            </w:pPr>
          </w:p>
        </w:tc>
        <w:tc>
          <w:tcPr>
            <w:tcW w:w="1933" w:type="dxa"/>
            <w:vMerge w:val="continue"/>
            <w:noWrap/>
            <w:vAlign w:val="center"/>
          </w:tcPr>
          <w:p w14:paraId="66D239D3">
            <w:pPr>
              <w:jc w:val="left"/>
              <w:rPr>
                <w:rFonts w:hint="default" w:ascii="宋体" w:hAnsi="宋体"/>
                <w:color w:val="auto"/>
                <w:w w:val="90"/>
                <w:szCs w:val="21"/>
                <w:highlight w:val="none"/>
              </w:rPr>
            </w:pPr>
          </w:p>
        </w:tc>
        <w:tc>
          <w:tcPr>
            <w:tcW w:w="2334" w:type="dxa"/>
            <w:vMerge w:val="continue"/>
            <w:noWrap/>
            <w:vAlign w:val="center"/>
          </w:tcPr>
          <w:p w14:paraId="653828E1">
            <w:pPr>
              <w:jc w:val="left"/>
              <w:rPr>
                <w:rFonts w:hint="default" w:ascii="宋体" w:hAnsi="宋体"/>
                <w:b/>
                <w:color w:val="auto"/>
                <w:w w:val="90"/>
                <w:szCs w:val="21"/>
                <w:highlight w:val="none"/>
              </w:rPr>
            </w:pPr>
          </w:p>
        </w:tc>
        <w:tc>
          <w:tcPr>
            <w:tcW w:w="1682" w:type="dxa"/>
            <w:noWrap/>
            <w:vAlign w:val="center"/>
          </w:tcPr>
          <w:p w14:paraId="6BDEE176">
            <w:pPr>
              <w:jc w:val="left"/>
              <w:rPr>
                <w:rFonts w:hint="default" w:ascii="宋体" w:hAnsi="宋体"/>
                <w:b/>
                <w:color w:val="auto"/>
                <w:w w:val="90"/>
                <w:szCs w:val="21"/>
                <w:highlight w:val="none"/>
              </w:rPr>
            </w:pPr>
            <w:r>
              <w:rPr>
                <w:rFonts w:ascii="宋体" w:hAnsi="宋体"/>
                <w:b/>
                <w:color w:val="auto"/>
                <w:w w:val="90"/>
                <w:szCs w:val="21"/>
                <w:highlight w:val="none"/>
              </w:rPr>
              <w:t>水源热泵机组</w:t>
            </w:r>
          </w:p>
        </w:tc>
        <w:tc>
          <w:tcPr>
            <w:tcW w:w="3301" w:type="dxa"/>
            <w:noWrap/>
            <w:vAlign w:val="center"/>
          </w:tcPr>
          <w:p w14:paraId="1166FE1E">
            <w:pPr>
              <w:jc w:val="left"/>
              <w:rPr>
                <w:rFonts w:hint="default" w:ascii="宋体" w:hAnsi="宋体"/>
                <w:color w:val="auto"/>
                <w:w w:val="90"/>
                <w:szCs w:val="21"/>
                <w:highlight w:val="none"/>
              </w:rPr>
            </w:pPr>
            <w:r>
              <w:rPr>
                <w:rFonts w:ascii="宋体" w:hAnsi="宋体"/>
                <w:color w:val="auto"/>
                <w:w w:val="90"/>
                <w:szCs w:val="21"/>
                <w:highlight w:val="none"/>
              </w:rPr>
              <w:t>《水（地）源热泵机组能效限定值及能效等级》（GB 30721）</w:t>
            </w:r>
          </w:p>
        </w:tc>
      </w:tr>
      <w:tr w14:paraId="759066EC">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ign w:val="center"/>
          </w:tcPr>
          <w:p w14:paraId="7CFEC34F">
            <w:pPr>
              <w:jc w:val="center"/>
              <w:rPr>
                <w:rFonts w:hint="default" w:ascii="宋体" w:hAnsi="宋体"/>
                <w:color w:val="auto"/>
                <w:w w:val="90"/>
                <w:szCs w:val="21"/>
                <w:highlight w:val="none"/>
              </w:rPr>
            </w:pPr>
          </w:p>
        </w:tc>
        <w:tc>
          <w:tcPr>
            <w:tcW w:w="1933" w:type="dxa"/>
            <w:vMerge w:val="continue"/>
            <w:noWrap/>
            <w:vAlign w:val="center"/>
          </w:tcPr>
          <w:p w14:paraId="59AAAC15">
            <w:pPr>
              <w:jc w:val="left"/>
              <w:rPr>
                <w:rFonts w:hint="default" w:ascii="宋体" w:hAnsi="宋体"/>
                <w:color w:val="auto"/>
                <w:w w:val="90"/>
                <w:szCs w:val="21"/>
                <w:highlight w:val="none"/>
              </w:rPr>
            </w:pPr>
          </w:p>
        </w:tc>
        <w:tc>
          <w:tcPr>
            <w:tcW w:w="2334" w:type="dxa"/>
            <w:vMerge w:val="continue"/>
            <w:noWrap/>
            <w:vAlign w:val="center"/>
          </w:tcPr>
          <w:p w14:paraId="631B7D73">
            <w:pPr>
              <w:jc w:val="left"/>
              <w:rPr>
                <w:rFonts w:hint="default" w:ascii="宋体" w:hAnsi="宋体"/>
                <w:b/>
                <w:color w:val="auto"/>
                <w:w w:val="90"/>
                <w:szCs w:val="21"/>
                <w:highlight w:val="none"/>
              </w:rPr>
            </w:pPr>
          </w:p>
        </w:tc>
        <w:tc>
          <w:tcPr>
            <w:tcW w:w="1682" w:type="dxa"/>
            <w:noWrap/>
            <w:vAlign w:val="center"/>
          </w:tcPr>
          <w:p w14:paraId="13BC6A26">
            <w:pPr>
              <w:jc w:val="left"/>
              <w:rPr>
                <w:rFonts w:hint="default" w:ascii="宋体" w:hAnsi="宋体"/>
                <w:b/>
                <w:color w:val="auto"/>
                <w:w w:val="90"/>
                <w:szCs w:val="21"/>
                <w:highlight w:val="none"/>
              </w:rPr>
            </w:pPr>
            <w:r>
              <w:rPr>
                <w:rFonts w:ascii="宋体" w:hAnsi="宋体"/>
                <w:b/>
                <w:color w:val="auto"/>
                <w:w w:val="90"/>
                <w:szCs w:val="21"/>
                <w:highlight w:val="none"/>
              </w:rPr>
              <w:t>溴化锂吸收式冷水机组</w:t>
            </w:r>
          </w:p>
        </w:tc>
        <w:tc>
          <w:tcPr>
            <w:tcW w:w="3301" w:type="dxa"/>
            <w:noWrap/>
            <w:vAlign w:val="center"/>
          </w:tcPr>
          <w:p w14:paraId="58B856C9">
            <w:pPr>
              <w:jc w:val="left"/>
              <w:rPr>
                <w:rFonts w:hint="default" w:ascii="宋体" w:hAnsi="宋体"/>
                <w:color w:val="auto"/>
                <w:w w:val="90"/>
                <w:szCs w:val="21"/>
                <w:highlight w:val="none"/>
              </w:rPr>
            </w:pPr>
            <w:r>
              <w:rPr>
                <w:rFonts w:ascii="宋体" w:hAnsi="宋体"/>
                <w:color w:val="auto"/>
                <w:w w:val="90"/>
                <w:szCs w:val="21"/>
                <w:highlight w:val="none"/>
              </w:rPr>
              <w:t>《溴化锂吸收式冷水机组能效限定值及能效等级》（GB 29540）</w:t>
            </w:r>
          </w:p>
        </w:tc>
      </w:tr>
      <w:tr w14:paraId="15AE42B2">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ign w:val="center"/>
          </w:tcPr>
          <w:p w14:paraId="52D57B77">
            <w:pPr>
              <w:jc w:val="center"/>
              <w:rPr>
                <w:rFonts w:hint="default" w:ascii="宋体" w:hAnsi="宋体"/>
                <w:color w:val="auto"/>
                <w:w w:val="90"/>
                <w:szCs w:val="21"/>
                <w:highlight w:val="none"/>
              </w:rPr>
            </w:pPr>
          </w:p>
        </w:tc>
        <w:tc>
          <w:tcPr>
            <w:tcW w:w="1933" w:type="dxa"/>
            <w:vMerge w:val="continue"/>
            <w:noWrap/>
            <w:vAlign w:val="center"/>
          </w:tcPr>
          <w:p w14:paraId="590FAD9E">
            <w:pPr>
              <w:jc w:val="left"/>
              <w:rPr>
                <w:rFonts w:hint="default" w:ascii="宋体" w:hAnsi="宋体"/>
                <w:color w:val="auto"/>
                <w:w w:val="90"/>
                <w:szCs w:val="21"/>
                <w:highlight w:val="none"/>
              </w:rPr>
            </w:pPr>
          </w:p>
        </w:tc>
        <w:tc>
          <w:tcPr>
            <w:tcW w:w="2334" w:type="dxa"/>
            <w:vMerge w:val="restart"/>
            <w:noWrap/>
            <w:vAlign w:val="center"/>
          </w:tcPr>
          <w:p w14:paraId="7A9BD7AA">
            <w:pPr>
              <w:jc w:val="left"/>
              <w:rPr>
                <w:rFonts w:hint="default" w:ascii="宋体" w:hAnsi="宋体"/>
                <w:b/>
                <w:color w:val="auto"/>
                <w:w w:val="90"/>
                <w:szCs w:val="21"/>
                <w:highlight w:val="none"/>
              </w:rPr>
            </w:pPr>
            <w:r>
              <w:rPr>
                <w:rFonts w:ascii="宋体" w:hAnsi="宋体" w:cs="宋体"/>
                <w:color w:val="auto"/>
                <w:w w:val="90"/>
                <w:szCs w:val="21"/>
                <w:highlight w:val="none"/>
              </w:rPr>
              <w:t>★</w:t>
            </w:r>
            <w:r>
              <w:rPr>
                <w:rFonts w:ascii="宋体" w:hAnsi="宋体" w:cs="Calibri"/>
                <w:b/>
                <w:color w:val="auto"/>
                <w:w w:val="90"/>
                <w:szCs w:val="21"/>
                <w:highlight w:val="none"/>
              </w:rPr>
              <w:t>A02052305</w:t>
            </w:r>
            <w:r>
              <w:rPr>
                <w:rFonts w:ascii="宋体" w:hAnsi="宋体"/>
                <w:b/>
                <w:color w:val="auto"/>
                <w:w w:val="90"/>
                <w:szCs w:val="21"/>
                <w:highlight w:val="none"/>
              </w:rPr>
              <w:t>空调机组</w:t>
            </w:r>
          </w:p>
        </w:tc>
        <w:tc>
          <w:tcPr>
            <w:tcW w:w="1682" w:type="dxa"/>
            <w:noWrap/>
            <w:vAlign w:val="center"/>
          </w:tcPr>
          <w:p w14:paraId="15BDEC85">
            <w:pPr>
              <w:jc w:val="left"/>
              <w:rPr>
                <w:rFonts w:hint="default" w:ascii="宋体" w:hAnsi="宋体"/>
                <w:b/>
                <w:color w:val="auto"/>
                <w:w w:val="90"/>
                <w:szCs w:val="21"/>
                <w:highlight w:val="none"/>
              </w:rPr>
            </w:pPr>
            <w:r>
              <w:rPr>
                <w:rFonts w:ascii="宋体" w:hAnsi="宋体"/>
                <w:b/>
                <w:color w:val="auto"/>
                <w:w w:val="90"/>
                <w:szCs w:val="21"/>
                <w:highlight w:val="none"/>
              </w:rPr>
              <w:t>多联式空调（热泵）机组(制冷量&gt;14000W)</w:t>
            </w:r>
          </w:p>
        </w:tc>
        <w:tc>
          <w:tcPr>
            <w:tcW w:w="3301" w:type="dxa"/>
            <w:noWrap/>
            <w:vAlign w:val="center"/>
          </w:tcPr>
          <w:p w14:paraId="6174E46D">
            <w:pPr>
              <w:jc w:val="left"/>
              <w:rPr>
                <w:rFonts w:hint="default" w:ascii="宋体" w:hAnsi="宋体"/>
                <w:color w:val="auto"/>
                <w:w w:val="90"/>
                <w:szCs w:val="21"/>
                <w:highlight w:val="none"/>
              </w:rPr>
            </w:pPr>
            <w:r>
              <w:rPr>
                <w:rFonts w:ascii="宋体" w:hAnsi="宋体"/>
                <w:color w:val="auto"/>
                <w:w w:val="90"/>
                <w:szCs w:val="21"/>
                <w:highlight w:val="none"/>
              </w:rPr>
              <w:t>《多联式空调（热泵）机组能效限定值及能源效率等级》（GB 21454）</w:t>
            </w:r>
          </w:p>
        </w:tc>
      </w:tr>
      <w:tr w14:paraId="3384AA49">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ign w:val="center"/>
          </w:tcPr>
          <w:p w14:paraId="2C76AE52">
            <w:pPr>
              <w:jc w:val="center"/>
              <w:rPr>
                <w:rFonts w:hint="default" w:ascii="宋体" w:hAnsi="宋体"/>
                <w:color w:val="auto"/>
                <w:w w:val="90"/>
                <w:szCs w:val="21"/>
                <w:highlight w:val="none"/>
              </w:rPr>
            </w:pPr>
          </w:p>
        </w:tc>
        <w:tc>
          <w:tcPr>
            <w:tcW w:w="1933" w:type="dxa"/>
            <w:vMerge w:val="continue"/>
            <w:noWrap/>
            <w:vAlign w:val="center"/>
          </w:tcPr>
          <w:p w14:paraId="76A1F132">
            <w:pPr>
              <w:jc w:val="left"/>
              <w:rPr>
                <w:rFonts w:hint="default" w:ascii="宋体" w:hAnsi="宋体"/>
                <w:color w:val="auto"/>
                <w:w w:val="90"/>
                <w:szCs w:val="21"/>
                <w:highlight w:val="none"/>
              </w:rPr>
            </w:pPr>
          </w:p>
        </w:tc>
        <w:tc>
          <w:tcPr>
            <w:tcW w:w="2334" w:type="dxa"/>
            <w:vMerge w:val="continue"/>
            <w:noWrap/>
            <w:vAlign w:val="center"/>
          </w:tcPr>
          <w:p w14:paraId="2E35A953">
            <w:pPr>
              <w:jc w:val="left"/>
              <w:rPr>
                <w:rFonts w:hint="default" w:ascii="宋体" w:hAnsi="宋体"/>
                <w:b/>
                <w:color w:val="auto"/>
                <w:w w:val="90"/>
                <w:szCs w:val="21"/>
                <w:highlight w:val="none"/>
              </w:rPr>
            </w:pPr>
          </w:p>
        </w:tc>
        <w:tc>
          <w:tcPr>
            <w:tcW w:w="1682" w:type="dxa"/>
            <w:noWrap/>
            <w:vAlign w:val="center"/>
          </w:tcPr>
          <w:p w14:paraId="3DA460BD">
            <w:pPr>
              <w:jc w:val="left"/>
              <w:rPr>
                <w:rFonts w:hint="default" w:ascii="宋体" w:hAnsi="宋体"/>
                <w:b/>
                <w:color w:val="auto"/>
                <w:w w:val="90"/>
                <w:szCs w:val="21"/>
                <w:highlight w:val="none"/>
              </w:rPr>
            </w:pPr>
            <w:r>
              <w:rPr>
                <w:rFonts w:ascii="宋体" w:hAnsi="宋体"/>
                <w:b/>
                <w:color w:val="auto"/>
                <w:w w:val="90"/>
                <w:szCs w:val="21"/>
                <w:highlight w:val="none"/>
              </w:rPr>
              <w:t>单元式空气调节机(制冷量&gt;14000W)</w:t>
            </w:r>
          </w:p>
        </w:tc>
        <w:tc>
          <w:tcPr>
            <w:tcW w:w="3301" w:type="dxa"/>
            <w:noWrap/>
            <w:vAlign w:val="center"/>
          </w:tcPr>
          <w:p w14:paraId="76E1B6D6">
            <w:pPr>
              <w:jc w:val="left"/>
              <w:rPr>
                <w:rFonts w:hint="default" w:ascii="宋体" w:hAnsi="宋体"/>
                <w:color w:val="auto"/>
                <w:w w:val="90"/>
                <w:szCs w:val="21"/>
                <w:highlight w:val="none"/>
              </w:rPr>
            </w:pPr>
            <w:r>
              <w:rPr>
                <w:rFonts w:ascii="宋体" w:hAnsi="宋体"/>
                <w:color w:val="auto"/>
                <w:w w:val="90"/>
                <w:szCs w:val="21"/>
                <w:highlight w:val="none"/>
              </w:rPr>
              <w:t>《单元式空气调节机能效限定值及能效等级》（GB 19576）《风管送风式空调机组能效限定值及能效等级》（GB 37479）</w:t>
            </w:r>
          </w:p>
        </w:tc>
      </w:tr>
      <w:tr w14:paraId="5C2E0C09">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ign w:val="center"/>
          </w:tcPr>
          <w:p w14:paraId="212018F5">
            <w:pPr>
              <w:jc w:val="center"/>
              <w:rPr>
                <w:rFonts w:hint="default" w:ascii="宋体" w:hAnsi="宋体"/>
                <w:color w:val="auto"/>
                <w:w w:val="90"/>
                <w:szCs w:val="21"/>
                <w:highlight w:val="none"/>
              </w:rPr>
            </w:pPr>
          </w:p>
        </w:tc>
        <w:tc>
          <w:tcPr>
            <w:tcW w:w="1933" w:type="dxa"/>
            <w:vMerge w:val="continue"/>
            <w:noWrap/>
            <w:vAlign w:val="center"/>
          </w:tcPr>
          <w:p w14:paraId="389A567A">
            <w:pPr>
              <w:jc w:val="left"/>
              <w:rPr>
                <w:rFonts w:hint="default" w:ascii="宋体" w:hAnsi="宋体"/>
                <w:color w:val="auto"/>
                <w:w w:val="90"/>
                <w:szCs w:val="21"/>
                <w:highlight w:val="none"/>
              </w:rPr>
            </w:pPr>
          </w:p>
        </w:tc>
        <w:tc>
          <w:tcPr>
            <w:tcW w:w="2334" w:type="dxa"/>
            <w:noWrap/>
            <w:vAlign w:val="center"/>
          </w:tcPr>
          <w:p w14:paraId="2E542D0E">
            <w:pPr>
              <w:jc w:val="left"/>
              <w:rPr>
                <w:rFonts w:hint="default" w:ascii="宋体" w:hAnsi="宋体"/>
                <w:b/>
                <w:color w:val="auto"/>
                <w:w w:val="90"/>
                <w:szCs w:val="21"/>
                <w:highlight w:val="none"/>
              </w:rPr>
            </w:pPr>
            <w:r>
              <w:rPr>
                <w:rFonts w:ascii="宋体" w:hAnsi="宋体" w:cs="宋体"/>
                <w:color w:val="auto"/>
                <w:w w:val="90"/>
                <w:szCs w:val="21"/>
                <w:highlight w:val="none"/>
              </w:rPr>
              <w:t>★</w:t>
            </w:r>
            <w:r>
              <w:rPr>
                <w:rFonts w:ascii="宋体" w:hAnsi="宋体" w:cs="Calibri"/>
                <w:b/>
                <w:color w:val="auto"/>
                <w:w w:val="90"/>
                <w:szCs w:val="21"/>
                <w:highlight w:val="none"/>
              </w:rPr>
              <w:t>A02052309</w:t>
            </w:r>
            <w:r>
              <w:rPr>
                <w:rFonts w:ascii="宋体" w:hAnsi="宋体"/>
                <w:b/>
                <w:color w:val="auto"/>
                <w:w w:val="90"/>
                <w:szCs w:val="21"/>
                <w:highlight w:val="none"/>
              </w:rPr>
              <w:t>专用制冷、空调设备</w:t>
            </w:r>
          </w:p>
        </w:tc>
        <w:tc>
          <w:tcPr>
            <w:tcW w:w="1682" w:type="dxa"/>
            <w:noWrap/>
            <w:vAlign w:val="center"/>
          </w:tcPr>
          <w:p w14:paraId="3E1F3CF2">
            <w:pPr>
              <w:jc w:val="left"/>
              <w:rPr>
                <w:rFonts w:hint="default" w:ascii="宋体" w:hAnsi="宋体"/>
                <w:b/>
                <w:color w:val="auto"/>
                <w:w w:val="90"/>
                <w:szCs w:val="21"/>
                <w:highlight w:val="none"/>
              </w:rPr>
            </w:pPr>
            <w:r>
              <w:rPr>
                <w:rFonts w:ascii="宋体" w:hAnsi="宋体"/>
                <w:b/>
                <w:color w:val="auto"/>
                <w:w w:val="90"/>
                <w:szCs w:val="21"/>
                <w:highlight w:val="none"/>
              </w:rPr>
              <w:t>机房空调</w:t>
            </w:r>
          </w:p>
        </w:tc>
        <w:tc>
          <w:tcPr>
            <w:tcW w:w="3301" w:type="dxa"/>
            <w:noWrap/>
            <w:vAlign w:val="center"/>
          </w:tcPr>
          <w:p w14:paraId="6E1E7593">
            <w:pPr>
              <w:jc w:val="left"/>
              <w:rPr>
                <w:rFonts w:hint="default" w:ascii="宋体" w:hAnsi="宋体"/>
                <w:color w:val="auto"/>
                <w:w w:val="90"/>
                <w:szCs w:val="21"/>
                <w:highlight w:val="none"/>
              </w:rPr>
            </w:pPr>
            <w:r>
              <w:rPr>
                <w:rFonts w:ascii="宋体" w:hAnsi="宋体"/>
                <w:color w:val="auto"/>
                <w:w w:val="90"/>
                <w:szCs w:val="21"/>
                <w:highlight w:val="none"/>
              </w:rPr>
              <w:t>《单元式空气调节机能效限定值及能效等级》（GB 19576）</w:t>
            </w:r>
          </w:p>
        </w:tc>
      </w:tr>
      <w:tr w14:paraId="1B799B42">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ign w:val="center"/>
          </w:tcPr>
          <w:p w14:paraId="5E1F03D1">
            <w:pPr>
              <w:jc w:val="center"/>
              <w:rPr>
                <w:rFonts w:hint="default" w:ascii="宋体" w:hAnsi="宋体"/>
                <w:color w:val="auto"/>
                <w:w w:val="90"/>
                <w:szCs w:val="21"/>
                <w:highlight w:val="none"/>
              </w:rPr>
            </w:pPr>
          </w:p>
        </w:tc>
        <w:tc>
          <w:tcPr>
            <w:tcW w:w="1933" w:type="dxa"/>
            <w:vMerge w:val="continue"/>
            <w:noWrap/>
            <w:vAlign w:val="center"/>
          </w:tcPr>
          <w:p w14:paraId="3A34E6E3">
            <w:pPr>
              <w:jc w:val="left"/>
              <w:rPr>
                <w:rFonts w:hint="default" w:ascii="宋体" w:hAnsi="宋体"/>
                <w:color w:val="auto"/>
                <w:w w:val="90"/>
                <w:szCs w:val="21"/>
                <w:highlight w:val="none"/>
              </w:rPr>
            </w:pPr>
          </w:p>
        </w:tc>
        <w:tc>
          <w:tcPr>
            <w:tcW w:w="2334" w:type="dxa"/>
            <w:noWrap/>
            <w:vAlign w:val="center"/>
          </w:tcPr>
          <w:p w14:paraId="5DB6C402">
            <w:pPr>
              <w:jc w:val="left"/>
              <w:rPr>
                <w:rFonts w:hint="default" w:ascii="宋体" w:hAnsi="宋体"/>
                <w:color w:val="auto"/>
                <w:w w:val="90"/>
                <w:szCs w:val="21"/>
                <w:highlight w:val="none"/>
              </w:rPr>
            </w:pPr>
            <w:r>
              <w:rPr>
                <w:rFonts w:ascii="宋体" w:hAnsi="宋体"/>
                <w:color w:val="auto"/>
                <w:w w:val="90"/>
                <w:szCs w:val="21"/>
                <w:highlight w:val="none"/>
              </w:rPr>
              <w:t>A02052399其他制冷空调设备</w:t>
            </w:r>
          </w:p>
        </w:tc>
        <w:tc>
          <w:tcPr>
            <w:tcW w:w="1682" w:type="dxa"/>
            <w:noWrap/>
            <w:vAlign w:val="center"/>
          </w:tcPr>
          <w:p w14:paraId="2B41CA96">
            <w:pPr>
              <w:jc w:val="left"/>
              <w:rPr>
                <w:rFonts w:hint="default" w:ascii="宋体" w:hAnsi="宋体"/>
                <w:color w:val="auto"/>
                <w:w w:val="90"/>
                <w:szCs w:val="21"/>
                <w:highlight w:val="none"/>
              </w:rPr>
            </w:pPr>
            <w:r>
              <w:rPr>
                <w:rFonts w:ascii="宋体" w:hAnsi="宋体"/>
                <w:color w:val="auto"/>
                <w:w w:val="90"/>
                <w:szCs w:val="21"/>
                <w:highlight w:val="none"/>
              </w:rPr>
              <w:t>冷却塔</w:t>
            </w:r>
          </w:p>
        </w:tc>
        <w:tc>
          <w:tcPr>
            <w:tcW w:w="3301" w:type="dxa"/>
            <w:noWrap/>
            <w:vAlign w:val="center"/>
          </w:tcPr>
          <w:p w14:paraId="2606BE01">
            <w:pPr>
              <w:jc w:val="left"/>
              <w:rPr>
                <w:rFonts w:hint="default" w:ascii="宋体" w:hAnsi="宋体"/>
                <w:color w:val="auto"/>
                <w:w w:val="90"/>
                <w:szCs w:val="21"/>
                <w:highlight w:val="none"/>
              </w:rPr>
            </w:pPr>
            <w:r>
              <w:rPr>
                <w:rFonts w:ascii="宋体" w:hAnsi="宋体"/>
                <w:color w:val="auto"/>
                <w:w w:val="90"/>
                <w:szCs w:val="21"/>
                <w:highlight w:val="none"/>
              </w:rPr>
              <w:t>《机械通风冷却塔 第 1 部分：中小型开式冷却塔》（GB/T 7190.1）</w:t>
            </w:r>
          </w:p>
          <w:p w14:paraId="5550611E">
            <w:pPr>
              <w:jc w:val="left"/>
              <w:rPr>
                <w:rFonts w:hint="default" w:ascii="宋体" w:hAnsi="宋体"/>
                <w:color w:val="auto"/>
                <w:w w:val="90"/>
                <w:szCs w:val="21"/>
                <w:highlight w:val="none"/>
              </w:rPr>
            </w:pPr>
            <w:r>
              <w:rPr>
                <w:rFonts w:ascii="宋体" w:hAnsi="宋体"/>
                <w:color w:val="auto"/>
                <w:w w:val="90"/>
                <w:szCs w:val="21"/>
                <w:highlight w:val="none"/>
              </w:rPr>
              <w:t>《机械通风冷却塔 第 2 部分：大型开式冷却塔》（GB/T 7190.2）</w:t>
            </w:r>
          </w:p>
        </w:tc>
      </w:tr>
      <w:tr w14:paraId="23787C7E">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noWrap/>
            <w:vAlign w:val="center"/>
          </w:tcPr>
          <w:p w14:paraId="1BE96EE9">
            <w:pPr>
              <w:jc w:val="center"/>
              <w:rPr>
                <w:rFonts w:hint="default" w:ascii="宋体" w:hAnsi="宋体"/>
                <w:color w:val="auto"/>
                <w:w w:val="90"/>
                <w:szCs w:val="21"/>
                <w:highlight w:val="none"/>
              </w:rPr>
            </w:pPr>
            <w:r>
              <w:rPr>
                <w:rFonts w:ascii="宋体" w:hAnsi="宋体"/>
                <w:color w:val="auto"/>
                <w:w w:val="90"/>
                <w:szCs w:val="21"/>
                <w:highlight w:val="none"/>
              </w:rPr>
              <w:t>7</w:t>
            </w:r>
          </w:p>
        </w:tc>
        <w:tc>
          <w:tcPr>
            <w:tcW w:w="1933" w:type="dxa"/>
            <w:noWrap/>
            <w:vAlign w:val="center"/>
          </w:tcPr>
          <w:p w14:paraId="69184ECE">
            <w:pPr>
              <w:jc w:val="left"/>
              <w:rPr>
                <w:rFonts w:hint="default" w:ascii="宋体" w:hAnsi="宋体"/>
                <w:color w:val="auto"/>
                <w:w w:val="90"/>
                <w:szCs w:val="21"/>
                <w:highlight w:val="none"/>
              </w:rPr>
            </w:pPr>
            <w:r>
              <w:rPr>
                <w:rFonts w:ascii="宋体" w:hAnsi="宋体"/>
                <w:color w:val="auto"/>
                <w:w w:val="90"/>
                <w:szCs w:val="21"/>
                <w:highlight w:val="none"/>
              </w:rPr>
              <w:t>A020601电机</w:t>
            </w:r>
          </w:p>
        </w:tc>
        <w:tc>
          <w:tcPr>
            <w:tcW w:w="2334" w:type="dxa"/>
            <w:noWrap/>
            <w:vAlign w:val="center"/>
          </w:tcPr>
          <w:p w14:paraId="133280FA">
            <w:pPr>
              <w:jc w:val="left"/>
              <w:rPr>
                <w:rFonts w:hint="default" w:ascii="宋体" w:hAnsi="宋体"/>
                <w:color w:val="auto"/>
                <w:w w:val="90"/>
                <w:szCs w:val="21"/>
                <w:highlight w:val="none"/>
              </w:rPr>
            </w:pPr>
          </w:p>
        </w:tc>
        <w:tc>
          <w:tcPr>
            <w:tcW w:w="1682" w:type="dxa"/>
            <w:noWrap/>
            <w:vAlign w:val="center"/>
          </w:tcPr>
          <w:p w14:paraId="23DBF353">
            <w:pPr>
              <w:jc w:val="center"/>
              <w:rPr>
                <w:rFonts w:hint="default" w:ascii="宋体" w:hAnsi="宋体"/>
                <w:color w:val="auto"/>
                <w:w w:val="90"/>
                <w:szCs w:val="21"/>
                <w:highlight w:val="none"/>
              </w:rPr>
            </w:pPr>
          </w:p>
        </w:tc>
        <w:tc>
          <w:tcPr>
            <w:tcW w:w="3301" w:type="dxa"/>
            <w:noWrap/>
            <w:vAlign w:val="center"/>
          </w:tcPr>
          <w:p w14:paraId="44562F16">
            <w:pPr>
              <w:jc w:val="left"/>
              <w:rPr>
                <w:rFonts w:hint="default" w:ascii="宋体" w:hAnsi="宋体"/>
                <w:color w:val="auto"/>
                <w:w w:val="90"/>
                <w:szCs w:val="21"/>
                <w:highlight w:val="none"/>
              </w:rPr>
            </w:pPr>
            <w:r>
              <w:rPr>
                <w:rFonts w:ascii="宋体" w:hAnsi="宋体"/>
                <w:color w:val="auto"/>
                <w:w w:val="90"/>
                <w:szCs w:val="21"/>
                <w:highlight w:val="none"/>
              </w:rPr>
              <w:t>《中小型三相异步电动机能效限定值及能效等级》（GB 18613）</w:t>
            </w:r>
          </w:p>
        </w:tc>
      </w:tr>
      <w:tr w14:paraId="180D0910">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noWrap/>
            <w:vAlign w:val="center"/>
          </w:tcPr>
          <w:p w14:paraId="4D007CEC">
            <w:pPr>
              <w:jc w:val="center"/>
              <w:rPr>
                <w:rFonts w:hint="default" w:ascii="宋体" w:hAnsi="宋体"/>
                <w:color w:val="auto"/>
                <w:w w:val="90"/>
                <w:szCs w:val="21"/>
                <w:highlight w:val="none"/>
              </w:rPr>
            </w:pPr>
            <w:r>
              <w:rPr>
                <w:rFonts w:ascii="宋体" w:hAnsi="宋体"/>
                <w:color w:val="auto"/>
                <w:w w:val="90"/>
                <w:szCs w:val="21"/>
                <w:highlight w:val="none"/>
              </w:rPr>
              <w:t>8</w:t>
            </w:r>
          </w:p>
        </w:tc>
        <w:tc>
          <w:tcPr>
            <w:tcW w:w="1933" w:type="dxa"/>
            <w:noWrap/>
            <w:vAlign w:val="center"/>
          </w:tcPr>
          <w:p w14:paraId="5A5515EE">
            <w:pPr>
              <w:jc w:val="left"/>
              <w:rPr>
                <w:rFonts w:hint="default" w:ascii="宋体" w:hAnsi="宋体"/>
                <w:color w:val="auto"/>
                <w:w w:val="90"/>
                <w:szCs w:val="21"/>
                <w:highlight w:val="none"/>
              </w:rPr>
            </w:pPr>
            <w:r>
              <w:rPr>
                <w:rFonts w:ascii="宋体" w:hAnsi="宋体"/>
                <w:color w:val="auto"/>
                <w:w w:val="90"/>
                <w:szCs w:val="21"/>
                <w:highlight w:val="none"/>
              </w:rPr>
              <w:t>A020602变压器</w:t>
            </w:r>
          </w:p>
        </w:tc>
        <w:tc>
          <w:tcPr>
            <w:tcW w:w="2334" w:type="dxa"/>
            <w:noWrap/>
            <w:vAlign w:val="center"/>
          </w:tcPr>
          <w:p w14:paraId="00AD1757">
            <w:pPr>
              <w:jc w:val="left"/>
              <w:rPr>
                <w:rFonts w:hint="default" w:ascii="宋体" w:hAnsi="宋体"/>
                <w:color w:val="auto"/>
                <w:w w:val="90"/>
                <w:szCs w:val="21"/>
                <w:highlight w:val="none"/>
              </w:rPr>
            </w:pPr>
            <w:r>
              <w:rPr>
                <w:rFonts w:ascii="宋体" w:hAnsi="宋体"/>
                <w:color w:val="auto"/>
                <w:w w:val="90"/>
                <w:szCs w:val="21"/>
                <w:highlight w:val="none"/>
              </w:rPr>
              <w:t>配电变压器</w:t>
            </w:r>
          </w:p>
        </w:tc>
        <w:tc>
          <w:tcPr>
            <w:tcW w:w="1682" w:type="dxa"/>
            <w:noWrap/>
            <w:vAlign w:val="center"/>
          </w:tcPr>
          <w:p w14:paraId="3A9720FE">
            <w:pPr>
              <w:jc w:val="center"/>
              <w:rPr>
                <w:rFonts w:hint="default" w:ascii="宋体" w:hAnsi="宋体"/>
                <w:color w:val="auto"/>
                <w:w w:val="90"/>
                <w:szCs w:val="21"/>
                <w:highlight w:val="none"/>
              </w:rPr>
            </w:pPr>
          </w:p>
        </w:tc>
        <w:tc>
          <w:tcPr>
            <w:tcW w:w="3301" w:type="dxa"/>
            <w:noWrap/>
            <w:vAlign w:val="center"/>
          </w:tcPr>
          <w:p w14:paraId="5CDC9404">
            <w:pPr>
              <w:jc w:val="left"/>
              <w:rPr>
                <w:rFonts w:hint="default" w:ascii="宋体" w:hAnsi="宋体"/>
                <w:color w:val="auto"/>
                <w:w w:val="90"/>
                <w:szCs w:val="21"/>
                <w:highlight w:val="none"/>
              </w:rPr>
            </w:pPr>
            <w:r>
              <w:rPr>
                <w:rFonts w:ascii="宋体" w:hAnsi="宋体"/>
                <w:color w:val="auto"/>
                <w:w w:val="90"/>
                <w:szCs w:val="21"/>
                <w:highlight w:val="none"/>
              </w:rPr>
              <w:t>《三相配电变压器能效限定值及能效等级》（GB 20052）</w:t>
            </w:r>
          </w:p>
        </w:tc>
      </w:tr>
      <w:tr w14:paraId="0EC42EA2">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noWrap/>
            <w:vAlign w:val="center"/>
          </w:tcPr>
          <w:p w14:paraId="659D3A68">
            <w:pPr>
              <w:jc w:val="center"/>
              <w:rPr>
                <w:rFonts w:hint="default" w:ascii="宋体" w:hAnsi="宋体"/>
                <w:color w:val="auto"/>
                <w:w w:val="90"/>
                <w:szCs w:val="21"/>
                <w:highlight w:val="none"/>
              </w:rPr>
            </w:pPr>
            <w:r>
              <w:rPr>
                <w:rFonts w:ascii="宋体" w:hAnsi="宋体"/>
                <w:color w:val="auto"/>
                <w:w w:val="90"/>
                <w:szCs w:val="21"/>
                <w:highlight w:val="none"/>
              </w:rPr>
              <w:t>9</w:t>
            </w:r>
          </w:p>
        </w:tc>
        <w:tc>
          <w:tcPr>
            <w:tcW w:w="1933" w:type="dxa"/>
            <w:noWrap/>
            <w:vAlign w:val="center"/>
          </w:tcPr>
          <w:p w14:paraId="019DDCC1">
            <w:pPr>
              <w:jc w:val="left"/>
              <w:rPr>
                <w:rFonts w:hint="default" w:ascii="宋体" w:hAnsi="宋体"/>
                <w:b/>
                <w:color w:val="auto"/>
                <w:w w:val="90"/>
                <w:szCs w:val="21"/>
                <w:highlight w:val="none"/>
              </w:rPr>
            </w:pPr>
            <w:r>
              <w:rPr>
                <w:rFonts w:ascii="宋体" w:hAnsi="宋体" w:cs="宋体"/>
                <w:color w:val="auto"/>
                <w:w w:val="90"/>
                <w:szCs w:val="21"/>
                <w:highlight w:val="none"/>
              </w:rPr>
              <w:t>★</w:t>
            </w:r>
            <w:r>
              <w:rPr>
                <w:rFonts w:ascii="宋体" w:hAnsi="宋体" w:cs="Calibri"/>
                <w:b/>
                <w:color w:val="auto"/>
                <w:w w:val="90"/>
                <w:szCs w:val="21"/>
                <w:highlight w:val="none"/>
              </w:rPr>
              <w:t>A020609</w:t>
            </w:r>
            <w:r>
              <w:rPr>
                <w:rFonts w:ascii="宋体" w:hAnsi="宋体"/>
                <w:b/>
                <w:color w:val="auto"/>
                <w:w w:val="90"/>
                <w:szCs w:val="21"/>
                <w:highlight w:val="none"/>
              </w:rPr>
              <w:t>镇流器</w:t>
            </w:r>
          </w:p>
        </w:tc>
        <w:tc>
          <w:tcPr>
            <w:tcW w:w="2334" w:type="dxa"/>
            <w:noWrap/>
            <w:vAlign w:val="center"/>
          </w:tcPr>
          <w:p w14:paraId="402BB978">
            <w:pPr>
              <w:jc w:val="left"/>
              <w:rPr>
                <w:rFonts w:hint="default" w:ascii="宋体" w:hAnsi="宋体"/>
                <w:b/>
                <w:color w:val="auto"/>
                <w:w w:val="90"/>
                <w:szCs w:val="21"/>
                <w:highlight w:val="none"/>
              </w:rPr>
            </w:pPr>
            <w:r>
              <w:rPr>
                <w:rFonts w:ascii="宋体" w:hAnsi="宋体"/>
                <w:b/>
                <w:color w:val="auto"/>
                <w:w w:val="90"/>
                <w:szCs w:val="21"/>
                <w:highlight w:val="none"/>
              </w:rPr>
              <w:t>管型荧光灯镇流器</w:t>
            </w:r>
          </w:p>
        </w:tc>
        <w:tc>
          <w:tcPr>
            <w:tcW w:w="1682" w:type="dxa"/>
            <w:noWrap/>
            <w:vAlign w:val="center"/>
          </w:tcPr>
          <w:p w14:paraId="197233CF">
            <w:pPr>
              <w:jc w:val="center"/>
              <w:rPr>
                <w:rFonts w:hint="default" w:ascii="宋体" w:hAnsi="宋体"/>
                <w:color w:val="auto"/>
                <w:w w:val="90"/>
                <w:szCs w:val="21"/>
                <w:highlight w:val="none"/>
              </w:rPr>
            </w:pPr>
          </w:p>
        </w:tc>
        <w:tc>
          <w:tcPr>
            <w:tcW w:w="3301" w:type="dxa"/>
            <w:noWrap/>
            <w:vAlign w:val="center"/>
          </w:tcPr>
          <w:p w14:paraId="7C2CB84E">
            <w:pPr>
              <w:jc w:val="left"/>
              <w:rPr>
                <w:rFonts w:hint="default" w:ascii="宋体" w:hAnsi="宋体"/>
                <w:color w:val="auto"/>
                <w:w w:val="90"/>
                <w:szCs w:val="21"/>
                <w:highlight w:val="none"/>
              </w:rPr>
            </w:pPr>
            <w:r>
              <w:rPr>
                <w:rFonts w:ascii="宋体" w:hAnsi="宋体"/>
                <w:color w:val="auto"/>
                <w:w w:val="90"/>
                <w:szCs w:val="21"/>
                <w:highlight w:val="none"/>
              </w:rPr>
              <w:t>《管形荧光灯镇流器能效限定值及能效等级》（GB 17896）</w:t>
            </w:r>
          </w:p>
        </w:tc>
      </w:tr>
      <w:tr w14:paraId="0ABEED03">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restart"/>
            <w:noWrap/>
            <w:vAlign w:val="center"/>
          </w:tcPr>
          <w:p w14:paraId="4AF941EF">
            <w:pPr>
              <w:jc w:val="center"/>
              <w:rPr>
                <w:rFonts w:hint="default" w:ascii="宋体" w:hAnsi="宋体"/>
                <w:color w:val="auto"/>
                <w:w w:val="90"/>
                <w:szCs w:val="21"/>
                <w:highlight w:val="none"/>
              </w:rPr>
            </w:pPr>
            <w:r>
              <w:rPr>
                <w:rFonts w:ascii="宋体" w:hAnsi="宋体"/>
                <w:color w:val="auto"/>
                <w:w w:val="90"/>
                <w:szCs w:val="21"/>
                <w:highlight w:val="none"/>
              </w:rPr>
              <w:t>10</w:t>
            </w:r>
          </w:p>
        </w:tc>
        <w:tc>
          <w:tcPr>
            <w:tcW w:w="1933" w:type="dxa"/>
            <w:vMerge w:val="restart"/>
            <w:noWrap/>
            <w:vAlign w:val="center"/>
          </w:tcPr>
          <w:p w14:paraId="0BE235C1">
            <w:pPr>
              <w:jc w:val="left"/>
              <w:rPr>
                <w:rFonts w:hint="default" w:ascii="宋体" w:hAnsi="宋体"/>
                <w:color w:val="auto"/>
                <w:w w:val="90"/>
                <w:szCs w:val="21"/>
                <w:highlight w:val="none"/>
              </w:rPr>
            </w:pPr>
            <w:r>
              <w:rPr>
                <w:rFonts w:ascii="宋体" w:hAnsi="宋体"/>
                <w:color w:val="auto"/>
                <w:w w:val="90"/>
                <w:szCs w:val="21"/>
                <w:highlight w:val="none"/>
              </w:rPr>
              <w:t>A020618 生活用电器</w:t>
            </w:r>
          </w:p>
        </w:tc>
        <w:tc>
          <w:tcPr>
            <w:tcW w:w="2334" w:type="dxa"/>
            <w:noWrap/>
            <w:vAlign w:val="center"/>
          </w:tcPr>
          <w:p w14:paraId="453F2BE3">
            <w:pPr>
              <w:jc w:val="left"/>
              <w:rPr>
                <w:rFonts w:hint="default" w:ascii="宋体" w:hAnsi="宋体"/>
                <w:color w:val="auto"/>
                <w:w w:val="90"/>
                <w:szCs w:val="21"/>
                <w:highlight w:val="none"/>
              </w:rPr>
            </w:pPr>
            <w:r>
              <w:rPr>
                <w:rFonts w:ascii="宋体" w:hAnsi="宋体"/>
                <w:color w:val="auto"/>
                <w:w w:val="90"/>
                <w:szCs w:val="21"/>
                <w:highlight w:val="none"/>
              </w:rPr>
              <w:t>A0206180101电冰箱</w:t>
            </w:r>
          </w:p>
        </w:tc>
        <w:tc>
          <w:tcPr>
            <w:tcW w:w="1682" w:type="dxa"/>
            <w:noWrap/>
            <w:vAlign w:val="center"/>
          </w:tcPr>
          <w:p w14:paraId="1026C9EA">
            <w:pPr>
              <w:jc w:val="center"/>
              <w:rPr>
                <w:rFonts w:hint="default" w:ascii="宋体" w:hAnsi="宋体"/>
                <w:color w:val="auto"/>
                <w:w w:val="90"/>
                <w:szCs w:val="21"/>
                <w:highlight w:val="none"/>
              </w:rPr>
            </w:pPr>
          </w:p>
        </w:tc>
        <w:tc>
          <w:tcPr>
            <w:tcW w:w="3301" w:type="dxa"/>
            <w:noWrap/>
            <w:vAlign w:val="center"/>
          </w:tcPr>
          <w:p w14:paraId="1082ECF9">
            <w:pPr>
              <w:jc w:val="left"/>
              <w:rPr>
                <w:rFonts w:hint="default" w:ascii="宋体" w:hAnsi="宋体"/>
                <w:color w:val="auto"/>
                <w:w w:val="90"/>
                <w:szCs w:val="21"/>
                <w:highlight w:val="none"/>
              </w:rPr>
            </w:pPr>
            <w:r>
              <w:rPr>
                <w:rFonts w:ascii="宋体" w:hAnsi="宋体"/>
                <w:color w:val="auto"/>
                <w:w w:val="90"/>
                <w:szCs w:val="21"/>
                <w:highlight w:val="none"/>
              </w:rPr>
              <w:t>《家用电冰箱耗电量限定值及能效等级》（GB</w:t>
            </w:r>
            <w:r>
              <w:rPr>
                <w:rFonts w:ascii="宋体" w:hAnsi="宋体"/>
                <w:color w:val="auto"/>
                <w:w w:val="90"/>
                <w:szCs w:val="21"/>
                <w:highlight w:val="none"/>
              </w:rPr>
              <w:tab/>
            </w:r>
            <w:r>
              <w:rPr>
                <w:rFonts w:ascii="宋体" w:hAnsi="宋体"/>
                <w:color w:val="auto"/>
                <w:w w:val="90"/>
                <w:szCs w:val="21"/>
                <w:highlight w:val="none"/>
              </w:rPr>
              <w:t>12021.2）</w:t>
            </w:r>
          </w:p>
        </w:tc>
      </w:tr>
      <w:tr w14:paraId="0619724B">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ign w:val="center"/>
          </w:tcPr>
          <w:p w14:paraId="282C6F20">
            <w:pPr>
              <w:jc w:val="center"/>
              <w:rPr>
                <w:rFonts w:hint="default" w:ascii="宋体" w:hAnsi="宋体"/>
                <w:color w:val="auto"/>
                <w:w w:val="90"/>
                <w:szCs w:val="21"/>
                <w:highlight w:val="none"/>
              </w:rPr>
            </w:pPr>
          </w:p>
        </w:tc>
        <w:tc>
          <w:tcPr>
            <w:tcW w:w="1933" w:type="dxa"/>
            <w:vMerge w:val="continue"/>
            <w:noWrap/>
            <w:vAlign w:val="center"/>
          </w:tcPr>
          <w:p w14:paraId="17DD7CB4">
            <w:pPr>
              <w:jc w:val="left"/>
              <w:rPr>
                <w:rFonts w:hint="default" w:ascii="宋体" w:hAnsi="宋体"/>
                <w:color w:val="auto"/>
                <w:w w:val="90"/>
                <w:szCs w:val="21"/>
                <w:highlight w:val="none"/>
              </w:rPr>
            </w:pPr>
          </w:p>
        </w:tc>
        <w:tc>
          <w:tcPr>
            <w:tcW w:w="2334" w:type="dxa"/>
            <w:vMerge w:val="restart"/>
            <w:noWrap/>
            <w:vAlign w:val="center"/>
          </w:tcPr>
          <w:p w14:paraId="78BEA8DC">
            <w:pPr>
              <w:jc w:val="left"/>
              <w:rPr>
                <w:rFonts w:hint="default" w:ascii="宋体" w:hAnsi="宋体"/>
                <w:b/>
                <w:color w:val="auto"/>
                <w:w w:val="90"/>
                <w:szCs w:val="21"/>
                <w:highlight w:val="none"/>
              </w:rPr>
            </w:pPr>
            <w:r>
              <w:rPr>
                <w:rFonts w:ascii="宋体" w:hAnsi="宋体" w:cs="宋体"/>
                <w:color w:val="auto"/>
                <w:w w:val="90"/>
                <w:szCs w:val="21"/>
                <w:highlight w:val="none"/>
              </w:rPr>
              <w:t>★</w:t>
            </w:r>
            <w:r>
              <w:rPr>
                <w:rFonts w:ascii="宋体" w:hAnsi="宋体" w:cs="Calibri"/>
                <w:b/>
                <w:color w:val="auto"/>
                <w:w w:val="90"/>
                <w:szCs w:val="21"/>
                <w:highlight w:val="none"/>
              </w:rPr>
              <w:t>A0206180203</w:t>
            </w:r>
            <w:r>
              <w:rPr>
                <w:rFonts w:ascii="宋体" w:hAnsi="宋体"/>
                <w:b/>
                <w:color w:val="auto"/>
                <w:w w:val="90"/>
                <w:szCs w:val="21"/>
                <w:highlight w:val="none"/>
              </w:rPr>
              <w:t>空调机</w:t>
            </w:r>
          </w:p>
        </w:tc>
        <w:tc>
          <w:tcPr>
            <w:tcW w:w="1682" w:type="dxa"/>
            <w:noWrap/>
            <w:vAlign w:val="center"/>
          </w:tcPr>
          <w:p w14:paraId="4B696C31">
            <w:pPr>
              <w:jc w:val="left"/>
              <w:rPr>
                <w:rFonts w:hint="default" w:ascii="宋体" w:hAnsi="宋体"/>
                <w:b/>
                <w:color w:val="auto"/>
                <w:w w:val="90"/>
                <w:szCs w:val="21"/>
                <w:highlight w:val="none"/>
              </w:rPr>
            </w:pPr>
            <w:r>
              <w:rPr>
                <w:rFonts w:ascii="宋体" w:hAnsi="宋体"/>
                <w:b/>
                <w:color w:val="auto"/>
                <w:w w:val="90"/>
                <w:szCs w:val="21"/>
                <w:highlight w:val="none"/>
              </w:rPr>
              <w:t>房间空气调节器</w:t>
            </w:r>
          </w:p>
        </w:tc>
        <w:tc>
          <w:tcPr>
            <w:tcW w:w="3301" w:type="dxa"/>
            <w:noWrap/>
            <w:vAlign w:val="center"/>
          </w:tcPr>
          <w:p w14:paraId="3419D5EC">
            <w:pPr>
              <w:jc w:val="left"/>
              <w:rPr>
                <w:rFonts w:hint="default" w:ascii="宋体" w:hAnsi="宋体"/>
                <w:color w:val="auto"/>
                <w:w w:val="90"/>
                <w:szCs w:val="21"/>
                <w:highlight w:val="none"/>
              </w:rPr>
            </w:pPr>
            <w:r>
              <w:rPr>
                <w:rFonts w:ascii="宋体" w:hAnsi="宋体"/>
                <w:color w:val="auto"/>
                <w:w w:val="90"/>
                <w:szCs w:val="21"/>
                <w:highlight w:val="none"/>
              </w:rPr>
              <w:t>《转速可控型房间空气调节器能效限定值及能效等级》（GB21455-2013），待2019年修订发布后，按《房间空气调节器能效限定值及能效等级》（GB21455-2019）实施。</w:t>
            </w:r>
          </w:p>
        </w:tc>
      </w:tr>
      <w:tr w14:paraId="53E396E1">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ign w:val="center"/>
          </w:tcPr>
          <w:p w14:paraId="2FDF08D9">
            <w:pPr>
              <w:jc w:val="center"/>
              <w:rPr>
                <w:rFonts w:hint="default" w:ascii="宋体" w:hAnsi="宋体"/>
                <w:color w:val="auto"/>
                <w:w w:val="90"/>
                <w:szCs w:val="21"/>
                <w:highlight w:val="none"/>
              </w:rPr>
            </w:pPr>
          </w:p>
        </w:tc>
        <w:tc>
          <w:tcPr>
            <w:tcW w:w="1933" w:type="dxa"/>
            <w:vMerge w:val="continue"/>
            <w:noWrap/>
            <w:vAlign w:val="center"/>
          </w:tcPr>
          <w:p w14:paraId="462C1EB8">
            <w:pPr>
              <w:jc w:val="left"/>
              <w:rPr>
                <w:rFonts w:hint="default" w:ascii="宋体" w:hAnsi="宋体"/>
                <w:color w:val="auto"/>
                <w:w w:val="90"/>
                <w:szCs w:val="21"/>
                <w:highlight w:val="none"/>
              </w:rPr>
            </w:pPr>
          </w:p>
        </w:tc>
        <w:tc>
          <w:tcPr>
            <w:tcW w:w="2334" w:type="dxa"/>
            <w:vMerge w:val="continue"/>
            <w:noWrap/>
            <w:vAlign w:val="center"/>
          </w:tcPr>
          <w:p w14:paraId="736F8D5E">
            <w:pPr>
              <w:jc w:val="left"/>
              <w:rPr>
                <w:rFonts w:hint="default" w:ascii="宋体" w:hAnsi="宋体"/>
                <w:b/>
                <w:color w:val="auto"/>
                <w:w w:val="90"/>
                <w:szCs w:val="21"/>
                <w:highlight w:val="none"/>
              </w:rPr>
            </w:pPr>
          </w:p>
        </w:tc>
        <w:tc>
          <w:tcPr>
            <w:tcW w:w="1682" w:type="dxa"/>
            <w:noWrap/>
            <w:vAlign w:val="center"/>
          </w:tcPr>
          <w:p w14:paraId="70A7F1D9">
            <w:pPr>
              <w:jc w:val="left"/>
              <w:rPr>
                <w:rFonts w:hint="default" w:ascii="宋体" w:hAnsi="宋体"/>
                <w:b/>
                <w:color w:val="auto"/>
                <w:w w:val="90"/>
                <w:szCs w:val="21"/>
                <w:highlight w:val="none"/>
              </w:rPr>
            </w:pPr>
            <w:r>
              <w:rPr>
                <w:rFonts w:ascii="宋体" w:hAnsi="宋体"/>
                <w:b/>
                <w:color w:val="auto"/>
                <w:w w:val="90"/>
                <w:szCs w:val="21"/>
                <w:highlight w:val="none"/>
              </w:rPr>
              <w:t>多联式空调（热泵）机组（制冷量≤ 14000W）</w:t>
            </w:r>
          </w:p>
        </w:tc>
        <w:tc>
          <w:tcPr>
            <w:tcW w:w="3301" w:type="dxa"/>
            <w:noWrap/>
            <w:vAlign w:val="center"/>
          </w:tcPr>
          <w:p w14:paraId="18E9908E">
            <w:pPr>
              <w:jc w:val="left"/>
              <w:rPr>
                <w:rFonts w:hint="default" w:ascii="宋体" w:hAnsi="宋体"/>
                <w:color w:val="auto"/>
                <w:w w:val="90"/>
                <w:szCs w:val="21"/>
                <w:highlight w:val="none"/>
              </w:rPr>
            </w:pPr>
            <w:r>
              <w:rPr>
                <w:rFonts w:ascii="宋体" w:hAnsi="宋体"/>
                <w:color w:val="auto"/>
                <w:w w:val="90"/>
                <w:szCs w:val="21"/>
                <w:highlight w:val="none"/>
              </w:rPr>
              <w:t>《多联式空调（热泵）机组能效限定值及能源效率等级》（GB 21454）</w:t>
            </w:r>
          </w:p>
        </w:tc>
      </w:tr>
      <w:tr w14:paraId="34D92C7D">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ign w:val="center"/>
          </w:tcPr>
          <w:p w14:paraId="619188D8">
            <w:pPr>
              <w:jc w:val="center"/>
              <w:rPr>
                <w:rFonts w:hint="default" w:ascii="宋体" w:hAnsi="宋体"/>
                <w:color w:val="auto"/>
                <w:w w:val="90"/>
                <w:szCs w:val="21"/>
                <w:highlight w:val="none"/>
              </w:rPr>
            </w:pPr>
          </w:p>
        </w:tc>
        <w:tc>
          <w:tcPr>
            <w:tcW w:w="1933" w:type="dxa"/>
            <w:vMerge w:val="continue"/>
            <w:noWrap/>
            <w:vAlign w:val="center"/>
          </w:tcPr>
          <w:p w14:paraId="2C975F98">
            <w:pPr>
              <w:jc w:val="left"/>
              <w:rPr>
                <w:rFonts w:hint="default" w:ascii="宋体" w:hAnsi="宋体"/>
                <w:color w:val="auto"/>
                <w:w w:val="90"/>
                <w:szCs w:val="21"/>
                <w:highlight w:val="none"/>
              </w:rPr>
            </w:pPr>
          </w:p>
        </w:tc>
        <w:tc>
          <w:tcPr>
            <w:tcW w:w="2334" w:type="dxa"/>
            <w:vMerge w:val="continue"/>
            <w:noWrap/>
            <w:vAlign w:val="center"/>
          </w:tcPr>
          <w:p w14:paraId="03610AF5">
            <w:pPr>
              <w:jc w:val="left"/>
              <w:rPr>
                <w:rFonts w:hint="default" w:ascii="宋体" w:hAnsi="宋体"/>
                <w:b/>
                <w:color w:val="auto"/>
                <w:w w:val="90"/>
                <w:szCs w:val="21"/>
                <w:highlight w:val="none"/>
              </w:rPr>
            </w:pPr>
          </w:p>
        </w:tc>
        <w:tc>
          <w:tcPr>
            <w:tcW w:w="1682" w:type="dxa"/>
            <w:noWrap/>
            <w:vAlign w:val="center"/>
          </w:tcPr>
          <w:p w14:paraId="49D68A57">
            <w:pPr>
              <w:jc w:val="left"/>
              <w:rPr>
                <w:rFonts w:hint="default" w:ascii="宋体" w:hAnsi="宋体"/>
                <w:b/>
                <w:color w:val="auto"/>
                <w:w w:val="90"/>
                <w:szCs w:val="21"/>
                <w:highlight w:val="none"/>
              </w:rPr>
            </w:pPr>
            <w:r>
              <w:rPr>
                <w:rFonts w:ascii="宋体" w:hAnsi="宋体"/>
                <w:b/>
                <w:color w:val="auto"/>
                <w:w w:val="90"/>
                <w:szCs w:val="21"/>
                <w:highlight w:val="none"/>
              </w:rPr>
              <w:t>单元式空气调节机(制冷量≤14000W)</w:t>
            </w:r>
          </w:p>
        </w:tc>
        <w:tc>
          <w:tcPr>
            <w:tcW w:w="3301" w:type="dxa"/>
            <w:noWrap/>
            <w:vAlign w:val="center"/>
          </w:tcPr>
          <w:p w14:paraId="6F5559CC">
            <w:pPr>
              <w:jc w:val="left"/>
              <w:rPr>
                <w:rFonts w:hint="default" w:ascii="宋体" w:hAnsi="宋体"/>
                <w:color w:val="auto"/>
                <w:w w:val="90"/>
                <w:szCs w:val="21"/>
                <w:highlight w:val="none"/>
              </w:rPr>
            </w:pPr>
            <w:r>
              <w:rPr>
                <w:rFonts w:ascii="宋体" w:hAnsi="宋体"/>
                <w:color w:val="auto"/>
                <w:w w:val="90"/>
                <w:szCs w:val="21"/>
                <w:highlight w:val="none"/>
              </w:rPr>
              <w:t>《单元式空气调节机能效限定值及能源效率等级》（GB 19576）《风管送风式空调机组能效限定值及能效等级》（GB 37479）</w:t>
            </w:r>
          </w:p>
        </w:tc>
      </w:tr>
      <w:tr w14:paraId="05304736">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ign w:val="center"/>
          </w:tcPr>
          <w:p w14:paraId="26F9709E">
            <w:pPr>
              <w:jc w:val="center"/>
              <w:rPr>
                <w:rFonts w:hint="default" w:ascii="宋体" w:hAnsi="宋体"/>
                <w:color w:val="auto"/>
                <w:w w:val="90"/>
                <w:szCs w:val="21"/>
                <w:highlight w:val="none"/>
              </w:rPr>
            </w:pPr>
          </w:p>
        </w:tc>
        <w:tc>
          <w:tcPr>
            <w:tcW w:w="1933" w:type="dxa"/>
            <w:vMerge w:val="continue"/>
            <w:noWrap/>
            <w:vAlign w:val="center"/>
          </w:tcPr>
          <w:p w14:paraId="2CC319C1">
            <w:pPr>
              <w:jc w:val="left"/>
              <w:rPr>
                <w:rFonts w:hint="default" w:ascii="宋体" w:hAnsi="宋体"/>
                <w:color w:val="auto"/>
                <w:w w:val="90"/>
                <w:szCs w:val="21"/>
                <w:highlight w:val="none"/>
              </w:rPr>
            </w:pPr>
          </w:p>
        </w:tc>
        <w:tc>
          <w:tcPr>
            <w:tcW w:w="2334" w:type="dxa"/>
            <w:noWrap/>
            <w:vAlign w:val="center"/>
          </w:tcPr>
          <w:p w14:paraId="31FB4225">
            <w:pPr>
              <w:jc w:val="left"/>
              <w:rPr>
                <w:rFonts w:hint="default" w:ascii="宋体" w:hAnsi="宋体"/>
                <w:color w:val="auto"/>
                <w:w w:val="90"/>
                <w:szCs w:val="21"/>
                <w:highlight w:val="none"/>
              </w:rPr>
            </w:pPr>
            <w:r>
              <w:rPr>
                <w:rFonts w:ascii="宋体" w:hAnsi="宋体"/>
                <w:color w:val="auto"/>
                <w:w w:val="90"/>
                <w:szCs w:val="21"/>
                <w:highlight w:val="none"/>
              </w:rPr>
              <w:t>A0206180301洗衣机</w:t>
            </w:r>
          </w:p>
        </w:tc>
        <w:tc>
          <w:tcPr>
            <w:tcW w:w="1682" w:type="dxa"/>
            <w:noWrap/>
            <w:vAlign w:val="center"/>
          </w:tcPr>
          <w:p w14:paraId="01164DA1">
            <w:pPr>
              <w:jc w:val="left"/>
              <w:rPr>
                <w:rFonts w:hint="default" w:ascii="宋体" w:hAnsi="宋体"/>
                <w:color w:val="auto"/>
                <w:w w:val="90"/>
                <w:szCs w:val="21"/>
                <w:highlight w:val="none"/>
              </w:rPr>
            </w:pPr>
          </w:p>
        </w:tc>
        <w:tc>
          <w:tcPr>
            <w:tcW w:w="3301" w:type="dxa"/>
            <w:noWrap/>
            <w:vAlign w:val="center"/>
          </w:tcPr>
          <w:p w14:paraId="5D95C0FB">
            <w:pPr>
              <w:jc w:val="left"/>
              <w:rPr>
                <w:rFonts w:hint="default" w:ascii="宋体" w:hAnsi="宋体"/>
                <w:color w:val="auto"/>
                <w:w w:val="90"/>
                <w:szCs w:val="21"/>
                <w:highlight w:val="none"/>
              </w:rPr>
            </w:pPr>
            <w:r>
              <w:rPr>
                <w:rFonts w:ascii="宋体" w:hAnsi="宋体"/>
                <w:color w:val="auto"/>
                <w:w w:val="90"/>
                <w:szCs w:val="21"/>
                <w:highlight w:val="none"/>
              </w:rPr>
              <w:t>《电动洗衣机能效水效限定值及等级》（GB 12021.4）</w:t>
            </w:r>
          </w:p>
        </w:tc>
      </w:tr>
      <w:tr w14:paraId="5FAD3CAF">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ign w:val="center"/>
          </w:tcPr>
          <w:p w14:paraId="0F395459">
            <w:pPr>
              <w:jc w:val="center"/>
              <w:rPr>
                <w:rFonts w:hint="default" w:ascii="宋体" w:hAnsi="宋体"/>
                <w:color w:val="auto"/>
                <w:w w:val="90"/>
                <w:szCs w:val="21"/>
                <w:highlight w:val="none"/>
              </w:rPr>
            </w:pPr>
          </w:p>
        </w:tc>
        <w:tc>
          <w:tcPr>
            <w:tcW w:w="1933" w:type="dxa"/>
            <w:vMerge w:val="continue"/>
            <w:noWrap/>
            <w:vAlign w:val="center"/>
          </w:tcPr>
          <w:p w14:paraId="1A2BA0CF">
            <w:pPr>
              <w:jc w:val="left"/>
              <w:rPr>
                <w:rFonts w:hint="default" w:ascii="宋体" w:hAnsi="宋体"/>
                <w:color w:val="auto"/>
                <w:w w:val="90"/>
                <w:szCs w:val="21"/>
                <w:highlight w:val="none"/>
              </w:rPr>
            </w:pPr>
          </w:p>
        </w:tc>
        <w:tc>
          <w:tcPr>
            <w:tcW w:w="2334" w:type="dxa"/>
            <w:vMerge w:val="restart"/>
            <w:noWrap/>
            <w:vAlign w:val="center"/>
          </w:tcPr>
          <w:p w14:paraId="6778762D">
            <w:pPr>
              <w:jc w:val="left"/>
              <w:rPr>
                <w:rFonts w:hint="default" w:ascii="宋体" w:hAnsi="宋体"/>
                <w:color w:val="auto"/>
                <w:w w:val="90"/>
                <w:szCs w:val="21"/>
                <w:highlight w:val="none"/>
              </w:rPr>
            </w:pPr>
            <w:r>
              <w:rPr>
                <w:rFonts w:ascii="宋体" w:hAnsi="宋体"/>
                <w:color w:val="auto"/>
                <w:w w:val="90"/>
                <w:szCs w:val="21"/>
                <w:highlight w:val="none"/>
              </w:rPr>
              <w:t>A02061808热水器</w:t>
            </w:r>
          </w:p>
        </w:tc>
        <w:tc>
          <w:tcPr>
            <w:tcW w:w="1682" w:type="dxa"/>
            <w:noWrap/>
            <w:vAlign w:val="center"/>
          </w:tcPr>
          <w:p w14:paraId="12C269FB">
            <w:pPr>
              <w:jc w:val="left"/>
              <w:rPr>
                <w:rFonts w:hint="default" w:ascii="宋体" w:hAnsi="宋体"/>
                <w:color w:val="auto"/>
                <w:w w:val="90"/>
                <w:szCs w:val="21"/>
                <w:highlight w:val="none"/>
              </w:rPr>
            </w:pPr>
            <w:r>
              <w:rPr>
                <w:rFonts w:ascii="宋体" w:hAnsi="宋体" w:cs="宋体"/>
                <w:color w:val="auto"/>
                <w:w w:val="90"/>
                <w:szCs w:val="21"/>
                <w:highlight w:val="none"/>
              </w:rPr>
              <w:t>★</w:t>
            </w:r>
            <w:r>
              <w:rPr>
                <w:rFonts w:ascii="宋体" w:hAnsi="宋体"/>
                <w:b/>
                <w:color w:val="auto"/>
                <w:w w:val="90"/>
                <w:szCs w:val="21"/>
                <w:highlight w:val="none"/>
              </w:rPr>
              <w:t>电热水器</w:t>
            </w:r>
          </w:p>
        </w:tc>
        <w:tc>
          <w:tcPr>
            <w:tcW w:w="3301" w:type="dxa"/>
            <w:noWrap/>
            <w:vAlign w:val="center"/>
          </w:tcPr>
          <w:p w14:paraId="52D2C7C2">
            <w:pPr>
              <w:jc w:val="left"/>
              <w:rPr>
                <w:rFonts w:hint="default" w:ascii="宋体" w:hAnsi="宋体"/>
                <w:color w:val="auto"/>
                <w:w w:val="90"/>
                <w:szCs w:val="21"/>
                <w:highlight w:val="none"/>
              </w:rPr>
            </w:pPr>
            <w:r>
              <w:rPr>
                <w:rFonts w:ascii="宋体" w:hAnsi="宋体"/>
                <w:color w:val="auto"/>
                <w:w w:val="90"/>
                <w:szCs w:val="21"/>
                <w:highlight w:val="none"/>
              </w:rPr>
              <w:t>《储水式电热水器能效限定值及能效等级》（GB21519）</w:t>
            </w:r>
          </w:p>
        </w:tc>
      </w:tr>
      <w:tr w14:paraId="274578EF">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ign w:val="center"/>
          </w:tcPr>
          <w:p w14:paraId="5942AEAD">
            <w:pPr>
              <w:jc w:val="center"/>
              <w:rPr>
                <w:rFonts w:hint="default" w:ascii="宋体" w:hAnsi="宋体"/>
                <w:color w:val="auto"/>
                <w:w w:val="90"/>
                <w:szCs w:val="21"/>
                <w:highlight w:val="none"/>
              </w:rPr>
            </w:pPr>
          </w:p>
        </w:tc>
        <w:tc>
          <w:tcPr>
            <w:tcW w:w="1933" w:type="dxa"/>
            <w:vMerge w:val="continue"/>
            <w:noWrap/>
            <w:vAlign w:val="center"/>
          </w:tcPr>
          <w:p w14:paraId="762445BF">
            <w:pPr>
              <w:jc w:val="left"/>
              <w:rPr>
                <w:rFonts w:hint="default" w:ascii="宋体" w:hAnsi="宋体"/>
                <w:color w:val="auto"/>
                <w:w w:val="90"/>
                <w:szCs w:val="21"/>
                <w:highlight w:val="none"/>
              </w:rPr>
            </w:pPr>
          </w:p>
        </w:tc>
        <w:tc>
          <w:tcPr>
            <w:tcW w:w="2334" w:type="dxa"/>
            <w:vMerge w:val="continue"/>
            <w:noWrap/>
            <w:vAlign w:val="center"/>
          </w:tcPr>
          <w:p w14:paraId="2D68E042">
            <w:pPr>
              <w:jc w:val="left"/>
              <w:rPr>
                <w:rFonts w:hint="default" w:ascii="宋体" w:hAnsi="宋体"/>
                <w:color w:val="auto"/>
                <w:w w:val="90"/>
                <w:szCs w:val="21"/>
                <w:highlight w:val="none"/>
              </w:rPr>
            </w:pPr>
          </w:p>
        </w:tc>
        <w:tc>
          <w:tcPr>
            <w:tcW w:w="1682" w:type="dxa"/>
            <w:noWrap/>
            <w:vAlign w:val="center"/>
          </w:tcPr>
          <w:p w14:paraId="0BA4A481">
            <w:pPr>
              <w:jc w:val="left"/>
              <w:rPr>
                <w:rFonts w:hint="default" w:ascii="宋体" w:hAnsi="宋体"/>
                <w:color w:val="auto"/>
                <w:w w:val="90"/>
                <w:szCs w:val="21"/>
                <w:highlight w:val="none"/>
              </w:rPr>
            </w:pPr>
            <w:r>
              <w:rPr>
                <w:rFonts w:ascii="宋体" w:hAnsi="宋体"/>
                <w:color w:val="auto"/>
                <w:w w:val="90"/>
                <w:szCs w:val="21"/>
                <w:highlight w:val="none"/>
              </w:rPr>
              <w:t>燃气热水器</w:t>
            </w:r>
          </w:p>
        </w:tc>
        <w:tc>
          <w:tcPr>
            <w:tcW w:w="3301" w:type="dxa"/>
            <w:noWrap/>
            <w:vAlign w:val="center"/>
          </w:tcPr>
          <w:p w14:paraId="0587CD57">
            <w:pPr>
              <w:jc w:val="left"/>
              <w:rPr>
                <w:rFonts w:hint="default" w:ascii="宋体" w:hAnsi="宋体"/>
                <w:color w:val="auto"/>
                <w:w w:val="90"/>
                <w:szCs w:val="21"/>
                <w:highlight w:val="none"/>
              </w:rPr>
            </w:pPr>
            <w:r>
              <w:rPr>
                <w:rFonts w:ascii="宋体" w:hAnsi="宋体"/>
                <w:color w:val="auto"/>
                <w:w w:val="90"/>
                <w:szCs w:val="21"/>
                <w:highlight w:val="none"/>
              </w:rPr>
              <w:t>《家用燃气快速热水器和燃气采暖热水炉能效限定值及能效等级（GB 20665）</w:t>
            </w:r>
          </w:p>
        </w:tc>
      </w:tr>
      <w:tr w14:paraId="17EF94FE">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ign w:val="center"/>
          </w:tcPr>
          <w:p w14:paraId="4229EBFA">
            <w:pPr>
              <w:jc w:val="center"/>
              <w:rPr>
                <w:rFonts w:hint="default" w:ascii="宋体" w:hAnsi="宋体"/>
                <w:color w:val="auto"/>
                <w:w w:val="90"/>
                <w:szCs w:val="21"/>
                <w:highlight w:val="none"/>
              </w:rPr>
            </w:pPr>
          </w:p>
        </w:tc>
        <w:tc>
          <w:tcPr>
            <w:tcW w:w="1933" w:type="dxa"/>
            <w:vMerge w:val="continue"/>
            <w:noWrap/>
            <w:vAlign w:val="center"/>
          </w:tcPr>
          <w:p w14:paraId="57E698EB">
            <w:pPr>
              <w:jc w:val="left"/>
              <w:rPr>
                <w:rFonts w:hint="default" w:ascii="宋体" w:hAnsi="宋体"/>
                <w:color w:val="auto"/>
                <w:w w:val="90"/>
                <w:szCs w:val="21"/>
                <w:highlight w:val="none"/>
              </w:rPr>
            </w:pPr>
          </w:p>
        </w:tc>
        <w:tc>
          <w:tcPr>
            <w:tcW w:w="2334" w:type="dxa"/>
            <w:vMerge w:val="continue"/>
            <w:noWrap/>
            <w:vAlign w:val="center"/>
          </w:tcPr>
          <w:p w14:paraId="6E932536">
            <w:pPr>
              <w:jc w:val="left"/>
              <w:rPr>
                <w:rFonts w:hint="default" w:ascii="宋体" w:hAnsi="宋体"/>
                <w:color w:val="auto"/>
                <w:w w:val="90"/>
                <w:szCs w:val="21"/>
                <w:highlight w:val="none"/>
              </w:rPr>
            </w:pPr>
          </w:p>
        </w:tc>
        <w:tc>
          <w:tcPr>
            <w:tcW w:w="1682" w:type="dxa"/>
            <w:noWrap/>
            <w:vAlign w:val="center"/>
          </w:tcPr>
          <w:p w14:paraId="77FB7F41">
            <w:pPr>
              <w:jc w:val="left"/>
              <w:rPr>
                <w:rFonts w:hint="default" w:ascii="宋体" w:hAnsi="宋体"/>
                <w:color w:val="auto"/>
                <w:w w:val="90"/>
                <w:szCs w:val="21"/>
                <w:highlight w:val="none"/>
              </w:rPr>
            </w:pPr>
            <w:r>
              <w:rPr>
                <w:rFonts w:ascii="宋体" w:hAnsi="宋体"/>
                <w:color w:val="auto"/>
                <w:w w:val="90"/>
                <w:szCs w:val="21"/>
                <w:highlight w:val="none"/>
              </w:rPr>
              <w:t>热泵热水器</w:t>
            </w:r>
          </w:p>
        </w:tc>
        <w:tc>
          <w:tcPr>
            <w:tcW w:w="3301" w:type="dxa"/>
            <w:noWrap/>
            <w:vAlign w:val="center"/>
          </w:tcPr>
          <w:p w14:paraId="50FFB0C3">
            <w:pPr>
              <w:jc w:val="left"/>
              <w:rPr>
                <w:rFonts w:hint="default" w:ascii="宋体" w:hAnsi="宋体"/>
                <w:color w:val="auto"/>
                <w:w w:val="90"/>
                <w:szCs w:val="21"/>
                <w:highlight w:val="none"/>
              </w:rPr>
            </w:pPr>
            <w:r>
              <w:rPr>
                <w:rFonts w:ascii="宋体" w:hAnsi="宋体"/>
                <w:color w:val="auto"/>
                <w:w w:val="90"/>
                <w:szCs w:val="21"/>
                <w:highlight w:val="none"/>
              </w:rPr>
              <w:t>《热泵热水机（器）能效限定值及能效等级》（GB 29541）</w:t>
            </w:r>
          </w:p>
        </w:tc>
      </w:tr>
      <w:tr w14:paraId="160483BA">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ign w:val="center"/>
          </w:tcPr>
          <w:p w14:paraId="7B83A820">
            <w:pPr>
              <w:jc w:val="center"/>
              <w:rPr>
                <w:rFonts w:hint="default" w:ascii="宋体" w:hAnsi="宋体"/>
                <w:color w:val="auto"/>
                <w:w w:val="90"/>
                <w:szCs w:val="21"/>
                <w:highlight w:val="none"/>
              </w:rPr>
            </w:pPr>
          </w:p>
        </w:tc>
        <w:tc>
          <w:tcPr>
            <w:tcW w:w="1933" w:type="dxa"/>
            <w:vMerge w:val="continue"/>
            <w:noWrap/>
            <w:vAlign w:val="center"/>
          </w:tcPr>
          <w:p w14:paraId="26CAB680">
            <w:pPr>
              <w:jc w:val="left"/>
              <w:rPr>
                <w:rFonts w:hint="default" w:ascii="宋体" w:hAnsi="宋体"/>
                <w:color w:val="auto"/>
                <w:w w:val="90"/>
                <w:szCs w:val="21"/>
                <w:highlight w:val="none"/>
              </w:rPr>
            </w:pPr>
          </w:p>
        </w:tc>
        <w:tc>
          <w:tcPr>
            <w:tcW w:w="2334" w:type="dxa"/>
            <w:vMerge w:val="continue"/>
            <w:noWrap/>
            <w:vAlign w:val="center"/>
          </w:tcPr>
          <w:p w14:paraId="6DE1738F">
            <w:pPr>
              <w:jc w:val="left"/>
              <w:rPr>
                <w:rFonts w:hint="default" w:ascii="宋体" w:hAnsi="宋体"/>
                <w:color w:val="auto"/>
                <w:w w:val="90"/>
                <w:szCs w:val="21"/>
                <w:highlight w:val="none"/>
              </w:rPr>
            </w:pPr>
          </w:p>
        </w:tc>
        <w:tc>
          <w:tcPr>
            <w:tcW w:w="1682" w:type="dxa"/>
            <w:noWrap/>
            <w:vAlign w:val="center"/>
          </w:tcPr>
          <w:p w14:paraId="134DBAD3">
            <w:pPr>
              <w:jc w:val="left"/>
              <w:rPr>
                <w:rFonts w:hint="default" w:ascii="宋体" w:hAnsi="宋体"/>
                <w:color w:val="auto"/>
                <w:w w:val="90"/>
                <w:szCs w:val="21"/>
                <w:highlight w:val="none"/>
              </w:rPr>
            </w:pPr>
            <w:r>
              <w:rPr>
                <w:rFonts w:ascii="宋体" w:hAnsi="宋体"/>
                <w:color w:val="auto"/>
                <w:w w:val="90"/>
                <w:szCs w:val="21"/>
                <w:highlight w:val="none"/>
              </w:rPr>
              <w:t>太阳能热水系统</w:t>
            </w:r>
          </w:p>
        </w:tc>
        <w:tc>
          <w:tcPr>
            <w:tcW w:w="3301" w:type="dxa"/>
            <w:noWrap/>
            <w:vAlign w:val="center"/>
          </w:tcPr>
          <w:p w14:paraId="337D9CEE">
            <w:pPr>
              <w:jc w:val="left"/>
              <w:rPr>
                <w:rFonts w:hint="default" w:ascii="宋体" w:hAnsi="宋体"/>
                <w:color w:val="auto"/>
                <w:w w:val="90"/>
                <w:szCs w:val="21"/>
                <w:highlight w:val="none"/>
              </w:rPr>
            </w:pPr>
            <w:r>
              <w:rPr>
                <w:rFonts w:ascii="宋体" w:hAnsi="宋体"/>
                <w:color w:val="auto"/>
                <w:w w:val="90"/>
                <w:szCs w:val="21"/>
                <w:highlight w:val="none"/>
              </w:rPr>
              <w:t>《家用太阳能热水系统能效限定值及能效等级》（GB 26969）</w:t>
            </w:r>
          </w:p>
        </w:tc>
      </w:tr>
      <w:tr w14:paraId="1009D89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restart"/>
            <w:noWrap/>
            <w:vAlign w:val="center"/>
          </w:tcPr>
          <w:p w14:paraId="01652EE0">
            <w:pPr>
              <w:jc w:val="center"/>
              <w:rPr>
                <w:rFonts w:hint="default" w:ascii="宋体" w:hAnsi="宋体"/>
                <w:color w:val="auto"/>
                <w:w w:val="90"/>
                <w:szCs w:val="21"/>
                <w:highlight w:val="none"/>
              </w:rPr>
            </w:pPr>
            <w:r>
              <w:rPr>
                <w:rFonts w:ascii="宋体" w:hAnsi="宋体"/>
                <w:color w:val="auto"/>
                <w:w w:val="90"/>
                <w:szCs w:val="21"/>
                <w:highlight w:val="none"/>
              </w:rPr>
              <w:t>11</w:t>
            </w:r>
          </w:p>
        </w:tc>
        <w:tc>
          <w:tcPr>
            <w:tcW w:w="1933" w:type="dxa"/>
            <w:vMerge w:val="restart"/>
            <w:noWrap/>
            <w:vAlign w:val="center"/>
          </w:tcPr>
          <w:p w14:paraId="398D7551">
            <w:pPr>
              <w:jc w:val="left"/>
              <w:rPr>
                <w:rFonts w:hint="default" w:ascii="宋体" w:hAnsi="宋体"/>
                <w:color w:val="auto"/>
                <w:w w:val="90"/>
                <w:szCs w:val="21"/>
                <w:highlight w:val="none"/>
              </w:rPr>
            </w:pPr>
            <w:r>
              <w:rPr>
                <w:rFonts w:ascii="宋体" w:hAnsi="宋体"/>
                <w:color w:val="auto"/>
                <w:w w:val="90"/>
                <w:szCs w:val="21"/>
                <w:highlight w:val="none"/>
              </w:rPr>
              <w:t>A020619 照明设备</w:t>
            </w:r>
          </w:p>
        </w:tc>
        <w:tc>
          <w:tcPr>
            <w:tcW w:w="2334" w:type="dxa"/>
            <w:noWrap/>
            <w:vAlign w:val="center"/>
          </w:tcPr>
          <w:p w14:paraId="25C19E43">
            <w:pPr>
              <w:jc w:val="left"/>
              <w:rPr>
                <w:rFonts w:hint="default" w:ascii="宋体" w:hAnsi="宋体"/>
                <w:b/>
                <w:color w:val="auto"/>
                <w:w w:val="90"/>
                <w:szCs w:val="21"/>
                <w:highlight w:val="none"/>
              </w:rPr>
            </w:pPr>
            <w:r>
              <w:rPr>
                <w:rFonts w:ascii="宋体" w:hAnsi="宋体" w:cs="宋体"/>
                <w:color w:val="auto"/>
                <w:w w:val="90"/>
                <w:szCs w:val="21"/>
                <w:highlight w:val="none"/>
              </w:rPr>
              <w:t>★</w:t>
            </w:r>
            <w:r>
              <w:rPr>
                <w:rFonts w:ascii="宋体" w:hAnsi="宋体"/>
                <w:b/>
                <w:color w:val="auto"/>
                <w:w w:val="90"/>
                <w:szCs w:val="21"/>
                <w:highlight w:val="none"/>
              </w:rPr>
              <w:t>普通照明用双端荧光灯</w:t>
            </w:r>
          </w:p>
        </w:tc>
        <w:tc>
          <w:tcPr>
            <w:tcW w:w="1682" w:type="dxa"/>
            <w:noWrap/>
            <w:vAlign w:val="center"/>
          </w:tcPr>
          <w:p w14:paraId="7D565302">
            <w:pPr>
              <w:jc w:val="center"/>
              <w:rPr>
                <w:rFonts w:hint="default" w:ascii="宋体" w:hAnsi="宋体"/>
                <w:color w:val="auto"/>
                <w:w w:val="90"/>
                <w:szCs w:val="21"/>
                <w:highlight w:val="none"/>
              </w:rPr>
            </w:pPr>
          </w:p>
        </w:tc>
        <w:tc>
          <w:tcPr>
            <w:tcW w:w="3301" w:type="dxa"/>
            <w:noWrap/>
            <w:vAlign w:val="center"/>
          </w:tcPr>
          <w:p w14:paraId="69F77722">
            <w:pPr>
              <w:jc w:val="left"/>
              <w:rPr>
                <w:rFonts w:hint="default" w:ascii="宋体" w:hAnsi="宋体"/>
                <w:color w:val="auto"/>
                <w:w w:val="90"/>
                <w:szCs w:val="21"/>
                <w:highlight w:val="none"/>
              </w:rPr>
            </w:pPr>
            <w:r>
              <w:rPr>
                <w:rFonts w:ascii="宋体" w:hAnsi="宋体"/>
                <w:color w:val="auto"/>
                <w:w w:val="90"/>
                <w:szCs w:val="21"/>
                <w:highlight w:val="none"/>
              </w:rPr>
              <w:t>《普通照明用双端荧光灯能效限定值及能效等级》（GB 19043）</w:t>
            </w:r>
          </w:p>
        </w:tc>
      </w:tr>
      <w:tr w14:paraId="253B224A">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ign w:val="center"/>
          </w:tcPr>
          <w:p w14:paraId="0C18BDD7">
            <w:pPr>
              <w:jc w:val="center"/>
              <w:rPr>
                <w:rFonts w:hint="default" w:ascii="宋体" w:hAnsi="宋体"/>
                <w:color w:val="auto"/>
                <w:w w:val="90"/>
                <w:szCs w:val="21"/>
                <w:highlight w:val="none"/>
              </w:rPr>
            </w:pPr>
          </w:p>
        </w:tc>
        <w:tc>
          <w:tcPr>
            <w:tcW w:w="1933" w:type="dxa"/>
            <w:vMerge w:val="continue"/>
            <w:noWrap/>
            <w:vAlign w:val="center"/>
          </w:tcPr>
          <w:p w14:paraId="4725B5D5">
            <w:pPr>
              <w:jc w:val="left"/>
              <w:rPr>
                <w:rFonts w:hint="default" w:ascii="宋体" w:hAnsi="宋体"/>
                <w:color w:val="auto"/>
                <w:w w:val="90"/>
                <w:szCs w:val="21"/>
                <w:highlight w:val="none"/>
              </w:rPr>
            </w:pPr>
          </w:p>
        </w:tc>
        <w:tc>
          <w:tcPr>
            <w:tcW w:w="2334" w:type="dxa"/>
            <w:noWrap/>
            <w:vAlign w:val="center"/>
          </w:tcPr>
          <w:p w14:paraId="3480D1C2">
            <w:pPr>
              <w:jc w:val="left"/>
              <w:rPr>
                <w:rFonts w:hint="default" w:ascii="宋体" w:hAnsi="宋体"/>
                <w:color w:val="auto"/>
                <w:w w:val="90"/>
                <w:szCs w:val="21"/>
                <w:highlight w:val="none"/>
              </w:rPr>
            </w:pPr>
            <w:r>
              <w:rPr>
                <w:rFonts w:ascii="宋体" w:hAnsi="宋体"/>
                <w:color w:val="auto"/>
                <w:w w:val="90"/>
                <w:szCs w:val="21"/>
                <w:highlight w:val="none"/>
              </w:rPr>
              <w:t>LED道路/隧道照明产品</w:t>
            </w:r>
          </w:p>
        </w:tc>
        <w:tc>
          <w:tcPr>
            <w:tcW w:w="1682" w:type="dxa"/>
            <w:noWrap/>
            <w:vAlign w:val="center"/>
          </w:tcPr>
          <w:p w14:paraId="2E2A5AA0">
            <w:pPr>
              <w:jc w:val="center"/>
              <w:rPr>
                <w:rFonts w:hint="default" w:ascii="宋体" w:hAnsi="宋体"/>
                <w:color w:val="auto"/>
                <w:w w:val="90"/>
                <w:szCs w:val="21"/>
                <w:highlight w:val="none"/>
              </w:rPr>
            </w:pPr>
          </w:p>
        </w:tc>
        <w:tc>
          <w:tcPr>
            <w:tcW w:w="3301" w:type="dxa"/>
            <w:noWrap/>
            <w:vAlign w:val="center"/>
          </w:tcPr>
          <w:p w14:paraId="2BBC4D46">
            <w:pPr>
              <w:jc w:val="left"/>
              <w:rPr>
                <w:rFonts w:hint="default" w:ascii="宋体" w:hAnsi="宋体"/>
                <w:color w:val="auto"/>
                <w:w w:val="90"/>
                <w:szCs w:val="21"/>
                <w:highlight w:val="none"/>
              </w:rPr>
            </w:pPr>
            <w:r>
              <w:rPr>
                <w:rFonts w:ascii="宋体" w:hAnsi="宋体"/>
                <w:color w:val="auto"/>
                <w:w w:val="90"/>
                <w:szCs w:val="21"/>
                <w:highlight w:val="none"/>
              </w:rPr>
              <w:t>《道路和隧道照明用LED灯具能效限定值及能效等级》（GB 37478）</w:t>
            </w:r>
          </w:p>
        </w:tc>
      </w:tr>
      <w:tr w14:paraId="2FC05F92">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ign w:val="center"/>
          </w:tcPr>
          <w:p w14:paraId="341EAED1">
            <w:pPr>
              <w:jc w:val="center"/>
              <w:rPr>
                <w:rFonts w:hint="default" w:ascii="宋体" w:hAnsi="宋体"/>
                <w:color w:val="auto"/>
                <w:w w:val="90"/>
                <w:szCs w:val="21"/>
                <w:highlight w:val="none"/>
              </w:rPr>
            </w:pPr>
          </w:p>
        </w:tc>
        <w:tc>
          <w:tcPr>
            <w:tcW w:w="1933" w:type="dxa"/>
            <w:vMerge w:val="continue"/>
            <w:noWrap/>
            <w:vAlign w:val="center"/>
          </w:tcPr>
          <w:p w14:paraId="6276B71B">
            <w:pPr>
              <w:jc w:val="left"/>
              <w:rPr>
                <w:rFonts w:hint="default" w:ascii="宋体" w:hAnsi="宋体"/>
                <w:color w:val="auto"/>
                <w:w w:val="90"/>
                <w:szCs w:val="21"/>
                <w:highlight w:val="none"/>
              </w:rPr>
            </w:pPr>
          </w:p>
        </w:tc>
        <w:tc>
          <w:tcPr>
            <w:tcW w:w="2334" w:type="dxa"/>
            <w:noWrap/>
            <w:vAlign w:val="center"/>
          </w:tcPr>
          <w:p w14:paraId="02D58F02">
            <w:pPr>
              <w:jc w:val="left"/>
              <w:rPr>
                <w:rFonts w:hint="default" w:ascii="宋体" w:hAnsi="宋体"/>
                <w:color w:val="auto"/>
                <w:w w:val="90"/>
                <w:szCs w:val="21"/>
                <w:highlight w:val="none"/>
              </w:rPr>
            </w:pPr>
            <w:r>
              <w:rPr>
                <w:rFonts w:ascii="宋体" w:hAnsi="宋体"/>
                <w:color w:val="auto"/>
                <w:w w:val="90"/>
                <w:szCs w:val="21"/>
                <w:highlight w:val="none"/>
              </w:rPr>
              <w:t>LED筒灯</w:t>
            </w:r>
          </w:p>
        </w:tc>
        <w:tc>
          <w:tcPr>
            <w:tcW w:w="1682" w:type="dxa"/>
            <w:noWrap/>
            <w:vAlign w:val="center"/>
          </w:tcPr>
          <w:p w14:paraId="05616E9F">
            <w:pPr>
              <w:jc w:val="center"/>
              <w:rPr>
                <w:rFonts w:hint="default" w:ascii="宋体" w:hAnsi="宋体"/>
                <w:color w:val="auto"/>
                <w:w w:val="90"/>
                <w:szCs w:val="21"/>
                <w:highlight w:val="none"/>
              </w:rPr>
            </w:pPr>
          </w:p>
        </w:tc>
        <w:tc>
          <w:tcPr>
            <w:tcW w:w="3301" w:type="dxa"/>
            <w:noWrap/>
            <w:vAlign w:val="center"/>
          </w:tcPr>
          <w:p w14:paraId="5B3F74F1">
            <w:pPr>
              <w:jc w:val="left"/>
              <w:rPr>
                <w:rFonts w:hint="default" w:ascii="宋体" w:hAnsi="宋体"/>
                <w:color w:val="auto"/>
                <w:w w:val="90"/>
                <w:szCs w:val="21"/>
                <w:highlight w:val="none"/>
              </w:rPr>
            </w:pPr>
            <w:r>
              <w:rPr>
                <w:rFonts w:ascii="宋体" w:hAnsi="宋体"/>
                <w:color w:val="auto"/>
                <w:w w:val="90"/>
                <w:szCs w:val="21"/>
                <w:highlight w:val="none"/>
              </w:rPr>
              <w:t>《室内照明用LED产品能效限定值及能效等级》（GB 30255）</w:t>
            </w:r>
          </w:p>
        </w:tc>
      </w:tr>
      <w:tr w14:paraId="04628D3B">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ign w:val="center"/>
          </w:tcPr>
          <w:p w14:paraId="656ED89A">
            <w:pPr>
              <w:jc w:val="center"/>
              <w:rPr>
                <w:rFonts w:hint="default" w:ascii="宋体" w:hAnsi="宋体"/>
                <w:color w:val="auto"/>
                <w:w w:val="90"/>
                <w:szCs w:val="21"/>
                <w:highlight w:val="none"/>
              </w:rPr>
            </w:pPr>
          </w:p>
        </w:tc>
        <w:tc>
          <w:tcPr>
            <w:tcW w:w="1933" w:type="dxa"/>
            <w:vMerge w:val="continue"/>
            <w:noWrap/>
            <w:vAlign w:val="center"/>
          </w:tcPr>
          <w:p w14:paraId="2DC70836">
            <w:pPr>
              <w:jc w:val="left"/>
              <w:rPr>
                <w:rFonts w:hint="default" w:ascii="宋体" w:hAnsi="宋体"/>
                <w:color w:val="auto"/>
                <w:w w:val="90"/>
                <w:szCs w:val="21"/>
                <w:highlight w:val="none"/>
              </w:rPr>
            </w:pPr>
          </w:p>
        </w:tc>
        <w:tc>
          <w:tcPr>
            <w:tcW w:w="2334" w:type="dxa"/>
            <w:noWrap/>
            <w:vAlign w:val="center"/>
          </w:tcPr>
          <w:p w14:paraId="64F51F6D">
            <w:pPr>
              <w:jc w:val="left"/>
              <w:rPr>
                <w:rFonts w:hint="default" w:ascii="宋体" w:hAnsi="宋体"/>
                <w:color w:val="auto"/>
                <w:w w:val="90"/>
                <w:szCs w:val="21"/>
                <w:highlight w:val="none"/>
              </w:rPr>
            </w:pPr>
            <w:r>
              <w:rPr>
                <w:rFonts w:ascii="宋体" w:hAnsi="宋体"/>
                <w:color w:val="auto"/>
                <w:w w:val="90"/>
                <w:szCs w:val="21"/>
                <w:highlight w:val="none"/>
              </w:rPr>
              <w:t>普通照明用非定向自镇流LED灯</w:t>
            </w:r>
          </w:p>
        </w:tc>
        <w:tc>
          <w:tcPr>
            <w:tcW w:w="1682" w:type="dxa"/>
            <w:noWrap/>
            <w:vAlign w:val="center"/>
          </w:tcPr>
          <w:p w14:paraId="6A672F7E">
            <w:pPr>
              <w:jc w:val="center"/>
              <w:rPr>
                <w:rFonts w:hint="default" w:ascii="宋体" w:hAnsi="宋体"/>
                <w:color w:val="auto"/>
                <w:w w:val="90"/>
                <w:szCs w:val="21"/>
                <w:highlight w:val="none"/>
              </w:rPr>
            </w:pPr>
          </w:p>
        </w:tc>
        <w:tc>
          <w:tcPr>
            <w:tcW w:w="3301" w:type="dxa"/>
            <w:noWrap/>
            <w:vAlign w:val="center"/>
          </w:tcPr>
          <w:p w14:paraId="1E8BB2B3">
            <w:pPr>
              <w:jc w:val="left"/>
              <w:rPr>
                <w:rFonts w:hint="default" w:ascii="宋体" w:hAnsi="宋体"/>
                <w:color w:val="auto"/>
                <w:w w:val="90"/>
                <w:szCs w:val="21"/>
                <w:highlight w:val="none"/>
              </w:rPr>
            </w:pPr>
            <w:r>
              <w:rPr>
                <w:rFonts w:ascii="宋体" w:hAnsi="宋体"/>
                <w:color w:val="auto"/>
                <w:w w:val="90"/>
                <w:szCs w:val="21"/>
                <w:highlight w:val="none"/>
              </w:rPr>
              <w:t>《室内照明用LED产品能效限定值及能效等级》（GB 30255）</w:t>
            </w:r>
          </w:p>
        </w:tc>
      </w:tr>
      <w:tr w14:paraId="33664815">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noWrap/>
            <w:vAlign w:val="center"/>
          </w:tcPr>
          <w:p w14:paraId="1C8A1FD9">
            <w:pPr>
              <w:jc w:val="center"/>
              <w:rPr>
                <w:rFonts w:hint="default" w:ascii="宋体" w:hAnsi="宋体"/>
                <w:color w:val="auto"/>
                <w:w w:val="90"/>
                <w:szCs w:val="21"/>
                <w:highlight w:val="none"/>
              </w:rPr>
            </w:pPr>
            <w:r>
              <w:rPr>
                <w:rFonts w:ascii="宋体" w:hAnsi="宋体"/>
                <w:color w:val="auto"/>
                <w:w w:val="90"/>
                <w:szCs w:val="21"/>
                <w:highlight w:val="none"/>
              </w:rPr>
              <w:t>12</w:t>
            </w:r>
          </w:p>
        </w:tc>
        <w:tc>
          <w:tcPr>
            <w:tcW w:w="1933" w:type="dxa"/>
            <w:noWrap/>
            <w:vAlign w:val="center"/>
          </w:tcPr>
          <w:p w14:paraId="6336182F">
            <w:pPr>
              <w:jc w:val="left"/>
              <w:rPr>
                <w:rFonts w:hint="default" w:ascii="宋体" w:hAnsi="宋体"/>
                <w:b/>
                <w:color w:val="auto"/>
                <w:w w:val="90"/>
                <w:szCs w:val="21"/>
                <w:highlight w:val="none"/>
              </w:rPr>
            </w:pPr>
            <w:r>
              <w:rPr>
                <w:rFonts w:ascii="宋体" w:hAnsi="宋体" w:cs="宋体"/>
                <w:color w:val="auto"/>
                <w:w w:val="90"/>
                <w:szCs w:val="21"/>
                <w:highlight w:val="none"/>
              </w:rPr>
              <w:t>★</w:t>
            </w:r>
            <w:r>
              <w:rPr>
                <w:rFonts w:ascii="宋体" w:hAnsi="宋体" w:cs="Calibri"/>
                <w:b/>
                <w:color w:val="auto"/>
                <w:w w:val="90"/>
                <w:szCs w:val="21"/>
                <w:highlight w:val="none"/>
              </w:rPr>
              <w:t>A020910</w:t>
            </w:r>
            <w:r>
              <w:rPr>
                <w:rFonts w:ascii="宋体" w:hAnsi="宋体"/>
                <w:b/>
                <w:color w:val="auto"/>
                <w:w w:val="90"/>
                <w:szCs w:val="21"/>
                <w:highlight w:val="none"/>
              </w:rPr>
              <w:t>电视设备</w:t>
            </w:r>
          </w:p>
        </w:tc>
        <w:tc>
          <w:tcPr>
            <w:tcW w:w="2334" w:type="dxa"/>
            <w:noWrap/>
            <w:vAlign w:val="center"/>
          </w:tcPr>
          <w:p w14:paraId="78065575">
            <w:pPr>
              <w:jc w:val="left"/>
              <w:rPr>
                <w:rFonts w:hint="default" w:ascii="宋体" w:hAnsi="宋体"/>
                <w:b/>
                <w:color w:val="auto"/>
                <w:w w:val="90"/>
                <w:szCs w:val="21"/>
                <w:highlight w:val="none"/>
              </w:rPr>
            </w:pPr>
            <w:r>
              <w:rPr>
                <w:rFonts w:ascii="宋体" w:hAnsi="宋体"/>
                <w:b/>
                <w:color w:val="auto"/>
                <w:w w:val="90"/>
                <w:szCs w:val="21"/>
                <w:highlight w:val="none"/>
              </w:rPr>
              <w:t>A02091001普通电视设备（电视机）</w:t>
            </w:r>
          </w:p>
        </w:tc>
        <w:tc>
          <w:tcPr>
            <w:tcW w:w="1682" w:type="dxa"/>
            <w:noWrap/>
            <w:vAlign w:val="center"/>
          </w:tcPr>
          <w:p w14:paraId="5AD0D3D5">
            <w:pPr>
              <w:jc w:val="center"/>
              <w:rPr>
                <w:rFonts w:hint="default" w:ascii="宋体" w:hAnsi="宋体"/>
                <w:color w:val="auto"/>
                <w:w w:val="90"/>
                <w:szCs w:val="21"/>
                <w:highlight w:val="none"/>
              </w:rPr>
            </w:pPr>
          </w:p>
        </w:tc>
        <w:tc>
          <w:tcPr>
            <w:tcW w:w="3301" w:type="dxa"/>
            <w:noWrap/>
            <w:vAlign w:val="center"/>
          </w:tcPr>
          <w:p w14:paraId="78279938">
            <w:pPr>
              <w:jc w:val="left"/>
              <w:rPr>
                <w:rFonts w:hint="default" w:ascii="宋体" w:hAnsi="宋体"/>
                <w:color w:val="auto"/>
                <w:w w:val="90"/>
                <w:szCs w:val="21"/>
                <w:highlight w:val="none"/>
              </w:rPr>
            </w:pPr>
            <w:r>
              <w:rPr>
                <w:rFonts w:ascii="宋体" w:hAnsi="宋体"/>
                <w:color w:val="auto"/>
                <w:w w:val="90"/>
                <w:szCs w:val="21"/>
                <w:highlight w:val="none"/>
              </w:rPr>
              <w:t>《平板电视能效限定值及能效等级》（GB 24850）</w:t>
            </w:r>
          </w:p>
        </w:tc>
      </w:tr>
      <w:tr w14:paraId="11AF524B">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noWrap/>
            <w:vAlign w:val="center"/>
          </w:tcPr>
          <w:p w14:paraId="0A9EEC8A">
            <w:pPr>
              <w:jc w:val="center"/>
              <w:rPr>
                <w:rFonts w:hint="default" w:ascii="宋体" w:hAnsi="宋体"/>
                <w:color w:val="auto"/>
                <w:w w:val="90"/>
                <w:szCs w:val="21"/>
                <w:highlight w:val="none"/>
              </w:rPr>
            </w:pPr>
            <w:r>
              <w:rPr>
                <w:rFonts w:ascii="宋体" w:hAnsi="宋体"/>
                <w:color w:val="auto"/>
                <w:w w:val="90"/>
                <w:szCs w:val="21"/>
                <w:highlight w:val="none"/>
              </w:rPr>
              <w:t>13</w:t>
            </w:r>
          </w:p>
        </w:tc>
        <w:tc>
          <w:tcPr>
            <w:tcW w:w="1933" w:type="dxa"/>
            <w:noWrap/>
            <w:vAlign w:val="center"/>
          </w:tcPr>
          <w:p w14:paraId="4729628B">
            <w:pPr>
              <w:jc w:val="left"/>
              <w:rPr>
                <w:rFonts w:hint="default" w:ascii="宋体" w:hAnsi="宋体"/>
                <w:b/>
                <w:color w:val="auto"/>
                <w:w w:val="90"/>
                <w:szCs w:val="21"/>
                <w:highlight w:val="none"/>
              </w:rPr>
            </w:pPr>
            <w:r>
              <w:rPr>
                <w:rFonts w:ascii="宋体" w:hAnsi="宋体" w:cs="宋体"/>
                <w:color w:val="auto"/>
                <w:w w:val="90"/>
                <w:szCs w:val="21"/>
                <w:highlight w:val="none"/>
              </w:rPr>
              <w:t>★</w:t>
            </w:r>
            <w:r>
              <w:rPr>
                <w:rFonts w:ascii="宋体" w:hAnsi="宋体" w:cs="Calibri"/>
                <w:b/>
                <w:color w:val="auto"/>
                <w:w w:val="90"/>
                <w:szCs w:val="21"/>
                <w:highlight w:val="none"/>
              </w:rPr>
              <w:t>A020911</w:t>
            </w:r>
            <w:r>
              <w:rPr>
                <w:rFonts w:ascii="宋体" w:hAnsi="宋体"/>
                <w:b/>
                <w:color w:val="auto"/>
                <w:w w:val="90"/>
                <w:szCs w:val="21"/>
                <w:highlight w:val="none"/>
              </w:rPr>
              <w:t>视频设备</w:t>
            </w:r>
          </w:p>
        </w:tc>
        <w:tc>
          <w:tcPr>
            <w:tcW w:w="2334" w:type="dxa"/>
            <w:noWrap/>
            <w:vAlign w:val="center"/>
          </w:tcPr>
          <w:p w14:paraId="777A462F">
            <w:pPr>
              <w:jc w:val="left"/>
              <w:rPr>
                <w:rFonts w:hint="default" w:ascii="宋体" w:hAnsi="宋体"/>
                <w:b/>
                <w:color w:val="auto"/>
                <w:w w:val="90"/>
                <w:szCs w:val="21"/>
                <w:highlight w:val="none"/>
              </w:rPr>
            </w:pPr>
            <w:r>
              <w:rPr>
                <w:rFonts w:ascii="宋体" w:hAnsi="宋体"/>
                <w:b/>
                <w:color w:val="auto"/>
                <w:w w:val="90"/>
                <w:szCs w:val="21"/>
                <w:highlight w:val="none"/>
              </w:rPr>
              <w:t>A02091107视频监控设备</w:t>
            </w:r>
          </w:p>
        </w:tc>
        <w:tc>
          <w:tcPr>
            <w:tcW w:w="1682" w:type="dxa"/>
            <w:noWrap/>
            <w:vAlign w:val="center"/>
          </w:tcPr>
          <w:p w14:paraId="71CDEB5B">
            <w:pPr>
              <w:jc w:val="center"/>
              <w:rPr>
                <w:rFonts w:hint="default" w:ascii="宋体" w:hAnsi="宋体"/>
                <w:b/>
                <w:color w:val="auto"/>
                <w:w w:val="90"/>
                <w:szCs w:val="21"/>
                <w:highlight w:val="none"/>
              </w:rPr>
            </w:pPr>
            <w:r>
              <w:rPr>
                <w:rFonts w:ascii="宋体" w:hAnsi="宋体"/>
                <w:b/>
                <w:color w:val="auto"/>
                <w:w w:val="90"/>
                <w:szCs w:val="21"/>
                <w:highlight w:val="none"/>
              </w:rPr>
              <w:t>监视器</w:t>
            </w:r>
          </w:p>
        </w:tc>
        <w:tc>
          <w:tcPr>
            <w:tcW w:w="3301" w:type="dxa"/>
            <w:noWrap/>
            <w:vAlign w:val="center"/>
          </w:tcPr>
          <w:p w14:paraId="0BC0BEF1">
            <w:pPr>
              <w:jc w:val="left"/>
              <w:rPr>
                <w:rFonts w:hint="default" w:ascii="宋体" w:hAnsi="宋体"/>
                <w:color w:val="auto"/>
                <w:w w:val="90"/>
                <w:szCs w:val="21"/>
                <w:highlight w:val="none"/>
              </w:rPr>
            </w:pPr>
            <w:r>
              <w:rPr>
                <w:rFonts w:ascii="宋体" w:hAnsi="宋体"/>
                <w:color w:val="auto"/>
                <w:w w:val="90"/>
                <w:szCs w:val="21"/>
                <w:highlight w:val="none"/>
              </w:rPr>
              <w:t>以射频信号为主要信号输入的监视器应符合《平板电视能效限定值及能效等级》（GB 24850），以数字信号为主要信号输入的监视器应符合《计算机显示器能效限定值及能效等级》（GB 21520）</w:t>
            </w:r>
          </w:p>
        </w:tc>
      </w:tr>
      <w:tr w14:paraId="6344782B">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noWrap/>
            <w:vAlign w:val="center"/>
          </w:tcPr>
          <w:p w14:paraId="52CBFFE5">
            <w:pPr>
              <w:jc w:val="center"/>
              <w:rPr>
                <w:rFonts w:hint="default" w:ascii="宋体" w:hAnsi="宋体"/>
                <w:color w:val="auto"/>
                <w:w w:val="90"/>
                <w:szCs w:val="21"/>
                <w:highlight w:val="none"/>
              </w:rPr>
            </w:pPr>
            <w:r>
              <w:rPr>
                <w:rFonts w:ascii="宋体" w:hAnsi="宋体"/>
                <w:color w:val="auto"/>
                <w:w w:val="90"/>
                <w:szCs w:val="21"/>
                <w:highlight w:val="none"/>
              </w:rPr>
              <w:t>14</w:t>
            </w:r>
          </w:p>
        </w:tc>
        <w:tc>
          <w:tcPr>
            <w:tcW w:w="1933" w:type="dxa"/>
            <w:noWrap/>
            <w:vAlign w:val="center"/>
          </w:tcPr>
          <w:p w14:paraId="3D061E5C">
            <w:pPr>
              <w:jc w:val="left"/>
              <w:rPr>
                <w:rFonts w:hint="default" w:ascii="宋体" w:hAnsi="宋体"/>
                <w:color w:val="auto"/>
                <w:w w:val="90"/>
                <w:szCs w:val="21"/>
                <w:highlight w:val="none"/>
              </w:rPr>
            </w:pPr>
            <w:r>
              <w:rPr>
                <w:rFonts w:ascii="宋体" w:hAnsi="宋体"/>
                <w:color w:val="auto"/>
                <w:w w:val="90"/>
                <w:szCs w:val="21"/>
                <w:highlight w:val="none"/>
              </w:rPr>
              <w:t>A031210饮食炊事机械</w:t>
            </w:r>
          </w:p>
        </w:tc>
        <w:tc>
          <w:tcPr>
            <w:tcW w:w="2334" w:type="dxa"/>
            <w:noWrap/>
            <w:vAlign w:val="center"/>
          </w:tcPr>
          <w:p w14:paraId="587C89F3">
            <w:pPr>
              <w:jc w:val="left"/>
              <w:rPr>
                <w:rFonts w:hint="default" w:ascii="宋体" w:hAnsi="宋体"/>
                <w:color w:val="auto"/>
                <w:w w:val="90"/>
                <w:szCs w:val="21"/>
                <w:highlight w:val="none"/>
              </w:rPr>
            </w:pPr>
            <w:r>
              <w:rPr>
                <w:rFonts w:ascii="宋体" w:hAnsi="宋体"/>
                <w:color w:val="auto"/>
                <w:w w:val="90"/>
                <w:szCs w:val="21"/>
                <w:highlight w:val="none"/>
              </w:rPr>
              <w:t>商用燃气灶具</w:t>
            </w:r>
          </w:p>
        </w:tc>
        <w:tc>
          <w:tcPr>
            <w:tcW w:w="1682" w:type="dxa"/>
            <w:noWrap/>
            <w:vAlign w:val="center"/>
          </w:tcPr>
          <w:p w14:paraId="535C5941">
            <w:pPr>
              <w:jc w:val="center"/>
              <w:rPr>
                <w:rFonts w:hint="default" w:ascii="宋体" w:hAnsi="宋体"/>
                <w:color w:val="auto"/>
                <w:w w:val="90"/>
                <w:szCs w:val="21"/>
                <w:highlight w:val="none"/>
              </w:rPr>
            </w:pPr>
          </w:p>
        </w:tc>
        <w:tc>
          <w:tcPr>
            <w:tcW w:w="3301" w:type="dxa"/>
            <w:noWrap/>
            <w:vAlign w:val="center"/>
          </w:tcPr>
          <w:p w14:paraId="0EADA2B2">
            <w:pPr>
              <w:jc w:val="left"/>
              <w:rPr>
                <w:rFonts w:hint="default" w:ascii="宋体" w:hAnsi="宋体"/>
                <w:color w:val="auto"/>
                <w:w w:val="90"/>
                <w:szCs w:val="21"/>
                <w:highlight w:val="none"/>
              </w:rPr>
            </w:pPr>
          </w:p>
        </w:tc>
      </w:tr>
      <w:tr w14:paraId="3AAD2235">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restart"/>
            <w:noWrap/>
            <w:vAlign w:val="center"/>
          </w:tcPr>
          <w:p w14:paraId="37FFC85E">
            <w:pPr>
              <w:jc w:val="center"/>
              <w:rPr>
                <w:rFonts w:hint="default" w:ascii="宋体" w:hAnsi="宋体"/>
                <w:color w:val="auto"/>
                <w:w w:val="90"/>
                <w:szCs w:val="21"/>
                <w:highlight w:val="none"/>
              </w:rPr>
            </w:pPr>
            <w:r>
              <w:rPr>
                <w:rFonts w:ascii="宋体" w:hAnsi="宋体"/>
                <w:color w:val="auto"/>
                <w:w w:val="90"/>
                <w:szCs w:val="21"/>
                <w:highlight w:val="none"/>
              </w:rPr>
              <w:t>15</w:t>
            </w:r>
          </w:p>
        </w:tc>
        <w:tc>
          <w:tcPr>
            <w:tcW w:w="1933" w:type="dxa"/>
            <w:vMerge w:val="restart"/>
            <w:noWrap/>
            <w:vAlign w:val="center"/>
          </w:tcPr>
          <w:p w14:paraId="051CBD5E">
            <w:pPr>
              <w:jc w:val="left"/>
              <w:rPr>
                <w:rFonts w:hint="default" w:ascii="宋体" w:hAnsi="宋体"/>
                <w:b/>
                <w:color w:val="auto"/>
                <w:w w:val="90"/>
                <w:szCs w:val="21"/>
                <w:highlight w:val="none"/>
              </w:rPr>
            </w:pPr>
            <w:r>
              <w:rPr>
                <w:rFonts w:ascii="宋体" w:hAnsi="宋体" w:cs="宋体"/>
                <w:color w:val="auto"/>
                <w:w w:val="90"/>
                <w:szCs w:val="21"/>
                <w:highlight w:val="none"/>
              </w:rPr>
              <w:t>★</w:t>
            </w:r>
            <w:r>
              <w:rPr>
                <w:rFonts w:ascii="宋体" w:hAnsi="宋体" w:cs="Calibri"/>
                <w:b/>
                <w:color w:val="auto"/>
                <w:w w:val="90"/>
                <w:szCs w:val="21"/>
                <w:highlight w:val="none"/>
              </w:rPr>
              <w:t>A060805</w:t>
            </w:r>
            <w:r>
              <w:rPr>
                <w:rFonts w:ascii="宋体" w:hAnsi="宋体"/>
                <w:b/>
                <w:color w:val="auto"/>
                <w:w w:val="90"/>
                <w:szCs w:val="21"/>
                <w:highlight w:val="none"/>
              </w:rPr>
              <w:t>便器</w:t>
            </w:r>
          </w:p>
        </w:tc>
        <w:tc>
          <w:tcPr>
            <w:tcW w:w="2334" w:type="dxa"/>
            <w:noWrap/>
            <w:vAlign w:val="center"/>
          </w:tcPr>
          <w:p w14:paraId="7FA429E1">
            <w:pPr>
              <w:jc w:val="left"/>
              <w:rPr>
                <w:rFonts w:hint="default" w:ascii="宋体" w:hAnsi="宋体"/>
                <w:b/>
                <w:color w:val="auto"/>
                <w:w w:val="90"/>
                <w:szCs w:val="21"/>
                <w:highlight w:val="none"/>
              </w:rPr>
            </w:pPr>
            <w:r>
              <w:rPr>
                <w:rFonts w:ascii="宋体" w:hAnsi="宋体"/>
                <w:b/>
                <w:color w:val="auto"/>
                <w:w w:val="90"/>
                <w:szCs w:val="21"/>
                <w:highlight w:val="none"/>
              </w:rPr>
              <w:t>坐便器</w:t>
            </w:r>
          </w:p>
        </w:tc>
        <w:tc>
          <w:tcPr>
            <w:tcW w:w="1682" w:type="dxa"/>
            <w:noWrap/>
            <w:vAlign w:val="center"/>
          </w:tcPr>
          <w:p w14:paraId="3926993B">
            <w:pPr>
              <w:jc w:val="center"/>
              <w:rPr>
                <w:rFonts w:hint="default" w:ascii="宋体" w:hAnsi="宋体"/>
                <w:color w:val="auto"/>
                <w:w w:val="90"/>
                <w:szCs w:val="21"/>
                <w:highlight w:val="none"/>
              </w:rPr>
            </w:pPr>
          </w:p>
        </w:tc>
        <w:tc>
          <w:tcPr>
            <w:tcW w:w="3301" w:type="dxa"/>
            <w:noWrap/>
            <w:vAlign w:val="center"/>
          </w:tcPr>
          <w:p w14:paraId="786ABF01">
            <w:pPr>
              <w:jc w:val="left"/>
              <w:rPr>
                <w:rFonts w:hint="default" w:ascii="宋体" w:hAnsi="宋体"/>
                <w:color w:val="auto"/>
                <w:w w:val="90"/>
                <w:szCs w:val="21"/>
                <w:highlight w:val="none"/>
              </w:rPr>
            </w:pPr>
            <w:r>
              <w:rPr>
                <w:rFonts w:ascii="宋体" w:hAnsi="宋体"/>
                <w:color w:val="auto"/>
                <w:w w:val="90"/>
                <w:szCs w:val="21"/>
                <w:highlight w:val="none"/>
              </w:rPr>
              <w:t>《坐便器水效限定值及水效等级</w:t>
            </w:r>
          </w:p>
          <w:p w14:paraId="12230472">
            <w:pPr>
              <w:jc w:val="left"/>
              <w:rPr>
                <w:rFonts w:hint="default" w:ascii="宋体" w:hAnsi="宋体"/>
                <w:color w:val="auto"/>
                <w:w w:val="90"/>
                <w:szCs w:val="21"/>
                <w:highlight w:val="none"/>
              </w:rPr>
            </w:pPr>
            <w:r>
              <w:rPr>
                <w:rFonts w:ascii="宋体" w:hAnsi="宋体"/>
                <w:color w:val="auto"/>
                <w:w w:val="90"/>
                <w:szCs w:val="21"/>
                <w:highlight w:val="none"/>
              </w:rPr>
              <w:t>（GB 25502）</w:t>
            </w:r>
          </w:p>
        </w:tc>
      </w:tr>
      <w:tr w14:paraId="2DADAE37">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ign w:val="center"/>
          </w:tcPr>
          <w:p w14:paraId="0C49FD3B">
            <w:pPr>
              <w:jc w:val="center"/>
              <w:rPr>
                <w:rFonts w:hint="default" w:ascii="宋体" w:hAnsi="宋体"/>
                <w:color w:val="auto"/>
                <w:w w:val="90"/>
                <w:szCs w:val="21"/>
                <w:highlight w:val="none"/>
              </w:rPr>
            </w:pPr>
          </w:p>
        </w:tc>
        <w:tc>
          <w:tcPr>
            <w:tcW w:w="1933" w:type="dxa"/>
            <w:vMerge w:val="continue"/>
            <w:noWrap/>
            <w:vAlign w:val="center"/>
          </w:tcPr>
          <w:p w14:paraId="3BB8DD22">
            <w:pPr>
              <w:jc w:val="left"/>
              <w:rPr>
                <w:rFonts w:hint="default" w:ascii="宋体" w:hAnsi="宋体"/>
                <w:b/>
                <w:color w:val="auto"/>
                <w:w w:val="90"/>
                <w:szCs w:val="21"/>
                <w:highlight w:val="none"/>
              </w:rPr>
            </w:pPr>
          </w:p>
        </w:tc>
        <w:tc>
          <w:tcPr>
            <w:tcW w:w="2334" w:type="dxa"/>
            <w:noWrap/>
            <w:vAlign w:val="center"/>
          </w:tcPr>
          <w:p w14:paraId="329B234C">
            <w:pPr>
              <w:jc w:val="left"/>
              <w:rPr>
                <w:rFonts w:hint="default" w:ascii="宋体" w:hAnsi="宋体"/>
                <w:b/>
                <w:color w:val="auto"/>
                <w:w w:val="90"/>
                <w:szCs w:val="21"/>
                <w:highlight w:val="none"/>
              </w:rPr>
            </w:pPr>
            <w:r>
              <w:rPr>
                <w:rFonts w:ascii="宋体" w:hAnsi="宋体"/>
                <w:b/>
                <w:color w:val="auto"/>
                <w:w w:val="90"/>
                <w:szCs w:val="21"/>
                <w:highlight w:val="none"/>
              </w:rPr>
              <w:t>蹲便器</w:t>
            </w:r>
          </w:p>
        </w:tc>
        <w:tc>
          <w:tcPr>
            <w:tcW w:w="1682" w:type="dxa"/>
            <w:noWrap/>
            <w:vAlign w:val="center"/>
          </w:tcPr>
          <w:p w14:paraId="7C37D348">
            <w:pPr>
              <w:jc w:val="center"/>
              <w:rPr>
                <w:rFonts w:hint="default" w:ascii="宋体" w:hAnsi="宋体"/>
                <w:color w:val="auto"/>
                <w:w w:val="90"/>
                <w:szCs w:val="21"/>
                <w:highlight w:val="none"/>
              </w:rPr>
            </w:pPr>
          </w:p>
        </w:tc>
        <w:tc>
          <w:tcPr>
            <w:tcW w:w="3301" w:type="dxa"/>
            <w:noWrap/>
            <w:vAlign w:val="center"/>
          </w:tcPr>
          <w:p w14:paraId="16ED7CCE">
            <w:pPr>
              <w:jc w:val="left"/>
              <w:rPr>
                <w:rFonts w:hint="default" w:ascii="宋体" w:hAnsi="宋体"/>
                <w:color w:val="auto"/>
                <w:w w:val="90"/>
                <w:szCs w:val="21"/>
                <w:highlight w:val="none"/>
              </w:rPr>
            </w:pPr>
            <w:r>
              <w:rPr>
                <w:rFonts w:ascii="宋体" w:hAnsi="宋体"/>
                <w:color w:val="auto"/>
                <w:w w:val="90"/>
                <w:szCs w:val="21"/>
                <w:highlight w:val="none"/>
              </w:rPr>
              <w:t>《蹲便器用水效率限定值及用水效率等级》（GB 30717）</w:t>
            </w:r>
          </w:p>
        </w:tc>
      </w:tr>
      <w:tr w14:paraId="4D0CAA9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vMerge w:val="continue"/>
            <w:noWrap/>
            <w:vAlign w:val="center"/>
          </w:tcPr>
          <w:p w14:paraId="71017473">
            <w:pPr>
              <w:jc w:val="center"/>
              <w:rPr>
                <w:rFonts w:hint="default" w:ascii="宋体" w:hAnsi="宋体"/>
                <w:color w:val="auto"/>
                <w:w w:val="90"/>
                <w:szCs w:val="21"/>
                <w:highlight w:val="none"/>
              </w:rPr>
            </w:pPr>
          </w:p>
        </w:tc>
        <w:tc>
          <w:tcPr>
            <w:tcW w:w="1933" w:type="dxa"/>
            <w:vMerge w:val="continue"/>
            <w:noWrap/>
            <w:vAlign w:val="center"/>
          </w:tcPr>
          <w:p w14:paraId="7A28A077">
            <w:pPr>
              <w:jc w:val="left"/>
              <w:rPr>
                <w:rFonts w:hint="default" w:ascii="宋体" w:hAnsi="宋体"/>
                <w:b/>
                <w:color w:val="auto"/>
                <w:w w:val="90"/>
                <w:szCs w:val="21"/>
                <w:highlight w:val="none"/>
              </w:rPr>
            </w:pPr>
          </w:p>
        </w:tc>
        <w:tc>
          <w:tcPr>
            <w:tcW w:w="2334" w:type="dxa"/>
            <w:noWrap/>
            <w:vAlign w:val="center"/>
          </w:tcPr>
          <w:p w14:paraId="51D26277">
            <w:pPr>
              <w:jc w:val="left"/>
              <w:rPr>
                <w:rFonts w:hint="default" w:ascii="宋体" w:hAnsi="宋体"/>
                <w:b/>
                <w:color w:val="auto"/>
                <w:w w:val="90"/>
                <w:szCs w:val="21"/>
                <w:highlight w:val="none"/>
              </w:rPr>
            </w:pPr>
            <w:r>
              <w:rPr>
                <w:rFonts w:ascii="宋体" w:hAnsi="宋体"/>
                <w:b/>
                <w:color w:val="auto"/>
                <w:w w:val="90"/>
                <w:szCs w:val="21"/>
                <w:highlight w:val="none"/>
              </w:rPr>
              <w:t>小便器</w:t>
            </w:r>
          </w:p>
        </w:tc>
        <w:tc>
          <w:tcPr>
            <w:tcW w:w="1682" w:type="dxa"/>
            <w:noWrap/>
            <w:vAlign w:val="center"/>
          </w:tcPr>
          <w:p w14:paraId="6D5D8149">
            <w:pPr>
              <w:jc w:val="center"/>
              <w:rPr>
                <w:rFonts w:hint="default" w:ascii="宋体" w:hAnsi="宋体"/>
                <w:color w:val="auto"/>
                <w:w w:val="90"/>
                <w:szCs w:val="21"/>
                <w:highlight w:val="none"/>
              </w:rPr>
            </w:pPr>
          </w:p>
        </w:tc>
        <w:tc>
          <w:tcPr>
            <w:tcW w:w="3301" w:type="dxa"/>
            <w:noWrap/>
            <w:vAlign w:val="center"/>
          </w:tcPr>
          <w:p w14:paraId="06EB4B7F">
            <w:pPr>
              <w:jc w:val="left"/>
              <w:rPr>
                <w:rFonts w:hint="default" w:ascii="宋体" w:hAnsi="宋体"/>
                <w:color w:val="auto"/>
                <w:w w:val="90"/>
                <w:szCs w:val="21"/>
                <w:highlight w:val="none"/>
              </w:rPr>
            </w:pPr>
            <w:r>
              <w:rPr>
                <w:rFonts w:ascii="宋体" w:hAnsi="宋体"/>
                <w:color w:val="auto"/>
                <w:w w:val="90"/>
                <w:szCs w:val="21"/>
                <w:highlight w:val="none"/>
              </w:rPr>
              <w:t>《小便器用水效率限定值及用水效率等级》（GB 28377）</w:t>
            </w:r>
          </w:p>
        </w:tc>
      </w:tr>
      <w:tr w14:paraId="7A8D3FBD">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noWrap/>
            <w:vAlign w:val="center"/>
          </w:tcPr>
          <w:p w14:paraId="352A602B">
            <w:pPr>
              <w:jc w:val="center"/>
              <w:rPr>
                <w:rFonts w:hint="default" w:ascii="宋体" w:hAnsi="宋体"/>
                <w:color w:val="auto"/>
                <w:w w:val="90"/>
                <w:szCs w:val="21"/>
                <w:highlight w:val="none"/>
              </w:rPr>
            </w:pPr>
            <w:r>
              <w:rPr>
                <w:rFonts w:ascii="宋体" w:hAnsi="宋体"/>
                <w:color w:val="auto"/>
                <w:w w:val="90"/>
                <w:szCs w:val="21"/>
                <w:highlight w:val="none"/>
              </w:rPr>
              <w:t>16</w:t>
            </w:r>
          </w:p>
        </w:tc>
        <w:tc>
          <w:tcPr>
            <w:tcW w:w="1933" w:type="dxa"/>
            <w:noWrap/>
            <w:vAlign w:val="center"/>
          </w:tcPr>
          <w:p w14:paraId="7987CA22">
            <w:pPr>
              <w:jc w:val="left"/>
              <w:rPr>
                <w:rFonts w:hint="default" w:ascii="宋体" w:hAnsi="宋体"/>
                <w:b/>
                <w:color w:val="auto"/>
                <w:w w:val="90"/>
                <w:szCs w:val="21"/>
                <w:highlight w:val="none"/>
              </w:rPr>
            </w:pPr>
            <w:r>
              <w:rPr>
                <w:rFonts w:ascii="宋体" w:hAnsi="宋体" w:cs="宋体"/>
                <w:color w:val="auto"/>
                <w:w w:val="90"/>
                <w:szCs w:val="21"/>
                <w:highlight w:val="none"/>
              </w:rPr>
              <w:t>★</w:t>
            </w:r>
            <w:r>
              <w:rPr>
                <w:rFonts w:ascii="宋体" w:hAnsi="宋体" w:cs="Calibri"/>
                <w:b/>
                <w:color w:val="auto"/>
                <w:w w:val="90"/>
                <w:szCs w:val="21"/>
                <w:highlight w:val="none"/>
              </w:rPr>
              <w:t>A060806</w:t>
            </w:r>
            <w:r>
              <w:rPr>
                <w:rFonts w:ascii="宋体" w:hAnsi="宋体"/>
                <w:b/>
                <w:color w:val="auto"/>
                <w:w w:val="90"/>
                <w:szCs w:val="21"/>
                <w:highlight w:val="none"/>
              </w:rPr>
              <w:t>水嘴</w:t>
            </w:r>
          </w:p>
        </w:tc>
        <w:tc>
          <w:tcPr>
            <w:tcW w:w="2334" w:type="dxa"/>
            <w:noWrap/>
            <w:vAlign w:val="center"/>
          </w:tcPr>
          <w:p w14:paraId="16DA1A20">
            <w:pPr>
              <w:jc w:val="left"/>
              <w:rPr>
                <w:rFonts w:hint="default" w:ascii="宋体" w:hAnsi="宋体"/>
                <w:color w:val="auto"/>
                <w:w w:val="90"/>
                <w:szCs w:val="21"/>
                <w:highlight w:val="none"/>
              </w:rPr>
            </w:pPr>
          </w:p>
        </w:tc>
        <w:tc>
          <w:tcPr>
            <w:tcW w:w="1682" w:type="dxa"/>
            <w:noWrap/>
            <w:vAlign w:val="center"/>
          </w:tcPr>
          <w:p w14:paraId="3F022D60">
            <w:pPr>
              <w:jc w:val="center"/>
              <w:rPr>
                <w:rFonts w:hint="default" w:ascii="宋体" w:hAnsi="宋体"/>
                <w:color w:val="auto"/>
                <w:w w:val="90"/>
                <w:szCs w:val="21"/>
                <w:highlight w:val="none"/>
              </w:rPr>
            </w:pPr>
          </w:p>
        </w:tc>
        <w:tc>
          <w:tcPr>
            <w:tcW w:w="3301" w:type="dxa"/>
            <w:noWrap/>
            <w:vAlign w:val="center"/>
          </w:tcPr>
          <w:p w14:paraId="32F16077">
            <w:pPr>
              <w:jc w:val="left"/>
              <w:rPr>
                <w:rFonts w:hint="default" w:ascii="宋体" w:hAnsi="宋体"/>
                <w:color w:val="auto"/>
                <w:w w:val="90"/>
                <w:szCs w:val="21"/>
                <w:highlight w:val="none"/>
              </w:rPr>
            </w:pPr>
            <w:r>
              <w:rPr>
                <w:rFonts w:ascii="宋体" w:hAnsi="宋体"/>
                <w:color w:val="auto"/>
                <w:w w:val="90"/>
                <w:szCs w:val="21"/>
                <w:highlight w:val="none"/>
              </w:rPr>
              <w:t>《水嘴用水效率限定值及用水效率等级》（GB 25501）</w:t>
            </w:r>
          </w:p>
        </w:tc>
      </w:tr>
      <w:tr w14:paraId="138DEDA8">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noWrap/>
            <w:vAlign w:val="center"/>
          </w:tcPr>
          <w:p w14:paraId="4BBE923C">
            <w:pPr>
              <w:jc w:val="center"/>
              <w:rPr>
                <w:rFonts w:hint="default" w:ascii="宋体" w:hAnsi="宋体"/>
                <w:color w:val="auto"/>
                <w:w w:val="90"/>
                <w:szCs w:val="21"/>
                <w:highlight w:val="none"/>
              </w:rPr>
            </w:pPr>
            <w:r>
              <w:rPr>
                <w:rFonts w:ascii="宋体" w:hAnsi="宋体"/>
                <w:color w:val="auto"/>
                <w:w w:val="90"/>
                <w:szCs w:val="21"/>
                <w:highlight w:val="none"/>
              </w:rPr>
              <w:t>17</w:t>
            </w:r>
          </w:p>
        </w:tc>
        <w:tc>
          <w:tcPr>
            <w:tcW w:w="1933" w:type="dxa"/>
            <w:noWrap/>
            <w:vAlign w:val="center"/>
          </w:tcPr>
          <w:p w14:paraId="5A702CBB">
            <w:pPr>
              <w:jc w:val="left"/>
              <w:rPr>
                <w:rFonts w:hint="default" w:ascii="宋体" w:hAnsi="宋体"/>
                <w:color w:val="auto"/>
                <w:w w:val="90"/>
                <w:szCs w:val="21"/>
                <w:highlight w:val="none"/>
              </w:rPr>
            </w:pPr>
            <w:r>
              <w:rPr>
                <w:rFonts w:ascii="宋体" w:hAnsi="宋体"/>
                <w:color w:val="auto"/>
                <w:w w:val="90"/>
                <w:szCs w:val="21"/>
                <w:highlight w:val="none"/>
              </w:rPr>
              <w:t>A060807便器冲洗阀</w:t>
            </w:r>
          </w:p>
        </w:tc>
        <w:tc>
          <w:tcPr>
            <w:tcW w:w="2334" w:type="dxa"/>
            <w:noWrap/>
            <w:vAlign w:val="center"/>
          </w:tcPr>
          <w:p w14:paraId="08E79631">
            <w:pPr>
              <w:jc w:val="left"/>
              <w:rPr>
                <w:rFonts w:hint="default" w:ascii="宋体" w:hAnsi="宋体"/>
                <w:color w:val="auto"/>
                <w:w w:val="90"/>
                <w:szCs w:val="21"/>
                <w:highlight w:val="none"/>
              </w:rPr>
            </w:pPr>
          </w:p>
        </w:tc>
        <w:tc>
          <w:tcPr>
            <w:tcW w:w="1682" w:type="dxa"/>
            <w:noWrap/>
            <w:vAlign w:val="center"/>
          </w:tcPr>
          <w:p w14:paraId="50DB53C9">
            <w:pPr>
              <w:jc w:val="center"/>
              <w:rPr>
                <w:rFonts w:hint="default" w:ascii="宋体" w:hAnsi="宋体"/>
                <w:color w:val="auto"/>
                <w:w w:val="90"/>
                <w:szCs w:val="21"/>
                <w:highlight w:val="none"/>
              </w:rPr>
            </w:pPr>
          </w:p>
        </w:tc>
        <w:tc>
          <w:tcPr>
            <w:tcW w:w="3301" w:type="dxa"/>
            <w:noWrap/>
            <w:vAlign w:val="center"/>
          </w:tcPr>
          <w:p w14:paraId="49585708">
            <w:pPr>
              <w:jc w:val="left"/>
              <w:rPr>
                <w:rFonts w:hint="default" w:ascii="宋体" w:hAnsi="宋体"/>
                <w:color w:val="auto"/>
                <w:w w:val="90"/>
                <w:szCs w:val="21"/>
                <w:highlight w:val="none"/>
              </w:rPr>
            </w:pPr>
            <w:r>
              <w:rPr>
                <w:rFonts w:ascii="宋体" w:hAnsi="宋体"/>
                <w:color w:val="auto"/>
                <w:w w:val="90"/>
                <w:szCs w:val="21"/>
                <w:highlight w:val="none"/>
              </w:rPr>
              <w:t>《便器冲洗阀用水效率限定值及用水效率等级》（GB 28379）</w:t>
            </w:r>
          </w:p>
        </w:tc>
      </w:tr>
      <w:tr w14:paraId="54F40F94">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0" w:type="dxa"/>
            <w:left w:w="108" w:type="dxa"/>
            <w:bottom w:w="0" w:type="dxa"/>
            <w:right w:w="108" w:type="dxa"/>
          </w:tblCellMar>
        </w:tblPrEx>
        <w:trPr>
          <w:trHeight w:val="567" w:hRule="atLeast"/>
          <w:jc w:val="center"/>
        </w:trPr>
        <w:tc>
          <w:tcPr>
            <w:tcW w:w="690" w:type="dxa"/>
            <w:noWrap/>
            <w:vAlign w:val="center"/>
          </w:tcPr>
          <w:p w14:paraId="2AE97519">
            <w:pPr>
              <w:jc w:val="center"/>
              <w:rPr>
                <w:rFonts w:hint="default" w:ascii="宋体" w:hAnsi="宋体"/>
                <w:color w:val="auto"/>
                <w:w w:val="90"/>
                <w:szCs w:val="21"/>
                <w:highlight w:val="none"/>
              </w:rPr>
            </w:pPr>
            <w:r>
              <w:rPr>
                <w:rFonts w:ascii="宋体" w:hAnsi="宋体"/>
                <w:color w:val="auto"/>
                <w:w w:val="90"/>
                <w:szCs w:val="21"/>
                <w:highlight w:val="none"/>
              </w:rPr>
              <w:t>18</w:t>
            </w:r>
          </w:p>
        </w:tc>
        <w:tc>
          <w:tcPr>
            <w:tcW w:w="1933" w:type="dxa"/>
            <w:noWrap/>
            <w:vAlign w:val="center"/>
          </w:tcPr>
          <w:p w14:paraId="6AE575A0">
            <w:pPr>
              <w:jc w:val="left"/>
              <w:rPr>
                <w:rFonts w:hint="default" w:ascii="宋体" w:hAnsi="宋体"/>
                <w:color w:val="auto"/>
                <w:w w:val="90"/>
                <w:szCs w:val="21"/>
                <w:highlight w:val="none"/>
              </w:rPr>
            </w:pPr>
            <w:r>
              <w:rPr>
                <w:rFonts w:ascii="宋体" w:hAnsi="宋体"/>
                <w:color w:val="auto"/>
                <w:w w:val="90"/>
                <w:szCs w:val="21"/>
                <w:highlight w:val="none"/>
              </w:rPr>
              <w:t>A060810淋浴器</w:t>
            </w:r>
          </w:p>
        </w:tc>
        <w:tc>
          <w:tcPr>
            <w:tcW w:w="2334" w:type="dxa"/>
            <w:noWrap/>
            <w:vAlign w:val="center"/>
          </w:tcPr>
          <w:p w14:paraId="0467A748">
            <w:pPr>
              <w:jc w:val="left"/>
              <w:rPr>
                <w:rFonts w:hint="default" w:ascii="宋体" w:hAnsi="宋体"/>
                <w:color w:val="auto"/>
                <w:w w:val="90"/>
                <w:szCs w:val="21"/>
                <w:highlight w:val="none"/>
              </w:rPr>
            </w:pPr>
          </w:p>
        </w:tc>
        <w:tc>
          <w:tcPr>
            <w:tcW w:w="1682" w:type="dxa"/>
            <w:noWrap/>
            <w:vAlign w:val="center"/>
          </w:tcPr>
          <w:p w14:paraId="24803A51">
            <w:pPr>
              <w:jc w:val="center"/>
              <w:rPr>
                <w:rFonts w:hint="default" w:ascii="宋体" w:hAnsi="宋体"/>
                <w:color w:val="auto"/>
                <w:w w:val="90"/>
                <w:szCs w:val="21"/>
                <w:highlight w:val="none"/>
              </w:rPr>
            </w:pPr>
          </w:p>
        </w:tc>
        <w:tc>
          <w:tcPr>
            <w:tcW w:w="3301" w:type="dxa"/>
            <w:noWrap/>
            <w:vAlign w:val="center"/>
          </w:tcPr>
          <w:p w14:paraId="681021F1">
            <w:pPr>
              <w:jc w:val="left"/>
              <w:rPr>
                <w:rFonts w:hint="default" w:ascii="宋体" w:hAnsi="宋体"/>
                <w:color w:val="auto"/>
                <w:w w:val="90"/>
                <w:szCs w:val="21"/>
                <w:highlight w:val="none"/>
              </w:rPr>
            </w:pPr>
            <w:r>
              <w:rPr>
                <w:rFonts w:ascii="宋体" w:hAnsi="宋体"/>
                <w:color w:val="auto"/>
                <w:w w:val="90"/>
                <w:szCs w:val="21"/>
                <w:highlight w:val="none"/>
              </w:rPr>
              <w:t>《淋浴器用水效率限定值及用水效率等级》（GB 28378）</w:t>
            </w:r>
          </w:p>
        </w:tc>
      </w:tr>
    </w:tbl>
    <w:p w14:paraId="2DCBD6E9">
      <w:pPr>
        <w:adjustRightInd w:val="0"/>
        <w:snapToGrid w:val="0"/>
        <w:spacing w:line="360" w:lineRule="auto"/>
        <w:ind w:firstLine="480" w:firstLineChars="200"/>
        <w:rPr>
          <w:rFonts w:hint="default" w:ascii="宋体" w:hAnsi="宋体" w:cs="宋体"/>
          <w:color w:val="auto"/>
          <w:sz w:val="24"/>
          <w:highlight w:val="none"/>
        </w:rPr>
      </w:pPr>
      <w:r>
        <w:rPr>
          <w:rFonts w:ascii="宋体" w:hAnsi="宋体" w:cs="宋体"/>
          <w:color w:val="auto"/>
          <w:sz w:val="24"/>
          <w:highlight w:val="none"/>
        </w:rPr>
        <w:t>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47490DD9">
      <w:pPr>
        <w:spacing w:line="360" w:lineRule="auto"/>
        <w:ind w:firstLine="480" w:firstLineChars="200"/>
        <w:rPr>
          <w:rFonts w:hint="default" w:ascii="宋体" w:hAnsi="宋体" w:cs="宋体"/>
          <w:color w:val="auto"/>
          <w:sz w:val="24"/>
          <w:highlight w:val="none"/>
        </w:rPr>
      </w:pPr>
      <w:r>
        <w:rPr>
          <w:rFonts w:ascii="宋体" w:hAnsi="宋体" w:cs="宋体"/>
          <w:color w:val="auto"/>
          <w:sz w:val="24"/>
          <w:highlight w:val="none"/>
        </w:rPr>
        <w:t>2.3鼓励供应商在参加政府采购过程中开展绿色设计、选择绿色材料、打造绿色制造工艺、开展绿色运输、做好废弃产品回收处理，实现产品全周期的绿色环保。鼓励采购单位对其提高预付款比例、免收履约保证金。</w:t>
      </w:r>
    </w:p>
    <w:p w14:paraId="552BA118">
      <w:pPr>
        <w:spacing w:line="360" w:lineRule="auto"/>
        <w:ind w:firstLine="480" w:firstLineChars="200"/>
        <w:rPr>
          <w:rFonts w:hint="default" w:ascii="宋体" w:hAnsi="宋体" w:cs="宋体"/>
          <w:color w:val="auto"/>
          <w:sz w:val="24"/>
          <w:highlight w:val="none"/>
        </w:rPr>
      </w:pPr>
      <w:r>
        <w:rPr>
          <w:rFonts w:ascii="宋体" w:hAnsi="宋体" w:cs="宋体"/>
          <w:color w:val="auto"/>
          <w:sz w:val="24"/>
          <w:highlight w:val="none"/>
        </w:rPr>
        <w:t>3.支持中小企业发展</w:t>
      </w:r>
    </w:p>
    <w:p w14:paraId="62CE697E">
      <w:pPr>
        <w:spacing w:line="360" w:lineRule="auto"/>
        <w:ind w:firstLine="480" w:firstLineChars="200"/>
        <w:rPr>
          <w:rFonts w:hint="default" w:ascii="宋体" w:hAnsi="宋体" w:cs="宋体"/>
          <w:color w:val="auto"/>
          <w:sz w:val="24"/>
          <w:highlight w:val="none"/>
        </w:rPr>
      </w:pPr>
      <w:r>
        <w:rPr>
          <w:rFonts w:ascii="宋体" w:hAnsi="宋体" w:cs="宋体"/>
          <w:color w:val="auto"/>
          <w:sz w:val="24"/>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16213801">
      <w:pPr>
        <w:spacing w:line="360" w:lineRule="auto"/>
        <w:ind w:firstLine="480" w:firstLineChars="200"/>
        <w:rPr>
          <w:rFonts w:hint="default" w:ascii="宋体" w:hAnsi="宋体" w:cs="宋体"/>
          <w:color w:val="auto"/>
          <w:sz w:val="24"/>
          <w:highlight w:val="none"/>
        </w:rPr>
      </w:pPr>
      <w:r>
        <w:rPr>
          <w:rFonts w:ascii="宋体" w:hAnsi="宋体" w:cs="宋体"/>
          <w:color w:val="auto"/>
          <w:sz w:val="24"/>
          <w:highlight w:val="none"/>
        </w:rPr>
        <w:t>符合中小企业划分标准的个体工商户，在政府采购活动中视同中小企业。</w:t>
      </w:r>
    </w:p>
    <w:p w14:paraId="534A5BA2">
      <w:pPr>
        <w:widowControl/>
        <w:spacing w:line="360" w:lineRule="auto"/>
        <w:ind w:firstLine="480" w:firstLineChars="200"/>
        <w:rPr>
          <w:rFonts w:hint="default" w:ascii="宋体" w:hAnsi="宋体" w:cs="宋体"/>
          <w:color w:val="auto"/>
          <w:kern w:val="0"/>
          <w:sz w:val="24"/>
          <w:highlight w:val="none"/>
        </w:rPr>
      </w:pPr>
      <w:r>
        <w:rPr>
          <w:rFonts w:ascii="宋体" w:hAnsi="宋体" w:cs="宋体"/>
          <w:bCs/>
          <w:color w:val="auto"/>
          <w:sz w:val="24"/>
          <w:highlight w:val="none"/>
        </w:rPr>
        <w:t>3.2</w:t>
      </w:r>
      <w:r>
        <w:rPr>
          <w:rFonts w:ascii="宋体" w:hAnsi="宋体" w:cs="宋体"/>
          <w:color w:val="auto"/>
          <w:kern w:val="0"/>
          <w:sz w:val="24"/>
          <w:highlight w:val="none"/>
        </w:rPr>
        <w:t>在政府采购活动中，投标人提供的货物、工程或者服务符合下列情形的，享受中小企业扶持政策：在货物采购项目中，货物由中小企业制造。</w:t>
      </w:r>
    </w:p>
    <w:p w14:paraId="125B501C">
      <w:pPr>
        <w:widowControl/>
        <w:spacing w:line="360" w:lineRule="auto"/>
        <w:ind w:firstLine="480" w:firstLineChars="200"/>
        <w:rPr>
          <w:rFonts w:hint="default" w:ascii="宋体" w:hAnsi="宋体" w:cs="宋体"/>
          <w:color w:val="auto"/>
          <w:kern w:val="0"/>
          <w:sz w:val="24"/>
          <w:highlight w:val="none"/>
        </w:rPr>
      </w:pPr>
      <w:r>
        <w:rPr>
          <w:rFonts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1C212FF4">
      <w:pPr>
        <w:spacing w:line="360" w:lineRule="auto"/>
        <w:ind w:firstLine="480" w:firstLineChars="200"/>
        <w:rPr>
          <w:rFonts w:hint="default" w:ascii="宋体" w:hAnsi="宋体" w:cs="宋体"/>
          <w:color w:val="auto"/>
          <w:sz w:val="24"/>
          <w:highlight w:val="none"/>
        </w:rPr>
      </w:pPr>
      <w:r>
        <w:rPr>
          <w:rFonts w:ascii="宋体" w:hAnsi="宋体" w:cs="宋体"/>
          <w:color w:val="auto"/>
          <w:sz w:val="24"/>
          <w:highlight w:val="none"/>
        </w:rPr>
        <w:t>3.3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1459E36A">
      <w:pPr>
        <w:spacing w:line="360" w:lineRule="auto"/>
        <w:ind w:firstLine="480" w:firstLineChars="200"/>
        <w:rPr>
          <w:rFonts w:hint="default" w:ascii="宋体" w:hAnsi="宋体" w:cs="宋体"/>
          <w:color w:val="auto"/>
          <w:sz w:val="24"/>
          <w:highlight w:val="none"/>
        </w:rPr>
      </w:pPr>
      <w:r>
        <w:rPr>
          <w:rFonts w:ascii="宋体" w:hAnsi="宋体" w:cs="宋体"/>
          <w:color w:val="auto"/>
          <w:sz w:val="24"/>
          <w:highlight w:val="none"/>
        </w:rPr>
        <w:t>3.4符合《关于促进残疾人就业政府采购政策的通知》（财库〔2017〕141号）规定的条件并提供《残疾人福利性单位声明函》的残疾人福利性单位视同小型、微型企业；</w:t>
      </w:r>
    </w:p>
    <w:p w14:paraId="12FF44B4">
      <w:pPr>
        <w:spacing w:line="360" w:lineRule="auto"/>
        <w:ind w:firstLine="480" w:firstLineChars="200"/>
        <w:rPr>
          <w:rFonts w:hint="default" w:ascii="宋体" w:hAnsi="宋体" w:cs="宋体"/>
          <w:color w:val="auto"/>
          <w:sz w:val="24"/>
          <w:highlight w:val="none"/>
        </w:rPr>
      </w:pPr>
      <w:r>
        <w:rPr>
          <w:rFonts w:ascii="宋体" w:hAnsi="宋体" w:cs="宋体"/>
          <w:color w:val="auto"/>
          <w:sz w:val="24"/>
          <w:highlight w:val="none"/>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745F822B">
      <w:pPr>
        <w:spacing w:line="360" w:lineRule="auto"/>
        <w:ind w:firstLine="480" w:firstLineChars="200"/>
        <w:rPr>
          <w:rFonts w:hint="default" w:ascii="宋体" w:hAnsi="宋体" w:cs="宋体"/>
          <w:color w:val="auto"/>
          <w:sz w:val="24"/>
          <w:highlight w:val="none"/>
        </w:rPr>
      </w:pPr>
      <w:r>
        <w:rPr>
          <w:rFonts w:ascii="宋体" w:hAnsi="宋体" w:cs="宋体"/>
          <w:color w:val="auto"/>
          <w:sz w:val="24"/>
          <w:highlight w:val="none"/>
        </w:rPr>
        <w:t>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76273E39">
      <w:pPr>
        <w:spacing w:line="360" w:lineRule="auto"/>
        <w:ind w:firstLine="480" w:firstLineChars="200"/>
        <w:rPr>
          <w:rFonts w:hint="default" w:ascii="宋体" w:hAnsi="宋体" w:cs="宋体"/>
          <w:color w:val="auto"/>
          <w:sz w:val="24"/>
          <w:highlight w:val="none"/>
        </w:rPr>
      </w:pPr>
      <w:r>
        <w:rPr>
          <w:rFonts w:ascii="宋体" w:hAnsi="宋体" w:cs="宋体"/>
          <w:color w:val="auto"/>
          <w:sz w:val="24"/>
          <w:highlight w:val="none"/>
        </w:rPr>
        <w:t>3.7中小企业享受扶持政策获得政府采购合同的，小微企业不得将合同分包给大中型企业，中型企业不得将合同分包给大型企业。</w:t>
      </w:r>
    </w:p>
    <w:p w14:paraId="3FA0CCFB">
      <w:pPr>
        <w:spacing w:line="360" w:lineRule="auto"/>
        <w:ind w:firstLine="480" w:firstLineChars="200"/>
        <w:rPr>
          <w:rFonts w:hint="default" w:ascii="宋体" w:hAnsi="宋体" w:cs="宋体"/>
          <w:color w:val="auto"/>
          <w:sz w:val="24"/>
          <w:highlight w:val="none"/>
        </w:rPr>
      </w:pPr>
      <w:r>
        <w:rPr>
          <w:rFonts w:ascii="宋体" w:hAnsi="宋体" w:cs="宋体"/>
          <w:color w:val="auto"/>
          <w:sz w:val="24"/>
          <w:highlight w:val="none"/>
        </w:rPr>
        <w:t>4.</w:t>
      </w:r>
      <w:r>
        <w:rPr>
          <w:rFonts w:ascii="宋体" w:hAnsi="宋体" w:cs="宋体"/>
          <w:bCs/>
          <w:color w:val="auto"/>
          <w:sz w:val="24"/>
          <w:highlight w:val="none"/>
        </w:rPr>
        <w:t>支持创新发展</w:t>
      </w:r>
    </w:p>
    <w:p w14:paraId="70019018">
      <w:pPr>
        <w:spacing w:line="360" w:lineRule="auto"/>
        <w:ind w:firstLine="480" w:firstLineChars="200"/>
        <w:rPr>
          <w:rFonts w:hint="default" w:ascii="宋体" w:hAnsi="宋体" w:cs="宋体"/>
          <w:color w:val="auto"/>
          <w:sz w:val="24"/>
          <w:highlight w:val="none"/>
        </w:rPr>
      </w:pPr>
      <w:r>
        <w:rPr>
          <w:rFonts w:ascii="宋体" w:hAnsi="宋体" w:cs="宋体"/>
          <w:color w:val="auto"/>
          <w:sz w:val="24"/>
          <w:highlight w:val="none"/>
        </w:rPr>
        <w:t>4.1 采购人优先采购被认定为首台套产品和“制造精品”的自主创新产品。</w:t>
      </w:r>
    </w:p>
    <w:p w14:paraId="79D0BD81">
      <w:pPr>
        <w:spacing w:line="360" w:lineRule="auto"/>
        <w:ind w:firstLine="480" w:firstLineChars="200"/>
        <w:rPr>
          <w:rFonts w:hint="default" w:ascii="宋体" w:hAnsi="宋体" w:cs="宋体"/>
          <w:color w:val="auto"/>
          <w:sz w:val="24"/>
          <w:highlight w:val="none"/>
        </w:rPr>
      </w:pPr>
      <w:r>
        <w:rPr>
          <w:rFonts w:ascii="宋体" w:hAnsi="宋体" w:cs="宋体"/>
          <w:color w:val="auto"/>
          <w:sz w:val="24"/>
          <w:highlight w:val="none"/>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1A2D1533">
      <w:pPr>
        <w:spacing w:line="360" w:lineRule="auto"/>
        <w:ind w:firstLine="480" w:firstLineChars="200"/>
        <w:rPr>
          <w:rFonts w:hint="default" w:ascii="宋体" w:hAnsi="宋体" w:cs="宋体"/>
          <w:color w:val="auto"/>
          <w:sz w:val="24"/>
          <w:highlight w:val="none"/>
        </w:rPr>
      </w:pPr>
      <w:r>
        <w:rPr>
          <w:rFonts w:ascii="宋体" w:hAnsi="宋体" w:cs="宋体"/>
          <w:color w:val="auto"/>
          <w:sz w:val="24"/>
          <w:highlight w:val="none"/>
        </w:rPr>
        <w:t>4.3</w:t>
      </w:r>
      <w:r>
        <w:rPr>
          <w:rFonts w:ascii="宋体" w:hAnsi="宋体" w:cs="仿宋"/>
          <w:color w:val="auto"/>
          <w:sz w:val="24"/>
          <w:szCs w:val="24"/>
          <w:highlight w:val="none"/>
        </w:rPr>
        <w:t>采购人应当贯彻落实知识产权保护相关法律法规，应当采购使用正版软件。</w:t>
      </w:r>
    </w:p>
    <w:p w14:paraId="4D4EEE3A">
      <w:pPr>
        <w:spacing w:line="360" w:lineRule="auto"/>
        <w:ind w:firstLine="480" w:firstLineChars="200"/>
        <w:rPr>
          <w:rFonts w:hint="default" w:ascii="宋体" w:hAnsi="宋体" w:cs="宋体"/>
          <w:color w:val="auto"/>
          <w:sz w:val="24"/>
          <w:highlight w:val="none"/>
        </w:rPr>
      </w:pPr>
      <w:r>
        <w:rPr>
          <w:rFonts w:ascii="宋体" w:hAnsi="宋体" w:cs="宋体"/>
          <w:color w:val="auto"/>
          <w:sz w:val="24"/>
          <w:highlight w:val="none"/>
        </w:rPr>
        <w:t>5.平等对待内外资企业和符合条件的破产重整企业</w:t>
      </w:r>
    </w:p>
    <w:p w14:paraId="42DA369E">
      <w:pPr>
        <w:adjustRightInd w:val="0"/>
        <w:snapToGrid w:val="0"/>
        <w:spacing w:line="360" w:lineRule="auto"/>
        <w:ind w:firstLine="470" w:firstLineChars="196"/>
        <w:outlineLvl w:val="1"/>
        <w:rPr>
          <w:rFonts w:hint="default" w:ascii="宋体" w:hAnsi="宋体" w:cs="宋体"/>
          <w:b/>
          <w:color w:val="auto"/>
          <w:sz w:val="24"/>
          <w:highlight w:val="none"/>
        </w:rPr>
      </w:pPr>
      <w:r>
        <w:rPr>
          <w:rFonts w:ascii="宋体" w:hAnsi="宋体" w:cs="宋体"/>
          <w:color w:val="auto"/>
          <w:sz w:val="24"/>
          <w:highlight w:val="none"/>
        </w:rPr>
        <w:t>平等对待内外资企业和符合条件的破产重整企业，切实保障企业公平竞争，平等维护企业的合法利益。</w:t>
      </w:r>
    </w:p>
    <w:p w14:paraId="36EAC49D">
      <w:pPr>
        <w:adjustRightInd w:val="0"/>
        <w:snapToGrid w:val="0"/>
        <w:spacing w:line="360" w:lineRule="auto"/>
        <w:ind w:firstLine="472" w:firstLineChars="196"/>
        <w:outlineLvl w:val="1"/>
        <w:rPr>
          <w:rFonts w:hint="default" w:ascii="宋体" w:hAnsi="宋体" w:cs="宋体"/>
          <w:b/>
          <w:color w:val="auto"/>
          <w:sz w:val="24"/>
          <w:highlight w:val="none"/>
        </w:rPr>
      </w:pPr>
      <w:r>
        <w:rPr>
          <w:rFonts w:ascii="宋体" w:hAnsi="宋体" w:cs="宋体"/>
          <w:b/>
          <w:color w:val="auto"/>
          <w:sz w:val="24"/>
          <w:highlight w:val="none"/>
        </w:rPr>
        <w:t>（八）特别说明：</w:t>
      </w:r>
    </w:p>
    <w:p w14:paraId="479A0C88">
      <w:pPr>
        <w:adjustRightInd w:val="0"/>
        <w:snapToGrid w:val="0"/>
        <w:spacing w:line="360" w:lineRule="auto"/>
        <w:ind w:firstLine="470" w:firstLineChars="196"/>
        <w:outlineLvl w:val="1"/>
        <w:rPr>
          <w:rFonts w:hint="default"/>
          <w:color w:val="auto"/>
          <w:sz w:val="24"/>
          <w:highlight w:val="none"/>
        </w:rPr>
      </w:pPr>
      <w:r>
        <w:rPr>
          <w:rFonts w:hint="default"/>
          <w:color w:val="auto"/>
          <w:sz w:val="24"/>
          <w:highlight w:val="none"/>
        </w:rPr>
        <w:t>1.根据政府采购相关法律、法规、规章、文件规定并满足采购文件规定资格条件的区域性分支机构、个体工商户、个人独资企业、合伙企业参加本项目投标并由单位负责人签署的相关投标资料与本采购文件规定由法定代表人签署的的文件材料具有同等效力。</w:t>
      </w:r>
    </w:p>
    <w:p w14:paraId="3C6A7626">
      <w:pPr>
        <w:adjustRightInd w:val="0"/>
        <w:snapToGrid w:val="0"/>
        <w:spacing w:line="360" w:lineRule="auto"/>
        <w:ind w:firstLine="470" w:firstLineChars="196"/>
        <w:jc w:val="left"/>
        <w:outlineLvl w:val="1"/>
        <w:rPr>
          <w:rFonts w:hint="default"/>
          <w:color w:val="auto"/>
          <w:sz w:val="24"/>
          <w:highlight w:val="none"/>
        </w:rPr>
      </w:pPr>
      <w:r>
        <w:rPr>
          <w:rFonts w:hint="default"/>
          <w:color w:val="auto"/>
          <w:sz w:val="24"/>
          <w:highlight w:val="none"/>
        </w:rPr>
        <w:t>2.采购文件中所涉及的产品品牌或型号均为建议性要求或为代替部分技术指标描述，供应商可以选择其他品牌型号的产品参加投标但投标产品须具有相当于或优于采购文件要求的指标、性能。</w:t>
      </w:r>
    </w:p>
    <w:p w14:paraId="72C02FC9">
      <w:pPr>
        <w:widowControl/>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3.投标人应仔细阅读招标文件的所有内容，按照招标文件的要求提交投标文件，并对所提供的全部资料的真实性承担法律责任。</w:t>
      </w:r>
    </w:p>
    <w:p w14:paraId="64090CB2">
      <w:pPr>
        <w:widowControl/>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4.采购过程中出现以下情形，导致电子交易平台无法正常运行，或者无法保证电子交易的公平、公正和安全时，采购人（或代理机构）可中止电子交易活动：</w:t>
      </w:r>
    </w:p>
    <w:p w14:paraId="5603FF32">
      <w:pPr>
        <w:widowControl/>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（1）电子交易平台发生故障而无法登录访问的；</w:t>
      </w:r>
    </w:p>
    <w:p w14:paraId="00FBAD1F">
      <w:pPr>
        <w:widowControl/>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（2）电子交易平台应用或数据库出现错误，不能进行正常操作的；</w:t>
      </w:r>
    </w:p>
    <w:p w14:paraId="1378AC42">
      <w:pPr>
        <w:widowControl/>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（3）电子交易平台发现严重安全漏洞，有潜在泄密危险的；</w:t>
      </w:r>
    </w:p>
    <w:p w14:paraId="7C9588D5">
      <w:pPr>
        <w:widowControl/>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（4）病毒发作导致不能进行正常操作的；</w:t>
      </w:r>
    </w:p>
    <w:p w14:paraId="08DF12F9">
      <w:pPr>
        <w:widowControl/>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（5）其他无法保证电子交易的公平、公正和安全的情况。</w:t>
      </w:r>
    </w:p>
    <w:p w14:paraId="008B1DB9">
      <w:pPr>
        <w:widowControl/>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出现上述规定情形，不影响采购公平、公正性的，采购人（或代理机构）可以待上述情形消除后继续组织电子交易活动，也可以决定某些环节以纸质形式进行。</w:t>
      </w:r>
    </w:p>
    <w:p w14:paraId="5C01DEFD">
      <w:pPr>
        <w:widowControl/>
        <w:adjustRightInd w:val="0"/>
        <w:snapToGrid w:val="0"/>
        <w:spacing w:line="360" w:lineRule="auto"/>
        <w:ind w:firstLine="482" w:firstLineChars="200"/>
        <w:jc w:val="left"/>
        <w:rPr>
          <w:rFonts w:hint="default"/>
          <w:b/>
          <w:bCs/>
          <w:color w:val="auto"/>
          <w:sz w:val="24"/>
          <w:highlight w:val="none"/>
        </w:rPr>
      </w:pPr>
      <w:r>
        <w:rPr>
          <w:rFonts w:hint="default"/>
          <w:b/>
          <w:bCs/>
          <w:color w:val="auto"/>
          <w:sz w:val="24"/>
          <w:highlight w:val="none"/>
        </w:rPr>
        <w:t>▲</w:t>
      </w:r>
      <w:r>
        <w:rPr>
          <w:b/>
          <w:bCs/>
          <w:color w:val="auto"/>
          <w:sz w:val="24"/>
          <w:highlight w:val="none"/>
        </w:rPr>
        <w:t>5.供应商</w:t>
      </w:r>
      <w:r>
        <w:rPr>
          <w:rFonts w:hint="default"/>
          <w:b/>
          <w:bCs/>
          <w:color w:val="auto"/>
          <w:sz w:val="24"/>
          <w:highlight w:val="none"/>
        </w:rPr>
        <w:t>对所投标项内的采购内容必须全部进行投标。</w:t>
      </w:r>
    </w:p>
    <w:p w14:paraId="3A91858F">
      <w:pPr>
        <w:widowControl/>
        <w:numPr>
          <w:ilvl w:val="0"/>
          <w:numId w:val="3"/>
        </w:num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采购文件中如有描述歧义或前后不一致的地方，评标委员会有权按公平、合理的原则进行评判，但对同一条款的评判适用于每个</w:t>
      </w:r>
      <w:r>
        <w:rPr>
          <w:color w:val="auto"/>
          <w:sz w:val="24"/>
          <w:highlight w:val="none"/>
        </w:rPr>
        <w:t>供应商</w:t>
      </w:r>
      <w:r>
        <w:rPr>
          <w:rFonts w:hint="default"/>
          <w:color w:val="auto"/>
          <w:sz w:val="24"/>
          <w:highlight w:val="none"/>
        </w:rPr>
        <w:t>。</w:t>
      </w:r>
    </w:p>
    <w:p w14:paraId="7868DA72">
      <w:pPr>
        <w:widowControl/>
        <w:numPr>
          <w:ilvl w:val="0"/>
          <w:numId w:val="3"/>
        </w:numPr>
        <w:adjustRightInd w:val="0"/>
        <w:snapToGrid w:val="0"/>
        <w:spacing w:line="360" w:lineRule="auto"/>
        <w:ind w:firstLine="480" w:firstLineChars="200"/>
        <w:jc w:val="left"/>
        <w:rPr>
          <w:rFonts w:hint="default"/>
          <w:color w:val="auto"/>
          <w:sz w:val="24"/>
          <w:highlight w:val="none"/>
        </w:rPr>
      </w:pPr>
      <w:r>
        <w:rPr>
          <w:color w:val="auto"/>
          <w:sz w:val="24"/>
          <w:highlight w:val="none"/>
        </w:rPr>
        <w:t>供应商</w:t>
      </w:r>
      <w:r>
        <w:rPr>
          <w:rFonts w:hint="default"/>
          <w:color w:val="auto"/>
          <w:sz w:val="24"/>
          <w:highlight w:val="none"/>
        </w:rPr>
        <w:t>须对所投产品、方案、技术、服务等拥有合法的占有、使用、收益、处分的权利，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14:paraId="57023796">
      <w:pPr>
        <w:widowControl/>
        <w:numPr>
          <w:ilvl w:val="0"/>
          <w:numId w:val="3"/>
        </w:numPr>
        <w:adjustRightInd w:val="0"/>
        <w:snapToGrid w:val="0"/>
        <w:spacing w:line="360" w:lineRule="auto"/>
        <w:ind w:firstLine="480" w:firstLineChars="200"/>
        <w:jc w:val="left"/>
        <w:rPr>
          <w:rFonts w:hint="default"/>
          <w:color w:val="auto"/>
          <w:sz w:val="24"/>
          <w:highlight w:val="none"/>
        </w:rPr>
      </w:pPr>
      <w:r>
        <w:rPr>
          <w:color w:val="auto"/>
          <w:sz w:val="24"/>
          <w:highlight w:val="none"/>
        </w:rPr>
        <w:t>为证明供应商拥有的人员、业绩、荣誉、知识产权、项目案例等而在投标文件中提供的证明材料必须为供应商自身所有。不同法人、其他组织的资料与供应商无关。</w:t>
      </w:r>
    </w:p>
    <w:p w14:paraId="3D404E3E">
      <w:pPr>
        <w:pStyle w:val="6"/>
        <w:adjustRightInd w:val="0"/>
        <w:snapToGrid w:val="0"/>
        <w:spacing w:beforeLines="0" w:afterLines="0" w:line="360" w:lineRule="auto"/>
        <w:ind w:firstLine="472" w:firstLineChars="196"/>
        <w:outlineLvl w:val="1"/>
        <w:rPr>
          <w:rFonts w:ascii="Times New Roman" w:hAnsi="Times New Roman"/>
          <w:b/>
          <w:bCs/>
          <w:color w:val="auto"/>
          <w:highlight w:val="none"/>
        </w:rPr>
      </w:pPr>
      <w:r>
        <w:rPr>
          <w:rFonts w:ascii="Times New Roman" w:hAnsi="Times New Roman"/>
          <w:b/>
          <w:bCs/>
          <w:color w:val="auto"/>
          <w:highlight w:val="none"/>
        </w:rPr>
        <w:t>（</w:t>
      </w:r>
      <w:r>
        <w:rPr>
          <w:rFonts w:hAnsi="宋体" w:cs="宋体"/>
          <w:b/>
          <w:bCs/>
          <w:color w:val="auto"/>
          <w:highlight w:val="none"/>
        </w:rPr>
        <w:t>九</w:t>
      </w:r>
      <w:r>
        <w:rPr>
          <w:rFonts w:ascii="Times New Roman" w:hAnsi="Times New Roman"/>
          <w:b/>
          <w:bCs/>
          <w:color w:val="auto"/>
          <w:highlight w:val="none"/>
        </w:rPr>
        <w:t>）质疑和投诉</w:t>
      </w:r>
    </w:p>
    <w:p w14:paraId="51CC4CF8">
      <w:pPr>
        <w:widowControl/>
        <w:adjustRightInd w:val="0"/>
        <w:snapToGrid w:val="0"/>
        <w:spacing w:line="360" w:lineRule="auto"/>
        <w:ind w:firstLine="480" w:firstLineChars="200"/>
        <w:rPr>
          <w:rFonts w:hint="default"/>
          <w:color w:val="auto"/>
          <w:sz w:val="24"/>
          <w:highlight w:val="none"/>
          <w:lang w:val="zh-CN"/>
        </w:rPr>
      </w:pPr>
      <w:r>
        <w:rPr>
          <w:color w:val="auto"/>
          <w:sz w:val="24"/>
          <w:highlight w:val="none"/>
          <w:lang w:val="zh-CN"/>
        </w:rPr>
        <w:t>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64BCB45E">
      <w:pPr>
        <w:widowControl/>
        <w:adjustRightInd w:val="0"/>
        <w:snapToGrid w:val="0"/>
        <w:spacing w:line="360" w:lineRule="auto"/>
        <w:ind w:firstLine="480" w:firstLineChars="200"/>
        <w:rPr>
          <w:rFonts w:hint="default"/>
          <w:color w:val="auto"/>
          <w:sz w:val="24"/>
          <w:highlight w:val="none"/>
          <w:lang w:val="zh-CN"/>
        </w:rPr>
      </w:pPr>
      <w:r>
        <w:rPr>
          <w:color w:val="auto"/>
          <w:sz w:val="24"/>
          <w:highlight w:val="none"/>
          <w:lang w:val="zh-CN"/>
        </w:rPr>
        <w:t>2供应商询问</w:t>
      </w:r>
    </w:p>
    <w:p w14:paraId="4E2039ED">
      <w:pPr>
        <w:widowControl/>
        <w:adjustRightInd w:val="0"/>
        <w:snapToGrid w:val="0"/>
        <w:spacing w:line="360" w:lineRule="auto"/>
        <w:ind w:firstLine="480" w:firstLineChars="200"/>
        <w:rPr>
          <w:rFonts w:hint="default"/>
          <w:color w:val="auto"/>
          <w:sz w:val="24"/>
          <w:highlight w:val="none"/>
          <w:lang w:val="zh-CN"/>
        </w:rPr>
      </w:pPr>
      <w:r>
        <w:rPr>
          <w:color w:val="auto"/>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1E3E2A10">
      <w:pPr>
        <w:widowControl/>
        <w:adjustRightInd w:val="0"/>
        <w:snapToGrid w:val="0"/>
        <w:spacing w:line="360" w:lineRule="auto"/>
        <w:ind w:firstLine="480" w:firstLineChars="200"/>
        <w:rPr>
          <w:rFonts w:hint="default"/>
          <w:color w:val="auto"/>
          <w:sz w:val="24"/>
          <w:highlight w:val="none"/>
          <w:lang w:val="zh-CN"/>
        </w:rPr>
      </w:pPr>
      <w:r>
        <w:rPr>
          <w:color w:val="auto"/>
          <w:sz w:val="24"/>
          <w:highlight w:val="none"/>
          <w:lang w:val="zh-CN"/>
        </w:rPr>
        <w:t>3供应商质疑</w:t>
      </w:r>
    </w:p>
    <w:p w14:paraId="1EDB2B85">
      <w:pPr>
        <w:widowControl/>
        <w:adjustRightInd w:val="0"/>
        <w:snapToGrid w:val="0"/>
        <w:spacing w:line="360" w:lineRule="auto"/>
        <w:ind w:firstLine="480" w:firstLineChars="200"/>
        <w:rPr>
          <w:rFonts w:hint="default"/>
          <w:color w:val="auto"/>
          <w:sz w:val="24"/>
          <w:highlight w:val="none"/>
          <w:lang w:val="zh-CN"/>
        </w:rPr>
      </w:pPr>
      <w:r>
        <w:rPr>
          <w:color w:val="auto"/>
          <w:sz w:val="24"/>
          <w:highlight w:val="none"/>
          <w:lang w:val="zh-CN"/>
        </w:rPr>
        <w:t>3.1提出质疑的供应商应当是参与所质疑项目采购活动的供应商。潜在供应商已依法获取其可质疑的招标文件的，可以对该文件提出质疑。</w:t>
      </w:r>
    </w:p>
    <w:p w14:paraId="2A7467C0">
      <w:pPr>
        <w:widowControl/>
        <w:adjustRightInd w:val="0"/>
        <w:snapToGrid w:val="0"/>
        <w:spacing w:line="360" w:lineRule="auto"/>
        <w:ind w:firstLine="480" w:firstLineChars="200"/>
        <w:rPr>
          <w:rFonts w:hint="default"/>
          <w:color w:val="auto"/>
          <w:sz w:val="24"/>
          <w:highlight w:val="none"/>
          <w:lang w:val="zh-CN"/>
        </w:rPr>
      </w:pPr>
      <w:r>
        <w:rPr>
          <w:color w:val="auto"/>
          <w:sz w:val="24"/>
          <w:highlight w:val="none"/>
          <w:lang w:val="zh-CN"/>
        </w:rPr>
        <w:t>3.2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2D84CD49">
      <w:pPr>
        <w:widowControl/>
        <w:adjustRightInd w:val="0"/>
        <w:snapToGrid w:val="0"/>
        <w:spacing w:line="360" w:lineRule="auto"/>
        <w:ind w:firstLine="480" w:firstLineChars="200"/>
        <w:rPr>
          <w:rFonts w:hint="default"/>
          <w:color w:val="auto"/>
          <w:sz w:val="24"/>
          <w:highlight w:val="none"/>
          <w:lang w:val="zh-CN"/>
        </w:rPr>
      </w:pPr>
      <w:r>
        <w:rPr>
          <w:color w:val="auto"/>
          <w:sz w:val="24"/>
          <w:highlight w:val="none"/>
          <w:lang w:val="zh-CN"/>
        </w:rPr>
        <w:t>3.2.1对招标文件提出质疑的，质疑期限为供应商获得招标文件之日或者招标文件公告期限届满之日起计算。</w:t>
      </w:r>
    </w:p>
    <w:p w14:paraId="7684C7BB">
      <w:pPr>
        <w:widowControl/>
        <w:adjustRightInd w:val="0"/>
        <w:snapToGrid w:val="0"/>
        <w:spacing w:line="360" w:lineRule="auto"/>
        <w:ind w:firstLine="480" w:firstLineChars="200"/>
        <w:rPr>
          <w:rFonts w:hint="default"/>
          <w:color w:val="auto"/>
          <w:sz w:val="24"/>
          <w:highlight w:val="none"/>
          <w:lang w:val="zh-CN"/>
        </w:rPr>
      </w:pPr>
      <w:r>
        <w:rPr>
          <w:color w:val="auto"/>
          <w:sz w:val="24"/>
          <w:highlight w:val="none"/>
          <w:lang w:val="zh-CN"/>
        </w:rPr>
        <w:t>3.2.2对采购过程提出质疑的，质疑期限为各采购程序环节结束之日起计算。</w:t>
      </w:r>
    </w:p>
    <w:p w14:paraId="5226AA67">
      <w:pPr>
        <w:widowControl/>
        <w:adjustRightInd w:val="0"/>
        <w:snapToGrid w:val="0"/>
        <w:spacing w:line="360" w:lineRule="auto"/>
        <w:ind w:firstLine="480" w:firstLineChars="200"/>
        <w:rPr>
          <w:rFonts w:hint="default"/>
          <w:color w:val="auto"/>
          <w:sz w:val="24"/>
          <w:highlight w:val="none"/>
          <w:lang w:val="zh-CN"/>
        </w:rPr>
      </w:pPr>
      <w:r>
        <w:rPr>
          <w:color w:val="auto"/>
          <w:sz w:val="24"/>
          <w:highlight w:val="none"/>
          <w:lang w:val="zh-CN"/>
        </w:rPr>
        <w:t>3.2.3对采购结果提出质疑的，质疑期限自采购结果公告期限届满之日起计算。</w:t>
      </w:r>
    </w:p>
    <w:p w14:paraId="482EF730">
      <w:pPr>
        <w:widowControl/>
        <w:adjustRightInd w:val="0"/>
        <w:snapToGrid w:val="0"/>
        <w:spacing w:line="360" w:lineRule="auto"/>
        <w:ind w:firstLine="480" w:firstLineChars="200"/>
        <w:rPr>
          <w:rFonts w:hint="default"/>
          <w:color w:val="auto"/>
          <w:sz w:val="24"/>
          <w:highlight w:val="none"/>
          <w:lang w:val="zh-CN"/>
        </w:rPr>
      </w:pPr>
      <w:r>
        <w:rPr>
          <w:color w:val="auto"/>
          <w:sz w:val="24"/>
          <w:highlight w:val="none"/>
          <w:lang w:val="zh-CN"/>
        </w:rPr>
        <w:t>3.3供应商提出质疑应当提交质疑函和必要的证明材料。质疑函应当包括下列内容：</w:t>
      </w:r>
    </w:p>
    <w:p w14:paraId="56A4604F">
      <w:pPr>
        <w:widowControl/>
        <w:adjustRightInd w:val="0"/>
        <w:snapToGrid w:val="0"/>
        <w:spacing w:line="360" w:lineRule="auto"/>
        <w:ind w:firstLine="480" w:firstLineChars="200"/>
        <w:rPr>
          <w:rFonts w:hint="default"/>
          <w:color w:val="auto"/>
          <w:sz w:val="24"/>
          <w:highlight w:val="none"/>
          <w:lang w:val="zh-CN"/>
        </w:rPr>
      </w:pPr>
      <w:r>
        <w:rPr>
          <w:color w:val="auto"/>
          <w:sz w:val="24"/>
          <w:highlight w:val="none"/>
          <w:lang w:val="zh-CN"/>
        </w:rPr>
        <w:t>3.3.1供应商的姓名或者名称、地址、邮编、联系人及联系电话；</w:t>
      </w:r>
    </w:p>
    <w:p w14:paraId="5AD18D18">
      <w:pPr>
        <w:widowControl/>
        <w:adjustRightInd w:val="0"/>
        <w:snapToGrid w:val="0"/>
        <w:spacing w:line="360" w:lineRule="auto"/>
        <w:ind w:firstLine="480" w:firstLineChars="200"/>
        <w:rPr>
          <w:rFonts w:hint="default"/>
          <w:color w:val="auto"/>
          <w:sz w:val="24"/>
          <w:highlight w:val="none"/>
          <w:lang w:val="zh-CN"/>
        </w:rPr>
      </w:pPr>
      <w:r>
        <w:rPr>
          <w:color w:val="auto"/>
          <w:sz w:val="24"/>
          <w:highlight w:val="none"/>
          <w:lang w:val="zh-CN"/>
        </w:rPr>
        <w:t>3.3.2质疑项目的名称、编号；</w:t>
      </w:r>
    </w:p>
    <w:p w14:paraId="3A17009D">
      <w:pPr>
        <w:widowControl/>
        <w:adjustRightInd w:val="0"/>
        <w:snapToGrid w:val="0"/>
        <w:spacing w:line="360" w:lineRule="auto"/>
        <w:ind w:firstLine="480" w:firstLineChars="200"/>
        <w:rPr>
          <w:rFonts w:hint="default"/>
          <w:color w:val="auto"/>
          <w:sz w:val="24"/>
          <w:highlight w:val="none"/>
          <w:lang w:val="zh-CN"/>
        </w:rPr>
      </w:pPr>
      <w:r>
        <w:rPr>
          <w:color w:val="auto"/>
          <w:sz w:val="24"/>
          <w:highlight w:val="none"/>
          <w:lang w:val="zh-CN"/>
        </w:rPr>
        <w:t>3.3.3具体、明确的质疑事项和与质疑事项相关的请求；</w:t>
      </w:r>
    </w:p>
    <w:p w14:paraId="68808473">
      <w:pPr>
        <w:widowControl/>
        <w:adjustRightInd w:val="0"/>
        <w:snapToGrid w:val="0"/>
        <w:spacing w:line="360" w:lineRule="auto"/>
        <w:ind w:firstLine="480" w:firstLineChars="200"/>
        <w:rPr>
          <w:rFonts w:hint="default"/>
          <w:color w:val="auto"/>
          <w:sz w:val="24"/>
          <w:highlight w:val="none"/>
          <w:lang w:val="zh-CN"/>
        </w:rPr>
      </w:pPr>
      <w:r>
        <w:rPr>
          <w:color w:val="auto"/>
          <w:sz w:val="24"/>
          <w:highlight w:val="none"/>
          <w:lang w:val="zh-CN"/>
        </w:rPr>
        <w:t>3.3.4事实依据；</w:t>
      </w:r>
    </w:p>
    <w:p w14:paraId="49DEFF8D">
      <w:pPr>
        <w:widowControl/>
        <w:adjustRightInd w:val="0"/>
        <w:snapToGrid w:val="0"/>
        <w:spacing w:line="360" w:lineRule="auto"/>
        <w:ind w:firstLine="480" w:firstLineChars="200"/>
        <w:rPr>
          <w:rFonts w:hint="default"/>
          <w:color w:val="auto"/>
          <w:sz w:val="24"/>
          <w:highlight w:val="none"/>
          <w:lang w:val="zh-CN"/>
        </w:rPr>
      </w:pPr>
      <w:r>
        <w:rPr>
          <w:color w:val="auto"/>
          <w:sz w:val="24"/>
          <w:highlight w:val="none"/>
          <w:lang w:val="zh-CN"/>
        </w:rPr>
        <w:t>3.3.5必要的法律依据；</w:t>
      </w:r>
    </w:p>
    <w:p w14:paraId="634B993F">
      <w:pPr>
        <w:widowControl/>
        <w:adjustRightInd w:val="0"/>
        <w:snapToGrid w:val="0"/>
        <w:spacing w:line="360" w:lineRule="auto"/>
        <w:ind w:firstLine="480" w:firstLineChars="200"/>
        <w:rPr>
          <w:rFonts w:hint="default"/>
          <w:color w:val="auto"/>
          <w:sz w:val="24"/>
          <w:highlight w:val="none"/>
          <w:lang w:val="zh-CN"/>
        </w:rPr>
      </w:pPr>
      <w:r>
        <w:rPr>
          <w:color w:val="auto"/>
          <w:sz w:val="24"/>
          <w:highlight w:val="none"/>
          <w:lang w:val="zh-CN"/>
        </w:rPr>
        <w:t>3.3.6提出质疑的日期。</w:t>
      </w:r>
    </w:p>
    <w:p w14:paraId="68C1A767">
      <w:pPr>
        <w:widowControl/>
        <w:adjustRightInd w:val="0"/>
        <w:snapToGrid w:val="0"/>
        <w:spacing w:line="360" w:lineRule="auto"/>
        <w:ind w:firstLine="480" w:firstLineChars="200"/>
        <w:rPr>
          <w:rFonts w:hint="default"/>
          <w:color w:val="auto"/>
          <w:sz w:val="24"/>
          <w:highlight w:val="none"/>
          <w:lang w:val="zh-CN"/>
        </w:rPr>
      </w:pPr>
      <w:r>
        <w:rPr>
          <w:color w:val="auto"/>
          <w:sz w:val="24"/>
          <w:highlight w:val="none"/>
          <w:lang w:val="zh-CN"/>
        </w:rPr>
        <w:t>供应商提交的质疑函需一式三份。供应商为自然人的，应当由本人签字；供应商为法人或者其他组织的，应当由法定代表人、主要负责人，或者其授权代表签字或者盖章，并加盖公章。</w:t>
      </w:r>
    </w:p>
    <w:p w14:paraId="171F27A2">
      <w:pPr>
        <w:widowControl/>
        <w:adjustRightInd w:val="0"/>
        <w:snapToGrid w:val="0"/>
        <w:spacing w:line="360" w:lineRule="auto"/>
        <w:ind w:firstLine="480" w:firstLineChars="200"/>
        <w:rPr>
          <w:rFonts w:hint="default"/>
          <w:color w:val="auto"/>
          <w:sz w:val="24"/>
          <w:highlight w:val="none"/>
          <w:lang w:val="zh-CN"/>
        </w:rPr>
      </w:pPr>
      <w:r>
        <w:rPr>
          <w:color w:val="auto"/>
          <w:sz w:val="24"/>
          <w:highlight w:val="none"/>
          <w:lang w:val="zh-CN"/>
        </w:rPr>
        <w:t>质疑函范本及制作说明详见附件2。</w:t>
      </w:r>
    </w:p>
    <w:p w14:paraId="6C57F2B3">
      <w:pPr>
        <w:widowControl/>
        <w:adjustRightInd w:val="0"/>
        <w:snapToGrid w:val="0"/>
        <w:spacing w:line="360" w:lineRule="auto"/>
        <w:ind w:firstLine="480" w:firstLineChars="200"/>
        <w:rPr>
          <w:rFonts w:hint="default"/>
          <w:color w:val="auto"/>
          <w:sz w:val="24"/>
          <w:highlight w:val="none"/>
          <w:lang w:val="zh-CN"/>
        </w:rPr>
      </w:pPr>
      <w:r>
        <w:rPr>
          <w:color w:val="auto"/>
          <w:sz w:val="24"/>
          <w:highlight w:val="none"/>
          <w:lang w:val="zh-CN"/>
        </w:rPr>
        <w:t>3.4对同一采购程序环节的质疑，供应商须在法定质疑期内一次性提出。</w:t>
      </w:r>
    </w:p>
    <w:p w14:paraId="3C28D55E">
      <w:pPr>
        <w:widowControl/>
        <w:adjustRightInd w:val="0"/>
        <w:snapToGrid w:val="0"/>
        <w:spacing w:line="360" w:lineRule="auto"/>
        <w:ind w:firstLine="480" w:firstLineChars="200"/>
        <w:rPr>
          <w:rFonts w:hint="default"/>
          <w:color w:val="auto"/>
          <w:sz w:val="24"/>
          <w:highlight w:val="none"/>
          <w:lang w:val="zh-CN"/>
        </w:rPr>
      </w:pPr>
      <w:r>
        <w:rPr>
          <w:color w:val="auto"/>
          <w:sz w:val="24"/>
          <w:highlight w:val="none"/>
          <w:lang w:val="zh-CN"/>
        </w:rPr>
        <w:t>3.5采购人或者采购代理机构应当在收到供应商的书面质疑后七个工作日内作出答复，并以书面形式通知质疑供应商和其他与质疑处理结果有利害关系的政府采购当事人，但答复的内容不得涉及商业秘密。</w:t>
      </w:r>
    </w:p>
    <w:p w14:paraId="4AEC6B49">
      <w:pPr>
        <w:widowControl/>
        <w:adjustRightInd w:val="0"/>
        <w:snapToGrid w:val="0"/>
        <w:spacing w:line="360" w:lineRule="auto"/>
        <w:ind w:firstLine="480" w:firstLineChars="200"/>
        <w:rPr>
          <w:rFonts w:hint="default"/>
          <w:color w:val="auto"/>
          <w:sz w:val="24"/>
          <w:highlight w:val="none"/>
          <w:lang w:val="zh-CN"/>
        </w:rPr>
      </w:pPr>
      <w:r>
        <w:rPr>
          <w:color w:val="auto"/>
          <w:sz w:val="24"/>
          <w:highlight w:val="none"/>
          <w:lang w:val="zh-CN"/>
        </w:rPr>
        <w:t>3.6询问或者质疑事项可能影响采购结果的，采购人应当暂停签订合同，已经签订合同的，应当中止履行合同。</w:t>
      </w:r>
    </w:p>
    <w:p w14:paraId="3E3E6695">
      <w:pPr>
        <w:widowControl/>
        <w:adjustRightInd w:val="0"/>
        <w:snapToGrid w:val="0"/>
        <w:spacing w:line="360" w:lineRule="auto"/>
        <w:ind w:firstLine="480" w:firstLineChars="200"/>
        <w:rPr>
          <w:rFonts w:hint="default"/>
          <w:color w:val="auto"/>
          <w:sz w:val="24"/>
          <w:highlight w:val="none"/>
          <w:lang w:val="zh-CN"/>
        </w:rPr>
      </w:pPr>
      <w:r>
        <w:rPr>
          <w:color w:val="auto"/>
          <w:sz w:val="24"/>
          <w:highlight w:val="none"/>
          <w:lang w:val="zh-CN"/>
        </w:rPr>
        <w:t>4.4供应商投诉</w:t>
      </w:r>
    </w:p>
    <w:p w14:paraId="66C1BC98">
      <w:pPr>
        <w:widowControl/>
        <w:adjustRightInd w:val="0"/>
        <w:snapToGrid w:val="0"/>
        <w:spacing w:line="360" w:lineRule="auto"/>
        <w:ind w:firstLine="480" w:firstLineChars="200"/>
        <w:rPr>
          <w:rFonts w:hint="default"/>
          <w:color w:val="auto"/>
          <w:sz w:val="24"/>
          <w:highlight w:val="none"/>
          <w:lang w:val="zh-CN"/>
        </w:rPr>
      </w:pPr>
      <w:r>
        <w:rPr>
          <w:color w:val="auto"/>
          <w:sz w:val="24"/>
          <w:highlight w:val="none"/>
          <w:lang w:val="zh-CN"/>
        </w:rPr>
        <w:t>4.4.1质疑供应商对采购人、采购代理机构的答复不满意或者采购人、采购代理机构未在规定的时间内作出答复的，可以在答复期满后</w:t>
      </w:r>
      <w:r>
        <w:rPr>
          <w:color w:val="auto"/>
          <w:sz w:val="24"/>
          <w:highlight w:val="none"/>
        </w:rPr>
        <w:t>十五个工作日内向同级政府采购监督管理部门</w:t>
      </w:r>
      <w:r>
        <w:rPr>
          <w:color w:val="auto"/>
          <w:sz w:val="24"/>
          <w:highlight w:val="none"/>
          <w:lang w:val="zh-CN"/>
        </w:rPr>
        <w:t>提出投诉。</w:t>
      </w:r>
    </w:p>
    <w:p w14:paraId="55389074">
      <w:pPr>
        <w:widowControl/>
        <w:adjustRightInd w:val="0"/>
        <w:snapToGrid w:val="0"/>
        <w:spacing w:line="360" w:lineRule="auto"/>
        <w:ind w:firstLine="480" w:firstLineChars="200"/>
        <w:rPr>
          <w:rFonts w:hint="default"/>
          <w:color w:val="auto"/>
          <w:sz w:val="24"/>
          <w:highlight w:val="none"/>
          <w:lang w:val="zh-CN"/>
        </w:rPr>
      </w:pPr>
      <w:r>
        <w:rPr>
          <w:color w:val="auto"/>
          <w:sz w:val="24"/>
          <w:highlight w:val="none"/>
          <w:lang w:val="zh-CN"/>
        </w:rPr>
        <w:t>4.4.2供应商投诉的事项不得超出已质疑事项的范围，基于质疑答复内容提出的投诉事项除外。</w:t>
      </w:r>
    </w:p>
    <w:p w14:paraId="55BD2D1A">
      <w:pPr>
        <w:widowControl/>
        <w:adjustRightInd w:val="0"/>
        <w:snapToGrid w:val="0"/>
        <w:spacing w:line="360" w:lineRule="auto"/>
        <w:ind w:firstLine="480" w:firstLineChars="200"/>
        <w:rPr>
          <w:rFonts w:hint="default"/>
          <w:color w:val="auto"/>
          <w:sz w:val="24"/>
          <w:highlight w:val="none"/>
          <w:lang w:val="zh-CN"/>
        </w:rPr>
      </w:pPr>
      <w:r>
        <w:rPr>
          <w:color w:val="auto"/>
          <w:sz w:val="24"/>
          <w:highlight w:val="none"/>
          <w:lang w:val="zh-CN"/>
        </w:rPr>
        <w:t>4.4.3供应商投诉应当有明确的请求和必要的证明材料。</w:t>
      </w:r>
    </w:p>
    <w:p w14:paraId="3296179D">
      <w:pPr>
        <w:widowControl/>
        <w:adjustRightInd w:val="0"/>
        <w:snapToGrid w:val="0"/>
        <w:spacing w:line="360" w:lineRule="auto"/>
        <w:ind w:firstLine="480" w:firstLineChars="200"/>
        <w:rPr>
          <w:rFonts w:hint="default"/>
          <w:color w:val="auto"/>
          <w:sz w:val="24"/>
          <w:highlight w:val="none"/>
          <w:lang w:val="zh-CN"/>
        </w:rPr>
      </w:pPr>
      <w:r>
        <w:rPr>
          <w:color w:val="auto"/>
          <w:sz w:val="24"/>
          <w:highlight w:val="none"/>
          <w:lang w:val="zh-CN"/>
        </w:rPr>
        <w:t>4.4.4以联合体形式参加政府采购活动的，其投诉应当由组成联合体的所有供应商共同提出。</w:t>
      </w:r>
    </w:p>
    <w:p w14:paraId="7F0CDC6C">
      <w:pPr>
        <w:widowControl/>
        <w:adjustRightInd w:val="0"/>
        <w:snapToGrid w:val="0"/>
        <w:spacing w:line="360" w:lineRule="auto"/>
        <w:ind w:firstLine="480" w:firstLineChars="200"/>
        <w:rPr>
          <w:rFonts w:hint="default"/>
          <w:color w:val="auto"/>
          <w:sz w:val="24"/>
          <w:highlight w:val="none"/>
          <w:lang w:val="zh-CN"/>
        </w:rPr>
      </w:pPr>
      <w:r>
        <w:rPr>
          <w:color w:val="auto"/>
          <w:sz w:val="24"/>
          <w:highlight w:val="none"/>
          <w:lang w:val="zh-CN"/>
        </w:rPr>
        <w:t>投诉书范本及制作说明详见附件3。</w:t>
      </w:r>
    </w:p>
    <w:p w14:paraId="5ED9505D">
      <w:pPr>
        <w:pStyle w:val="6"/>
        <w:tabs>
          <w:tab w:val="left" w:pos="7317"/>
        </w:tabs>
        <w:adjustRightInd w:val="0"/>
        <w:snapToGrid w:val="0"/>
        <w:spacing w:beforeLines="0" w:afterLines="0" w:line="360" w:lineRule="auto"/>
        <w:outlineLvl w:val="0"/>
        <w:rPr>
          <w:rFonts w:ascii="Times New Roman" w:hAnsi="Times New Roman"/>
          <w:b/>
          <w:color w:val="auto"/>
          <w:sz w:val="28"/>
          <w:szCs w:val="28"/>
          <w:highlight w:val="none"/>
        </w:rPr>
      </w:pPr>
      <w:bookmarkStart w:id="32" w:name="_Toc31283"/>
      <w:bookmarkStart w:id="33" w:name="_Toc30349"/>
      <w:bookmarkStart w:id="34" w:name="_Toc27257"/>
      <w:bookmarkStart w:id="35" w:name="_Toc10520"/>
      <w:bookmarkStart w:id="36" w:name="_Toc16944"/>
      <w:r>
        <w:rPr>
          <w:rFonts w:ascii="Times New Roman" w:hAnsi="Times New Roman"/>
          <w:b/>
          <w:color w:val="auto"/>
          <w:sz w:val="28"/>
          <w:szCs w:val="28"/>
          <w:highlight w:val="none"/>
        </w:rPr>
        <w:t>二、招标文件</w:t>
      </w:r>
      <w:bookmarkEnd w:id="32"/>
      <w:bookmarkEnd w:id="33"/>
      <w:bookmarkEnd w:id="34"/>
      <w:bookmarkEnd w:id="35"/>
      <w:bookmarkEnd w:id="36"/>
    </w:p>
    <w:p w14:paraId="11C6BF7D">
      <w:pPr>
        <w:adjustRightInd w:val="0"/>
        <w:snapToGrid w:val="0"/>
        <w:spacing w:line="360" w:lineRule="auto"/>
        <w:ind w:firstLine="472" w:firstLineChars="196"/>
        <w:jc w:val="left"/>
        <w:rPr>
          <w:rFonts w:hint="default"/>
          <w:b/>
          <w:color w:val="auto"/>
          <w:sz w:val="24"/>
          <w:highlight w:val="none"/>
        </w:rPr>
      </w:pPr>
      <w:r>
        <w:rPr>
          <w:rFonts w:hint="default"/>
          <w:b/>
          <w:color w:val="auto"/>
          <w:sz w:val="24"/>
          <w:highlight w:val="none"/>
        </w:rPr>
        <w:t>（一）招标文件的构成。本招标文件由以下部份组成：</w:t>
      </w:r>
    </w:p>
    <w:p w14:paraId="434BE4EC">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1.招标公告</w:t>
      </w:r>
    </w:p>
    <w:p w14:paraId="5987BB39">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2.投标人须知</w:t>
      </w:r>
    </w:p>
    <w:p w14:paraId="584EAB16">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3.评标办法</w:t>
      </w:r>
    </w:p>
    <w:p w14:paraId="69735A66">
      <w:pPr>
        <w:adjustRightInd w:val="0"/>
        <w:snapToGrid w:val="0"/>
        <w:spacing w:line="360" w:lineRule="auto"/>
        <w:ind w:firstLine="480" w:firstLineChars="200"/>
        <w:rPr>
          <w:rFonts w:hint="default"/>
          <w:color w:val="auto"/>
          <w:sz w:val="24"/>
          <w:highlight w:val="none"/>
        </w:rPr>
      </w:pPr>
      <w:r>
        <w:rPr>
          <w:rFonts w:hint="default"/>
          <w:color w:val="auto"/>
          <w:sz w:val="24"/>
          <w:highlight w:val="none"/>
        </w:rPr>
        <w:t>4.采购内容及需求</w:t>
      </w:r>
    </w:p>
    <w:p w14:paraId="09C24D66">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5.合同主要条款</w:t>
      </w:r>
    </w:p>
    <w:p w14:paraId="6712F082">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6.投标文件格式</w:t>
      </w:r>
    </w:p>
    <w:p w14:paraId="0C4DEFE3">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7.本项目招标文件的澄清、修改内容（如有）</w:t>
      </w:r>
    </w:p>
    <w:p w14:paraId="71DD3EB7">
      <w:pPr>
        <w:adjustRightInd w:val="0"/>
        <w:snapToGrid w:val="0"/>
        <w:spacing w:line="360" w:lineRule="auto"/>
        <w:ind w:firstLine="472" w:firstLineChars="196"/>
        <w:jc w:val="left"/>
        <w:rPr>
          <w:rFonts w:hint="default"/>
          <w:b/>
          <w:color w:val="auto"/>
          <w:sz w:val="24"/>
          <w:highlight w:val="none"/>
        </w:rPr>
      </w:pPr>
      <w:r>
        <w:rPr>
          <w:rFonts w:hint="default"/>
          <w:b/>
          <w:color w:val="auto"/>
          <w:sz w:val="24"/>
          <w:highlight w:val="none"/>
        </w:rPr>
        <w:t>（二）投标人的风险</w:t>
      </w:r>
    </w:p>
    <w:p w14:paraId="5B76389A">
      <w:pPr>
        <w:adjustRightInd w:val="0"/>
        <w:snapToGrid w:val="0"/>
        <w:spacing w:line="360" w:lineRule="auto"/>
        <w:ind w:firstLine="480" w:firstLineChars="200"/>
        <w:jc w:val="left"/>
        <w:rPr>
          <w:rFonts w:hint="default"/>
          <w:b/>
          <w:bCs/>
          <w:color w:val="auto"/>
          <w:sz w:val="24"/>
          <w:highlight w:val="none"/>
        </w:rPr>
      </w:pPr>
      <w:r>
        <w:rPr>
          <w:rFonts w:hint="default"/>
          <w:color w:val="auto"/>
          <w:sz w:val="24"/>
          <w:highlight w:val="none"/>
        </w:rPr>
        <w:t>1.</w:t>
      </w:r>
      <w:r>
        <w:rPr>
          <w:rFonts w:hint="default"/>
          <w:b/>
          <w:bCs/>
          <w:color w:val="auto"/>
          <w:sz w:val="24"/>
          <w:highlight w:val="none"/>
        </w:rPr>
        <w:t>投标截止时间前，投标供应商仅递交了“电子备份投标文件”而未将“电子加密投标文件” 成功上传至“政府采购云平台”的，投标无效；通过“政府采购云平台”上传递交的“电子加密投标文件”无法按时解密的，如投标供应商未按规定递交“电子备份投标文件”的，视为投标文件撤回。</w:t>
      </w:r>
    </w:p>
    <w:p w14:paraId="1B776A48">
      <w:pPr>
        <w:adjustRightInd w:val="0"/>
        <w:snapToGrid w:val="0"/>
        <w:spacing w:line="360" w:lineRule="auto"/>
        <w:ind w:firstLine="482" w:firstLineChars="200"/>
        <w:jc w:val="left"/>
        <w:rPr>
          <w:rFonts w:hint="default"/>
          <w:b/>
          <w:bCs/>
          <w:color w:val="auto"/>
          <w:sz w:val="24"/>
          <w:highlight w:val="none"/>
        </w:rPr>
      </w:pPr>
      <w:r>
        <w:rPr>
          <w:rFonts w:hint="default"/>
          <w:b/>
          <w:bCs/>
          <w:color w:val="auto"/>
          <w:sz w:val="24"/>
          <w:highlight w:val="none"/>
        </w:rPr>
        <w:t>2.投标人没有按照招标文件要求提供全部资料，或者投标人没有对招标文件在各方面作出实质性响应是投标人的风险，并可能导致其投标无效。</w:t>
      </w:r>
    </w:p>
    <w:p w14:paraId="68DE02F6">
      <w:pPr>
        <w:pStyle w:val="9"/>
        <w:widowControl w:val="0"/>
        <w:numPr>
          <w:ilvl w:val="0"/>
          <w:numId w:val="0"/>
        </w:numPr>
        <w:adjustRightInd w:val="0"/>
        <w:snapToGrid w:val="0"/>
        <w:spacing w:afterLines="0" w:line="360" w:lineRule="auto"/>
        <w:ind w:firstLine="472" w:firstLineChars="196"/>
        <w:rPr>
          <w:rFonts w:hint="default"/>
          <w:b/>
          <w:color w:val="auto"/>
          <w:szCs w:val="24"/>
          <w:highlight w:val="none"/>
        </w:rPr>
      </w:pPr>
      <w:r>
        <w:rPr>
          <w:rFonts w:hint="default"/>
          <w:b/>
          <w:color w:val="auto"/>
          <w:szCs w:val="24"/>
          <w:highlight w:val="none"/>
        </w:rPr>
        <w:t xml:space="preserve">（三）招标文件的澄清与修改 </w:t>
      </w:r>
    </w:p>
    <w:p w14:paraId="0ADDAF14">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1.已获取招标文件的潜在投标人，若有问题需要澄清，应于投标截止时间前，以书面形式向采购代理机构提出。</w:t>
      </w:r>
    </w:p>
    <w:p w14:paraId="2BBCEFE0">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2.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10D7609">
      <w:pPr>
        <w:pStyle w:val="6"/>
        <w:adjustRightInd w:val="0"/>
        <w:snapToGrid w:val="0"/>
        <w:spacing w:beforeLines="0" w:afterLines="0" w:line="360" w:lineRule="auto"/>
        <w:outlineLvl w:val="1"/>
        <w:rPr>
          <w:rFonts w:ascii="Times New Roman" w:hAnsi="Times New Roman"/>
          <w:b/>
          <w:color w:val="auto"/>
          <w:sz w:val="28"/>
          <w:szCs w:val="28"/>
          <w:highlight w:val="none"/>
        </w:rPr>
      </w:pPr>
      <w:r>
        <w:rPr>
          <w:rFonts w:ascii="Times New Roman" w:hAnsi="Times New Roman"/>
          <w:b/>
          <w:color w:val="auto"/>
          <w:sz w:val="28"/>
          <w:szCs w:val="28"/>
          <w:highlight w:val="none"/>
        </w:rPr>
        <w:t>三、投标文件的编制</w:t>
      </w:r>
    </w:p>
    <w:p w14:paraId="48DEEC9D">
      <w:pPr>
        <w:adjustRightInd w:val="0"/>
        <w:snapToGrid w:val="0"/>
        <w:spacing w:line="360" w:lineRule="auto"/>
        <w:ind w:firstLine="472" w:firstLineChars="196"/>
        <w:jc w:val="left"/>
        <w:outlineLvl w:val="0"/>
        <w:rPr>
          <w:rFonts w:hint="default"/>
          <w:b/>
          <w:color w:val="auto"/>
          <w:sz w:val="24"/>
          <w:highlight w:val="none"/>
        </w:rPr>
      </w:pPr>
      <w:bookmarkStart w:id="37" w:name="_Toc9965"/>
      <w:bookmarkStart w:id="38" w:name="_Toc5443"/>
      <w:bookmarkStart w:id="39" w:name="_Toc16210"/>
      <w:bookmarkStart w:id="40" w:name="_Toc7323"/>
      <w:bookmarkStart w:id="41" w:name="_Toc28131"/>
      <w:r>
        <w:rPr>
          <w:rFonts w:hint="default"/>
          <w:b/>
          <w:color w:val="auto"/>
          <w:sz w:val="24"/>
          <w:highlight w:val="none"/>
        </w:rPr>
        <w:t>（一）投标文件的组成</w:t>
      </w:r>
      <w:bookmarkEnd w:id="37"/>
      <w:bookmarkEnd w:id="38"/>
      <w:bookmarkEnd w:id="39"/>
      <w:bookmarkEnd w:id="40"/>
      <w:bookmarkEnd w:id="41"/>
    </w:p>
    <w:p w14:paraId="2D9BADF6">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投标文件由资格证明文件、商务技术文件、报价文件三部份组成。</w:t>
      </w:r>
    </w:p>
    <w:p w14:paraId="15693A24">
      <w:pPr>
        <w:adjustRightInd w:val="0"/>
        <w:snapToGrid w:val="0"/>
        <w:spacing w:line="360" w:lineRule="auto"/>
        <w:ind w:firstLine="472" w:firstLineChars="196"/>
        <w:jc w:val="left"/>
        <w:rPr>
          <w:rFonts w:hint="default"/>
          <w:b/>
          <w:color w:val="auto"/>
          <w:sz w:val="24"/>
          <w:highlight w:val="none"/>
        </w:rPr>
      </w:pPr>
      <w:bookmarkStart w:id="42" w:name="_Toc32602"/>
      <w:bookmarkStart w:id="43" w:name="_Toc31780"/>
      <w:bookmarkStart w:id="44" w:name="_Toc1327"/>
      <w:bookmarkStart w:id="45" w:name="_Toc27106"/>
      <w:r>
        <w:rPr>
          <w:rFonts w:hint="default"/>
          <w:b/>
          <w:color w:val="auto"/>
          <w:sz w:val="24"/>
          <w:highlight w:val="none"/>
        </w:rPr>
        <w:t>1.资格证明文件</w:t>
      </w:r>
    </w:p>
    <w:p w14:paraId="08D0F5D1">
      <w:pPr>
        <w:adjustRightInd w:val="0"/>
        <w:snapToGrid w:val="0"/>
        <w:spacing w:line="360" w:lineRule="auto"/>
        <w:ind w:left="105" w:leftChars="50" w:firstLine="480" w:firstLineChars="200"/>
        <w:rPr>
          <w:rFonts w:hint="default"/>
          <w:color w:val="auto"/>
          <w:sz w:val="24"/>
          <w:szCs w:val="21"/>
          <w:highlight w:val="none"/>
        </w:rPr>
      </w:pPr>
      <w:r>
        <w:rPr>
          <w:rFonts w:hint="default"/>
          <w:color w:val="auto"/>
          <w:sz w:val="24"/>
          <w:szCs w:val="21"/>
          <w:highlight w:val="none"/>
        </w:rPr>
        <w:t>基本资格条件审查材料：</w:t>
      </w:r>
    </w:p>
    <w:p w14:paraId="436ABF52">
      <w:pPr>
        <w:numPr>
          <w:ilvl w:val="0"/>
          <w:numId w:val="4"/>
        </w:numPr>
        <w:snapToGrid w:val="0"/>
        <w:spacing w:line="360" w:lineRule="auto"/>
        <w:ind w:left="105" w:leftChars="50" w:firstLine="480" w:firstLineChars="200"/>
        <w:rPr>
          <w:rFonts w:hint="default"/>
          <w:color w:val="auto"/>
          <w:sz w:val="24"/>
          <w:szCs w:val="21"/>
          <w:highlight w:val="none"/>
        </w:rPr>
      </w:pPr>
      <w:r>
        <w:rPr>
          <w:color w:val="auto"/>
          <w:sz w:val="24"/>
          <w:szCs w:val="21"/>
          <w:highlight w:val="none"/>
        </w:rPr>
        <w:t>符合参加政府采购活动应当具备的一般条件的承诺函；</w:t>
      </w:r>
    </w:p>
    <w:p w14:paraId="02E01992">
      <w:pPr>
        <w:numPr>
          <w:ilvl w:val="0"/>
          <w:numId w:val="4"/>
        </w:numPr>
        <w:snapToGrid w:val="0"/>
        <w:spacing w:line="360" w:lineRule="auto"/>
        <w:ind w:left="105" w:leftChars="50" w:firstLine="480" w:firstLineChars="200"/>
        <w:rPr>
          <w:rFonts w:hint="default"/>
          <w:color w:val="auto"/>
          <w:sz w:val="24"/>
          <w:szCs w:val="21"/>
          <w:highlight w:val="none"/>
        </w:rPr>
      </w:pPr>
      <w:r>
        <w:rPr>
          <w:rFonts w:hint="default"/>
          <w:color w:val="auto"/>
          <w:sz w:val="24"/>
          <w:szCs w:val="21"/>
          <w:highlight w:val="none"/>
        </w:rPr>
        <w:t>联合体协议书（如有）</w:t>
      </w:r>
      <w:r>
        <w:rPr>
          <w:color w:val="auto"/>
          <w:sz w:val="24"/>
          <w:szCs w:val="21"/>
          <w:highlight w:val="none"/>
        </w:rPr>
        <w:t>；</w:t>
      </w:r>
    </w:p>
    <w:p w14:paraId="0DA667E7">
      <w:pPr>
        <w:numPr>
          <w:ilvl w:val="0"/>
          <w:numId w:val="4"/>
        </w:numPr>
        <w:snapToGrid w:val="0"/>
        <w:spacing w:line="360" w:lineRule="auto"/>
        <w:ind w:left="105" w:leftChars="50" w:firstLine="480" w:firstLineChars="200"/>
        <w:rPr>
          <w:rFonts w:hint="default"/>
          <w:color w:val="auto"/>
          <w:sz w:val="24"/>
          <w:szCs w:val="21"/>
          <w:highlight w:val="none"/>
        </w:rPr>
      </w:pPr>
      <w:r>
        <w:rPr>
          <w:rFonts w:hint="default"/>
          <w:color w:val="auto"/>
          <w:sz w:val="24"/>
          <w:szCs w:val="21"/>
          <w:highlight w:val="none"/>
        </w:rPr>
        <w:t>符合特定资格条件的相关证明材料</w:t>
      </w:r>
      <w:r>
        <w:rPr>
          <w:color w:val="auto"/>
          <w:sz w:val="24"/>
          <w:szCs w:val="21"/>
          <w:highlight w:val="none"/>
        </w:rPr>
        <w:t>（按公告要求）。</w:t>
      </w:r>
    </w:p>
    <w:p w14:paraId="01368C7D">
      <w:pPr>
        <w:snapToGrid w:val="0"/>
        <w:spacing w:line="360" w:lineRule="auto"/>
        <w:ind w:firstLine="470" w:firstLineChars="196"/>
        <w:jc w:val="left"/>
        <w:rPr>
          <w:rFonts w:hint="default"/>
          <w:color w:val="auto"/>
          <w:sz w:val="24"/>
          <w:szCs w:val="21"/>
          <w:highlight w:val="none"/>
        </w:rPr>
      </w:pPr>
      <w:r>
        <w:rPr>
          <w:rFonts w:hint="default"/>
          <w:color w:val="auto"/>
          <w:sz w:val="24"/>
          <w:szCs w:val="21"/>
          <w:highlight w:val="none"/>
        </w:rPr>
        <w:t>上述资格条件审查材料有一项不提供的，视为资格审查不通过。</w:t>
      </w:r>
    </w:p>
    <w:p w14:paraId="14CB0991">
      <w:pPr>
        <w:adjustRightInd w:val="0"/>
        <w:snapToGrid w:val="0"/>
        <w:spacing w:line="360" w:lineRule="auto"/>
        <w:ind w:firstLine="472" w:firstLineChars="196"/>
        <w:jc w:val="left"/>
        <w:rPr>
          <w:rFonts w:hint="default"/>
          <w:b/>
          <w:color w:val="auto"/>
          <w:sz w:val="24"/>
          <w:highlight w:val="none"/>
        </w:rPr>
      </w:pPr>
      <w:r>
        <w:rPr>
          <w:rFonts w:hint="default"/>
          <w:b/>
          <w:color w:val="auto"/>
          <w:sz w:val="24"/>
          <w:highlight w:val="none"/>
        </w:rPr>
        <w:t>2.商务技术文件</w:t>
      </w:r>
    </w:p>
    <w:p w14:paraId="123DF062">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（1）投标函（格式见第六章）</w:t>
      </w:r>
      <w:r>
        <w:rPr>
          <w:color w:val="auto"/>
          <w:sz w:val="24"/>
          <w:highlight w:val="none"/>
        </w:rPr>
        <w:t>；</w:t>
      </w:r>
    </w:p>
    <w:p w14:paraId="4D5EAC1F">
      <w:pPr>
        <w:adjustRightInd w:val="0"/>
        <w:snapToGrid w:val="0"/>
        <w:spacing w:line="360" w:lineRule="auto"/>
        <w:ind w:firstLine="480" w:firstLineChars="200"/>
        <w:jc w:val="left"/>
        <w:rPr>
          <w:rFonts w:hint="default"/>
          <w:color w:val="auto"/>
          <w:sz w:val="24"/>
          <w:highlight w:val="none"/>
        </w:rPr>
      </w:pPr>
      <w:r>
        <w:rPr>
          <w:color w:val="auto"/>
          <w:sz w:val="24"/>
          <w:highlight w:val="none"/>
        </w:rPr>
        <w:t>（2）</w:t>
      </w:r>
      <w:r>
        <w:rPr>
          <w:rFonts w:hint="default"/>
          <w:color w:val="auto"/>
          <w:sz w:val="24"/>
          <w:highlight w:val="none"/>
        </w:rPr>
        <w:t>法定代表人授权委托书；</w:t>
      </w:r>
    </w:p>
    <w:p w14:paraId="03C8275F">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w:t>
      </w:r>
      <w:r>
        <w:rPr>
          <w:color w:val="auto"/>
          <w:sz w:val="24"/>
          <w:highlight w:val="none"/>
        </w:rPr>
        <w:t>3</w:t>
      </w:r>
      <w:r>
        <w:rPr>
          <w:rFonts w:hint="default"/>
          <w:color w:val="auto"/>
          <w:sz w:val="24"/>
          <w:highlight w:val="none"/>
        </w:rPr>
        <w:t>）法定代表人及授权委托人的身份证(复印件加盖公章)；</w:t>
      </w:r>
    </w:p>
    <w:p w14:paraId="1F085291">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w:t>
      </w:r>
      <w:r>
        <w:rPr>
          <w:color w:val="auto"/>
          <w:sz w:val="24"/>
          <w:highlight w:val="none"/>
        </w:rPr>
        <w:t>4</w:t>
      </w:r>
      <w:r>
        <w:rPr>
          <w:rFonts w:hint="default"/>
          <w:color w:val="auto"/>
          <w:sz w:val="24"/>
          <w:highlight w:val="none"/>
        </w:rPr>
        <w:t>）</w:t>
      </w:r>
      <w:r>
        <w:rPr>
          <w:rFonts w:ascii="宋体" w:hAnsi="宋体" w:cs="宋体"/>
          <w:color w:val="auto"/>
          <w:sz w:val="24"/>
          <w:highlight w:val="none"/>
        </w:rPr>
        <w:t>同类项目业绩表</w:t>
      </w:r>
      <w:r>
        <w:rPr>
          <w:rFonts w:hint="default"/>
          <w:b/>
          <w:bCs/>
          <w:color w:val="auto"/>
          <w:sz w:val="24"/>
          <w:highlight w:val="none"/>
        </w:rPr>
        <w:t>（联合体参加的，联合体各方分别提供与联合体协议中规定的分工内容相应的业绩证明材料，分工内容相同的业绩数量以提供材料较少的一方为准，如联合体协议中未进行分工约定的，联合体成员各方应就所有合同约定的工作内容提供业绩证明材料，有一方未能提供全部合同约定的工作内容的业绩证明材料的，视为联合体未提供业绩证明材料）</w:t>
      </w:r>
      <w:r>
        <w:rPr>
          <w:rFonts w:hint="default"/>
          <w:color w:val="auto"/>
          <w:sz w:val="24"/>
          <w:highlight w:val="none"/>
          <w:lang w:val="zh-CN"/>
        </w:rPr>
        <w:t>；</w:t>
      </w:r>
    </w:p>
    <w:p w14:paraId="5BBEB3D4">
      <w:pPr>
        <w:adjustRightInd w:val="0"/>
        <w:snapToGrid w:val="0"/>
        <w:spacing w:line="360" w:lineRule="auto"/>
        <w:ind w:firstLine="480" w:firstLineChars="200"/>
        <w:jc w:val="left"/>
        <w:rPr>
          <w:rFonts w:hint="default"/>
          <w:color w:val="auto"/>
          <w:sz w:val="24"/>
          <w:highlight w:val="none"/>
        </w:rPr>
      </w:pPr>
      <w:r>
        <w:rPr>
          <w:color w:val="auto"/>
          <w:sz w:val="24"/>
          <w:szCs w:val="21"/>
          <w:highlight w:val="none"/>
        </w:rPr>
        <w:t>（5）分包协议（如有）；</w:t>
      </w:r>
    </w:p>
    <w:p w14:paraId="1810A669">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w:t>
      </w:r>
      <w:r>
        <w:rPr>
          <w:color w:val="auto"/>
          <w:sz w:val="24"/>
          <w:highlight w:val="none"/>
        </w:rPr>
        <w:t>6</w:t>
      </w:r>
      <w:r>
        <w:rPr>
          <w:rFonts w:hint="default"/>
          <w:color w:val="auto"/>
          <w:sz w:val="24"/>
          <w:highlight w:val="none"/>
        </w:rPr>
        <w:t>）商务技术偏离表；</w:t>
      </w:r>
    </w:p>
    <w:p w14:paraId="6F1A9D59">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w:t>
      </w:r>
      <w:r>
        <w:rPr>
          <w:color w:val="auto"/>
          <w:sz w:val="24"/>
          <w:highlight w:val="none"/>
        </w:rPr>
        <w:t>7</w:t>
      </w:r>
      <w:r>
        <w:rPr>
          <w:rFonts w:hint="default"/>
          <w:color w:val="auto"/>
          <w:sz w:val="24"/>
          <w:highlight w:val="none"/>
        </w:rPr>
        <w:t>）</w:t>
      </w:r>
      <w:r>
        <w:rPr>
          <w:rFonts w:ascii="宋体" w:hAnsi="宋体" w:cs="宋体"/>
          <w:color w:val="auto"/>
          <w:sz w:val="24"/>
          <w:highlight w:val="none"/>
        </w:rPr>
        <w:t>评标标准相应的商务技术资料；</w:t>
      </w:r>
    </w:p>
    <w:p w14:paraId="4CF6CB88">
      <w:pPr>
        <w:adjustRightInd w:val="0"/>
        <w:snapToGrid w:val="0"/>
        <w:spacing w:line="360" w:lineRule="auto"/>
        <w:ind w:firstLine="480" w:firstLineChars="200"/>
        <w:jc w:val="left"/>
        <w:rPr>
          <w:rFonts w:hint="default"/>
          <w:color w:val="auto"/>
          <w:sz w:val="24"/>
          <w:highlight w:val="none"/>
        </w:rPr>
      </w:pPr>
      <w:r>
        <w:rPr>
          <w:color w:val="auto"/>
          <w:sz w:val="24"/>
          <w:highlight w:val="none"/>
        </w:rPr>
        <w:t>（8）</w:t>
      </w:r>
      <w:r>
        <w:rPr>
          <w:rFonts w:hint="default"/>
          <w:color w:val="auto"/>
          <w:sz w:val="24"/>
          <w:highlight w:val="none"/>
        </w:rPr>
        <w:t>其他必要提供的资料。</w:t>
      </w:r>
    </w:p>
    <w:p w14:paraId="50CD2ACC">
      <w:pPr>
        <w:adjustRightInd w:val="0"/>
        <w:snapToGrid w:val="0"/>
        <w:spacing w:line="360" w:lineRule="auto"/>
        <w:ind w:firstLine="472" w:firstLineChars="196"/>
        <w:jc w:val="left"/>
        <w:rPr>
          <w:rFonts w:hint="default"/>
          <w:b/>
          <w:color w:val="auto"/>
          <w:sz w:val="24"/>
          <w:highlight w:val="none"/>
        </w:rPr>
      </w:pPr>
      <w:r>
        <w:rPr>
          <w:rFonts w:hint="default"/>
          <w:b/>
          <w:color w:val="auto"/>
          <w:sz w:val="24"/>
          <w:highlight w:val="none"/>
        </w:rPr>
        <w:t>3.报价文件：</w:t>
      </w:r>
    </w:p>
    <w:p w14:paraId="41755ED5">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w:t>
      </w:r>
      <w:r>
        <w:rPr>
          <w:color w:val="auto"/>
          <w:sz w:val="24"/>
          <w:highlight w:val="none"/>
        </w:rPr>
        <w:t>1</w:t>
      </w:r>
      <w:r>
        <w:rPr>
          <w:rFonts w:hint="default"/>
          <w:color w:val="auto"/>
          <w:sz w:val="24"/>
          <w:highlight w:val="none"/>
        </w:rPr>
        <w:t>）开标一览表（格式按电子交易平台）；</w:t>
      </w:r>
    </w:p>
    <w:p w14:paraId="4F3D99BC">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w:t>
      </w:r>
      <w:r>
        <w:rPr>
          <w:color w:val="auto"/>
          <w:sz w:val="24"/>
          <w:highlight w:val="none"/>
        </w:rPr>
        <w:t>2</w:t>
      </w:r>
      <w:r>
        <w:rPr>
          <w:rFonts w:hint="default"/>
          <w:color w:val="auto"/>
          <w:sz w:val="24"/>
          <w:highlight w:val="none"/>
        </w:rPr>
        <w:t>）投标报价明细表（格式见第六章）；</w:t>
      </w:r>
    </w:p>
    <w:p w14:paraId="0EAEF1E3">
      <w:pPr>
        <w:adjustRightInd w:val="0"/>
        <w:snapToGrid w:val="0"/>
        <w:spacing w:line="360" w:lineRule="auto"/>
        <w:ind w:firstLine="480" w:firstLineChars="200"/>
        <w:jc w:val="left"/>
        <w:rPr>
          <w:rFonts w:hint="default"/>
          <w:color w:val="auto"/>
          <w:sz w:val="24"/>
          <w:highlight w:val="none"/>
        </w:rPr>
      </w:pPr>
      <w:r>
        <w:rPr>
          <w:color w:val="auto"/>
          <w:sz w:val="24"/>
          <w:highlight w:val="none"/>
        </w:rPr>
        <w:t>（3）</w:t>
      </w:r>
      <w:r>
        <w:rPr>
          <w:rFonts w:hint="default"/>
          <w:color w:val="auto"/>
          <w:sz w:val="24"/>
          <w:highlight w:val="none"/>
        </w:rPr>
        <w:t>中小企业声明函、残疾人福利性单位声明函、属于监狱企业的证明文件（由省级以上监狱管理局、戒毒管理局（含新疆生产建设兵团）出具的属于监狱企业的证明文件；</w:t>
      </w:r>
    </w:p>
    <w:p w14:paraId="21FDD020">
      <w:pPr>
        <w:adjustRightInd w:val="0"/>
        <w:snapToGrid w:val="0"/>
        <w:spacing w:line="360" w:lineRule="auto"/>
        <w:ind w:firstLine="480" w:firstLineChars="200"/>
        <w:jc w:val="left"/>
        <w:rPr>
          <w:rFonts w:hint="default" w:ascii="宋体" w:hAnsi="宋体" w:cs="宋体"/>
          <w:color w:val="auto"/>
          <w:sz w:val="24"/>
          <w:szCs w:val="24"/>
          <w:highlight w:val="none"/>
        </w:rPr>
      </w:pPr>
      <w:r>
        <w:rPr>
          <w:rFonts w:ascii="宋体" w:hAnsi="宋体" w:cs="宋体"/>
          <w:color w:val="auto"/>
          <w:sz w:val="24"/>
          <w:szCs w:val="24"/>
          <w:highlight w:val="none"/>
        </w:rPr>
        <w:t>（4）报价情况说明（如供应商报价低于项目预算50%的，应当提交本文档，详细阐述不影响产品质量或者诚信履约的具体原因）</w:t>
      </w:r>
    </w:p>
    <w:p w14:paraId="1947534B">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w:t>
      </w:r>
      <w:r>
        <w:rPr>
          <w:color w:val="auto"/>
          <w:sz w:val="24"/>
          <w:highlight w:val="none"/>
        </w:rPr>
        <w:t>5</w:t>
      </w:r>
      <w:r>
        <w:rPr>
          <w:rFonts w:hint="default"/>
          <w:color w:val="auto"/>
          <w:sz w:val="24"/>
          <w:highlight w:val="none"/>
        </w:rPr>
        <w:t>）代理服务费支付承诺书。</w:t>
      </w:r>
    </w:p>
    <w:p w14:paraId="4CA86C37">
      <w:pPr>
        <w:adjustRightInd w:val="0"/>
        <w:snapToGrid w:val="0"/>
        <w:spacing w:line="360" w:lineRule="auto"/>
        <w:ind w:firstLine="480" w:firstLineChars="200"/>
        <w:jc w:val="left"/>
        <w:rPr>
          <w:rFonts w:hint="default" w:ascii="宋体" w:hAnsi="宋体" w:cs="宋体"/>
          <w:color w:val="auto"/>
          <w:sz w:val="24"/>
          <w:szCs w:val="24"/>
          <w:highlight w:val="none"/>
        </w:rPr>
      </w:pPr>
      <w:r>
        <w:rPr>
          <w:rFonts w:hint="default"/>
          <w:color w:val="auto"/>
          <w:sz w:val="24"/>
          <w:highlight w:val="none"/>
        </w:rPr>
        <w:t>注：</w:t>
      </w:r>
      <w:r>
        <w:rPr>
          <w:rFonts w:hint="default"/>
          <w:b/>
          <w:bCs/>
          <w:color w:val="auto"/>
          <w:sz w:val="24"/>
          <w:highlight w:val="none"/>
        </w:rPr>
        <w:t>1</w:t>
      </w:r>
      <w:r>
        <w:rPr>
          <w:rFonts w:ascii="宋体" w:hAnsi="宋体" w:cs="宋体"/>
          <w:b/>
          <w:bCs/>
          <w:color w:val="auto"/>
          <w:sz w:val="24"/>
          <w:szCs w:val="24"/>
          <w:highlight w:val="none"/>
        </w:rPr>
        <w:t>）</w:t>
      </w:r>
      <w:r>
        <w:rPr>
          <w:rFonts w:hint="default"/>
          <w:b/>
          <w:bCs/>
          <w:color w:val="auto"/>
          <w:sz w:val="24"/>
          <w:highlight w:val="none"/>
        </w:rPr>
        <w:t>如以联合体形式参加政府采购活动的，联合体各方应当指定牵头人，授权其代表所有联合体成员负责投标和合同实施阶段的主办、协调工作，并应当向采购代理机构提交由所有联合体成员各方法定代表人签署的授权书，同时应当提交联合协议，载明联合体各方承担的工作和义务。联合体协议中应当注明由联合体各成员方共同与采购人签订合</w:t>
      </w:r>
      <w:r>
        <w:rPr>
          <w:rFonts w:hint="default" w:ascii="宋体" w:hAnsi="宋体" w:cs="宋体"/>
          <w:b/>
          <w:bCs/>
          <w:color w:val="auto"/>
          <w:sz w:val="24"/>
          <w:szCs w:val="24"/>
          <w:highlight w:val="none"/>
        </w:rPr>
        <w:t>同，并就采购合同约定的事项对采购人承担连带责任。联合体协议中仅约定由牵头人或联合体成员中某一方与采购人签订合同的，或联合体协议中仅约定由牵头人或联合体成员中某一方就采购合同约定的事项对采购人承担责任的，视为联合体协议不成立，该联合体投标文件将被作无效投标文件处理；(▲如以联合体形式参加政府采购活动的，联合体协议不符合投标文件规定的联合体协议要求的，投标无效。</w:t>
      </w:r>
      <w:r>
        <w:rPr>
          <w:rFonts w:hint="default" w:ascii="宋体" w:hAnsi="宋体" w:cs="宋体"/>
          <w:color w:val="auto"/>
          <w:sz w:val="24"/>
          <w:szCs w:val="24"/>
          <w:highlight w:val="none"/>
        </w:rPr>
        <w:t>）</w:t>
      </w:r>
    </w:p>
    <w:p w14:paraId="6402C0B7">
      <w:pPr>
        <w:snapToGrid w:val="0"/>
        <w:spacing w:line="360" w:lineRule="auto"/>
        <w:ind w:firstLine="480" w:firstLineChars="200"/>
        <w:jc w:val="left"/>
        <w:rPr>
          <w:rFonts w:hint="default" w:ascii="宋体" w:hAnsi="宋体" w:cs="宋体"/>
          <w:color w:val="auto"/>
          <w:sz w:val="24"/>
          <w:szCs w:val="24"/>
          <w:highlight w:val="none"/>
        </w:rPr>
      </w:pPr>
      <w:r>
        <w:rPr>
          <w:rFonts w:ascii="宋体" w:hAnsi="宋体" w:cs="宋体"/>
          <w:color w:val="auto"/>
          <w:sz w:val="24"/>
          <w:szCs w:val="24"/>
          <w:highlight w:val="none"/>
        </w:rPr>
        <w:t>2）</w:t>
      </w:r>
      <w:r>
        <w:rPr>
          <w:rFonts w:hint="default" w:ascii="宋体" w:hAnsi="宋体" w:cs="宋体"/>
          <w:color w:val="auto"/>
          <w:sz w:val="24"/>
          <w:szCs w:val="24"/>
          <w:highlight w:val="none"/>
        </w:rPr>
        <w:t>联合体各方资信情况证明文件（营业执照、符合资格条件的声明函、业绩证明材料）由各方成员盖章签字，其他内容以联合体牵头单位为主签署投标文件。</w:t>
      </w:r>
    </w:p>
    <w:p w14:paraId="08F1137B">
      <w:pPr>
        <w:pStyle w:val="40"/>
        <w:spacing w:line="360" w:lineRule="auto"/>
        <w:ind w:left="0" w:leftChars="0" w:firstLine="480"/>
        <w:rPr>
          <w:rFonts w:hint="default" w:ascii="宋体" w:hAnsi="宋体" w:cs="宋体"/>
          <w:color w:val="auto"/>
          <w:sz w:val="24"/>
          <w:highlight w:val="none"/>
        </w:rPr>
      </w:pPr>
      <w:r>
        <w:rPr>
          <w:rFonts w:ascii="宋体" w:hAnsi="宋体" w:cs="宋体"/>
          <w:color w:val="auto"/>
          <w:sz w:val="24"/>
          <w:highlight w:val="none"/>
        </w:rPr>
        <w:t>3）附件中有参考格式的，参照格式，没有参考格式的，供应商根据招标文件要求自行编制。</w:t>
      </w:r>
    </w:p>
    <w:p w14:paraId="4A77598C">
      <w:pPr>
        <w:pStyle w:val="40"/>
        <w:adjustRightInd w:val="0"/>
        <w:snapToGrid w:val="0"/>
        <w:spacing w:after="0" w:line="360" w:lineRule="auto"/>
        <w:ind w:left="0" w:leftChars="0" w:firstLine="480"/>
        <w:rPr>
          <w:rFonts w:hint="default" w:ascii="宋体" w:hAnsi="宋体" w:cs="宋体"/>
          <w:color w:val="auto"/>
          <w:sz w:val="24"/>
          <w:highlight w:val="none"/>
        </w:rPr>
      </w:pPr>
      <w:r>
        <w:rPr>
          <w:rFonts w:ascii="宋体" w:hAnsi="宋体" w:cs="宋体"/>
          <w:color w:val="auto"/>
          <w:sz w:val="24"/>
          <w:highlight w:val="none"/>
        </w:rPr>
        <w:t>4）供应商应根据“政采云供应商项目采购-电子招投标操作指南”及本招标文件规定的格式和顺序编制电子响应文件并进行关联定位。以便评标委员会在评审过程中，点击评分项，可直接定位到该评分项内容。</w:t>
      </w:r>
    </w:p>
    <w:p w14:paraId="1FF197C8">
      <w:pPr>
        <w:adjustRightInd w:val="0"/>
        <w:snapToGrid w:val="0"/>
        <w:spacing w:line="360" w:lineRule="auto"/>
        <w:ind w:firstLine="472" w:firstLineChars="196"/>
        <w:jc w:val="left"/>
        <w:outlineLvl w:val="0"/>
        <w:rPr>
          <w:rFonts w:hint="default"/>
          <w:b/>
          <w:color w:val="auto"/>
          <w:sz w:val="24"/>
          <w:highlight w:val="none"/>
        </w:rPr>
      </w:pPr>
      <w:bookmarkStart w:id="46" w:name="_Toc15620"/>
      <w:r>
        <w:rPr>
          <w:rFonts w:hint="default"/>
          <w:b/>
          <w:color w:val="auto"/>
          <w:sz w:val="24"/>
          <w:highlight w:val="none"/>
        </w:rPr>
        <w:t>（二）投标文件的语言及计量</w:t>
      </w:r>
      <w:bookmarkEnd w:id="42"/>
      <w:bookmarkEnd w:id="43"/>
      <w:bookmarkEnd w:id="44"/>
      <w:bookmarkEnd w:id="45"/>
      <w:bookmarkEnd w:id="46"/>
    </w:p>
    <w:p w14:paraId="4E44E438">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1.投标文件以及投标方与招标方就有关投标事宜的所有来往函电，均应以中文汉语书写。除签名、盖章、专用名称等特殊情形外，以中文汉语以外的文字表述的投标文件视同未提供。</w:t>
      </w:r>
    </w:p>
    <w:p w14:paraId="27BF43CF">
      <w:pPr>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2投标计量单位，招标文件已有明确规定的，使用招标文件规定的计量单位；招标文件没有规定的，应采用中华人民共和国法定计量单位（货币单位：人民币元），否则视同未响应。</w:t>
      </w:r>
    </w:p>
    <w:p w14:paraId="3828FC96">
      <w:pPr>
        <w:adjustRightInd w:val="0"/>
        <w:snapToGrid w:val="0"/>
        <w:spacing w:line="360" w:lineRule="auto"/>
        <w:ind w:firstLine="472" w:firstLineChars="196"/>
        <w:jc w:val="left"/>
        <w:outlineLvl w:val="0"/>
        <w:rPr>
          <w:rFonts w:hint="default"/>
          <w:b/>
          <w:color w:val="auto"/>
          <w:sz w:val="24"/>
          <w:highlight w:val="none"/>
        </w:rPr>
      </w:pPr>
      <w:bookmarkStart w:id="47" w:name="_Toc10791"/>
      <w:bookmarkStart w:id="48" w:name="_Toc27951"/>
      <w:bookmarkStart w:id="49" w:name="_Toc2734"/>
      <w:bookmarkStart w:id="50" w:name="_Toc447"/>
      <w:bookmarkStart w:id="51" w:name="_Toc26081"/>
      <w:r>
        <w:rPr>
          <w:rFonts w:hint="default"/>
          <w:b/>
          <w:color w:val="auto"/>
          <w:sz w:val="24"/>
          <w:highlight w:val="none"/>
        </w:rPr>
        <w:t>（三）投标报价</w:t>
      </w:r>
      <w:bookmarkEnd w:id="47"/>
      <w:bookmarkEnd w:id="48"/>
      <w:bookmarkEnd w:id="49"/>
      <w:bookmarkEnd w:id="50"/>
      <w:bookmarkEnd w:id="51"/>
    </w:p>
    <w:p w14:paraId="1E9C9971">
      <w:pPr>
        <w:snapToGrid w:val="0"/>
        <w:spacing w:line="360" w:lineRule="auto"/>
        <w:ind w:firstLine="480" w:firstLineChars="200"/>
        <w:rPr>
          <w:rFonts w:hint="default" w:ascii="宋体" w:hAnsi="宋体" w:cs="宋体"/>
          <w:color w:val="auto"/>
          <w:sz w:val="24"/>
          <w:highlight w:val="none"/>
        </w:rPr>
      </w:pPr>
      <w:r>
        <w:rPr>
          <w:rFonts w:ascii="宋体" w:hAnsi="宋体" w:cs="宋体"/>
          <w:color w:val="auto"/>
          <w:sz w:val="24"/>
          <w:highlight w:val="none"/>
        </w:rPr>
        <w:t>1.报价应按采购文件中相关附表格式填写。</w:t>
      </w:r>
    </w:p>
    <w:p w14:paraId="34E26D96">
      <w:pPr>
        <w:snapToGrid w:val="0"/>
        <w:spacing w:line="360" w:lineRule="auto"/>
        <w:ind w:firstLine="480" w:firstLineChars="200"/>
        <w:rPr>
          <w:rFonts w:hint="default" w:ascii="宋体" w:hAnsi="宋体" w:cs="宋体"/>
          <w:color w:val="auto"/>
          <w:sz w:val="24"/>
          <w:highlight w:val="none"/>
        </w:rPr>
      </w:pPr>
      <w:r>
        <w:rPr>
          <w:rFonts w:ascii="宋体" w:hAnsi="宋体" w:cs="宋体"/>
          <w:color w:val="auto"/>
          <w:sz w:val="24"/>
          <w:highlight w:val="none"/>
        </w:rPr>
        <w:t>2.投标人根据招标文件的要求，</w:t>
      </w:r>
      <w:r>
        <w:rPr>
          <w:rFonts w:ascii="宋体" w:hAnsi="宋体" w:cs="宋体"/>
          <w:color w:val="auto"/>
          <w:kern w:val="0"/>
          <w:sz w:val="24"/>
          <w:highlight w:val="none"/>
          <w:lang w:val="zh-CN"/>
        </w:rPr>
        <w:t>有关本项目实施所需的所有费用（含税费）均计入报价</w:t>
      </w:r>
      <w:r>
        <w:rPr>
          <w:rFonts w:ascii="宋体" w:hAnsi="宋体" w:cs="宋体"/>
          <w:color w:val="auto"/>
          <w:sz w:val="24"/>
          <w:highlight w:val="none"/>
        </w:rPr>
        <w:t>。</w:t>
      </w:r>
    </w:p>
    <w:p w14:paraId="30D0C715">
      <w:pPr>
        <w:adjustRightInd w:val="0"/>
        <w:snapToGrid w:val="0"/>
        <w:spacing w:line="360" w:lineRule="auto"/>
        <w:ind w:firstLine="482" w:firstLineChars="200"/>
        <w:jc w:val="left"/>
        <w:rPr>
          <w:rFonts w:hint="default"/>
          <w:b/>
          <w:bCs/>
          <w:color w:val="auto"/>
          <w:sz w:val="24"/>
          <w:highlight w:val="none"/>
        </w:rPr>
      </w:pPr>
      <w:r>
        <w:rPr>
          <w:b/>
          <w:bCs/>
          <w:color w:val="auto"/>
          <w:sz w:val="24"/>
          <w:highlight w:val="none"/>
        </w:rPr>
        <w:t>3</w:t>
      </w:r>
      <w:r>
        <w:rPr>
          <w:rFonts w:hint="default"/>
          <w:b/>
          <w:bCs/>
          <w:color w:val="auto"/>
          <w:sz w:val="24"/>
          <w:highlight w:val="none"/>
        </w:rPr>
        <w:t>.投标文件只允许有一个报价，有选择或有条件的报价将不予接受，其投标无效。</w:t>
      </w:r>
    </w:p>
    <w:p w14:paraId="726FCE86">
      <w:pPr>
        <w:pStyle w:val="9"/>
        <w:widowControl w:val="0"/>
        <w:numPr>
          <w:ilvl w:val="0"/>
          <w:numId w:val="0"/>
        </w:numPr>
        <w:adjustRightInd w:val="0"/>
        <w:snapToGrid w:val="0"/>
        <w:spacing w:afterLines="0" w:line="360" w:lineRule="auto"/>
        <w:ind w:firstLine="472" w:firstLineChars="196"/>
        <w:rPr>
          <w:rFonts w:hint="default"/>
          <w:b/>
          <w:color w:val="auto"/>
          <w:szCs w:val="24"/>
          <w:highlight w:val="none"/>
        </w:rPr>
      </w:pPr>
      <w:r>
        <w:rPr>
          <w:rFonts w:hint="default"/>
          <w:b/>
          <w:color w:val="auto"/>
          <w:szCs w:val="24"/>
          <w:highlight w:val="none"/>
        </w:rPr>
        <w:t>（四）投标文件的有效期</w:t>
      </w:r>
    </w:p>
    <w:p w14:paraId="1C034ABA">
      <w:pPr>
        <w:pStyle w:val="9"/>
        <w:widowControl w:val="0"/>
        <w:numPr>
          <w:ilvl w:val="0"/>
          <w:numId w:val="0"/>
        </w:numPr>
        <w:adjustRightInd w:val="0"/>
        <w:snapToGrid w:val="0"/>
        <w:spacing w:afterLines="0" w:line="360" w:lineRule="auto"/>
        <w:ind w:firstLine="482" w:firstLineChars="200"/>
        <w:rPr>
          <w:rFonts w:hint="default"/>
          <w:b/>
          <w:bCs/>
          <w:color w:val="auto"/>
          <w:szCs w:val="24"/>
          <w:highlight w:val="none"/>
        </w:rPr>
      </w:pPr>
      <w:r>
        <w:rPr>
          <w:rFonts w:hint="default"/>
          <w:b/>
          <w:bCs/>
          <w:color w:val="auto"/>
          <w:szCs w:val="24"/>
          <w:highlight w:val="none"/>
        </w:rPr>
        <w:t>1.自投标截止日起</w:t>
      </w:r>
      <w:r>
        <w:rPr>
          <w:rFonts w:hint="default"/>
          <w:b/>
          <w:bCs/>
          <w:color w:val="auto"/>
          <w:szCs w:val="24"/>
          <w:highlight w:val="none"/>
          <w:u w:val="single"/>
        </w:rPr>
        <w:t xml:space="preserve"> 90 </w:t>
      </w:r>
      <w:r>
        <w:rPr>
          <w:rFonts w:hint="default"/>
          <w:b/>
          <w:bCs/>
          <w:color w:val="auto"/>
          <w:szCs w:val="24"/>
          <w:highlight w:val="none"/>
        </w:rPr>
        <w:t>天投标文件应保持有效。有效期不足的投标文件将被视为无效。</w:t>
      </w:r>
    </w:p>
    <w:p w14:paraId="4B7396A7">
      <w:pPr>
        <w:pStyle w:val="9"/>
        <w:widowControl w:val="0"/>
        <w:numPr>
          <w:ilvl w:val="0"/>
          <w:numId w:val="0"/>
        </w:numPr>
        <w:adjustRightInd w:val="0"/>
        <w:snapToGrid w:val="0"/>
        <w:spacing w:afterLines="0" w:line="360" w:lineRule="auto"/>
        <w:ind w:firstLine="480" w:firstLineChars="200"/>
        <w:rPr>
          <w:rFonts w:hint="default"/>
          <w:color w:val="auto"/>
          <w:szCs w:val="24"/>
          <w:highlight w:val="none"/>
        </w:rPr>
      </w:pPr>
      <w:r>
        <w:rPr>
          <w:rFonts w:hint="default"/>
          <w:color w:val="auto"/>
          <w:szCs w:val="24"/>
          <w:highlight w:val="none"/>
        </w:rPr>
        <w:t>2.在特殊情况下，采购人可与投标人协商延长投标书的有效期，这种要求和答复均以书面形式进行。</w:t>
      </w:r>
    </w:p>
    <w:p w14:paraId="65C00492">
      <w:pPr>
        <w:adjustRightInd w:val="0"/>
        <w:snapToGrid w:val="0"/>
        <w:spacing w:line="360" w:lineRule="auto"/>
        <w:ind w:firstLine="480" w:firstLineChars="200"/>
        <w:jc w:val="left"/>
        <w:outlineLvl w:val="0"/>
        <w:rPr>
          <w:rFonts w:hint="default"/>
          <w:b/>
          <w:color w:val="auto"/>
          <w:sz w:val="24"/>
          <w:highlight w:val="none"/>
        </w:rPr>
      </w:pPr>
      <w:bookmarkStart w:id="52" w:name="_Toc21096"/>
      <w:bookmarkStart w:id="53" w:name="_Toc7404"/>
      <w:bookmarkStart w:id="54" w:name="_Toc28284"/>
      <w:bookmarkStart w:id="55" w:name="_Toc25306"/>
      <w:bookmarkStart w:id="56" w:name="_Toc22937"/>
      <w:r>
        <w:rPr>
          <w:rFonts w:hint="default"/>
          <w:color w:val="auto"/>
          <w:sz w:val="24"/>
          <w:highlight w:val="none"/>
        </w:rPr>
        <w:t>3.投标人可拒绝接受延期要求。同意延长有效期的，投标人不能修改其投标文件。</w:t>
      </w:r>
      <w:bookmarkEnd w:id="52"/>
      <w:bookmarkEnd w:id="53"/>
      <w:bookmarkEnd w:id="54"/>
      <w:bookmarkEnd w:id="55"/>
      <w:bookmarkEnd w:id="56"/>
    </w:p>
    <w:p w14:paraId="07667F96">
      <w:pPr>
        <w:adjustRightInd w:val="0"/>
        <w:snapToGrid w:val="0"/>
        <w:spacing w:line="360" w:lineRule="auto"/>
        <w:ind w:firstLine="480" w:firstLineChars="200"/>
        <w:jc w:val="left"/>
        <w:outlineLvl w:val="0"/>
        <w:rPr>
          <w:rFonts w:hint="default"/>
          <w:b/>
          <w:color w:val="auto"/>
          <w:sz w:val="24"/>
          <w:highlight w:val="none"/>
        </w:rPr>
      </w:pPr>
      <w:bookmarkStart w:id="57" w:name="_Toc14664"/>
      <w:bookmarkStart w:id="58" w:name="_Toc25512"/>
      <w:bookmarkStart w:id="59" w:name="_Toc17993"/>
      <w:bookmarkStart w:id="60" w:name="_Toc3605"/>
      <w:bookmarkStart w:id="61" w:name="_Toc28942"/>
      <w:r>
        <w:rPr>
          <w:rFonts w:hint="default"/>
          <w:color w:val="auto"/>
          <w:sz w:val="24"/>
          <w:highlight w:val="none"/>
        </w:rPr>
        <w:t>4.中标人的投标文件自开标之日起至合同履行完毕止均应保持有效。</w:t>
      </w:r>
      <w:bookmarkEnd w:id="57"/>
      <w:bookmarkEnd w:id="58"/>
      <w:bookmarkEnd w:id="59"/>
      <w:bookmarkEnd w:id="60"/>
      <w:bookmarkEnd w:id="61"/>
    </w:p>
    <w:p w14:paraId="0F8EC107">
      <w:pPr>
        <w:pStyle w:val="9"/>
        <w:widowControl w:val="0"/>
        <w:numPr>
          <w:ilvl w:val="0"/>
          <w:numId w:val="0"/>
        </w:numPr>
        <w:adjustRightInd w:val="0"/>
        <w:snapToGrid w:val="0"/>
        <w:spacing w:afterLines="0" w:line="360" w:lineRule="auto"/>
        <w:ind w:firstLine="472" w:firstLineChars="196"/>
        <w:rPr>
          <w:rFonts w:hint="default"/>
          <w:b/>
          <w:color w:val="auto"/>
          <w:szCs w:val="24"/>
          <w:highlight w:val="none"/>
        </w:rPr>
      </w:pPr>
      <w:r>
        <w:rPr>
          <w:rFonts w:hint="default"/>
          <w:b/>
          <w:color w:val="auto"/>
          <w:szCs w:val="24"/>
          <w:highlight w:val="none"/>
        </w:rPr>
        <w:t>（五）投标文件的编制</w:t>
      </w:r>
    </w:p>
    <w:p w14:paraId="16D49438">
      <w:pPr>
        <w:autoSpaceDE w:val="0"/>
        <w:autoSpaceDN w:val="0"/>
        <w:adjustRightInd w:val="0"/>
        <w:snapToGrid w:val="0"/>
        <w:spacing w:line="360" w:lineRule="auto"/>
        <w:ind w:left="359" w:leftChars="171" w:firstLine="120" w:firstLineChars="50"/>
        <w:rPr>
          <w:rFonts w:hint="default" w:ascii="宋体" w:hAnsi="宋体" w:cs="宋体"/>
          <w:color w:val="auto"/>
          <w:sz w:val="24"/>
          <w:highlight w:val="none"/>
        </w:rPr>
      </w:pPr>
      <w:r>
        <w:rPr>
          <w:rFonts w:ascii="宋体" w:hAnsi="宋体" w:cs="宋体"/>
          <w:color w:val="auto"/>
          <w:sz w:val="24"/>
          <w:highlight w:val="none"/>
        </w:rPr>
        <w:t>1.“电子加密投标文件”：</w:t>
      </w:r>
    </w:p>
    <w:p w14:paraId="6A6362AD">
      <w:pPr>
        <w:autoSpaceDE w:val="0"/>
        <w:autoSpaceDN w:val="0"/>
        <w:adjustRightInd w:val="0"/>
        <w:snapToGrid w:val="0"/>
        <w:spacing w:line="360" w:lineRule="auto"/>
        <w:ind w:firstLine="360" w:firstLineChars="150"/>
        <w:rPr>
          <w:rFonts w:hint="default" w:ascii="宋体" w:hAnsi="宋体" w:cs="宋体"/>
          <w:color w:val="auto"/>
          <w:sz w:val="24"/>
          <w:highlight w:val="none"/>
        </w:rPr>
      </w:pPr>
      <w:r>
        <w:rPr>
          <w:rFonts w:ascii="宋体" w:hAnsi="宋体" w:cs="宋体"/>
          <w:color w:val="auto"/>
          <w:sz w:val="24"/>
          <w:highlight w:val="none"/>
        </w:rPr>
        <w:t>（1）“电子加密投标文件”是指通过“政采云电子交易客户端”完成投标文件编制后生成并加密的数据电文形式的投标文件。</w:t>
      </w:r>
    </w:p>
    <w:p w14:paraId="7EB88F1A">
      <w:pPr>
        <w:spacing w:line="360" w:lineRule="auto"/>
        <w:ind w:firstLine="360" w:firstLineChars="150"/>
        <w:rPr>
          <w:rFonts w:hint="default" w:ascii="宋体" w:hAnsi="宋体" w:cs="宋体"/>
          <w:color w:val="auto"/>
          <w:sz w:val="24"/>
          <w:highlight w:val="none"/>
        </w:rPr>
      </w:pPr>
      <w:r>
        <w:rPr>
          <w:rFonts w:ascii="宋体" w:hAnsi="宋体" w:cs="宋体"/>
          <w:color w:val="auto"/>
          <w:sz w:val="24"/>
          <w:highlight w:val="none"/>
        </w:rPr>
        <w:t>（2）供应商应先安装“政采云电子交易客户端”，并按照本招标文件和“政府采购云平台”的要求，通过“政采云电子交易客户端”编制并加密投标文件。</w:t>
      </w:r>
    </w:p>
    <w:p w14:paraId="1357F12A">
      <w:pPr>
        <w:spacing w:line="360" w:lineRule="auto"/>
        <w:ind w:left="359" w:leftChars="171" w:firstLine="120" w:firstLineChars="50"/>
        <w:rPr>
          <w:rFonts w:hint="default" w:ascii="宋体" w:hAnsi="宋体" w:cs="宋体"/>
          <w:color w:val="auto"/>
          <w:sz w:val="24"/>
          <w:highlight w:val="none"/>
        </w:rPr>
      </w:pPr>
      <w:r>
        <w:rPr>
          <w:rFonts w:ascii="宋体" w:hAnsi="宋体" w:cs="宋体"/>
          <w:color w:val="auto"/>
          <w:sz w:val="24"/>
          <w:highlight w:val="none"/>
        </w:rPr>
        <w:t>2.“电子备份投标文件”：</w:t>
      </w:r>
    </w:p>
    <w:p w14:paraId="7CF5315B">
      <w:pPr>
        <w:autoSpaceDE w:val="0"/>
        <w:autoSpaceDN w:val="0"/>
        <w:adjustRightInd w:val="0"/>
        <w:snapToGrid w:val="0"/>
        <w:spacing w:line="360" w:lineRule="auto"/>
        <w:ind w:firstLine="360" w:firstLineChars="150"/>
        <w:rPr>
          <w:rFonts w:hint="default" w:ascii="宋体" w:hAnsi="宋体" w:cs="宋体"/>
          <w:color w:val="auto"/>
          <w:sz w:val="24"/>
          <w:highlight w:val="none"/>
        </w:rPr>
      </w:pPr>
      <w:r>
        <w:rPr>
          <w:rFonts w:ascii="宋体" w:hAnsi="宋体" w:cs="宋体"/>
          <w:color w:val="auto"/>
          <w:sz w:val="24"/>
          <w:highlight w:val="none"/>
        </w:rPr>
        <w:t>（1）投标人在电子交易平台传输递交投标文件后，还可以在投标截止时间前直接提交或者以邮政快递方式递交备份投标文件1份，</w:t>
      </w:r>
      <w:r>
        <w:rPr>
          <w:rFonts w:ascii="宋体" w:hAnsi="宋体" w:cs="宋体"/>
          <w:b/>
          <w:bCs/>
          <w:color w:val="auto"/>
          <w:sz w:val="24"/>
          <w:highlight w:val="none"/>
        </w:rPr>
        <w:t>但采购人、采购代理机构不强制或变相强制投标人提交备份投标文件。</w:t>
      </w:r>
    </w:p>
    <w:p w14:paraId="00AED1DD">
      <w:pPr>
        <w:autoSpaceDE w:val="0"/>
        <w:autoSpaceDN w:val="0"/>
        <w:adjustRightInd w:val="0"/>
        <w:snapToGrid w:val="0"/>
        <w:spacing w:line="360" w:lineRule="auto"/>
        <w:ind w:firstLine="360" w:firstLineChars="150"/>
        <w:rPr>
          <w:rFonts w:hint="default" w:ascii="宋体" w:hAnsi="宋体" w:cs="宋体"/>
          <w:b/>
          <w:bCs/>
          <w:color w:val="auto"/>
          <w:sz w:val="24"/>
          <w:highlight w:val="none"/>
        </w:rPr>
      </w:pPr>
      <w:r>
        <w:rPr>
          <w:rFonts w:ascii="宋体" w:hAnsi="宋体" w:cs="宋体"/>
          <w:color w:val="auto"/>
          <w:sz w:val="24"/>
          <w:highlight w:val="none"/>
        </w:rPr>
        <w:t>（2）备份投标文件须在“政采云投标客户端”制作生成，并储存在DVD光盘等存储介质中。备份投标文件应当密封包装并在包装上加盖公章并注明投标项目名称，投标人名称(联合体投标的，包装物封面需注明联合体投标，并注明联合体成员各方的名称和联合协议中约定的牵头人的名称)。</w:t>
      </w:r>
      <w:r>
        <w:rPr>
          <w:rFonts w:ascii="宋体" w:hAnsi="宋体" w:cs="宋体"/>
          <w:b/>
          <w:bCs/>
          <w:color w:val="auto"/>
          <w:sz w:val="24"/>
          <w:highlight w:val="none"/>
        </w:rPr>
        <w:t>不符合上述制作、存储、密封规定的备份投标文件将被视为无效或者被拒绝接收。</w:t>
      </w:r>
    </w:p>
    <w:p w14:paraId="5F490571">
      <w:pPr>
        <w:autoSpaceDE w:val="0"/>
        <w:autoSpaceDN w:val="0"/>
        <w:adjustRightInd w:val="0"/>
        <w:snapToGrid w:val="0"/>
        <w:spacing w:line="360" w:lineRule="auto"/>
        <w:ind w:firstLine="360" w:firstLineChars="150"/>
        <w:rPr>
          <w:rFonts w:hint="default" w:ascii="宋体" w:hAnsi="宋体" w:cs="宋体"/>
          <w:color w:val="auto"/>
          <w:sz w:val="24"/>
          <w:highlight w:val="none"/>
        </w:rPr>
      </w:pPr>
      <w:r>
        <w:rPr>
          <w:rFonts w:ascii="宋体" w:hAnsi="宋体" w:cs="宋体"/>
          <w:color w:val="auto"/>
          <w:sz w:val="24"/>
          <w:highlight w:val="none"/>
        </w:rPr>
        <w:t>（3）直接提交备份投标文件的，投标人应于投标截止时间前在招标公告中载明的开标地点将备份投标文件提交给采购代理机构，采购代理机构将拒绝接受逾期送达的备份投标文件。</w:t>
      </w:r>
    </w:p>
    <w:p w14:paraId="4B4506B5">
      <w:pPr>
        <w:autoSpaceDE w:val="0"/>
        <w:autoSpaceDN w:val="0"/>
        <w:adjustRightInd w:val="0"/>
        <w:snapToGrid w:val="0"/>
        <w:spacing w:line="360" w:lineRule="auto"/>
        <w:ind w:firstLine="360" w:firstLineChars="150"/>
        <w:rPr>
          <w:rFonts w:hint="default" w:ascii="宋体" w:hAnsi="宋体" w:cs="宋体"/>
          <w:color w:val="auto"/>
          <w:sz w:val="24"/>
          <w:highlight w:val="none"/>
        </w:rPr>
      </w:pPr>
      <w:r>
        <w:rPr>
          <w:rFonts w:ascii="宋体" w:hAnsi="宋体" w:cs="宋体"/>
          <w:color w:val="auto"/>
          <w:sz w:val="24"/>
          <w:highlight w:val="none"/>
        </w:rPr>
        <w:t>（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14:paraId="7355B8D9">
      <w:pPr>
        <w:autoSpaceDE w:val="0"/>
        <w:autoSpaceDN w:val="0"/>
        <w:adjustRightInd w:val="0"/>
        <w:snapToGrid w:val="0"/>
        <w:spacing w:line="360" w:lineRule="auto"/>
        <w:ind w:firstLine="361" w:firstLineChars="150"/>
        <w:rPr>
          <w:rFonts w:hint="default" w:ascii="宋体" w:hAnsi="宋体" w:cs="宋体"/>
          <w:b/>
          <w:bCs/>
          <w:color w:val="auto"/>
          <w:sz w:val="24"/>
          <w:highlight w:val="none"/>
        </w:rPr>
      </w:pPr>
      <w:r>
        <w:rPr>
          <w:rFonts w:ascii="宋体" w:hAnsi="宋体" w:cs="宋体"/>
          <w:b/>
          <w:bCs/>
          <w:color w:val="auto"/>
          <w:sz w:val="24"/>
          <w:highlight w:val="none"/>
        </w:rPr>
        <w:t>（5）投标人仅提交备份投标文件，未在电子交易平台传输递交投标文件的，投标无效。</w:t>
      </w:r>
    </w:p>
    <w:p w14:paraId="2D92D71E">
      <w:pPr>
        <w:pStyle w:val="9"/>
        <w:widowControl w:val="0"/>
        <w:numPr>
          <w:ilvl w:val="0"/>
          <w:numId w:val="0"/>
        </w:numPr>
        <w:adjustRightInd w:val="0"/>
        <w:snapToGrid w:val="0"/>
        <w:spacing w:afterLines="0" w:line="360" w:lineRule="auto"/>
        <w:ind w:firstLine="472" w:firstLineChars="196"/>
        <w:rPr>
          <w:rFonts w:hint="default"/>
          <w:b/>
          <w:color w:val="auto"/>
          <w:szCs w:val="24"/>
          <w:highlight w:val="none"/>
        </w:rPr>
      </w:pPr>
      <w:r>
        <w:rPr>
          <w:rFonts w:hint="default"/>
          <w:b/>
          <w:color w:val="auto"/>
          <w:szCs w:val="24"/>
          <w:highlight w:val="none"/>
        </w:rPr>
        <w:t>（六）投标文件的签章</w:t>
      </w:r>
    </w:p>
    <w:p w14:paraId="6FAE965B">
      <w:pPr>
        <w:adjustRightInd w:val="0"/>
        <w:snapToGrid w:val="0"/>
        <w:spacing w:line="360" w:lineRule="auto"/>
        <w:ind w:firstLine="472" w:firstLineChars="197"/>
        <w:jc w:val="left"/>
        <w:rPr>
          <w:rFonts w:hint="default"/>
          <w:color w:val="auto"/>
          <w:sz w:val="24"/>
          <w:highlight w:val="none"/>
        </w:rPr>
      </w:pPr>
      <w:r>
        <w:rPr>
          <w:rFonts w:hint="default"/>
          <w:color w:val="auto"/>
          <w:sz w:val="24"/>
          <w:highlight w:val="none"/>
        </w:rPr>
        <w:t>采用电子签章。</w:t>
      </w:r>
    </w:p>
    <w:p w14:paraId="3C6F9A8F">
      <w:pPr>
        <w:pStyle w:val="9"/>
        <w:widowControl w:val="0"/>
        <w:numPr>
          <w:ilvl w:val="0"/>
          <w:numId w:val="0"/>
        </w:numPr>
        <w:adjustRightInd w:val="0"/>
        <w:snapToGrid w:val="0"/>
        <w:spacing w:afterLines="0" w:line="360" w:lineRule="auto"/>
        <w:ind w:firstLine="472" w:firstLineChars="196"/>
        <w:rPr>
          <w:rFonts w:hint="default"/>
          <w:b/>
          <w:color w:val="auto"/>
          <w:szCs w:val="24"/>
          <w:highlight w:val="none"/>
        </w:rPr>
      </w:pPr>
      <w:r>
        <w:rPr>
          <w:rFonts w:hint="default"/>
          <w:b/>
          <w:color w:val="auto"/>
          <w:szCs w:val="24"/>
          <w:highlight w:val="none"/>
        </w:rPr>
        <w:t>（七）投标文件的包装、密封和递交</w:t>
      </w:r>
    </w:p>
    <w:p w14:paraId="37E7BEA0">
      <w:pPr>
        <w:autoSpaceDE w:val="0"/>
        <w:autoSpaceDN w:val="0"/>
        <w:adjustRightInd w:val="0"/>
        <w:snapToGrid w:val="0"/>
        <w:spacing w:line="360" w:lineRule="auto"/>
        <w:ind w:firstLine="480" w:firstLineChars="200"/>
        <w:textAlignment w:val="bottom"/>
        <w:rPr>
          <w:rFonts w:hint="default"/>
          <w:color w:val="auto"/>
          <w:sz w:val="24"/>
          <w:highlight w:val="none"/>
        </w:rPr>
      </w:pPr>
      <w:r>
        <w:rPr>
          <w:rFonts w:hint="default"/>
          <w:color w:val="auto"/>
          <w:sz w:val="24"/>
          <w:highlight w:val="none"/>
        </w:rPr>
        <w:t>1.“电子加密投标文件”的递交：在线上传递交。</w:t>
      </w:r>
    </w:p>
    <w:p w14:paraId="7F56C738">
      <w:pPr>
        <w:adjustRightInd w:val="0"/>
        <w:snapToGrid w:val="0"/>
        <w:spacing w:line="360" w:lineRule="auto"/>
        <w:ind w:firstLine="361" w:firstLineChars="150"/>
        <w:rPr>
          <w:rFonts w:hint="default"/>
          <w:b/>
          <w:bCs/>
          <w:color w:val="auto"/>
          <w:sz w:val="24"/>
          <w:highlight w:val="none"/>
        </w:rPr>
      </w:pPr>
      <w:r>
        <w:rPr>
          <w:rFonts w:hint="default"/>
          <w:b/>
          <w:bCs/>
          <w:color w:val="auto"/>
          <w:sz w:val="24"/>
          <w:highlight w:val="none"/>
        </w:rPr>
        <w:t>（1）供应商应在投标截止时间前将“电子加密投标文件”成功上传递交至“政府采购云平台”，否则投标无效。</w:t>
      </w:r>
    </w:p>
    <w:p w14:paraId="0901F0BA">
      <w:pPr>
        <w:adjustRightInd w:val="0"/>
        <w:snapToGrid w:val="0"/>
        <w:spacing w:line="360" w:lineRule="auto"/>
        <w:ind w:left="959" w:leftChars="171" w:hanging="600" w:hangingChars="250"/>
        <w:rPr>
          <w:rFonts w:hint="default"/>
          <w:color w:val="auto"/>
          <w:sz w:val="24"/>
          <w:highlight w:val="none"/>
        </w:rPr>
      </w:pPr>
      <w:r>
        <w:rPr>
          <w:rFonts w:hint="default"/>
          <w:color w:val="auto"/>
          <w:sz w:val="24"/>
          <w:highlight w:val="none"/>
        </w:rPr>
        <w:t>（2）“电子加密投标文件”成功上传递交后，供应商可自行打印投标文件接收回执。</w:t>
      </w:r>
    </w:p>
    <w:p w14:paraId="51F643E0">
      <w:pPr>
        <w:adjustRightInd w:val="0"/>
        <w:snapToGrid w:val="0"/>
        <w:spacing w:line="360" w:lineRule="auto"/>
        <w:ind w:firstLine="480" w:firstLineChars="200"/>
        <w:rPr>
          <w:rFonts w:hint="default"/>
          <w:color w:val="auto"/>
          <w:sz w:val="24"/>
          <w:highlight w:val="none"/>
        </w:rPr>
      </w:pPr>
      <w:r>
        <w:rPr>
          <w:rFonts w:hint="default"/>
          <w:color w:val="auto"/>
          <w:sz w:val="24"/>
          <w:highlight w:val="none"/>
        </w:rPr>
        <w:t>2.“电子备份投标文件”的密封、包装和递交：</w:t>
      </w:r>
    </w:p>
    <w:p w14:paraId="512CDB8E">
      <w:pPr>
        <w:adjustRightInd w:val="0"/>
        <w:snapToGrid w:val="0"/>
        <w:spacing w:line="360" w:lineRule="auto"/>
        <w:ind w:firstLine="360" w:firstLineChars="150"/>
        <w:rPr>
          <w:rFonts w:hint="default"/>
          <w:color w:val="auto"/>
          <w:sz w:val="24"/>
          <w:highlight w:val="none"/>
        </w:rPr>
      </w:pPr>
      <w:r>
        <w:rPr>
          <w:rFonts w:hint="default"/>
          <w:color w:val="auto"/>
          <w:sz w:val="24"/>
          <w:highlight w:val="none"/>
        </w:rPr>
        <w:t>（1）供应商可自主选择是否递交“电子备份投标文件”。</w:t>
      </w:r>
    </w:p>
    <w:p w14:paraId="0B70301D">
      <w:pPr>
        <w:adjustRightInd w:val="0"/>
        <w:snapToGrid w:val="0"/>
        <w:spacing w:line="360" w:lineRule="auto"/>
        <w:ind w:firstLine="360" w:firstLineChars="150"/>
        <w:rPr>
          <w:rFonts w:hint="default"/>
          <w:color w:val="auto"/>
          <w:sz w:val="24"/>
          <w:highlight w:val="none"/>
        </w:rPr>
      </w:pPr>
      <w:r>
        <w:rPr>
          <w:rFonts w:hint="default"/>
          <w:color w:val="auto"/>
          <w:sz w:val="24"/>
          <w:highlight w:val="none"/>
        </w:rPr>
        <w:t>（2）“电子备份投标文件”存入U盘（一份）。</w:t>
      </w:r>
    </w:p>
    <w:p w14:paraId="7337DC07">
      <w:pPr>
        <w:autoSpaceDE w:val="0"/>
        <w:autoSpaceDN w:val="0"/>
        <w:adjustRightInd w:val="0"/>
        <w:snapToGrid w:val="0"/>
        <w:spacing w:line="360" w:lineRule="auto"/>
        <w:ind w:firstLine="360" w:firstLineChars="150"/>
        <w:textAlignment w:val="bottom"/>
        <w:rPr>
          <w:rFonts w:hint="default"/>
          <w:color w:val="auto"/>
          <w:sz w:val="24"/>
          <w:highlight w:val="none"/>
        </w:rPr>
      </w:pPr>
      <w:r>
        <w:rPr>
          <w:rFonts w:hint="default"/>
          <w:color w:val="auto"/>
          <w:sz w:val="24"/>
          <w:highlight w:val="none"/>
        </w:rPr>
        <w:t>（3）“电子备份投标文件” 应当在投标截止时间前以邮寄或送达方式递交。</w:t>
      </w:r>
    </w:p>
    <w:p w14:paraId="094F0376">
      <w:pPr>
        <w:adjustRightInd w:val="0"/>
        <w:snapToGrid w:val="0"/>
        <w:spacing w:line="360" w:lineRule="auto"/>
        <w:ind w:firstLine="352" w:firstLineChars="147"/>
        <w:jc w:val="left"/>
        <w:rPr>
          <w:rFonts w:hint="default"/>
          <w:b/>
          <w:color w:val="auto"/>
          <w:sz w:val="24"/>
          <w:highlight w:val="none"/>
        </w:rPr>
      </w:pPr>
      <w:r>
        <w:rPr>
          <w:rFonts w:hint="default"/>
          <w:color w:val="auto"/>
          <w:sz w:val="24"/>
          <w:highlight w:val="none"/>
        </w:rPr>
        <w:t>（4）“电子备投标应文件”应当密封包装，并在包装上标注投标项目编号、项目名称、投标单位名称等并加盖公章（详见第六章投标文件格式）。</w:t>
      </w:r>
    </w:p>
    <w:p w14:paraId="0EB9BF61">
      <w:pPr>
        <w:adjustRightInd w:val="0"/>
        <w:snapToGrid w:val="0"/>
        <w:spacing w:line="360" w:lineRule="auto"/>
        <w:ind w:firstLine="354" w:firstLineChars="147"/>
        <w:jc w:val="left"/>
        <w:rPr>
          <w:rFonts w:hint="default"/>
          <w:b/>
          <w:color w:val="auto"/>
          <w:sz w:val="24"/>
          <w:highlight w:val="none"/>
        </w:rPr>
      </w:pPr>
      <w:r>
        <w:rPr>
          <w:rFonts w:hint="default"/>
          <w:b/>
          <w:color w:val="auto"/>
          <w:sz w:val="24"/>
          <w:highlight w:val="none"/>
        </w:rPr>
        <w:t>（八）投标文件的修改和撤回</w:t>
      </w:r>
    </w:p>
    <w:p w14:paraId="7B5F6066">
      <w:pPr>
        <w:adjustRightInd w:val="0"/>
        <w:snapToGrid w:val="0"/>
        <w:spacing w:line="360" w:lineRule="auto"/>
        <w:ind w:firstLine="480" w:firstLineChars="200"/>
        <w:rPr>
          <w:rFonts w:hint="default" w:ascii="宋体" w:hAnsi="宋体" w:cs="宋体"/>
          <w:color w:val="auto"/>
          <w:sz w:val="24"/>
          <w:highlight w:val="none"/>
        </w:rPr>
      </w:pPr>
      <w:r>
        <w:rPr>
          <w:rFonts w:ascii="宋体" w:hAnsi="宋体" w:cs="宋体"/>
          <w:color w:val="auto"/>
          <w:sz w:val="24"/>
          <w:highlight w:val="none"/>
        </w:rPr>
        <w:t>1.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7F1BF772">
      <w:pPr>
        <w:adjustRightInd w:val="0"/>
        <w:snapToGrid w:val="0"/>
        <w:spacing w:line="360" w:lineRule="auto"/>
        <w:ind w:firstLine="480" w:firstLineChars="200"/>
        <w:rPr>
          <w:rFonts w:hint="default" w:ascii="宋体" w:hAnsi="宋体" w:cs="宋体"/>
          <w:color w:val="auto"/>
          <w:sz w:val="24"/>
          <w:highlight w:val="none"/>
        </w:rPr>
      </w:pPr>
      <w:r>
        <w:rPr>
          <w:rFonts w:ascii="宋体" w:hAnsi="宋体" w:cs="宋体"/>
          <w:color w:val="auto"/>
          <w:sz w:val="24"/>
          <w:highlight w:val="none"/>
        </w:rPr>
        <w:t>2.电子交易平台收到投标文件，将妥善保存并即时向供应商发出确认回执通知。在投标截止时间前，除供应商补充、修改或者撤回投标文件外，任何单位和个人不得解密或提取投标文件。</w:t>
      </w:r>
    </w:p>
    <w:p w14:paraId="113BB49C">
      <w:pPr>
        <w:adjustRightInd w:val="0"/>
        <w:snapToGrid w:val="0"/>
        <w:spacing w:line="360" w:lineRule="auto"/>
        <w:ind w:firstLine="480" w:firstLineChars="200"/>
        <w:rPr>
          <w:rFonts w:hint="default" w:ascii="宋体" w:hAnsi="宋体" w:cs="宋体"/>
          <w:color w:val="auto"/>
          <w:sz w:val="24"/>
          <w:highlight w:val="none"/>
        </w:rPr>
      </w:pPr>
      <w:r>
        <w:rPr>
          <w:rFonts w:ascii="宋体" w:hAnsi="宋体" w:cs="宋体"/>
          <w:color w:val="auto"/>
          <w:sz w:val="24"/>
          <w:highlight w:val="none"/>
        </w:rPr>
        <w:t>3.采购人、采购代理机构可以视情况延长投标文件提交的截止时间。在上述情况下，采购代理机构与投标人以前在投标截止期方面的全部权利、责任和义务，将适用于延长至新的投标截止期。</w:t>
      </w:r>
    </w:p>
    <w:p w14:paraId="50956950">
      <w:pPr>
        <w:pStyle w:val="16"/>
        <w:adjustRightInd w:val="0"/>
        <w:snapToGrid w:val="0"/>
        <w:spacing w:line="360" w:lineRule="auto"/>
        <w:ind w:firstLine="0"/>
        <w:outlineLvl w:val="1"/>
        <w:rPr>
          <w:rFonts w:hint="default" w:ascii="Times New Roman" w:hAnsi="Times New Roman"/>
          <w:b/>
          <w:snapToGrid w:val="0"/>
          <w:color w:val="auto"/>
          <w:sz w:val="28"/>
          <w:szCs w:val="28"/>
          <w:highlight w:val="none"/>
        </w:rPr>
      </w:pPr>
      <w:r>
        <w:rPr>
          <w:rFonts w:hint="default" w:ascii="Times New Roman" w:hAnsi="Times New Roman"/>
          <w:b/>
          <w:color w:val="auto"/>
          <w:sz w:val="28"/>
          <w:szCs w:val="28"/>
          <w:highlight w:val="none"/>
        </w:rPr>
        <w:t>四、开标</w:t>
      </w:r>
    </w:p>
    <w:p w14:paraId="678A00C1">
      <w:pPr>
        <w:pStyle w:val="4"/>
        <w:adjustRightInd w:val="0"/>
        <w:snapToGrid w:val="0"/>
        <w:spacing w:before="0" w:after="0" w:line="360" w:lineRule="auto"/>
        <w:ind w:left="716" w:leftChars="171" w:hanging="357" w:hangingChars="148"/>
        <w:rPr>
          <w:color w:val="auto"/>
          <w:sz w:val="24"/>
          <w:szCs w:val="24"/>
          <w:highlight w:val="none"/>
        </w:rPr>
      </w:pPr>
      <w:r>
        <w:rPr>
          <w:color w:val="auto"/>
          <w:sz w:val="24"/>
          <w:szCs w:val="24"/>
          <w:highlight w:val="none"/>
        </w:rPr>
        <w:t>（一）开标形式</w:t>
      </w:r>
    </w:p>
    <w:p w14:paraId="0CFD0D4A">
      <w:pPr>
        <w:adjustRightInd w:val="0"/>
        <w:snapToGrid w:val="0"/>
        <w:spacing w:line="360" w:lineRule="auto"/>
        <w:ind w:firstLine="424" w:firstLineChars="177"/>
        <w:rPr>
          <w:rFonts w:hint="default"/>
          <w:color w:val="auto"/>
          <w:sz w:val="24"/>
          <w:highlight w:val="none"/>
        </w:rPr>
      </w:pPr>
      <w:r>
        <w:rPr>
          <w:rFonts w:hint="default"/>
          <w:color w:val="auto"/>
          <w:sz w:val="24"/>
          <w:highlight w:val="none"/>
        </w:rPr>
        <w:t>1.采购组织机构（即代理机构）将按照招标文件规定的时间通过“政府采购云平台”组织在线开标，所有投标供应商均应当准时在线参加。</w:t>
      </w:r>
    </w:p>
    <w:p w14:paraId="51988E81">
      <w:pPr>
        <w:pStyle w:val="4"/>
        <w:adjustRightInd w:val="0"/>
        <w:snapToGrid w:val="0"/>
        <w:spacing w:before="0" w:after="0" w:line="360" w:lineRule="auto"/>
        <w:ind w:left="716" w:leftChars="171" w:hanging="357" w:hangingChars="148"/>
        <w:rPr>
          <w:color w:val="auto"/>
          <w:sz w:val="24"/>
          <w:szCs w:val="24"/>
          <w:highlight w:val="none"/>
        </w:rPr>
      </w:pPr>
      <w:r>
        <w:rPr>
          <w:color w:val="auto"/>
          <w:sz w:val="24"/>
          <w:szCs w:val="24"/>
          <w:highlight w:val="none"/>
        </w:rPr>
        <w:t>（二）开标准备</w:t>
      </w:r>
    </w:p>
    <w:p w14:paraId="53F8D215">
      <w:pPr>
        <w:adjustRightInd w:val="0"/>
        <w:snapToGrid w:val="0"/>
        <w:spacing w:line="360" w:lineRule="auto"/>
        <w:ind w:firstLine="422" w:firstLineChars="176"/>
        <w:rPr>
          <w:rFonts w:hint="default"/>
          <w:color w:val="auto"/>
          <w:kern w:val="0"/>
          <w:sz w:val="24"/>
          <w:highlight w:val="none"/>
        </w:rPr>
      </w:pPr>
      <w:r>
        <w:rPr>
          <w:rFonts w:hint="default"/>
          <w:color w:val="auto"/>
          <w:kern w:val="0"/>
          <w:sz w:val="24"/>
          <w:highlight w:val="none"/>
        </w:rPr>
        <w:t>1.开标的准备工作由</w:t>
      </w:r>
      <w:r>
        <w:rPr>
          <w:rFonts w:hint="default"/>
          <w:color w:val="auto"/>
          <w:sz w:val="24"/>
          <w:highlight w:val="none"/>
        </w:rPr>
        <w:t>采购组织机构</w:t>
      </w:r>
      <w:r>
        <w:rPr>
          <w:rFonts w:hint="default"/>
          <w:color w:val="auto"/>
          <w:kern w:val="0"/>
          <w:sz w:val="24"/>
          <w:highlight w:val="none"/>
        </w:rPr>
        <w:t>负责落实。</w:t>
      </w:r>
    </w:p>
    <w:p w14:paraId="40D8B546">
      <w:pPr>
        <w:adjustRightInd w:val="0"/>
        <w:snapToGrid w:val="0"/>
        <w:spacing w:line="360" w:lineRule="auto"/>
        <w:ind w:firstLine="422" w:firstLineChars="176"/>
        <w:rPr>
          <w:rFonts w:hint="default"/>
          <w:color w:val="auto"/>
          <w:kern w:val="0"/>
          <w:sz w:val="24"/>
          <w:highlight w:val="none"/>
        </w:rPr>
      </w:pPr>
      <w:r>
        <w:rPr>
          <w:rFonts w:hint="default"/>
          <w:color w:val="auto"/>
          <w:kern w:val="0"/>
          <w:sz w:val="24"/>
          <w:highlight w:val="none"/>
        </w:rPr>
        <w:t>2.</w:t>
      </w:r>
      <w:r>
        <w:rPr>
          <w:rFonts w:hint="default"/>
          <w:color w:val="auto"/>
          <w:sz w:val="24"/>
          <w:highlight w:val="none"/>
        </w:rPr>
        <w:t>采购组织机构将按照招标文件规定的时间通过“政府采购云平台”组织开标，所有投标供应商均应当准时在线参加。</w:t>
      </w:r>
      <w:r>
        <w:rPr>
          <w:rFonts w:hint="default"/>
          <w:color w:val="auto"/>
          <w:kern w:val="0"/>
          <w:sz w:val="24"/>
          <w:highlight w:val="none"/>
        </w:rPr>
        <w:t>投标供应商自行承担因不参加在线开标而产生的不利后果。</w:t>
      </w:r>
    </w:p>
    <w:p w14:paraId="060E3A72">
      <w:pPr>
        <w:pStyle w:val="4"/>
        <w:adjustRightInd w:val="0"/>
        <w:snapToGrid w:val="0"/>
        <w:spacing w:before="0" w:after="0" w:line="360" w:lineRule="auto"/>
        <w:ind w:left="716" w:leftChars="171" w:hanging="357" w:hangingChars="148"/>
        <w:rPr>
          <w:color w:val="auto"/>
          <w:sz w:val="24"/>
          <w:szCs w:val="24"/>
          <w:highlight w:val="none"/>
        </w:rPr>
      </w:pPr>
      <w:r>
        <w:rPr>
          <w:color w:val="auto"/>
          <w:sz w:val="24"/>
          <w:szCs w:val="24"/>
          <w:highlight w:val="none"/>
        </w:rPr>
        <w:t>（三）开标流程</w:t>
      </w:r>
    </w:p>
    <w:p w14:paraId="0A864246">
      <w:pPr>
        <w:adjustRightInd w:val="0"/>
        <w:snapToGrid w:val="0"/>
        <w:spacing w:line="360" w:lineRule="auto"/>
        <w:ind w:firstLine="426" w:firstLineChars="177"/>
        <w:rPr>
          <w:rFonts w:hint="default" w:ascii="宋体" w:hAnsi="宋体" w:cs="宋体"/>
          <w:b/>
          <w:color w:val="auto"/>
          <w:kern w:val="0"/>
          <w:sz w:val="24"/>
          <w:highlight w:val="none"/>
        </w:rPr>
      </w:pPr>
      <w:r>
        <w:rPr>
          <w:rFonts w:ascii="宋体" w:hAnsi="宋体" w:cs="宋体"/>
          <w:b/>
          <w:color w:val="auto"/>
          <w:kern w:val="0"/>
          <w:sz w:val="24"/>
          <w:highlight w:val="none"/>
        </w:rPr>
        <w:t>1.开标</w:t>
      </w:r>
    </w:p>
    <w:p w14:paraId="1AE500C5">
      <w:pPr>
        <w:adjustRightInd w:val="0"/>
        <w:snapToGrid w:val="0"/>
        <w:spacing w:line="360" w:lineRule="auto"/>
        <w:ind w:firstLine="424" w:firstLineChars="177"/>
        <w:rPr>
          <w:rFonts w:hint="default" w:ascii="宋体" w:hAnsi="宋体" w:cs="宋体"/>
          <w:color w:val="auto"/>
          <w:kern w:val="0"/>
          <w:sz w:val="24"/>
          <w:highlight w:val="none"/>
        </w:rPr>
      </w:pPr>
      <w:r>
        <w:rPr>
          <w:rFonts w:ascii="宋体" w:hAnsi="宋体" w:cs="宋体"/>
          <w:color w:val="auto"/>
          <w:sz w:val="24"/>
          <w:highlight w:val="none"/>
        </w:rPr>
        <w:t>开标时，电子交易平台按开标时间自动提取所有投标文件。采购代理机构依托电子交易平台发起开始解密指令，投标人按照平台提示和招标文件的规定在半小时内完成在线解密。</w:t>
      </w:r>
      <w:r>
        <w:rPr>
          <w:rFonts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46A0A3B0">
      <w:pPr>
        <w:pStyle w:val="16"/>
        <w:adjustRightInd w:val="0"/>
        <w:snapToGrid w:val="0"/>
        <w:spacing w:line="360" w:lineRule="auto"/>
        <w:rPr>
          <w:rFonts w:hint="default"/>
          <w:color w:val="auto"/>
          <w:highlight w:val="none"/>
        </w:rPr>
      </w:pPr>
      <w:r>
        <w:rPr>
          <w:rFonts w:ascii="Times New Roman" w:hAnsi="Times New Roman"/>
          <w:b/>
          <w:bCs/>
          <w:color w:val="auto"/>
          <w:spacing w:val="0"/>
          <w:kern w:val="0"/>
          <w:sz w:val="24"/>
          <w:highlight w:val="none"/>
        </w:rPr>
        <w:t>特别说明：如遇“政府采购云平台”电子化开标程序调整的，按调整后程序执行。</w:t>
      </w:r>
    </w:p>
    <w:p w14:paraId="069AAB5C">
      <w:pPr>
        <w:adjustRightInd w:val="0"/>
        <w:snapToGrid w:val="0"/>
        <w:spacing w:line="360" w:lineRule="auto"/>
        <w:ind w:firstLine="426" w:firstLineChars="177"/>
        <w:rPr>
          <w:rFonts w:hint="default" w:ascii="宋体" w:hAnsi="宋体" w:cs="宋体"/>
          <w:b/>
          <w:color w:val="auto"/>
          <w:kern w:val="0"/>
          <w:sz w:val="24"/>
          <w:highlight w:val="none"/>
        </w:rPr>
      </w:pPr>
      <w:r>
        <w:rPr>
          <w:rFonts w:ascii="宋体" w:hAnsi="宋体" w:cs="宋体"/>
          <w:b/>
          <w:color w:val="auto"/>
          <w:kern w:val="0"/>
          <w:sz w:val="24"/>
          <w:highlight w:val="none"/>
        </w:rPr>
        <w:t>2.资格审查</w:t>
      </w:r>
    </w:p>
    <w:p w14:paraId="1566F6E4">
      <w:pPr>
        <w:adjustRightInd w:val="0"/>
        <w:snapToGrid w:val="0"/>
        <w:spacing w:line="360" w:lineRule="auto"/>
        <w:ind w:firstLine="424" w:firstLineChars="177"/>
        <w:rPr>
          <w:rFonts w:hint="default" w:ascii="宋体" w:hAnsi="宋体" w:cs="宋体"/>
          <w:color w:val="auto"/>
          <w:sz w:val="24"/>
          <w:highlight w:val="none"/>
        </w:rPr>
      </w:pPr>
      <w:r>
        <w:rPr>
          <w:rFonts w:ascii="宋体" w:hAnsi="宋体" w:cs="宋体"/>
          <w:color w:val="auto"/>
          <w:sz w:val="24"/>
          <w:highlight w:val="none"/>
        </w:rPr>
        <w:t>（1）采购人或采购代理机构依据法律法规和招标文件的规定，对投标人的资格进行审查。</w:t>
      </w:r>
    </w:p>
    <w:p w14:paraId="05592640">
      <w:pPr>
        <w:adjustRightInd w:val="0"/>
        <w:snapToGrid w:val="0"/>
        <w:spacing w:line="360" w:lineRule="auto"/>
        <w:ind w:firstLine="424" w:firstLineChars="177"/>
        <w:rPr>
          <w:rFonts w:hint="default" w:ascii="宋体" w:hAnsi="宋体" w:cs="宋体"/>
          <w:color w:val="auto"/>
          <w:sz w:val="24"/>
          <w:highlight w:val="none"/>
        </w:rPr>
      </w:pPr>
      <w:r>
        <w:rPr>
          <w:rFonts w:ascii="宋体" w:hAnsi="宋体" w:cs="宋体"/>
          <w:color w:val="auto"/>
          <w:sz w:val="24"/>
          <w:highlight w:val="none"/>
        </w:rPr>
        <w:t>（2）投标人未按照招标文件要求提供与资格条件相应的有效资格证明材料的，视为投标人不具备招标文件中规定的资格要求，其投标无效。</w:t>
      </w:r>
    </w:p>
    <w:p w14:paraId="54E34AE2">
      <w:pPr>
        <w:adjustRightInd w:val="0"/>
        <w:snapToGrid w:val="0"/>
        <w:spacing w:line="360" w:lineRule="auto"/>
        <w:ind w:firstLine="424" w:firstLineChars="177"/>
        <w:rPr>
          <w:rFonts w:hint="default" w:ascii="宋体" w:hAnsi="宋体" w:cs="宋体"/>
          <w:color w:val="auto"/>
          <w:sz w:val="24"/>
          <w:highlight w:val="none"/>
        </w:rPr>
      </w:pPr>
      <w:r>
        <w:rPr>
          <w:rFonts w:ascii="宋体" w:hAnsi="宋体" w:cs="宋体"/>
          <w:color w:val="auto"/>
          <w:sz w:val="24"/>
          <w:highlight w:val="none"/>
        </w:rPr>
        <w:t>（3）对未通过资格审查的投标人，采购人或采购代理机构告知其未通过的原因。</w:t>
      </w:r>
    </w:p>
    <w:p w14:paraId="4500670A">
      <w:pPr>
        <w:adjustRightInd w:val="0"/>
        <w:snapToGrid w:val="0"/>
        <w:spacing w:line="360" w:lineRule="auto"/>
        <w:ind w:firstLine="424" w:firstLineChars="177"/>
        <w:rPr>
          <w:rFonts w:hint="default" w:ascii="宋体" w:hAnsi="宋体" w:cs="宋体"/>
          <w:color w:val="auto"/>
          <w:sz w:val="24"/>
          <w:highlight w:val="none"/>
        </w:rPr>
      </w:pPr>
      <w:r>
        <w:rPr>
          <w:rFonts w:ascii="宋体" w:hAnsi="宋体" w:cs="宋体"/>
          <w:color w:val="auto"/>
          <w:sz w:val="24"/>
          <w:highlight w:val="none"/>
        </w:rPr>
        <w:t>（4）合格投标人不足3家的，不再评标。</w:t>
      </w:r>
    </w:p>
    <w:p w14:paraId="2FA47378">
      <w:pPr>
        <w:adjustRightInd w:val="0"/>
        <w:snapToGrid w:val="0"/>
        <w:spacing w:line="360" w:lineRule="auto"/>
        <w:ind w:firstLine="424" w:firstLineChars="177"/>
        <w:rPr>
          <w:rFonts w:hint="default" w:ascii="宋体" w:hAnsi="宋体" w:cs="宋体"/>
          <w:color w:val="auto"/>
          <w:sz w:val="24"/>
          <w:highlight w:val="none"/>
        </w:rPr>
      </w:pPr>
      <w:r>
        <w:rPr>
          <w:rFonts w:ascii="宋体" w:hAnsi="宋体" w:cs="宋体"/>
          <w:color w:val="auto"/>
          <w:sz w:val="24"/>
          <w:highlight w:val="none"/>
        </w:rPr>
        <w:t>（5）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1EF87DB9">
      <w:pPr>
        <w:adjustRightInd w:val="0"/>
        <w:snapToGrid w:val="0"/>
        <w:spacing w:line="360" w:lineRule="auto"/>
        <w:ind w:firstLine="426" w:firstLineChars="177"/>
        <w:rPr>
          <w:rFonts w:hint="default" w:ascii="宋体" w:hAnsi="宋体" w:cs="宋体"/>
          <w:b/>
          <w:color w:val="auto"/>
          <w:kern w:val="0"/>
          <w:sz w:val="24"/>
          <w:highlight w:val="none"/>
        </w:rPr>
      </w:pPr>
      <w:r>
        <w:rPr>
          <w:rFonts w:ascii="宋体" w:hAnsi="宋体" w:cs="宋体"/>
          <w:b/>
          <w:color w:val="auto"/>
          <w:kern w:val="0"/>
          <w:sz w:val="24"/>
          <w:highlight w:val="none"/>
        </w:rPr>
        <w:t>3.信用信息查询</w:t>
      </w:r>
    </w:p>
    <w:p w14:paraId="3A10D222">
      <w:pPr>
        <w:adjustRightInd w:val="0"/>
        <w:snapToGrid w:val="0"/>
        <w:spacing w:line="360" w:lineRule="auto"/>
        <w:ind w:firstLine="424" w:firstLineChars="177"/>
        <w:rPr>
          <w:rFonts w:hint="default" w:ascii="宋体" w:hAnsi="宋体" w:cs="宋体"/>
          <w:color w:val="auto"/>
          <w:sz w:val="24"/>
          <w:highlight w:val="none"/>
        </w:rPr>
      </w:pPr>
      <w:r>
        <w:rPr>
          <w:rFonts w:ascii="宋体" w:hAnsi="宋体" w:cs="宋体"/>
          <w:color w:val="auto"/>
          <w:sz w:val="24"/>
          <w:highlight w:val="none"/>
        </w:rPr>
        <w:t>（1）信用信息查询渠道及截止时间：采购代理机构将在资格审查时通过“信用中国”网站(www.creditchina.gov.cn)、中国政府采购网(www.ccgp.gov.cn)渠道查询投标人接受资格时的信用记录。</w:t>
      </w:r>
    </w:p>
    <w:p w14:paraId="2C8EED7B">
      <w:pPr>
        <w:adjustRightInd w:val="0"/>
        <w:snapToGrid w:val="0"/>
        <w:spacing w:line="360" w:lineRule="auto"/>
        <w:ind w:firstLine="424" w:firstLineChars="177"/>
        <w:rPr>
          <w:rFonts w:hint="default" w:ascii="宋体" w:hAnsi="宋体" w:cs="宋体"/>
          <w:color w:val="auto"/>
          <w:sz w:val="24"/>
          <w:highlight w:val="none"/>
        </w:rPr>
      </w:pPr>
      <w:r>
        <w:rPr>
          <w:rFonts w:ascii="宋体" w:hAnsi="宋体" w:cs="宋体"/>
          <w:color w:val="auto"/>
          <w:sz w:val="24"/>
          <w:highlight w:val="none"/>
        </w:rPr>
        <w:t>（2）信用信息查询记录和证据留存的具体方式：现场查询的投标人的信用记录、查询结果经确认后将与采购文件一起存档。</w:t>
      </w:r>
    </w:p>
    <w:p w14:paraId="543A1259">
      <w:pPr>
        <w:adjustRightInd w:val="0"/>
        <w:snapToGrid w:val="0"/>
        <w:spacing w:line="360" w:lineRule="auto"/>
        <w:ind w:firstLine="424" w:firstLineChars="177"/>
        <w:rPr>
          <w:rFonts w:hint="default" w:ascii="宋体" w:hAnsi="宋体" w:cs="宋体"/>
          <w:color w:val="auto"/>
          <w:sz w:val="24"/>
          <w:highlight w:val="none"/>
        </w:rPr>
      </w:pPr>
      <w:r>
        <w:rPr>
          <w:rFonts w:ascii="宋体" w:hAnsi="宋体" w:cs="宋体"/>
          <w:color w:val="auto"/>
          <w:sz w:val="24"/>
          <w:highlight w:val="none"/>
        </w:rPr>
        <w:t>（3）信用信息的使用规则：经查询列入失信被执行人名单、重大税收违法失信主体、政府采购严重违法失信行为记录名单的投标人将被拒绝参与政府采购活动。</w:t>
      </w:r>
    </w:p>
    <w:p w14:paraId="7E8E52C4">
      <w:pPr>
        <w:adjustRightInd w:val="0"/>
        <w:snapToGrid w:val="0"/>
        <w:spacing w:line="360" w:lineRule="auto"/>
        <w:ind w:firstLine="424" w:firstLineChars="177"/>
        <w:rPr>
          <w:rFonts w:hint="default" w:ascii="宋体" w:hAnsi="宋体" w:cs="宋体"/>
          <w:color w:val="auto"/>
          <w:sz w:val="24"/>
          <w:highlight w:val="none"/>
        </w:rPr>
      </w:pPr>
      <w:r>
        <w:rPr>
          <w:rFonts w:ascii="宋体" w:hAnsi="宋体" w:cs="宋体"/>
          <w:color w:val="auto"/>
          <w:sz w:val="24"/>
          <w:highlight w:val="none"/>
        </w:rPr>
        <w:t>（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23A77C55">
      <w:pPr>
        <w:pStyle w:val="16"/>
        <w:adjustRightInd w:val="0"/>
        <w:snapToGrid w:val="0"/>
        <w:spacing w:line="360" w:lineRule="auto"/>
        <w:rPr>
          <w:rFonts w:hint="default" w:ascii="Times New Roman" w:hAnsi="Times New Roman"/>
          <w:b/>
          <w:bCs/>
          <w:color w:val="auto"/>
          <w:spacing w:val="0"/>
          <w:kern w:val="0"/>
          <w:sz w:val="24"/>
          <w:highlight w:val="none"/>
        </w:rPr>
      </w:pPr>
      <w:r>
        <w:rPr>
          <w:rFonts w:ascii="Times New Roman" w:hAnsi="Times New Roman"/>
          <w:b/>
          <w:bCs/>
          <w:color w:val="auto"/>
          <w:spacing w:val="0"/>
          <w:kern w:val="0"/>
          <w:sz w:val="24"/>
          <w:highlight w:val="none"/>
        </w:rPr>
        <w:t>特别说明：如遇“政府采购云平台”电子化开标程序调整的，按调整后程序执行。</w:t>
      </w:r>
    </w:p>
    <w:p w14:paraId="722FDBE1">
      <w:pPr>
        <w:pStyle w:val="6"/>
        <w:adjustRightInd w:val="0"/>
        <w:snapToGrid w:val="0"/>
        <w:spacing w:beforeLines="0" w:afterLines="0" w:line="360" w:lineRule="auto"/>
        <w:outlineLvl w:val="1"/>
        <w:rPr>
          <w:rFonts w:ascii="Times New Roman" w:hAnsi="Times New Roman"/>
          <w:b/>
          <w:color w:val="auto"/>
          <w:sz w:val="28"/>
          <w:szCs w:val="28"/>
          <w:highlight w:val="none"/>
        </w:rPr>
      </w:pPr>
      <w:r>
        <w:rPr>
          <w:rFonts w:ascii="Times New Roman" w:hAnsi="Times New Roman"/>
          <w:b/>
          <w:color w:val="auto"/>
          <w:sz w:val="28"/>
          <w:szCs w:val="28"/>
          <w:highlight w:val="none"/>
        </w:rPr>
        <w:t>五、评标</w:t>
      </w:r>
    </w:p>
    <w:p w14:paraId="5B7DA814">
      <w:pPr>
        <w:pStyle w:val="6"/>
        <w:adjustRightInd w:val="0"/>
        <w:snapToGrid w:val="0"/>
        <w:spacing w:beforeLines="0" w:afterLines="0" w:line="360" w:lineRule="auto"/>
        <w:ind w:left="720" w:leftChars="228" w:hanging="241" w:hangingChars="100"/>
        <w:rPr>
          <w:rFonts w:ascii="Times New Roman" w:hAnsi="Times New Roman"/>
          <w:b/>
          <w:color w:val="auto"/>
          <w:highlight w:val="none"/>
        </w:rPr>
      </w:pPr>
      <w:r>
        <w:rPr>
          <w:rFonts w:ascii="Times New Roman" w:hAnsi="Times New Roman"/>
          <w:b/>
          <w:color w:val="auto"/>
          <w:highlight w:val="none"/>
        </w:rPr>
        <w:t>（一）组建评标委员会（评审小组）</w:t>
      </w:r>
    </w:p>
    <w:p w14:paraId="70B8C5AB">
      <w:pPr>
        <w:pStyle w:val="6"/>
        <w:adjustRightInd w:val="0"/>
        <w:snapToGrid w:val="0"/>
        <w:spacing w:beforeLines="0" w:afterLines="0" w:line="360" w:lineRule="auto"/>
        <w:ind w:firstLine="480" w:firstLineChars="200"/>
        <w:rPr>
          <w:rFonts w:ascii="Times New Roman" w:hAnsi="Times New Roman"/>
          <w:color w:val="auto"/>
          <w:highlight w:val="none"/>
        </w:rPr>
      </w:pPr>
      <w:r>
        <w:rPr>
          <w:rFonts w:ascii="Times New Roman" w:hAnsi="Times New Roman"/>
          <w:color w:val="auto"/>
          <w:kern w:val="0"/>
          <w:highlight w:val="none"/>
        </w:rPr>
        <w:t>评标委员会由采购人代表和有关技术、经济等方面的专家组成，成员人数应当为五人以上单数。其中，技术、经济等方面的专家不得少于成员总数的三分之二。</w:t>
      </w:r>
    </w:p>
    <w:p w14:paraId="76E65E10">
      <w:pPr>
        <w:pStyle w:val="6"/>
        <w:adjustRightInd w:val="0"/>
        <w:snapToGrid w:val="0"/>
        <w:spacing w:beforeLines="0" w:afterLines="0" w:line="360" w:lineRule="auto"/>
        <w:ind w:left="720" w:leftChars="228" w:hanging="241" w:hangingChars="100"/>
        <w:rPr>
          <w:rFonts w:ascii="Times New Roman" w:hAnsi="Times New Roman"/>
          <w:b/>
          <w:color w:val="auto"/>
          <w:highlight w:val="none"/>
        </w:rPr>
      </w:pPr>
      <w:r>
        <w:rPr>
          <w:rFonts w:ascii="Times New Roman" w:hAnsi="Times New Roman"/>
          <w:b/>
          <w:color w:val="auto"/>
          <w:highlight w:val="none"/>
        </w:rPr>
        <w:t>（二）评标程序</w:t>
      </w:r>
    </w:p>
    <w:p w14:paraId="4DAFA607">
      <w:pPr>
        <w:adjustRightInd w:val="0"/>
        <w:snapToGrid w:val="0"/>
        <w:spacing w:line="360" w:lineRule="auto"/>
        <w:ind w:firstLine="480" w:firstLineChars="200"/>
        <w:rPr>
          <w:rFonts w:hint="default"/>
          <w:color w:val="auto"/>
          <w:sz w:val="24"/>
          <w:highlight w:val="none"/>
        </w:rPr>
      </w:pPr>
      <w:r>
        <w:rPr>
          <w:rFonts w:hint="default"/>
          <w:color w:val="auto"/>
          <w:sz w:val="24"/>
          <w:highlight w:val="none"/>
        </w:rPr>
        <w:t>1.在评审专家中推选评审小组组长。</w:t>
      </w:r>
    </w:p>
    <w:p w14:paraId="0CBE080F">
      <w:pPr>
        <w:adjustRightInd w:val="0"/>
        <w:snapToGrid w:val="0"/>
        <w:spacing w:line="360" w:lineRule="auto"/>
        <w:ind w:firstLine="480" w:firstLineChars="200"/>
        <w:rPr>
          <w:rFonts w:hint="default"/>
          <w:color w:val="auto"/>
          <w:sz w:val="24"/>
          <w:highlight w:val="none"/>
        </w:rPr>
      </w:pPr>
      <w:r>
        <w:rPr>
          <w:rFonts w:hint="default"/>
          <w:color w:val="auto"/>
          <w:sz w:val="24"/>
          <w:highlight w:val="none"/>
        </w:rPr>
        <w:t>2.评审小组组长召集成员认真阅读招标文件以及相关补充、质疑、答复文件、项目书面说明等材料，熟悉采购项目的基本概况，采购项目的质量要求、数量、主要技术标准或服务需求，采购合同主要条款，投标无效情形，评审方法、评审依据、评审标准等。</w:t>
      </w:r>
    </w:p>
    <w:p w14:paraId="118EA5AE">
      <w:pPr>
        <w:adjustRightInd w:val="0"/>
        <w:snapToGrid w:val="0"/>
        <w:spacing w:line="360" w:lineRule="auto"/>
        <w:ind w:firstLine="480" w:firstLineChars="200"/>
        <w:rPr>
          <w:rFonts w:hint="default"/>
          <w:color w:val="auto"/>
          <w:sz w:val="24"/>
          <w:highlight w:val="none"/>
        </w:rPr>
      </w:pPr>
      <w:r>
        <w:rPr>
          <w:rFonts w:hint="default"/>
          <w:color w:val="auto"/>
          <w:sz w:val="24"/>
          <w:highlight w:val="none"/>
        </w:rPr>
        <w:t>3.采购人或者采购代理机构对各投标人的资格进行审查，投标人资格条件不符合招标文件要求的投标无效，不再进入符合性审查。</w:t>
      </w:r>
    </w:p>
    <w:p w14:paraId="37FF6B78">
      <w:pPr>
        <w:adjustRightInd w:val="0"/>
        <w:snapToGrid w:val="0"/>
        <w:spacing w:line="360" w:lineRule="auto"/>
        <w:ind w:firstLine="480" w:firstLineChars="200"/>
        <w:rPr>
          <w:rFonts w:hint="default"/>
          <w:color w:val="auto"/>
          <w:sz w:val="24"/>
          <w:highlight w:val="none"/>
        </w:rPr>
      </w:pPr>
      <w:r>
        <w:rPr>
          <w:rFonts w:hint="default"/>
          <w:color w:val="auto"/>
          <w:sz w:val="24"/>
          <w:highlight w:val="none"/>
        </w:rPr>
        <w:t>4.评审小组对各投标文件的符合性进行审查，确定是否对招标文件作出了实质性响应。实质上没有响应招标文件要求的投标将被视为无效投标，不再进入下一阶段的评审。</w:t>
      </w:r>
    </w:p>
    <w:p w14:paraId="5C6C95FF">
      <w:pPr>
        <w:adjustRightInd w:val="0"/>
        <w:snapToGrid w:val="0"/>
        <w:spacing w:line="360" w:lineRule="auto"/>
        <w:ind w:firstLine="480" w:firstLineChars="200"/>
        <w:rPr>
          <w:rFonts w:hint="default"/>
          <w:color w:val="auto"/>
          <w:sz w:val="24"/>
          <w:highlight w:val="none"/>
        </w:rPr>
      </w:pPr>
      <w:r>
        <w:rPr>
          <w:rFonts w:hint="default"/>
          <w:color w:val="auto"/>
          <w:sz w:val="24"/>
          <w:highlight w:val="none"/>
        </w:rPr>
        <w:t>5.评审人员按招标文件规定的评审方法和评审标准，依法独立对供应商投标文件进行评估、比较，并给予评价或打分，不受任何单位和个人的干预。</w:t>
      </w:r>
    </w:p>
    <w:p w14:paraId="4A25456C">
      <w:pPr>
        <w:adjustRightInd w:val="0"/>
        <w:snapToGrid w:val="0"/>
        <w:spacing w:line="360" w:lineRule="auto"/>
        <w:ind w:firstLine="480" w:firstLineChars="200"/>
        <w:rPr>
          <w:rFonts w:hint="default"/>
          <w:color w:val="auto"/>
          <w:sz w:val="24"/>
          <w:highlight w:val="none"/>
        </w:rPr>
      </w:pPr>
      <w:r>
        <w:rPr>
          <w:rFonts w:hint="default"/>
          <w:color w:val="auto"/>
          <w:sz w:val="24"/>
          <w:highlight w:val="none"/>
        </w:rPr>
        <w:t>6.各投标人的得分为所有评委的有效评分的算术平均数，由指定专人进行计算复核。</w:t>
      </w:r>
    </w:p>
    <w:p w14:paraId="1B9581D9">
      <w:pPr>
        <w:adjustRightInd w:val="0"/>
        <w:snapToGrid w:val="0"/>
        <w:spacing w:line="360" w:lineRule="auto"/>
        <w:ind w:firstLine="480" w:firstLineChars="200"/>
        <w:rPr>
          <w:rFonts w:hint="default"/>
          <w:color w:val="auto"/>
          <w:sz w:val="24"/>
          <w:highlight w:val="none"/>
        </w:rPr>
      </w:pPr>
      <w:r>
        <w:rPr>
          <w:rFonts w:hint="default"/>
          <w:color w:val="auto"/>
          <w:sz w:val="24"/>
          <w:highlight w:val="none"/>
        </w:rPr>
        <w:t>7.评标委员会完成评标后，评委对各部分得分汇总，计算出本项目最终得分。评标委员会按评标原则推荐中标候选人，同时起草评标报告。</w:t>
      </w:r>
    </w:p>
    <w:p w14:paraId="338513D2">
      <w:pPr>
        <w:adjustRightInd w:val="0"/>
        <w:snapToGrid w:val="0"/>
        <w:spacing w:line="360" w:lineRule="auto"/>
        <w:ind w:firstLine="480" w:firstLineChars="200"/>
        <w:rPr>
          <w:rFonts w:hint="default"/>
          <w:color w:val="auto"/>
          <w:sz w:val="24"/>
          <w:highlight w:val="none"/>
        </w:rPr>
      </w:pPr>
      <w:r>
        <w:rPr>
          <w:rFonts w:hint="default"/>
          <w:color w:val="auto"/>
          <w:sz w:val="24"/>
          <w:highlight w:val="none"/>
        </w:rPr>
        <w:t>8.实质上响应招标文件要求的投标人不足三家的，除财政部门另有规定外，应当作废标处理。</w:t>
      </w:r>
    </w:p>
    <w:p w14:paraId="07FDE7CA">
      <w:pPr>
        <w:adjustRightInd w:val="0"/>
        <w:snapToGrid w:val="0"/>
        <w:spacing w:line="360" w:lineRule="auto"/>
        <w:ind w:firstLine="482" w:firstLineChars="200"/>
        <w:rPr>
          <w:rFonts w:hint="default"/>
          <w:b/>
          <w:color w:val="auto"/>
          <w:sz w:val="24"/>
          <w:highlight w:val="none"/>
        </w:rPr>
      </w:pPr>
      <w:r>
        <w:rPr>
          <w:rFonts w:hint="default"/>
          <w:b/>
          <w:color w:val="auto"/>
          <w:sz w:val="24"/>
          <w:highlight w:val="none"/>
        </w:rPr>
        <w:t>（三）澄清问题的形式</w:t>
      </w:r>
    </w:p>
    <w:p w14:paraId="64A35EB0">
      <w:pPr>
        <w:autoSpaceDE w:val="0"/>
        <w:autoSpaceDN w:val="0"/>
        <w:adjustRightInd w:val="0"/>
        <w:snapToGrid w:val="0"/>
        <w:spacing w:line="360" w:lineRule="auto"/>
        <w:ind w:firstLine="480" w:firstLineChars="200"/>
        <w:jc w:val="left"/>
        <w:rPr>
          <w:rFonts w:hint="default"/>
          <w:color w:val="auto"/>
          <w:sz w:val="24"/>
          <w:highlight w:val="none"/>
        </w:rPr>
      </w:pPr>
      <w:r>
        <w:rPr>
          <w:rFonts w:hint="default"/>
          <w:color w:val="auto"/>
          <w:sz w:val="24"/>
          <w:highlight w:val="none"/>
        </w:rPr>
        <w:t>对投标文件中含义不明确、同类问题表述不一致或者有明显文字和计算错误的内容，评标委员会可要求投标人作出必要的澄清、说明或者补正。评标委员会的澄清内容及投标人的澄清、说明或者补正均通过电子交易平台交换数据电文。</w:t>
      </w:r>
    </w:p>
    <w:p w14:paraId="160284F9">
      <w:pPr>
        <w:adjustRightInd w:val="0"/>
        <w:snapToGrid w:val="0"/>
        <w:spacing w:line="360" w:lineRule="auto"/>
        <w:ind w:firstLine="480" w:firstLineChars="200"/>
        <w:rPr>
          <w:rFonts w:hint="default"/>
          <w:color w:val="auto"/>
          <w:sz w:val="24"/>
          <w:highlight w:val="none"/>
        </w:rPr>
      </w:pPr>
      <w:r>
        <w:rPr>
          <w:rFonts w:hint="default"/>
          <w:color w:val="auto"/>
          <w:sz w:val="24"/>
          <w:highlight w:val="none"/>
        </w:rPr>
        <w:t>评标委员会发出澄清内容后，供应商应当在</w:t>
      </w:r>
      <w:r>
        <w:rPr>
          <w:rFonts w:hint="default"/>
          <w:iCs/>
          <w:color w:val="auto"/>
          <w:sz w:val="24"/>
          <w:highlight w:val="none"/>
          <w:u w:val="single"/>
        </w:rPr>
        <w:t>30</w:t>
      </w:r>
      <w:r>
        <w:rPr>
          <w:rFonts w:hint="default"/>
          <w:color w:val="auto"/>
          <w:sz w:val="24"/>
          <w:highlight w:val="none"/>
        </w:rPr>
        <w:t>分钟内提交澄清说明或补正，否则视为供应商放弃答复，并</w:t>
      </w:r>
      <w:r>
        <w:rPr>
          <w:rFonts w:hint="default"/>
          <w:color w:val="auto"/>
          <w:kern w:val="0"/>
          <w:sz w:val="24"/>
          <w:highlight w:val="none"/>
        </w:rPr>
        <w:t>自行承担因此而产生的不利后果。</w:t>
      </w:r>
      <w:r>
        <w:rPr>
          <w:rFonts w:hint="default"/>
          <w:color w:val="auto"/>
          <w:sz w:val="24"/>
          <w:highlight w:val="none"/>
        </w:rPr>
        <w:t>澄清、说明或者补正不得超出投标文件的范围或者改变投标文件的实质性内容。</w:t>
      </w:r>
    </w:p>
    <w:p w14:paraId="69C3503B">
      <w:pPr>
        <w:autoSpaceDE w:val="0"/>
        <w:autoSpaceDN w:val="0"/>
        <w:adjustRightInd w:val="0"/>
        <w:snapToGrid w:val="0"/>
        <w:spacing w:line="360" w:lineRule="auto"/>
        <w:ind w:firstLine="482" w:firstLineChars="200"/>
        <w:jc w:val="left"/>
        <w:rPr>
          <w:rFonts w:hint="default"/>
          <w:b/>
          <w:bCs/>
          <w:color w:val="auto"/>
          <w:sz w:val="24"/>
          <w:highlight w:val="none"/>
        </w:rPr>
      </w:pPr>
      <w:r>
        <w:rPr>
          <w:rFonts w:hint="default"/>
          <w:b/>
          <w:bCs/>
          <w:color w:val="auto"/>
          <w:sz w:val="24"/>
          <w:highlight w:val="none"/>
        </w:rPr>
        <w:t>合理报价澄清说明</w:t>
      </w:r>
      <w:r>
        <w:rPr>
          <w:b/>
          <w:bCs/>
          <w:color w:val="auto"/>
          <w:sz w:val="24"/>
          <w:highlight w:val="none"/>
        </w:rPr>
        <w:t>：</w:t>
      </w:r>
      <w:r>
        <w:rPr>
          <w:rFonts w:hint="default"/>
          <w:b/>
          <w:bCs/>
          <w:color w:val="auto"/>
          <w:sz w:val="24"/>
          <w:highlight w:val="none"/>
        </w:rPr>
        <w:t>评标委员会认为供应商的报价明显低于其他通过符合性审查供应商的报价，有可能影响产品质量或者不能诚信履约的，应当要求其在30分钟内提供书面说明，必要时提交相关证明材料；供应商不能证明其报价合理性的，评标委员会应当将其作为无效投标处理。</w:t>
      </w:r>
    </w:p>
    <w:p w14:paraId="7E487002">
      <w:pPr>
        <w:pStyle w:val="6"/>
        <w:adjustRightInd w:val="0"/>
        <w:snapToGrid w:val="0"/>
        <w:spacing w:beforeLines="0" w:afterLines="0" w:line="360" w:lineRule="auto"/>
        <w:ind w:left="720" w:leftChars="228" w:hanging="241" w:hangingChars="100"/>
        <w:rPr>
          <w:rFonts w:ascii="Times New Roman" w:hAnsi="Times New Roman"/>
          <w:b/>
          <w:color w:val="auto"/>
          <w:highlight w:val="none"/>
        </w:rPr>
      </w:pPr>
      <w:r>
        <w:rPr>
          <w:rFonts w:ascii="Times New Roman" w:hAnsi="Times New Roman"/>
          <w:b/>
          <w:color w:val="auto"/>
          <w:highlight w:val="none"/>
        </w:rPr>
        <w:t>（四）错误修正</w:t>
      </w:r>
    </w:p>
    <w:p w14:paraId="60F54847">
      <w:pPr>
        <w:adjustRightInd w:val="0"/>
        <w:snapToGrid w:val="0"/>
        <w:spacing w:line="360" w:lineRule="auto"/>
        <w:ind w:firstLine="480" w:firstLineChars="200"/>
        <w:rPr>
          <w:rFonts w:hint="default"/>
          <w:color w:val="auto"/>
          <w:sz w:val="24"/>
          <w:highlight w:val="none"/>
        </w:rPr>
      </w:pPr>
      <w:r>
        <w:rPr>
          <w:rFonts w:hint="default"/>
          <w:color w:val="auto"/>
          <w:sz w:val="24"/>
          <w:highlight w:val="none"/>
        </w:rPr>
        <w:t>投标文件如果出现计算或表达上的错误，修正错误的原则如下：</w:t>
      </w:r>
    </w:p>
    <w:p w14:paraId="4957BD39">
      <w:pPr>
        <w:adjustRightInd w:val="0"/>
        <w:snapToGrid w:val="0"/>
        <w:spacing w:line="360" w:lineRule="auto"/>
        <w:ind w:firstLine="482" w:firstLineChars="200"/>
        <w:rPr>
          <w:rFonts w:hint="default"/>
          <w:b/>
          <w:bCs/>
          <w:color w:val="auto"/>
          <w:sz w:val="24"/>
          <w:highlight w:val="none"/>
        </w:rPr>
      </w:pPr>
      <w:r>
        <w:rPr>
          <w:rFonts w:hint="default"/>
          <w:b/>
          <w:bCs/>
          <w:color w:val="auto"/>
          <w:sz w:val="24"/>
          <w:highlight w:val="none"/>
        </w:rPr>
        <w:t>1.电子交易平台生成的开标记录表内容与投标文件中相应内容不一致的，以报价文件中开标一览表（报价表）为准（出现万元或元单位错误时，则以投标人澄清确认后的合理报价为准）；</w:t>
      </w:r>
    </w:p>
    <w:p w14:paraId="0E14AF38">
      <w:pPr>
        <w:adjustRightInd w:val="0"/>
        <w:snapToGrid w:val="0"/>
        <w:spacing w:line="360" w:lineRule="auto"/>
        <w:ind w:firstLine="482" w:firstLineChars="200"/>
        <w:rPr>
          <w:rFonts w:hint="default"/>
          <w:b/>
          <w:bCs/>
          <w:color w:val="auto"/>
          <w:sz w:val="24"/>
          <w:highlight w:val="none"/>
        </w:rPr>
      </w:pPr>
      <w:r>
        <w:rPr>
          <w:rFonts w:hint="default"/>
          <w:b/>
          <w:bCs/>
          <w:color w:val="auto"/>
          <w:sz w:val="24"/>
          <w:highlight w:val="none"/>
        </w:rPr>
        <w:t>2.大写金额和小写金额不一致的，以大写金额为准；</w:t>
      </w:r>
    </w:p>
    <w:p w14:paraId="625FB9B0">
      <w:pPr>
        <w:adjustRightInd w:val="0"/>
        <w:snapToGrid w:val="0"/>
        <w:spacing w:line="360" w:lineRule="auto"/>
        <w:ind w:firstLine="482" w:firstLineChars="200"/>
        <w:rPr>
          <w:rFonts w:hint="default"/>
          <w:b/>
          <w:bCs/>
          <w:color w:val="auto"/>
          <w:sz w:val="24"/>
          <w:highlight w:val="none"/>
        </w:rPr>
      </w:pPr>
      <w:r>
        <w:rPr>
          <w:rFonts w:hint="default"/>
          <w:b/>
          <w:bCs/>
          <w:color w:val="auto"/>
          <w:sz w:val="24"/>
          <w:highlight w:val="none"/>
        </w:rPr>
        <w:t>3.单价金额小数点或者百分比有明显错位的，以开标一览表的总价为准，并修改单价；</w:t>
      </w:r>
    </w:p>
    <w:p w14:paraId="187E5A58">
      <w:pPr>
        <w:adjustRightInd w:val="0"/>
        <w:snapToGrid w:val="0"/>
        <w:spacing w:line="360" w:lineRule="auto"/>
        <w:ind w:firstLine="482" w:firstLineChars="200"/>
        <w:rPr>
          <w:rFonts w:hint="default"/>
          <w:color w:val="auto"/>
          <w:sz w:val="24"/>
          <w:highlight w:val="none"/>
        </w:rPr>
      </w:pPr>
      <w:r>
        <w:rPr>
          <w:rFonts w:hint="default"/>
          <w:b/>
          <w:bCs/>
          <w:color w:val="auto"/>
          <w:sz w:val="24"/>
          <w:highlight w:val="none"/>
        </w:rPr>
        <w:t>4.总价金额与按单价汇总金额不一致的，以单价金额计算结果为准。</w:t>
      </w:r>
    </w:p>
    <w:p w14:paraId="0C459F6E">
      <w:pPr>
        <w:pStyle w:val="6"/>
        <w:adjustRightInd w:val="0"/>
        <w:snapToGrid w:val="0"/>
        <w:spacing w:beforeLines="0" w:afterLines="0" w:line="360" w:lineRule="auto"/>
        <w:ind w:firstLine="482" w:firstLineChars="200"/>
        <w:rPr>
          <w:rFonts w:ascii="Times New Roman" w:hAnsi="Times New Roman"/>
          <w:b/>
          <w:color w:val="auto"/>
          <w:highlight w:val="none"/>
        </w:rPr>
      </w:pPr>
      <w:r>
        <w:rPr>
          <w:rFonts w:ascii="Times New Roman" w:hAnsi="Times New Roman"/>
          <w:b/>
          <w:color w:val="auto"/>
          <w:highlight w:val="none"/>
        </w:rPr>
        <w:t>同时出现两种以上不一致的，按照前款规定的顺序修正。评标委员会应当通过电子交易平台要求投标人对修正后的报价予以确认并对投标人产生约束力。投标人在</w:t>
      </w:r>
      <w:r>
        <w:rPr>
          <w:rFonts w:ascii="Times New Roman" w:hAnsi="Times New Roman"/>
          <w:b/>
          <w:i/>
          <w:color w:val="auto"/>
          <w:highlight w:val="none"/>
          <w:u w:val="single"/>
        </w:rPr>
        <w:t>30</w:t>
      </w:r>
      <w:r>
        <w:rPr>
          <w:rFonts w:ascii="Times New Roman" w:hAnsi="Times New Roman"/>
          <w:b/>
          <w:color w:val="auto"/>
          <w:highlight w:val="none"/>
        </w:rPr>
        <w:t>分钟内不予确认的，其投标无效。</w:t>
      </w:r>
    </w:p>
    <w:p w14:paraId="1C44E7EE">
      <w:pPr>
        <w:pStyle w:val="6"/>
        <w:tabs>
          <w:tab w:val="left" w:pos="630"/>
        </w:tabs>
        <w:adjustRightInd w:val="0"/>
        <w:snapToGrid w:val="0"/>
        <w:spacing w:beforeLines="0" w:afterLines="0" w:line="360" w:lineRule="auto"/>
        <w:ind w:firstLine="472" w:firstLineChars="196"/>
        <w:rPr>
          <w:rFonts w:ascii="Times New Roman" w:hAnsi="Times New Roman"/>
          <w:b/>
          <w:color w:val="auto"/>
          <w:highlight w:val="none"/>
        </w:rPr>
      </w:pPr>
      <w:r>
        <w:rPr>
          <w:rFonts w:ascii="Times New Roman" w:hAnsi="Times New Roman"/>
          <w:b/>
          <w:color w:val="auto"/>
          <w:highlight w:val="none"/>
        </w:rPr>
        <w:t>（五）评标原则和评标办法</w:t>
      </w:r>
    </w:p>
    <w:p w14:paraId="1907769E">
      <w:pPr>
        <w:pStyle w:val="6"/>
        <w:snapToGrid w:val="0"/>
        <w:spacing w:beforeLines="0" w:afterLines="0" w:line="360" w:lineRule="auto"/>
        <w:ind w:firstLine="480" w:firstLineChars="200"/>
        <w:rPr>
          <w:rFonts w:hAnsi="宋体" w:cs="宋体"/>
          <w:color w:val="auto"/>
          <w:highlight w:val="none"/>
        </w:rPr>
      </w:pPr>
      <w:r>
        <w:rPr>
          <w:rFonts w:hAnsi="宋体" w:cs="宋体"/>
          <w:color w:val="auto"/>
          <w:highlight w:val="none"/>
        </w:rPr>
        <w:t>1.评审小组必须公平、公正、客观，不带任何倾向性和启发性；不得向外界透露任何与评标有关的内容；任何单位和个人不得干扰、影响评标的正常进行；评审小组及有关工作人员不得私下与投标人接触。</w:t>
      </w:r>
    </w:p>
    <w:p w14:paraId="0190315E">
      <w:pPr>
        <w:pStyle w:val="6"/>
        <w:snapToGrid w:val="0"/>
        <w:spacing w:beforeLines="0" w:afterLines="0" w:line="360" w:lineRule="auto"/>
        <w:ind w:firstLine="482" w:firstLineChars="200"/>
        <w:rPr>
          <w:rFonts w:hAnsi="宋体" w:cs="宋体"/>
          <w:b/>
          <w:bCs/>
          <w:color w:val="auto"/>
          <w:highlight w:val="none"/>
        </w:rPr>
      </w:pPr>
      <w:r>
        <w:rPr>
          <w:rFonts w:hAnsi="宋体" w:cs="宋体"/>
          <w:b/>
          <w:bCs/>
          <w:color w:val="auto"/>
          <w:highlight w:val="none"/>
        </w:rPr>
        <w:t>2.提供相同品牌产品且通过资格审查、符合性审查的不同投标人参加同一标项投标的，按一家投标人计算，评审后得分最高的同品牌投标人获得中标人推荐资格；评审得分相同时，取报价最低者；评审得分和报价均相同时，由评审小组集体决定。</w:t>
      </w:r>
    </w:p>
    <w:p w14:paraId="313239EB">
      <w:pPr>
        <w:pStyle w:val="6"/>
        <w:snapToGrid w:val="0"/>
        <w:spacing w:beforeLines="0" w:afterLines="0" w:line="360" w:lineRule="auto"/>
        <w:ind w:firstLine="482" w:firstLineChars="200"/>
        <w:rPr>
          <w:rFonts w:hAnsi="宋体" w:cs="宋体"/>
          <w:b/>
          <w:bCs/>
          <w:color w:val="auto"/>
          <w:highlight w:val="none"/>
        </w:rPr>
      </w:pPr>
      <w:r>
        <w:rPr>
          <w:rFonts w:hAnsi="宋体" w:cs="宋体"/>
          <w:b/>
          <w:bCs/>
          <w:color w:val="auto"/>
          <w:highlight w:val="none"/>
        </w:rPr>
        <w:t>非单一产品采购项目中，多家供应商提供的核心产品品牌相同的，按前款规定处理。核心产品（如有）描述详见《第四章：</w:t>
      </w:r>
      <w:r>
        <w:rPr>
          <w:rFonts w:hint="eastAsia" w:hAnsi="宋体" w:cs="宋体"/>
          <w:b/>
          <w:bCs/>
          <w:color w:val="auto"/>
          <w:highlight w:val="none"/>
        </w:rPr>
        <w:t>采购</w:t>
      </w:r>
      <w:r>
        <w:rPr>
          <w:rFonts w:hAnsi="宋体" w:cs="宋体"/>
          <w:b/>
          <w:bCs/>
          <w:color w:val="auto"/>
          <w:highlight w:val="none"/>
        </w:rPr>
        <w:t>内容及需求》。</w:t>
      </w:r>
    </w:p>
    <w:p w14:paraId="198D15EB">
      <w:pPr>
        <w:pStyle w:val="6"/>
        <w:snapToGrid w:val="0"/>
        <w:spacing w:beforeLines="0" w:afterLines="0" w:line="360" w:lineRule="auto"/>
        <w:ind w:firstLine="480" w:firstLineChars="200"/>
        <w:rPr>
          <w:rFonts w:hAnsi="宋体" w:cs="宋体"/>
          <w:color w:val="auto"/>
          <w:highlight w:val="none"/>
        </w:rPr>
      </w:pPr>
      <w:r>
        <w:rPr>
          <w:rFonts w:hAnsi="宋体" w:cs="宋体"/>
          <w:color w:val="auto"/>
          <w:highlight w:val="none"/>
        </w:rPr>
        <w:t>3.本项目评标办法是综合评分法，具体评标内容及评分标准等详见《第三章：评标办法》。</w:t>
      </w:r>
    </w:p>
    <w:p w14:paraId="78FF56E0">
      <w:pPr>
        <w:pStyle w:val="6"/>
        <w:adjustRightInd w:val="0"/>
        <w:snapToGrid w:val="0"/>
        <w:spacing w:beforeLines="0" w:afterLines="0" w:line="360" w:lineRule="auto"/>
        <w:outlineLvl w:val="1"/>
        <w:rPr>
          <w:rFonts w:ascii="Times New Roman" w:hAnsi="Times New Roman"/>
          <w:b/>
          <w:color w:val="auto"/>
          <w:sz w:val="28"/>
          <w:szCs w:val="28"/>
          <w:highlight w:val="none"/>
        </w:rPr>
      </w:pPr>
      <w:r>
        <w:rPr>
          <w:rFonts w:ascii="Times New Roman" w:hAnsi="Times New Roman"/>
          <w:b/>
          <w:color w:val="auto"/>
          <w:sz w:val="28"/>
          <w:szCs w:val="28"/>
          <w:highlight w:val="none"/>
        </w:rPr>
        <w:t>六、定标</w:t>
      </w:r>
    </w:p>
    <w:p w14:paraId="157653D1">
      <w:pPr>
        <w:pStyle w:val="6"/>
        <w:adjustRightInd w:val="0"/>
        <w:snapToGrid w:val="0"/>
        <w:spacing w:beforeLines="0" w:afterLines="0" w:line="360" w:lineRule="auto"/>
        <w:ind w:firstLine="472" w:firstLineChars="196"/>
        <w:rPr>
          <w:rFonts w:ascii="Times New Roman" w:hAnsi="Times New Roman"/>
          <w:b/>
          <w:bCs/>
          <w:color w:val="auto"/>
          <w:highlight w:val="none"/>
        </w:rPr>
      </w:pPr>
      <w:r>
        <w:rPr>
          <w:rFonts w:ascii="Times New Roman" w:hAnsi="Times New Roman"/>
          <w:b/>
          <w:bCs/>
          <w:color w:val="auto"/>
          <w:highlight w:val="none"/>
        </w:rPr>
        <w:t>（一）确定中标人</w:t>
      </w:r>
    </w:p>
    <w:p w14:paraId="5A2F06A8">
      <w:pPr>
        <w:adjustRightInd w:val="0"/>
        <w:snapToGrid w:val="0"/>
        <w:spacing w:line="360" w:lineRule="auto"/>
        <w:ind w:firstLine="480" w:firstLineChars="200"/>
        <w:rPr>
          <w:rFonts w:hint="default"/>
          <w:color w:val="auto"/>
          <w:sz w:val="24"/>
          <w:highlight w:val="none"/>
        </w:rPr>
      </w:pPr>
      <w:r>
        <w:rPr>
          <w:rFonts w:hint="default"/>
          <w:color w:val="auto"/>
          <w:sz w:val="24"/>
          <w:highlight w:val="none"/>
        </w:rPr>
        <w:t>1.采购人依法确定1名中标人。确定中标人后2个工作日内，代理机构以书面（纸质）形式发出《中标通知书》，并同时在相关网站上发布中标公告。</w:t>
      </w:r>
    </w:p>
    <w:p w14:paraId="3EC3109F">
      <w:pPr>
        <w:adjustRightInd w:val="0"/>
        <w:snapToGrid w:val="0"/>
        <w:spacing w:line="360" w:lineRule="auto"/>
        <w:ind w:firstLine="482" w:firstLineChars="200"/>
        <w:rPr>
          <w:rFonts w:hint="default"/>
          <w:b/>
          <w:bCs/>
          <w:color w:val="auto"/>
          <w:sz w:val="24"/>
          <w:highlight w:val="none"/>
        </w:rPr>
      </w:pPr>
      <w:r>
        <w:rPr>
          <w:b/>
          <w:bCs/>
          <w:color w:val="auto"/>
          <w:sz w:val="24"/>
          <w:highlight w:val="none"/>
        </w:rPr>
        <w:t>2.</w:t>
      </w:r>
      <w:r>
        <w:rPr>
          <w:rFonts w:hint="default"/>
          <w:b/>
          <w:bCs/>
          <w:color w:val="auto"/>
          <w:sz w:val="24"/>
          <w:highlight w:val="none"/>
        </w:rPr>
        <w:t>由于中标、成交供应商原因导致重新采购的，应当承担支付代理费和专家评审费等费用在内的赔偿责任。</w:t>
      </w:r>
    </w:p>
    <w:p w14:paraId="5BEC259E">
      <w:pPr>
        <w:pStyle w:val="6"/>
        <w:adjustRightInd w:val="0"/>
        <w:snapToGrid w:val="0"/>
        <w:spacing w:beforeLines="0" w:afterLines="0" w:line="360" w:lineRule="auto"/>
        <w:outlineLvl w:val="1"/>
        <w:rPr>
          <w:rFonts w:ascii="Times New Roman" w:hAnsi="Times New Roman"/>
          <w:b/>
          <w:color w:val="auto"/>
          <w:sz w:val="28"/>
          <w:szCs w:val="28"/>
          <w:highlight w:val="none"/>
        </w:rPr>
      </w:pPr>
      <w:r>
        <w:rPr>
          <w:rFonts w:ascii="Times New Roman" w:hAnsi="Times New Roman"/>
          <w:b/>
          <w:color w:val="auto"/>
          <w:sz w:val="28"/>
          <w:szCs w:val="28"/>
          <w:highlight w:val="none"/>
        </w:rPr>
        <w:t>七、合同授予</w:t>
      </w:r>
    </w:p>
    <w:p w14:paraId="1DC330C6">
      <w:pPr>
        <w:adjustRightInd w:val="0"/>
        <w:snapToGrid w:val="0"/>
        <w:spacing w:line="360" w:lineRule="auto"/>
        <w:ind w:firstLine="472" w:firstLineChars="196"/>
        <w:rPr>
          <w:rFonts w:hint="default" w:ascii="宋体" w:hAnsi="宋体" w:cs="宋体"/>
          <w:b/>
          <w:bCs/>
          <w:color w:val="auto"/>
          <w:sz w:val="24"/>
          <w:highlight w:val="none"/>
        </w:rPr>
      </w:pPr>
      <w:r>
        <w:rPr>
          <w:rFonts w:ascii="宋体" w:hAnsi="宋体" w:cs="宋体"/>
          <w:b/>
          <w:bCs/>
          <w:color w:val="auto"/>
          <w:sz w:val="24"/>
          <w:highlight w:val="none"/>
        </w:rPr>
        <w:t>（一）签订合同</w:t>
      </w:r>
    </w:p>
    <w:p w14:paraId="7E18B8A7">
      <w:pPr>
        <w:widowControl/>
        <w:shd w:val="clear" w:color="auto" w:fill="FFFFFF"/>
        <w:adjustRightInd w:val="0"/>
        <w:snapToGrid w:val="0"/>
        <w:spacing w:line="360" w:lineRule="auto"/>
        <w:ind w:firstLine="480"/>
        <w:jc w:val="left"/>
        <w:rPr>
          <w:rFonts w:hint="default" w:ascii="宋体" w:hAnsi="宋体" w:cs="宋体"/>
          <w:color w:val="auto"/>
          <w:kern w:val="0"/>
          <w:sz w:val="24"/>
          <w:highlight w:val="none"/>
        </w:rPr>
      </w:pPr>
      <w:r>
        <w:rPr>
          <w:rFonts w:ascii="宋体" w:hAnsi="宋体" w:cs="宋体"/>
          <w:color w:val="auto"/>
          <w:sz w:val="24"/>
          <w:highlight w:val="none"/>
        </w:rPr>
        <w:t>（1）</w:t>
      </w:r>
      <w:r>
        <w:rPr>
          <w:rFonts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w:t>
      </w:r>
    </w:p>
    <w:p w14:paraId="35F129DE">
      <w:pPr>
        <w:pStyle w:val="121"/>
        <w:adjustRightInd w:val="0"/>
        <w:snapToGrid w:val="0"/>
        <w:ind w:firstLine="480"/>
        <w:rPr>
          <w:rFonts w:hint="default" w:ascii="宋体" w:hAnsi="宋体" w:cs="宋体"/>
          <w:color w:val="auto"/>
          <w:kern w:val="0"/>
          <w:highlight w:val="none"/>
        </w:rPr>
      </w:pPr>
      <w:r>
        <w:rPr>
          <w:rFonts w:ascii="宋体" w:hAnsi="宋体" w:cs="宋体"/>
          <w:color w:val="auto"/>
          <w:kern w:val="0"/>
          <w:highlight w:val="none"/>
          <w:lang w:val="zh-CN"/>
        </w:rPr>
        <w:t>（</w:t>
      </w:r>
      <w:r>
        <w:rPr>
          <w:rFonts w:ascii="宋体" w:hAnsi="宋体" w:cs="宋体"/>
          <w:color w:val="auto"/>
          <w:kern w:val="0"/>
          <w:highlight w:val="none"/>
        </w:rPr>
        <w:t>2</w:t>
      </w:r>
      <w:r>
        <w:rPr>
          <w:rFonts w:ascii="宋体" w:hAnsi="宋体" w:cs="宋体"/>
          <w:color w:val="auto"/>
          <w:kern w:val="0"/>
          <w:highlight w:val="none"/>
          <w:lang w:val="zh-CN"/>
        </w:rPr>
        <w:t>）中标人按规定的日期、时间、地点，由法定代表人或其授权代表与采购人代表签订合同。如中标人为联合体的，由联合体成员各方法定代表人或其授权代表与采购人代表签订合同。</w:t>
      </w:r>
    </w:p>
    <w:p w14:paraId="0F0ECB3A">
      <w:pPr>
        <w:pStyle w:val="121"/>
        <w:adjustRightInd w:val="0"/>
        <w:snapToGrid w:val="0"/>
        <w:ind w:firstLine="480"/>
        <w:rPr>
          <w:rFonts w:hint="default" w:ascii="宋体" w:hAnsi="宋体" w:cs="宋体"/>
          <w:color w:val="auto"/>
          <w:highlight w:val="none"/>
        </w:rPr>
      </w:pPr>
      <w:r>
        <w:rPr>
          <w:rFonts w:ascii="宋体" w:hAnsi="宋体" w:cs="宋体"/>
          <w:color w:val="auto"/>
          <w:highlight w:val="none"/>
        </w:rPr>
        <w:t>（3）如签订合同并生效后，供应商无故拒绝或延期，除按照合同条款处理外，列入不良行为记录一次，并给予通报。</w:t>
      </w:r>
    </w:p>
    <w:p w14:paraId="481B9184">
      <w:pPr>
        <w:pStyle w:val="121"/>
        <w:adjustRightInd w:val="0"/>
        <w:snapToGrid w:val="0"/>
        <w:ind w:firstLine="480"/>
        <w:rPr>
          <w:rFonts w:hint="default" w:ascii="宋体" w:hAnsi="宋体" w:cs="宋体"/>
          <w:color w:val="auto"/>
          <w:highlight w:val="none"/>
        </w:rPr>
      </w:pPr>
      <w:r>
        <w:rPr>
          <w:rFonts w:ascii="宋体" w:hAnsi="宋体" w:cs="宋体"/>
          <w:color w:val="auto"/>
          <w:highlight w:val="none"/>
        </w:rPr>
        <w:t>（4）中标供应商拒绝与采购人签订合同的，采购人可以按照评审报告推荐的中标或者成交候选人名单排序，确定下一候选人为中标供应商，也可以重新开展政府采购活动。</w:t>
      </w:r>
    </w:p>
    <w:p w14:paraId="2347D0DD">
      <w:pPr>
        <w:pStyle w:val="121"/>
        <w:adjustRightInd w:val="0"/>
        <w:snapToGrid w:val="0"/>
        <w:ind w:firstLine="480"/>
        <w:rPr>
          <w:rFonts w:hint="default" w:ascii="宋体" w:hAnsi="宋体" w:cs="宋体"/>
          <w:color w:val="auto"/>
          <w:highlight w:val="none"/>
        </w:rPr>
      </w:pPr>
      <w:r>
        <w:rPr>
          <w:rFonts w:ascii="宋体" w:hAnsi="宋体" w:cs="宋体"/>
          <w:color w:val="auto"/>
          <w:highlight w:val="none"/>
        </w:rPr>
        <w:t>（5）采购合同由采购人与中标供应商根据招标文件、投标文件等内容通过政府采购电子交易平台在线签订，自动备案。</w:t>
      </w:r>
    </w:p>
    <w:p w14:paraId="2EBC1851">
      <w:pPr>
        <w:pStyle w:val="6"/>
        <w:snapToGrid w:val="0"/>
        <w:spacing w:beforeLines="0" w:afterLines="0" w:line="360" w:lineRule="auto"/>
        <w:ind w:firstLine="472" w:firstLineChars="196"/>
        <w:rPr>
          <w:rFonts w:hAnsi="宋体" w:cs="宋体"/>
          <w:b/>
          <w:color w:val="auto"/>
          <w:highlight w:val="none"/>
        </w:rPr>
      </w:pPr>
      <w:r>
        <w:rPr>
          <w:rFonts w:hAnsi="宋体" w:cs="宋体"/>
          <w:b/>
          <w:color w:val="auto"/>
          <w:highlight w:val="none"/>
        </w:rPr>
        <w:t>（二）履约保证金</w:t>
      </w:r>
    </w:p>
    <w:p w14:paraId="536D1A15">
      <w:pPr>
        <w:widowControl/>
        <w:shd w:val="clear" w:color="auto" w:fill="FFFFFF"/>
        <w:adjustRightInd w:val="0"/>
        <w:snapToGrid w:val="0"/>
        <w:spacing w:line="360" w:lineRule="auto"/>
        <w:ind w:firstLine="480"/>
        <w:jc w:val="left"/>
        <w:rPr>
          <w:rFonts w:hint="default" w:ascii="宋体" w:hAnsi="宋体" w:cs="宋体"/>
          <w:color w:val="auto"/>
          <w:sz w:val="24"/>
          <w:highlight w:val="none"/>
        </w:rPr>
      </w:pPr>
      <w:r>
        <w:rPr>
          <w:rFonts w:ascii="宋体" w:hAnsi="宋体" w:cs="宋体"/>
          <w:color w:val="auto"/>
          <w:sz w:val="24"/>
          <w:highlight w:val="none"/>
        </w:rPr>
        <w:t>（1）拟签订的合同文本要求中标供应商提交履约保证金的，供应商应当以支票、汇票、本票或者金融机构、担保机构出具的保函等非现金形式提交。履约保证金的数额不得超过政府采购合同金额的1%，鼓励根据项目特点、供应商诚信等因素免收履约保证金或降低缴纳比例。鼓励和支持供应商以银行、保险公司出具的保函形式提供履约保证金。采购人不得拒收履约保函，项目验收结束后应及时退还，延迟退还的，应当按照合同约定和法律规定承担相应的赔偿责任。</w:t>
      </w:r>
    </w:p>
    <w:p w14:paraId="6016BE98">
      <w:pPr>
        <w:pStyle w:val="6"/>
        <w:snapToGrid w:val="0"/>
        <w:spacing w:before="120" w:after="120" w:line="360" w:lineRule="auto"/>
        <w:ind w:firstLine="480" w:firstLineChars="200"/>
        <w:rPr>
          <w:rFonts w:hAnsi="宋体" w:cs="宋体"/>
          <w:color w:val="auto"/>
          <w:highlight w:val="none"/>
        </w:rPr>
      </w:pPr>
      <w:r>
        <w:rPr>
          <w:rFonts w:hAnsi="宋体" w:cs="宋体"/>
          <w:color w:val="auto"/>
          <w:highlight w:val="none"/>
        </w:rPr>
        <w:t>（2）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12C3266B">
      <w:pPr>
        <w:pStyle w:val="6"/>
        <w:adjustRightInd w:val="0"/>
        <w:snapToGrid w:val="0"/>
        <w:spacing w:beforeLines="0" w:afterLines="0" w:line="360" w:lineRule="auto"/>
        <w:outlineLvl w:val="1"/>
        <w:rPr>
          <w:rFonts w:hAnsi="宋体" w:cs="宋体"/>
          <w:b/>
          <w:color w:val="auto"/>
          <w:sz w:val="28"/>
          <w:szCs w:val="28"/>
          <w:highlight w:val="none"/>
        </w:rPr>
      </w:pPr>
      <w:r>
        <w:rPr>
          <w:rFonts w:hAnsi="宋体" w:cs="宋体"/>
          <w:b/>
          <w:color w:val="auto"/>
          <w:sz w:val="28"/>
          <w:szCs w:val="28"/>
          <w:highlight w:val="none"/>
        </w:rPr>
        <w:t>八、电子交易活动的中止</w:t>
      </w:r>
    </w:p>
    <w:p w14:paraId="07C63F01">
      <w:pPr>
        <w:pStyle w:val="6"/>
        <w:snapToGrid w:val="0"/>
        <w:spacing w:beforeLines="0" w:afterLines="0" w:line="360" w:lineRule="auto"/>
        <w:ind w:firstLine="472" w:firstLineChars="196"/>
        <w:rPr>
          <w:rFonts w:hAnsi="宋体" w:cs="宋体"/>
          <w:b/>
          <w:color w:val="auto"/>
          <w:highlight w:val="none"/>
        </w:rPr>
      </w:pPr>
      <w:r>
        <w:rPr>
          <w:rFonts w:hAnsi="宋体" w:cs="宋体"/>
          <w:b/>
          <w:color w:val="auto"/>
          <w:highlight w:val="none"/>
        </w:rPr>
        <w:t>（一）电子交易活动的中止。</w:t>
      </w:r>
    </w:p>
    <w:p w14:paraId="1405F9D1">
      <w:pPr>
        <w:pStyle w:val="121"/>
        <w:snapToGrid w:val="0"/>
        <w:spacing w:before="0"/>
        <w:ind w:firstLine="480"/>
        <w:rPr>
          <w:rFonts w:hint="default" w:ascii="宋体" w:hAnsi="宋体" w:cs="宋体"/>
          <w:color w:val="auto"/>
          <w:highlight w:val="none"/>
        </w:rPr>
      </w:pPr>
      <w:r>
        <w:rPr>
          <w:rFonts w:ascii="宋体" w:hAnsi="宋体" w:cs="宋体"/>
          <w:color w:val="auto"/>
          <w:highlight w:val="none"/>
        </w:rPr>
        <w:t>采购过程中出现以下情形，导致电子交易平台无法正常运行，或者无法保证电子交易的公平、公正和安全时，采购代理机构可中止电子交易活动：</w:t>
      </w:r>
    </w:p>
    <w:p w14:paraId="62EB10F1">
      <w:pPr>
        <w:pStyle w:val="121"/>
        <w:snapToGrid w:val="0"/>
        <w:spacing w:before="0"/>
        <w:ind w:firstLine="480"/>
        <w:rPr>
          <w:rFonts w:hint="default" w:ascii="宋体" w:hAnsi="宋体" w:cs="宋体"/>
          <w:color w:val="auto"/>
          <w:highlight w:val="none"/>
        </w:rPr>
      </w:pPr>
      <w:r>
        <w:rPr>
          <w:rFonts w:ascii="宋体" w:hAnsi="宋体" w:cs="宋体"/>
          <w:color w:val="auto"/>
          <w:highlight w:val="none"/>
        </w:rPr>
        <w:t xml:space="preserve">（1）电子交易平台发生故障而无法登录访问的； </w:t>
      </w:r>
    </w:p>
    <w:p w14:paraId="6C16099F">
      <w:pPr>
        <w:pStyle w:val="121"/>
        <w:snapToGrid w:val="0"/>
        <w:spacing w:before="0"/>
        <w:ind w:firstLine="480"/>
        <w:rPr>
          <w:rFonts w:hint="default" w:ascii="宋体" w:hAnsi="宋体" w:cs="宋体"/>
          <w:color w:val="auto"/>
          <w:highlight w:val="none"/>
        </w:rPr>
      </w:pPr>
      <w:r>
        <w:rPr>
          <w:rFonts w:ascii="宋体" w:hAnsi="宋体" w:cs="宋体"/>
          <w:color w:val="auto"/>
          <w:highlight w:val="none"/>
        </w:rPr>
        <w:t>（2）电子交易平台应用或数据库出现错误，不能进行正常操作的；</w:t>
      </w:r>
    </w:p>
    <w:p w14:paraId="49128027">
      <w:pPr>
        <w:pStyle w:val="121"/>
        <w:snapToGrid w:val="0"/>
        <w:spacing w:before="0"/>
        <w:ind w:firstLine="480"/>
        <w:rPr>
          <w:rFonts w:hint="default" w:ascii="宋体" w:hAnsi="宋体" w:cs="宋体"/>
          <w:color w:val="auto"/>
          <w:highlight w:val="none"/>
        </w:rPr>
      </w:pPr>
      <w:r>
        <w:rPr>
          <w:rFonts w:ascii="宋体" w:hAnsi="宋体" w:cs="宋体"/>
          <w:color w:val="auto"/>
          <w:highlight w:val="none"/>
        </w:rPr>
        <w:t>（3）电子交易平台发现严重安全漏洞，有潜在泄密危险的；</w:t>
      </w:r>
    </w:p>
    <w:p w14:paraId="0DDD39DE">
      <w:pPr>
        <w:pStyle w:val="121"/>
        <w:snapToGrid w:val="0"/>
        <w:spacing w:before="0"/>
        <w:ind w:firstLine="480"/>
        <w:rPr>
          <w:rFonts w:hint="default" w:ascii="宋体" w:hAnsi="宋体" w:cs="宋体"/>
          <w:color w:val="auto"/>
          <w:highlight w:val="none"/>
        </w:rPr>
      </w:pPr>
      <w:r>
        <w:rPr>
          <w:rFonts w:ascii="宋体" w:hAnsi="宋体" w:cs="宋体"/>
          <w:color w:val="auto"/>
          <w:highlight w:val="none"/>
        </w:rPr>
        <w:t xml:space="preserve">（4）病毒发作导致不能进行正常操作的； </w:t>
      </w:r>
    </w:p>
    <w:p w14:paraId="13ABDD58">
      <w:pPr>
        <w:pStyle w:val="121"/>
        <w:snapToGrid w:val="0"/>
        <w:spacing w:before="0"/>
        <w:ind w:firstLine="480"/>
        <w:rPr>
          <w:rFonts w:hint="default" w:ascii="宋体" w:hAnsi="宋体" w:cs="宋体"/>
          <w:color w:val="auto"/>
          <w:highlight w:val="none"/>
        </w:rPr>
      </w:pPr>
      <w:r>
        <w:rPr>
          <w:rFonts w:ascii="宋体" w:hAnsi="宋体" w:cs="宋体"/>
          <w:color w:val="auto"/>
          <w:highlight w:val="none"/>
        </w:rPr>
        <w:t>（5）其他无法保证电子交易的公平、公正和安全的情况。</w:t>
      </w:r>
    </w:p>
    <w:p w14:paraId="0DEEC496">
      <w:pPr>
        <w:pStyle w:val="121"/>
        <w:snapToGrid w:val="0"/>
        <w:spacing w:before="0"/>
        <w:ind w:firstLine="480"/>
        <w:rPr>
          <w:rFonts w:hint="default" w:ascii="宋体" w:hAnsi="宋体" w:cs="宋体"/>
          <w:color w:val="auto"/>
          <w:highlight w:val="none"/>
        </w:rPr>
      </w:pPr>
      <w:r>
        <w:rPr>
          <w:rFonts w:ascii="宋体" w:hAnsi="宋体" w:cs="宋体"/>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613C279F">
      <w:pPr>
        <w:rPr>
          <w:rFonts w:hint="default"/>
          <w:color w:val="auto"/>
          <w:highlight w:val="none"/>
        </w:rPr>
      </w:pPr>
    </w:p>
    <w:p w14:paraId="0669D905">
      <w:pPr>
        <w:pStyle w:val="2"/>
        <w:spacing w:line="360" w:lineRule="auto"/>
        <w:rPr>
          <w:bCs w:val="0"/>
          <w:color w:val="auto"/>
          <w:sz w:val="36"/>
          <w:szCs w:val="36"/>
          <w:highlight w:val="none"/>
        </w:rPr>
      </w:pPr>
      <w:r>
        <w:rPr>
          <w:color w:val="auto"/>
          <w:highlight w:val="none"/>
        </w:rPr>
        <w:br w:type="page"/>
      </w:r>
      <w:bookmarkStart w:id="62" w:name="_Toc19314"/>
      <w:r>
        <w:rPr>
          <w:bCs w:val="0"/>
          <w:color w:val="auto"/>
          <w:sz w:val="36"/>
          <w:szCs w:val="36"/>
          <w:highlight w:val="none"/>
        </w:rPr>
        <w:t>第三章  评标办法</w:t>
      </w:r>
      <w:bookmarkEnd w:id="62"/>
    </w:p>
    <w:p w14:paraId="4D91AA80">
      <w:pPr>
        <w:adjustRightInd w:val="0"/>
        <w:snapToGrid w:val="0"/>
        <w:spacing w:line="360" w:lineRule="auto"/>
        <w:ind w:firstLine="480" w:firstLineChars="200"/>
        <w:rPr>
          <w:rFonts w:hint="default"/>
          <w:color w:val="auto"/>
          <w:sz w:val="24"/>
          <w:highlight w:val="none"/>
        </w:rPr>
      </w:pPr>
      <w:r>
        <w:rPr>
          <w:rFonts w:hint="default"/>
          <w:color w:val="auto"/>
          <w:sz w:val="24"/>
          <w:highlight w:val="none"/>
        </w:rPr>
        <w:t>为公正、公平、科学地选择中标人，根据《中华人民共和国政府采购法》等有关法律法规的规定，并结合本项目的实际，制定本办法。</w:t>
      </w:r>
    </w:p>
    <w:p w14:paraId="1C70E27F">
      <w:pPr>
        <w:adjustRightInd w:val="0"/>
        <w:snapToGrid w:val="0"/>
        <w:spacing w:line="360" w:lineRule="auto"/>
        <w:ind w:firstLine="472" w:firstLineChars="196"/>
        <w:rPr>
          <w:rFonts w:hint="default"/>
          <w:b/>
          <w:color w:val="auto"/>
          <w:sz w:val="24"/>
          <w:szCs w:val="24"/>
          <w:highlight w:val="none"/>
        </w:rPr>
      </w:pPr>
      <w:r>
        <w:rPr>
          <w:rFonts w:hint="default"/>
          <w:b/>
          <w:color w:val="auto"/>
          <w:sz w:val="24"/>
          <w:szCs w:val="24"/>
          <w:highlight w:val="none"/>
        </w:rPr>
        <w:t>一、总则</w:t>
      </w:r>
    </w:p>
    <w:p w14:paraId="1818B0A6">
      <w:pPr>
        <w:adjustRightInd w:val="0"/>
        <w:snapToGrid w:val="0"/>
        <w:spacing w:line="360" w:lineRule="auto"/>
        <w:ind w:firstLine="480" w:firstLineChars="200"/>
        <w:rPr>
          <w:rFonts w:hint="default"/>
          <w:bCs/>
          <w:color w:val="auto"/>
          <w:sz w:val="24"/>
          <w:highlight w:val="none"/>
        </w:rPr>
      </w:pPr>
      <w:r>
        <w:rPr>
          <w:rFonts w:hint="default"/>
          <w:color w:val="auto"/>
          <w:sz w:val="24"/>
          <w:highlight w:val="none"/>
        </w:rPr>
        <w:t>本次评标采用综合评分法，总分为100分，其中价格分</w:t>
      </w:r>
      <w:r>
        <w:rPr>
          <w:rFonts w:hint="eastAsia"/>
          <w:color w:val="auto"/>
          <w:sz w:val="24"/>
          <w:highlight w:val="none"/>
          <w:lang w:val="en-US" w:eastAsia="zh-CN"/>
        </w:rPr>
        <w:t>35</w:t>
      </w:r>
      <w:r>
        <w:rPr>
          <w:rFonts w:hint="default"/>
          <w:color w:val="auto"/>
          <w:sz w:val="24"/>
          <w:highlight w:val="none"/>
        </w:rPr>
        <w:t>分，资信商务技术分</w:t>
      </w:r>
      <w:r>
        <w:rPr>
          <w:rFonts w:hint="eastAsia"/>
          <w:color w:val="auto"/>
          <w:sz w:val="24"/>
          <w:highlight w:val="none"/>
          <w:lang w:val="en-US" w:eastAsia="zh-CN"/>
        </w:rPr>
        <w:t>65</w:t>
      </w:r>
      <w:r>
        <w:rPr>
          <w:rFonts w:hint="default"/>
          <w:color w:val="auto"/>
          <w:sz w:val="24"/>
          <w:highlight w:val="none"/>
        </w:rPr>
        <w:t>分。合格投标人的评标得分为各项目汇总得分，中标候选资格按评标得分由高到低顺序排列，得分相同的，按投标报价由低到高顺序排列；得分且投标报价相同的，由评标委员会集体决定。评分过程中采用四舍五入法，并保留小数2位。除财政部门另有规定外，评标委员会推荐得分排列前</w:t>
      </w:r>
      <w:r>
        <w:rPr>
          <w:rFonts w:hint="default"/>
          <w:color w:val="auto"/>
          <w:sz w:val="24"/>
          <w:highlight w:val="none"/>
          <w:u w:val="single"/>
        </w:rPr>
        <w:t xml:space="preserve"> 3 </w:t>
      </w:r>
      <w:r>
        <w:rPr>
          <w:rFonts w:hint="default"/>
          <w:color w:val="auto"/>
          <w:sz w:val="24"/>
          <w:highlight w:val="none"/>
        </w:rPr>
        <w:t>名的投标人为中标候选人。</w:t>
      </w:r>
    </w:p>
    <w:p w14:paraId="2A2ED9E5">
      <w:pPr>
        <w:adjustRightInd w:val="0"/>
        <w:snapToGrid w:val="0"/>
        <w:spacing w:line="360" w:lineRule="auto"/>
        <w:ind w:firstLine="480" w:firstLineChars="200"/>
        <w:rPr>
          <w:rFonts w:hint="default"/>
          <w:color w:val="auto"/>
          <w:sz w:val="24"/>
          <w:highlight w:val="none"/>
        </w:rPr>
      </w:pPr>
      <w:r>
        <w:rPr>
          <w:rFonts w:hint="default"/>
          <w:color w:val="auto"/>
          <w:sz w:val="24"/>
          <w:highlight w:val="none"/>
        </w:rPr>
        <w:t>资信商务技术分=评标委员会所有成员评分合计数/评标委员会组成人员数</w:t>
      </w:r>
    </w:p>
    <w:p w14:paraId="01EF7926">
      <w:pPr>
        <w:adjustRightInd w:val="0"/>
        <w:snapToGrid w:val="0"/>
        <w:spacing w:line="360" w:lineRule="auto"/>
        <w:ind w:firstLine="480" w:firstLineChars="200"/>
        <w:rPr>
          <w:rFonts w:hint="default"/>
          <w:bCs/>
          <w:color w:val="auto"/>
          <w:sz w:val="24"/>
          <w:highlight w:val="none"/>
        </w:rPr>
      </w:pPr>
      <w:r>
        <w:rPr>
          <w:rFonts w:hint="default"/>
          <w:color w:val="auto"/>
          <w:sz w:val="24"/>
          <w:highlight w:val="none"/>
        </w:rPr>
        <w:t>投标人评标</w:t>
      </w:r>
      <w:r>
        <w:rPr>
          <w:rFonts w:hint="default"/>
          <w:bCs/>
          <w:color w:val="auto"/>
          <w:sz w:val="24"/>
          <w:highlight w:val="none"/>
        </w:rPr>
        <w:t>综合得分=价格分+资信商务技术分</w:t>
      </w:r>
    </w:p>
    <w:p w14:paraId="12C939D3">
      <w:pPr>
        <w:adjustRightInd w:val="0"/>
        <w:snapToGrid w:val="0"/>
        <w:spacing w:line="360" w:lineRule="auto"/>
        <w:ind w:firstLine="472" w:firstLineChars="196"/>
        <w:rPr>
          <w:rFonts w:hint="default"/>
          <w:b/>
          <w:color w:val="auto"/>
          <w:sz w:val="24"/>
          <w:szCs w:val="24"/>
          <w:highlight w:val="none"/>
        </w:rPr>
      </w:pPr>
      <w:r>
        <w:rPr>
          <w:rFonts w:hint="default"/>
          <w:b/>
          <w:color w:val="auto"/>
          <w:sz w:val="24"/>
          <w:szCs w:val="24"/>
          <w:highlight w:val="none"/>
        </w:rPr>
        <w:t>二、资格审查</w:t>
      </w:r>
    </w:p>
    <w:p w14:paraId="752DC5D2">
      <w:pPr>
        <w:adjustRightInd w:val="0"/>
        <w:snapToGrid w:val="0"/>
        <w:spacing w:line="360" w:lineRule="auto"/>
        <w:ind w:firstLine="470" w:firstLineChars="196"/>
        <w:outlineLvl w:val="2"/>
        <w:rPr>
          <w:rFonts w:hint="default"/>
          <w:bCs/>
          <w:color w:val="auto"/>
          <w:sz w:val="24"/>
          <w:szCs w:val="28"/>
          <w:highlight w:val="none"/>
        </w:rPr>
      </w:pPr>
      <w:r>
        <w:rPr>
          <w:rFonts w:hint="default"/>
          <w:bCs/>
          <w:color w:val="auto"/>
          <w:sz w:val="24"/>
          <w:highlight w:val="none"/>
        </w:rPr>
        <w:t>采购人或者采购代理机构对各投标人的资格进行审查，投标人资格条件不符合招标文件要求的投标无效，不再进入符合性审查。</w:t>
      </w:r>
    </w:p>
    <w:p w14:paraId="34102E15">
      <w:pPr>
        <w:adjustRightInd w:val="0"/>
        <w:snapToGrid w:val="0"/>
        <w:spacing w:line="360" w:lineRule="auto"/>
        <w:ind w:firstLine="472" w:firstLineChars="196"/>
        <w:outlineLvl w:val="2"/>
        <w:rPr>
          <w:rFonts w:hint="default"/>
          <w:b/>
          <w:color w:val="auto"/>
          <w:sz w:val="24"/>
          <w:szCs w:val="24"/>
          <w:highlight w:val="none"/>
        </w:rPr>
      </w:pPr>
      <w:r>
        <w:rPr>
          <w:rFonts w:hint="default"/>
          <w:b/>
          <w:color w:val="auto"/>
          <w:sz w:val="24"/>
          <w:szCs w:val="24"/>
          <w:highlight w:val="none"/>
        </w:rPr>
        <w:t>三、符合性审查</w:t>
      </w:r>
    </w:p>
    <w:p w14:paraId="47B0CD18">
      <w:pPr>
        <w:adjustRightInd w:val="0"/>
        <w:snapToGrid w:val="0"/>
        <w:spacing w:line="360" w:lineRule="auto"/>
        <w:ind w:firstLine="480" w:firstLineChars="200"/>
        <w:rPr>
          <w:rFonts w:hint="default"/>
          <w:bCs/>
          <w:color w:val="auto"/>
          <w:sz w:val="24"/>
          <w:highlight w:val="none"/>
        </w:rPr>
      </w:pPr>
      <w:r>
        <w:rPr>
          <w:rFonts w:hint="default"/>
          <w:bCs/>
          <w:color w:val="auto"/>
          <w:sz w:val="24"/>
          <w:highlight w:val="none"/>
        </w:rPr>
        <w:t>评审小组对资格审查合格的投标文件进行符合性审查，确定是否对招标文件作出了实质性响应。符合性审查不合格的投标无效，不再进行商务和技术评估、综合比较与评价。</w:t>
      </w:r>
    </w:p>
    <w:p w14:paraId="35EF7CD6">
      <w:pPr>
        <w:adjustRightInd w:val="0"/>
        <w:snapToGrid w:val="0"/>
        <w:spacing w:line="360" w:lineRule="auto"/>
        <w:ind w:firstLine="472" w:firstLineChars="196"/>
        <w:rPr>
          <w:rFonts w:hint="default"/>
          <w:b/>
          <w:bCs/>
          <w:color w:val="auto"/>
          <w:sz w:val="24"/>
          <w:highlight w:val="none"/>
        </w:rPr>
      </w:pPr>
      <w:r>
        <w:rPr>
          <w:rFonts w:hint="default"/>
          <w:b/>
          <w:bCs/>
          <w:color w:val="auto"/>
          <w:sz w:val="24"/>
          <w:highlight w:val="none"/>
        </w:rPr>
        <w:t>1.在商务、技术评审时，如发现下列情形之一的，投标将被视为无效：</w:t>
      </w:r>
    </w:p>
    <w:p w14:paraId="0E28C9C1">
      <w:pPr>
        <w:adjustRightInd w:val="0"/>
        <w:snapToGrid w:val="0"/>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1）供应商提交两份或两份以上内容不同的投标方案，未声明哪一份有效的；</w:t>
      </w:r>
    </w:p>
    <w:p w14:paraId="269CEB11">
      <w:pPr>
        <w:adjustRightInd w:val="0"/>
        <w:snapToGrid w:val="0"/>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2）投标文件非供应商法定代表人签署的，未提供或提供无效的法定代表人授权书；</w:t>
      </w:r>
    </w:p>
    <w:p w14:paraId="08BE36BE">
      <w:pPr>
        <w:adjustRightInd w:val="0"/>
        <w:snapToGrid w:val="0"/>
        <w:spacing w:line="360" w:lineRule="auto"/>
        <w:ind w:firstLine="480" w:firstLineChars="200"/>
        <w:rPr>
          <w:rFonts w:hint="default" w:ascii="宋体" w:hAnsi="宋体" w:cs="宋体"/>
          <w:color w:val="auto"/>
          <w:sz w:val="24"/>
          <w:szCs w:val="24"/>
          <w:highlight w:val="none"/>
        </w:rPr>
      </w:pPr>
      <w:r>
        <w:rPr>
          <w:rFonts w:ascii="宋体" w:hAnsi="宋体" w:cs="宋体"/>
          <w:snapToGrid w:val="0"/>
          <w:color w:val="auto"/>
          <w:kern w:val="0"/>
          <w:sz w:val="24"/>
          <w:szCs w:val="24"/>
          <w:highlight w:val="none"/>
        </w:rPr>
        <w:t>3）投标文件中法定代表人和授权代表身份证复印件不齐全的；</w:t>
      </w:r>
    </w:p>
    <w:p w14:paraId="4237440F">
      <w:pPr>
        <w:adjustRightInd w:val="0"/>
        <w:snapToGrid w:val="0"/>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4）投标文件内容未按采购文件规定盖章的；</w:t>
      </w:r>
    </w:p>
    <w:p w14:paraId="0D8CE4D5">
      <w:pPr>
        <w:adjustRightInd w:val="0"/>
        <w:snapToGrid w:val="0"/>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5）投标文件内容不全或内容字迹模糊辨认不清的等而导致评标活动无法正常进行；</w:t>
      </w:r>
    </w:p>
    <w:p w14:paraId="257AF3D0">
      <w:pPr>
        <w:adjustRightInd w:val="0"/>
        <w:snapToGrid w:val="0"/>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6）供应商未按采购文件变更通知更改投标文件的；</w:t>
      </w:r>
    </w:p>
    <w:p w14:paraId="2E8EB5A2">
      <w:pPr>
        <w:adjustRightInd w:val="0"/>
        <w:snapToGrid w:val="0"/>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7）未实质性响应采购文件中带“▲”条款要求的投标文件；</w:t>
      </w:r>
    </w:p>
    <w:p w14:paraId="2DEEC464">
      <w:pPr>
        <w:adjustRightInd w:val="0"/>
        <w:snapToGrid w:val="0"/>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8）</w:t>
      </w:r>
      <w:r>
        <w:rPr>
          <w:rFonts w:ascii="宋体" w:hAnsi="宋体" w:cs="宋体"/>
          <w:snapToGrid w:val="0"/>
          <w:color w:val="auto"/>
          <w:kern w:val="0"/>
          <w:sz w:val="24"/>
          <w:szCs w:val="24"/>
          <w:highlight w:val="none"/>
        </w:rPr>
        <w:t>商务条款中投标有效期、交货期、质保期不能满足采购文件要求的；</w:t>
      </w:r>
    </w:p>
    <w:p w14:paraId="061EC339">
      <w:pPr>
        <w:adjustRightInd w:val="0"/>
        <w:snapToGrid w:val="0"/>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9）投标文件附有采购人不能接受的条款；</w:t>
      </w:r>
    </w:p>
    <w:p w14:paraId="71DDF424">
      <w:pPr>
        <w:adjustRightInd w:val="0"/>
        <w:snapToGrid w:val="0"/>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10）投标文件中提供了与采购无关的赠品、回扣或者其他商品、服务；</w:t>
      </w:r>
    </w:p>
    <w:p w14:paraId="001EEE21">
      <w:pPr>
        <w:adjustRightInd w:val="0"/>
        <w:snapToGrid w:val="0"/>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11）供应商串通投标，妨碍其他供应商的竞争行为，损害采购人或者其他供应商的合法权益；</w:t>
      </w:r>
    </w:p>
    <w:p w14:paraId="2078E28E">
      <w:pPr>
        <w:adjustRightInd w:val="0"/>
        <w:snapToGrid w:val="0"/>
        <w:spacing w:line="360" w:lineRule="auto"/>
        <w:ind w:firstLine="480" w:firstLineChars="200"/>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12）参与同一标段（包）的投标人（供应商）存在IP或MAC或硬件信息或供应商手机号相同，且无合理解释的情形的（注：IP、MAC、硬件信息是供应商投标客户端制作标书IP、MAC、硬件信息；手机号是上传投标文件时的手机号信息）；</w:t>
      </w:r>
    </w:p>
    <w:p w14:paraId="712F0223">
      <w:pPr>
        <w:adjustRightInd w:val="0"/>
        <w:snapToGrid w:val="0"/>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1</w:t>
      </w:r>
      <w:r>
        <w:rPr>
          <w:rFonts w:hint="eastAsia" w:ascii="宋体" w:hAnsi="宋体" w:cs="宋体"/>
          <w:color w:val="auto"/>
          <w:sz w:val="24"/>
          <w:szCs w:val="24"/>
          <w:highlight w:val="none"/>
          <w:lang w:val="en-US" w:eastAsia="zh-CN"/>
        </w:rPr>
        <w:t>3</w:t>
      </w:r>
      <w:r>
        <w:rPr>
          <w:rFonts w:ascii="宋体" w:hAnsi="宋体" w:cs="宋体"/>
          <w:color w:val="auto"/>
          <w:sz w:val="24"/>
          <w:szCs w:val="24"/>
          <w:highlight w:val="none"/>
        </w:rPr>
        <w:t>）违反国家及政府部门相关法律、法规、文件规定或经评标委员会认定的其他属于重大偏离。</w:t>
      </w:r>
    </w:p>
    <w:p w14:paraId="7B119237">
      <w:pPr>
        <w:pStyle w:val="16"/>
        <w:adjustRightInd w:val="0"/>
        <w:snapToGrid w:val="0"/>
        <w:spacing w:line="360" w:lineRule="auto"/>
        <w:ind w:firstLine="457" w:firstLineChars="196"/>
        <w:rPr>
          <w:rFonts w:hint="default" w:hAnsi="宋体" w:cs="宋体"/>
          <w:b/>
          <w:bCs/>
          <w:color w:val="auto"/>
          <w:sz w:val="24"/>
          <w:szCs w:val="24"/>
          <w:highlight w:val="none"/>
        </w:rPr>
      </w:pPr>
      <w:r>
        <w:rPr>
          <w:rFonts w:hAnsi="宋体" w:cs="宋体"/>
          <w:b/>
          <w:bCs/>
          <w:color w:val="auto"/>
          <w:sz w:val="24"/>
          <w:szCs w:val="24"/>
          <w:highlight w:val="none"/>
        </w:rPr>
        <w:t>2.在报价评审时，如发现下列情形之一的，投标将被视为无效：</w:t>
      </w:r>
    </w:p>
    <w:p w14:paraId="188F55BF">
      <w:pPr>
        <w:adjustRightInd w:val="0"/>
        <w:snapToGrid w:val="0"/>
        <w:spacing w:line="360" w:lineRule="auto"/>
        <w:ind w:firstLine="480" w:firstLineChars="200"/>
        <w:rPr>
          <w:rFonts w:hint="default" w:ascii="宋体" w:hAnsi="宋体" w:cs="宋体"/>
          <w:color w:val="auto"/>
          <w:sz w:val="24"/>
          <w:szCs w:val="24"/>
          <w:highlight w:val="none"/>
        </w:rPr>
      </w:pPr>
      <w:r>
        <w:rPr>
          <w:rFonts w:hint="default" w:ascii="宋体" w:hAnsi="宋体" w:cs="宋体"/>
          <w:color w:val="auto"/>
          <w:sz w:val="24"/>
          <w:szCs w:val="24"/>
          <w:highlight w:val="none"/>
        </w:rPr>
        <w:t>1）报价文件未按招标文件要求盖章的；</w:t>
      </w:r>
    </w:p>
    <w:p w14:paraId="53F80071">
      <w:pPr>
        <w:adjustRightInd w:val="0"/>
        <w:snapToGrid w:val="0"/>
        <w:spacing w:line="360" w:lineRule="auto"/>
        <w:ind w:firstLine="480" w:firstLineChars="200"/>
        <w:rPr>
          <w:rFonts w:hint="default" w:ascii="宋体" w:hAnsi="宋体" w:cs="宋体"/>
          <w:color w:val="auto"/>
          <w:sz w:val="24"/>
          <w:szCs w:val="24"/>
          <w:highlight w:val="none"/>
        </w:rPr>
      </w:pPr>
      <w:r>
        <w:rPr>
          <w:rFonts w:hint="default" w:ascii="宋体" w:hAnsi="宋体" w:cs="宋体"/>
          <w:color w:val="auto"/>
          <w:sz w:val="24"/>
          <w:szCs w:val="24"/>
          <w:highlight w:val="none"/>
        </w:rPr>
        <w:t>2）报价超出最高限价，或者超出采购预算金额；</w:t>
      </w:r>
    </w:p>
    <w:p w14:paraId="645CCC6D">
      <w:pPr>
        <w:adjustRightInd w:val="0"/>
        <w:snapToGrid w:val="0"/>
        <w:spacing w:line="360" w:lineRule="auto"/>
        <w:ind w:firstLine="480" w:firstLineChars="200"/>
        <w:rPr>
          <w:rFonts w:hint="default" w:ascii="宋体" w:hAnsi="宋体" w:cs="宋体"/>
          <w:color w:val="auto"/>
          <w:sz w:val="24"/>
          <w:szCs w:val="24"/>
          <w:highlight w:val="none"/>
        </w:rPr>
      </w:pPr>
      <w:r>
        <w:rPr>
          <w:rFonts w:hint="default" w:ascii="宋体" w:hAnsi="宋体" w:cs="宋体"/>
          <w:color w:val="auto"/>
          <w:sz w:val="24"/>
          <w:szCs w:val="24"/>
          <w:highlight w:val="none"/>
        </w:rPr>
        <w:t>3）投标报价具有选择性的；</w:t>
      </w:r>
    </w:p>
    <w:p w14:paraId="75F59567">
      <w:pPr>
        <w:adjustRightInd w:val="0"/>
        <w:snapToGrid w:val="0"/>
        <w:spacing w:line="360" w:lineRule="auto"/>
        <w:ind w:firstLine="480" w:firstLineChars="200"/>
        <w:rPr>
          <w:rFonts w:hint="default" w:ascii="宋体" w:hAnsi="宋体" w:cs="宋体"/>
          <w:color w:val="auto"/>
          <w:sz w:val="24"/>
          <w:szCs w:val="24"/>
          <w:highlight w:val="none"/>
        </w:rPr>
      </w:pPr>
      <w:r>
        <w:rPr>
          <w:rFonts w:hint="default" w:ascii="宋体" w:hAnsi="宋体" w:cs="宋体"/>
          <w:color w:val="auto"/>
          <w:sz w:val="24"/>
          <w:szCs w:val="24"/>
          <w:highlight w:val="none"/>
        </w:rPr>
        <w:t>4）不接受按招标文件规定的修正错误原则修正后的报价的；</w:t>
      </w:r>
    </w:p>
    <w:p w14:paraId="28035FBD">
      <w:pPr>
        <w:adjustRightInd w:val="0"/>
        <w:snapToGrid w:val="0"/>
        <w:spacing w:line="360" w:lineRule="auto"/>
        <w:ind w:firstLine="480" w:firstLineChars="200"/>
        <w:rPr>
          <w:rFonts w:hint="default" w:ascii="宋体" w:hAnsi="宋体" w:cs="宋体"/>
          <w:color w:val="auto"/>
          <w:sz w:val="24"/>
          <w:szCs w:val="24"/>
          <w:highlight w:val="none"/>
        </w:rPr>
      </w:pPr>
      <w:r>
        <w:rPr>
          <w:rFonts w:hint="default" w:ascii="宋体" w:hAnsi="宋体" w:cs="宋体"/>
          <w:color w:val="auto"/>
          <w:sz w:val="24"/>
          <w:szCs w:val="24"/>
          <w:highlight w:val="none"/>
        </w:rPr>
        <w:t>5）投标人不得进行影响产品质量或者诚信履约的恶意报价。投标人在项目评审前准备好报价核算、报价明细、报价说明等材料，以备评审专家核查。投标人报价低于项目标项预算50%的，应当在报价文件中详细阐述不影响产品质量或者诚信履约的具体原因，供应商不能证明其报价合理性的，评审委员会应将该响应文件作无效处理。</w:t>
      </w:r>
    </w:p>
    <w:p w14:paraId="747EE827">
      <w:pPr>
        <w:adjustRightInd w:val="0"/>
        <w:snapToGrid w:val="0"/>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6）投标文件附有采购人不能接受的条款；</w:t>
      </w:r>
    </w:p>
    <w:p w14:paraId="1D25599A">
      <w:pPr>
        <w:adjustRightInd w:val="0"/>
        <w:snapToGrid w:val="0"/>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7）投标文件中提供了与采购无关的赠品、回扣或者其他商品、服务；</w:t>
      </w:r>
    </w:p>
    <w:p w14:paraId="459188C5">
      <w:pPr>
        <w:adjustRightInd w:val="0"/>
        <w:snapToGrid w:val="0"/>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8)违反国家及政府部门相关法律、法规、文件规定或经评标委员会认定的其他属于重大偏离</w:t>
      </w:r>
      <w:r>
        <w:rPr>
          <w:rFonts w:hint="default" w:ascii="宋体" w:hAnsi="宋体" w:cs="宋体"/>
          <w:color w:val="auto"/>
          <w:sz w:val="24"/>
          <w:szCs w:val="24"/>
          <w:highlight w:val="none"/>
        </w:rPr>
        <w:t>。</w:t>
      </w:r>
    </w:p>
    <w:p w14:paraId="3C1D760D">
      <w:pPr>
        <w:spacing w:line="360" w:lineRule="auto"/>
        <w:ind w:firstLine="482" w:firstLineChars="200"/>
        <w:rPr>
          <w:rFonts w:hint="default"/>
          <w:b/>
          <w:color w:val="auto"/>
          <w:sz w:val="24"/>
          <w:szCs w:val="24"/>
          <w:highlight w:val="none"/>
        </w:rPr>
      </w:pPr>
      <w:bookmarkStart w:id="63" w:name="_Hlk151967321"/>
      <w:r>
        <w:rPr>
          <w:rFonts w:hint="default"/>
          <w:b/>
          <w:color w:val="auto"/>
          <w:sz w:val="24"/>
          <w:szCs w:val="24"/>
          <w:highlight w:val="none"/>
        </w:rPr>
        <w:t>四、评审内容及标准</w:t>
      </w:r>
    </w:p>
    <w:p w14:paraId="12828E35">
      <w:pPr>
        <w:pStyle w:val="16"/>
        <w:spacing w:line="360" w:lineRule="auto"/>
        <w:ind w:firstLine="300" w:firstLineChars="129"/>
        <w:rPr>
          <w:rFonts w:hint="default" w:ascii="Times New Roman" w:hAnsi="Times New Roman"/>
          <w:b/>
          <w:color w:val="auto"/>
          <w:sz w:val="24"/>
          <w:szCs w:val="24"/>
          <w:highlight w:val="none"/>
        </w:rPr>
      </w:pPr>
      <w:r>
        <w:rPr>
          <w:rFonts w:hint="default" w:ascii="Times New Roman" w:hAnsi="Times New Roman"/>
          <w:b/>
          <w:color w:val="auto"/>
          <w:sz w:val="24"/>
          <w:szCs w:val="24"/>
          <w:highlight w:val="none"/>
        </w:rPr>
        <w:t>（一）资信商务技术分（</w:t>
      </w:r>
      <w:r>
        <w:rPr>
          <w:rFonts w:hint="eastAsia" w:ascii="Times New Roman" w:hAnsi="Times New Roman"/>
          <w:b/>
          <w:color w:val="auto"/>
          <w:sz w:val="24"/>
          <w:szCs w:val="24"/>
          <w:highlight w:val="none"/>
          <w:lang w:val="en-US" w:eastAsia="zh-CN"/>
        </w:rPr>
        <w:t>65</w:t>
      </w:r>
      <w:r>
        <w:rPr>
          <w:rFonts w:hint="default" w:ascii="Times New Roman" w:hAnsi="Times New Roman"/>
          <w:b/>
          <w:color w:val="auto"/>
          <w:sz w:val="24"/>
          <w:szCs w:val="24"/>
          <w:highlight w:val="none"/>
        </w:rPr>
        <w:t>分）</w:t>
      </w:r>
    </w:p>
    <w:tbl>
      <w:tblPr>
        <w:tblStyle w:val="41"/>
        <w:tblW w:w="96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67"/>
        <w:gridCol w:w="654"/>
        <w:gridCol w:w="7207"/>
      </w:tblGrid>
      <w:tr w14:paraId="55876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jc w:val="center"/>
        </w:trPr>
        <w:tc>
          <w:tcPr>
            <w:tcW w:w="9628" w:type="dxa"/>
            <w:gridSpan w:val="3"/>
            <w:vAlign w:val="center"/>
          </w:tcPr>
          <w:p w14:paraId="090007D0">
            <w:pPr>
              <w:jc w:val="center"/>
              <w:rPr>
                <w:b/>
                <w:bCs/>
                <w:color w:val="auto"/>
                <w:sz w:val="21"/>
                <w:szCs w:val="21"/>
                <w:highlight w:val="none"/>
              </w:rPr>
            </w:pPr>
            <w:r>
              <w:rPr>
                <w:b/>
                <w:bCs/>
                <w:color w:val="auto"/>
                <w:sz w:val="21"/>
                <w:szCs w:val="21"/>
                <w:highlight w:val="none"/>
              </w:rPr>
              <w:t>商务分</w:t>
            </w:r>
          </w:p>
        </w:tc>
      </w:tr>
      <w:tr w14:paraId="7F1D93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7" w:hRule="atLeast"/>
          <w:jc w:val="center"/>
        </w:trPr>
        <w:tc>
          <w:tcPr>
            <w:tcW w:w="1767" w:type="dxa"/>
            <w:vAlign w:val="center"/>
          </w:tcPr>
          <w:p w14:paraId="48229F90">
            <w:pPr>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质保期</w:t>
            </w:r>
          </w:p>
        </w:tc>
        <w:tc>
          <w:tcPr>
            <w:tcW w:w="654" w:type="dxa"/>
            <w:vAlign w:val="center"/>
          </w:tcPr>
          <w:p w14:paraId="785E5215">
            <w:pPr>
              <w:jc w:val="center"/>
              <w:rPr>
                <w:rFonts w:hint="eastAsia" w:ascii="宋体" w:hAnsi="宋体" w:eastAsia="宋体" w:cs="宋体"/>
                <w:b/>
                <w:bCs/>
                <w:color w:val="auto"/>
                <w:sz w:val="21"/>
                <w:szCs w:val="21"/>
                <w:highlight w:val="none"/>
                <w:lang w:eastAsia="zh-CN"/>
              </w:rPr>
            </w:pPr>
            <w:r>
              <w:rPr>
                <w:rFonts w:hint="eastAsia" w:ascii="宋体" w:hAnsi="宋体" w:cs="宋体"/>
                <w:b/>
                <w:bCs/>
                <w:color w:val="auto"/>
                <w:sz w:val="21"/>
                <w:szCs w:val="21"/>
                <w:highlight w:val="none"/>
                <w:lang w:val="en-US" w:eastAsia="zh-CN"/>
              </w:rPr>
              <w:t>1</w:t>
            </w:r>
          </w:p>
        </w:tc>
        <w:tc>
          <w:tcPr>
            <w:tcW w:w="7207" w:type="dxa"/>
            <w:vAlign w:val="center"/>
          </w:tcPr>
          <w:p w14:paraId="2AA88706">
            <w:pPr>
              <w:rPr>
                <w:rFonts w:ascii="宋体" w:hAnsi="宋体" w:cs="宋体"/>
                <w:color w:val="auto"/>
                <w:sz w:val="21"/>
                <w:szCs w:val="21"/>
                <w:highlight w:val="none"/>
              </w:rPr>
            </w:pPr>
            <w:r>
              <w:rPr>
                <w:rFonts w:hint="eastAsia" w:ascii="宋体" w:hAnsi="宋体" w:cs="宋体"/>
                <w:color w:val="auto"/>
                <w:sz w:val="21"/>
                <w:szCs w:val="21"/>
                <w:highlight w:val="none"/>
              </w:rPr>
              <w:t>质保期在满足招标文件要求的基础上每延长一年得</w:t>
            </w:r>
            <w:r>
              <w:rPr>
                <w:rFonts w:hint="eastAsia" w:ascii="宋体" w:hAnsi="宋体" w:cs="宋体"/>
                <w:color w:val="auto"/>
                <w:sz w:val="21"/>
                <w:szCs w:val="21"/>
                <w:highlight w:val="none"/>
                <w:lang w:val="en-US" w:eastAsia="zh-CN"/>
              </w:rPr>
              <w:t>0.5</w:t>
            </w:r>
            <w:r>
              <w:rPr>
                <w:rFonts w:hint="eastAsia" w:ascii="宋体" w:hAnsi="宋体" w:cs="宋体"/>
                <w:color w:val="auto"/>
                <w:sz w:val="21"/>
                <w:szCs w:val="21"/>
                <w:highlight w:val="none"/>
              </w:rPr>
              <w:t>分，最多得</w:t>
            </w:r>
            <w:r>
              <w:rPr>
                <w:rFonts w:hint="eastAsia" w:ascii="宋体" w:hAnsi="宋体" w:cs="宋体"/>
                <w:color w:val="auto"/>
                <w:sz w:val="21"/>
                <w:szCs w:val="21"/>
                <w:highlight w:val="none"/>
                <w:lang w:val="en-US" w:eastAsia="zh-CN"/>
              </w:rPr>
              <w:t>1</w:t>
            </w:r>
            <w:r>
              <w:rPr>
                <w:rFonts w:hint="eastAsia" w:ascii="宋体" w:hAnsi="宋体" w:cs="宋体"/>
                <w:color w:val="auto"/>
                <w:sz w:val="21"/>
                <w:szCs w:val="21"/>
                <w:highlight w:val="none"/>
              </w:rPr>
              <w:t>分，延长时间不足一年的不计入得分，质保期不满足招标文件要求的投标无效。</w:t>
            </w:r>
          </w:p>
        </w:tc>
      </w:tr>
      <w:tr w14:paraId="0456E1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7" w:hRule="atLeast"/>
          <w:jc w:val="center"/>
        </w:trPr>
        <w:tc>
          <w:tcPr>
            <w:tcW w:w="1767" w:type="dxa"/>
            <w:vAlign w:val="center"/>
          </w:tcPr>
          <w:p w14:paraId="3D070508">
            <w:pPr>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业绩</w:t>
            </w:r>
          </w:p>
        </w:tc>
        <w:tc>
          <w:tcPr>
            <w:tcW w:w="654" w:type="dxa"/>
            <w:vAlign w:val="center"/>
          </w:tcPr>
          <w:p w14:paraId="527C8FB6">
            <w:pPr>
              <w:jc w:val="center"/>
              <w:rPr>
                <w:rFonts w:hint="eastAsia" w:ascii="宋体" w:hAnsi="宋体" w:eastAsia="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2</w:t>
            </w:r>
          </w:p>
        </w:tc>
        <w:tc>
          <w:tcPr>
            <w:tcW w:w="7207" w:type="dxa"/>
            <w:vAlign w:val="center"/>
          </w:tcPr>
          <w:p w14:paraId="28488A4B">
            <w:pPr>
              <w:rPr>
                <w:rFonts w:ascii="宋体" w:hAnsi="宋体" w:cs="宋体"/>
                <w:color w:val="auto"/>
                <w:sz w:val="21"/>
                <w:szCs w:val="21"/>
                <w:highlight w:val="none"/>
              </w:rPr>
            </w:pPr>
            <w:r>
              <w:rPr>
                <w:rFonts w:hint="eastAsia" w:ascii="宋体" w:hAnsi="宋体" w:cs="宋体"/>
                <w:color w:val="auto"/>
                <w:sz w:val="21"/>
                <w:szCs w:val="21"/>
                <w:highlight w:val="none"/>
              </w:rPr>
              <w:t>投标人自</w:t>
            </w:r>
            <w:r>
              <w:rPr>
                <w:rFonts w:hint="eastAsia" w:ascii="宋体" w:hAnsi="宋体" w:cs="宋体"/>
                <w:color w:val="auto"/>
                <w:sz w:val="21"/>
                <w:szCs w:val="21"/>
                <w:highlight w:val="none"/>
                <w:lang w:val="en-US" w:eastAsia="zh-CN"/>
              </w:rPr>
              <w:t>2021</w:t>
            </w:r>
            <w:r>
              <w:rPr>
                <w:rFonts w:hint="eastAsia" w:ascii="宋体" w:hAnsi="宋体" w:cs="宋体"/>
                <w:color w:val="auto"/>
                <w:sz w:val="21"/>
                <w:szCs w:val="21"/>
                <w:highlight w:val="none"/>
              </w:rPr>
              <w:t>年1月1日以来（以合同签订时间为准）类似合同业绩（以提供的合同及对应验收报告扫描件为准）：每提供1份合同业绩得1分，最高得</w:t>
            </w:r>
            <w:r>
              <w:rPr>
                <w:rFonts w:hint="eastAsia" w:ascii="宋体" w:hAnsi="宋体" w:cs="宋体"/>
                <w:color w:val="auto"/>
                <w:sz w:val="21"/>
                <w:szCs w:val="21"/>
                <w:highlight w:val="none"/>
                <w:lang w:val="en-US" w:eastAsia="zh-CN"/>
              </w:rPr>
              <w:t>2</w:t>
            </w:r>
            <w:r>
              <w:rPr>
                <w:rFonts w:hint="eastAsia" w:ascii="宋体" w:hAnsi="宋体" w:cs="宋体"/>
                <w:color w:val="auto"/>
                <w:sz w:val="21"/>
                <w:szCs w:val="21"/>
                <w:highlight w:val="none"/>
              </w:rPr>
              <w:t>分。</w:t>
            </w:r>
          </w:p>
        </w:tc>
      </w:tr>
      <w:tr w14:paraId="25C82D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7" w:hRule="atLeast"/>
          <w:jc w:val="center"/>
        </w:trPr>
        <w:tc>
          <w:tcPr>
            <w:tcW w:w="1767" w:type="dxa"/>
            <w:vAlign w:val="center"/>
          </w:tcPr>
          <w:p w14:paraId="1C184F43">
            <w:pPr>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政策功能</w:t>
            </w:r>
          </w:p>
        </w:tc>
        <w:tc>
          <w:tcPr>
            <w:tcW w:w="654" w:type="dxa"/>
            <w:vAlign w:val="center"/>
          </w:tcPr>
          <w:p w14:paraId="32CC5C5F">
            <w:pPr>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1</w:t>
            </w:r>
          </w:p>
        </w:tc>
        <w:tc>
          <w:tcPr>
            <w:tcW w:w="7207" w:type="dxa"/>
            <w:vAlign w:val="center"/>
          </w:tcPr>
          <w:p w14:paraId="17556195">
            <w:pP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rPr>
              <w:t>投标产品属于品目清单范围且提供国家确定的认证机构出具的处于有效期之内的节能产品</w:t>
            </w:r>
            <w:r>
              <w:rPr>
                <w:rFonts w:hint="eastAsia" w:ascii="宋体" w:hAnsi="宋体" w:cs="宋体"/>
                <w:b/>
                <w:bCs/>
                <w:color w:val="auto"/>
                <w:sz w:val="21"/>
                <w:szCs w:val="21"/>
                <w:highlight w:val="none"/>
                <w:u w:val="single"/>
                <w:lang w:eastAsia="zh-CN"/>
              </w:rPr>
              <w:t>（</w:t>
            </w:r>
            <w:r>
              <w:rPr>
                <w:rFonts w:hint="eastAsia" w:ascii="宋体" w:hAnsi="宋体" w:cs="宋体"/>
                <w:b/>
                <w:bCs/>
                <w:color w:val="auto"/>
                <w:sz w:val="21"/>
                <w:szCs w:val="21"/>
                <w:highlight w:val="none"/>
                <w:u w:val="single"/>
                <w:lang w:val="en-US" w:eastAsia="zh-CN"/>
              </w:rPr>
              <w:t>已列入强制要求的除外</w:t>
            </w:r>
            <w:r>
              <w:rPr>
                <w:rFonts w:hint="eastAsia" w:ascii="宋体" w:hAnsi="宋体" w:cs="宋体"/>
                <w:b/>
                <w:bCs/>
                <w:color w:val="auto"/>
                <w:sz w:val="21"/>
                <w:szCs w:val="21"/>
                <w:highlight w:val="none"/>
                <w:u w:val="single"/>
                <w:lang w:eastAsia="zh-CN"/>
              </w:rPr>
              <w:t>）</w:t>
            </w:r>
            <w:r>
              <w:rPr>
                <w:rFonts w:hint="eastAsia" w:ascii="宋体" w:hAnsi="宋体" w:cs="宋体"/>
                <w:color w:val="auto"/>
                <w:sz w:val="21"/>
                <w:szCs w:val="21"/>
                <w:highlight w:val="none"/>
              </w:rPr>
              <w:t>认证证书（扫描件加盖公章）的得0.5分；投标产品属于品目清单范围且提供国家确定的认证机构出具的处于有效期之内的环境标志产品认证证书（扫描件加盖公章）的得0.5分。</w:t>
            </w:r>
          </w:p>
        </w:tc>
      </w:tr>
      <w:tr w14:paraId="7B946A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jc w:val="center"/>
        </w:trPr>
        <w:tc>
          <w:tcPr>
            <w:tcW w:w="9628" w:type="dxa"/>
            <w:gridSpan w:val="3"/>
            <w:vAlign w:val="center"/>
          </w:tcPr>
          <w:p w14:paraId="6E236371">
            <w:pPr>
              <w:jc w:val="center"/>
              <w:rPr>
                <w:b/>
                <w:bCs/>
                <w:color w:val="auto"/>
                <w:sz w:val="21"/>
                <w:szCs w:val="21"/>
                <w:highlight w:val="none"/>
              </w:rPr>
            </w:pPr>
            <w:r>
              <w:rPr>
                <w:rFonts w:hint="eastAsia"/>
                <w:b/>
                <w:bCs/>
                <w:color w:val="auto"/>
                <w:sz w:val="21"/>
                <w:szCs w:val="21"/>
                <w:highlight w:val="none"/>
              </w:rPr>
              <w:t>技术</w:t>
            </w:r>
            <w:r>
              <w:rPr>
                <w:b/>
                <w:bCs/>
                <w:color w:val="auto"/>
                <w:sz w:val="21"/>
                <w:szCs w:val="21"/>
                <w:highlight w:val="none"/>
              </w:rPr>
              <w:t>分</w:t>
            </w:r>
          </w:p>
        </w:tc>
      </w:tr>
      <w:tr w14:paraId="779C3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24" w:hRule="atLeast"/>
          <w:jc w:val="center"/>
        </w:trPr>
        <w:tc>
          <w:tcPr>
            <w:tcW w:w="1767" w:type="dxa"/>
            <w:vAlign w:val="center"/>
          </w:tcPr>
          <w:p w14:paraId="0AD85CBA">
            <w:pPr>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产品响应程度</w:t>
            </w:r>
          </w:p>
        </w:tc>
        <w:tc>
          <w:tcPr>
            <w:tcW w:w="654" w:type="dxa"/>
            <w:vAlign w:val="center"/>
          </w:tcPr>
          <w:p w14:paraId="6A64E062">
            <w:pPr>
              <w:jc w:val="center"/>
              <w:rPr>
                <w:rFonts w:hint="default" w:ascii="宋体" w:hAnsi="宋体" w:eastAsia="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32</w:t>
            </w:r>
          </w:p>
        </w:tc>
        <w:tc>
          <w:tcPr>
            <w:tcW w:w="7207" w:type="dxa"/>
            <w:vAlign w:val="center"/>
          </w:tcPr>
          <w:p w14:paraId="218DBF67">
            <w:pP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rPr>
              <w:t>不</w:t>
            </w:r>
            <w:bookmarkStart w:id="64" w:name="OLE_LINK16"/>
            <w:r>
              <w:rPr>
                <w:rFonts w:hint="eastAsia" w:ascii="宋体" w:hAnsi="宋体" w:cs="宋体"/>
                <w:color w:val="auto"/>
                <w:sz w:val="21"/>
                <w:szCs w:val="21"/>
                <w:highlight w:val="none"/>
              </w:rPr>
              <w:t>符合（负偏离）技术要求中标注“▲”条款（不可偏离）的投标无效，满足招标文件明确的全部技术条款要求的得</w:t>
            </w:r>
            <w:r>
              <w:rPr>
                <w:rFonts w:hint="eastAsia" w:ascii="宋体" w:hAnsi="宋体" w:cs="宋体"/>
                <w:color w:val="auto"/>
                <w:sz w:val="21"/>
                <w:szCs w:val="21"/>
                <w:highlight w:val="none"/>
                <w:lang w:val="en-US" w:eastAsia="zh-CN"/>
              </w:rPr>
              <w:t>32</w:t>
            </w:r>
            <w:r>
              <w:rPr>
                <w:rFonts w:hint="eastAsia" w:ascii="宋体" w:hAnsi="宋体" w:cs="宋体"/>
                <w:color w:val="auto"/>
                <w:sz w:val="21"/>
                <w:szCs w:val="21"/>
                <w:highlight w:val="none"/>
              </w:rPr>
              <w:t>分，打“★”技术条款</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如有</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rPr>
              <w:t>低于技术要求（负偏离）的每项扣</w:t>
            </w:r>
            <w:r>
              <w:rPr>
                <w:rFonts w:hint="eastAsia" w:ascii="宋体" w:hAnsi="宋体" w:cs="宋体"/>
                <w:color w:val="auto"/>
                <w:sz w:val="21"/>
                <w:szCs w:val="21"/>
                <w:highlight w:val="none"/>
                <w:lang w:val="en-US" w:eastAsia="zh-CN"/>
              </w:rPr>
              <w:t>4</w:t>
            </w:r>
            <w:r>
              <w:rPr>
                <w:rFonts w:hint="eastAsia" w:ascii="宋体" w:hAnsi="宋体" w:cs="宋体"/>
                <w:color w:val="auto"/>
                <w:sz w:val="21"/>
                <w:szCs w:val="21"/>
                <w:highlight w:val="none"/>
              </w:rPr>
              <w:t>分（</w:t>
            </w:r>
            <w:r>
              <w:rPr>
                <w:rFonts w:hint="eastAsia" w:ascii="宋体" w:hAnsi="宋体" w:cs="宋体"/>
                <w:color w:val="auto"/>
                <w:sz w:val="21"/>
                <w:szCs w:val="21"/>
                <w:highlight w:val="none"/>
                <w:lang w:val="en-US" w:eastAsia="zh-CN"/>
              </w:rPr>
              <w:t>32</w:t>
            </w:r>
            <w:r>
              <w:rPr>
                <w:rFonts w:hint="eastAsia" w:ascii="宋体" w:hAnsi="宋体" w:cs="宋体"/>
                <w:color w:val="auto"/>
                <w:sz w:val="21"/>
                <w:szCs w:val="21"/>
                <w:highlight w:val="none"/>
              </w:rPr>
              <w:t>分起扣），其余技术条款低于技术要求（负偏离）的每项扣</w:t>
            </w:r>
            <w:r>
              <w:rPr>
                <w:rFonts w:hint="eastAsia" w:ascii="宋体" w:hAnsi="宋体" w:cs="宋体"/>
                <w:color w:val="auto"/>
                <w:sz w:val="21"/>
                <w:szCs w:val="21"/>
                <w:highlight w:val="none"/>
                <w:lang w:val="en-US" w:eastAsia="zh-CN"/>
              </w:rPr>
              <w:t>2</w:t>
            </w:r>
            <w:r>
              <w:rPr>
                <w:rFonts w:hint="eastAsia" w:ascii="宋体" w:hAnsi="宋体" w:cs="宋体"/>
                <w:color w:val="auto"/>
                <w:sz w:val="21"/>
                <w:szCs w:val="21"/>
                <w:highlight w:val="none"/>
              </w:rPr>
              <w:t>分（</w:t>
            </w:r>
            <w:r>
              <w:rPr>
                <w:rFonts w:hint="eastAsia" w:ascii="宋体" w:hAnsi="宋体" w:cs="宋体"/>
                <w:color w:val="auto"/>
                <w:sz w:val="21"/>
                <w:szCs w:val="21"/>
                <w:highlight w:val="none"/>
                <w:lang w:val="en-US" w:eastAsia="zh-CN"/>
              </w:rPr>
              <w:t>32</w:t>
            </w:r>
            <w:r>
              <w:rPr>
                <w:rFonts w:hint="eastAsia" w:ascii="宋体" w:hAnsi="宋体" w:cs="宋体"/>
                <w:color w:val="auto"/>
                <w:sz w:val="21"/>
                <w:szCs w:val="21"/>
                <w:highlight w:val="none"/>
              </w:rPr>
              <w:t>分起扣），负偏离10项及以上的投标无效（技术偏离表技术要求中响应规格与技术支持资料不一致的视为负偏离</w:t>
            </w:r>
            <w:bookmarkEnd w:id="64"/>
            <w:r>
              <w:rPr>
                <w:rFonts w:hint="eastAsia" w:ascii="宋体" w:hAnsi="宋体" w:cs="宋体"/>
                <w:color w:val="auto"/>
                <w:sz w:val="21"/>
                <w:szCs w:val="21"/>
                <w:highlight w:val="none"/>
              </w:rPr>
              <w:t>）。</w:t>
            </w:r>
          </w:p>
        </w:tc>
      </w:tr>
      <w:tr w14:paraId="74745F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7" w:hRule="atLeast"/>
          <w:jc w:val="center"/>
        </w:trPr>
        <w:tc>
          <w:tcPr>
            <w:tcW w:w="1767" w:type="dxa"/>
            <w:vMerge w:val="restart"/>
            <w:vAlign w:val="center"/>
          </w:tcPr>
          <w:p w14:paraId="569E3DE2">
            <w:pPr>
              <w:jc w:val="center"/>
              <w:rPr>
                <w:rFonts w:hint="default" w:ascii="宋体" w:hAnsi="宋体" w:eastAsia="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技术方案</w:t>
            </w:r>
          </w:p>
        </w:tc>
        <w:tc>
          <w:tcPr>
            <w:tcW w:w="654" w:type="dxa"/>
            <w:vAlign w:val="center"/>
          </w:tcPr>
          <w:p w14:paraId="1DF9E451">
            <w:pPr>
              <w:jc w:val="center"/>
              <w:rPr>
                <w:rFonts w:hint="default"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3</w:t>
            </w:r>
          </w:p>
        </w:tc>
        <w:tc>
          <w:tcPr>
            <w:tcW w:w="7207" w:type="dxa"/>
            <w:vAlign w:val="center"/>
          </w:tcPr>
          <w:p w14:paraId="401B9622">
            <w:pPr>
              <w:rPr>
                <w:rFonts w:hint="eastAsia" w:ascii="宋体" w:hAnsi="宋体" w:cs="宋体"/>
                <w:b w:val="0"/>
                <w:bCs w:val="0"/>
                <w:color w:val="auto"/>
                <w:sz w:val="21"/>
                <w:szCs w:val="21"/>
                <w:highlight w:val="none"/>
                <w:lang w:val="en-US" w:eastAsia="zh-CN"/>
              </w:rPr>
            </w:pPr>
            <w:r>
              <w:rPr>
                <w:rFonts w:ascii="宋体" w:hAnsi="宋体" w:cs="宋体"/>
                <w:color w:val="auto"/>
                <w:szCs w:val="21"/>
                <w:highlight w:val="none"/>
              </w:rPr>
              <w:t>气相色谱仪结构、硬件功能、软件功能、工作原理、配置：根据产品制造商公开发布的印刷资料（官网材料、彩页、Datasheet）或由有关政府部门或检测机构合法出具的文件或报告、功能界面（含软件）截图、配置清单的全面性、专业性、对采购需求及特点的配套程度等进行评审。</w:t>
            </w:r>
            <w:r>
              <w:rPr>
                <w:rFonts w:hint="eastAsia" w:ascii="宋体" w:hAnsi="宋体" w:cs="宋体"/>
                <w:color w:val="auto"/>
                <w:sz w:val="21"/>
                <w:szCs w:val="21"/>
                <w:highlight w:val="none"/>
                <w:lang w:val="en-US" w:eastAsia="zh-CN"/>
              </w:rPr>
              <w:t>（评审分值为3分或2分或1分或0分）</w:t>
            </w:r>
          </w:p>
        </w:tc>
      </w:tr>
      <w:tr w14:paraId="715A11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2" w:hRule="atLeast"/>
          <w:jc w:val="center"/>
        </w:trPr>
        <w:tc>
          <w:tcPr>
            <w:tcW w:w="1767" w:type="dxa"/>
            <w:vMerge w:val="continue"/>
            <w:vAlign w:val="center"/>
          </w:tcPr>
          <w:p w14:paraId="48630C76">
            <w:pPr>
              <w:jc w:val="center"/>
              <w:rPr>
                <w:rFonts w:hint="eastAsia" w:ascii="宋体" w:hAnsi="宋体" w:cs="宋体"/>
                <w:b/>
                <w:bCs/>
                <w:color w:val="auto"/>
                <w:sz w:val="21"/>
                <w:szCs w:val="21"/>
                <w:highlight w:val="none"/>
                <w:lang w:val="en-US" w:eastAsia="zh-CN"/>
              </w:rPr>
            </w:pPr>
          </w:p>
        </w:tc>
        <w:tc>
          <w:tcPr>
            <w:tcW w:w="654" w:type="dxa"/>
            <w:vAlign w:val="center"/>
          </w:tcPr>
          <w:p w14:paraId="3D1751A2">
            <w:pPr>
              <w:jc w:val="center"/>
              <w:rPr>
                <w:rFonts w:hint="default"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3</w:t>
            </w:r>
          </w:p>
        </w:tc>
        <w:tc>
          <w:tcPr>
            <w:tcW w:w="7207" w:type="dxa"/>
            <w:vAlign w:val="center"/>
          </w:tcPr>
          <w:p w14:paraId="75F8286E">
            <w:pPr>
              <w:rPr>
                <w:rFonts w:hint="eastAsia" w:ascii="宋体" w:hAnsi="宋体" w:cs="宋体"/>
                <w:b w:val="0"/>
                <w:bCs w:val="0"/>
                <w:color w:val="auto"/>
                <w:sz w:val="21"/>
                <w:szCs w:val="21"/>
                <w:highlight w:val="none"/>
                <w:lang w:val="en-US" w:eastAsia="zh-CN"/>
              </w:rPr>
            </w:pPr>
            <w:bookmarkStart w:id="65" w:name="OLE_LINK3"/>
            <w:r>
              <w:rPr>
                <w:rFonts w:ascii="宋体" w:hAnsi="宋体" w:cs="宋体"/>
                <w:color w:val="auto"/>
                <w:szCs w:val="21"/>
                <w:highlight w:val="none"/>
              </w:rPr>
              <w:t>制备液相色谱仪</w:t>
            </w:r>
            <w:bookmarkEnd w:id="65"/>
            <w:r>
              <w:rPr>
                <w:rFonts w:ascii="宋体" w:hAnsi="宋体" w:cs="宋体"/>
                <w:color w:val="auto"/>
                <w:szCs w:val="21"/>
                <w:highlight w:val="none"/>
              </w:rPr>
              <w:t>结构、硬件功能、软件功能、工作原理、配置：根据产品制造商公开发布的印刷资料（官网材料、彩页、Datasheet）或由有关政府部门或检测机构合法出具的文件或报告、功能界面（含软件）截图、配置清单的全面性、专业性、对采购需求及特点的配套程度等进行评审。</w:t>
            </w:r>
            <w:r>
              <w:rPr>
                <w:rFonts w:hint="eastAsia" w:ascii="宋体" w:hAnsi="宋体" w:cs="宋体"/>
                <w:color w:val="auto"/>
                <w:sz w:val="21"/>
                <w:szCs w:val="21"/>
                <w:highlight w:val="none"/>
                <w:lang w:val="en-US" w:eastAsia="zh-CN"/>
              </w:rPr>
              <w:t>（评审分值为3分或2分或1分或0分）</w:t>
            </w:r>
          </w:p>
        </w:tc>
      </w:tr>
      <w:tr w14:paraId="64B878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9" w:hRule="atLeast"/>
          <w:jc w:val="center"/>
        </w:trPr>
        <w:tc>
          <w:tcPr>
            <w:tcW w:w="1767" w:type="dxa"/>
            <w:vMerge w:val="continue"/>
            <w:vAlign w:val="center"/>
          </w:tcPr>
          <w:p w14:paraId="1AF05BF1">
            <w:pPr>
              <w:jc w:val="center"/>
              <w:rPr>
                <w:rFonts w:hint="default" w:ascii="宋体" w:hAnsi="宋体" w:eastAsia="宋体" w:cs="宋体"/>
                <w:b/>
                <w:bCs/>
                <w:color w:val="auto"/>
                <w:sz w:val="21"/>
                <w:szCs w:val="21"/>
                <w:highlight w:val="none"/>
                <w:lang w:val="en-US" w:eastAsia="zh-CN"/>
              </w:rPr>
            </w:pPr>
          </w:p>
        </w:tc>
        <w:tc>
          <w:tcPr>
            <w:tcW w:w="654" w:type="dxa"/>
            <w:vAlign w:val="center"/>
          </w:tcPr>
          <w:p w14:paraId="1C9904CD">
            <w:pPr>
              <w:jc w:val="center"/>
              <w:rPr>
                <w:rFonts w:hint="default"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4</w:t>
            </w:r>
          </w:p>
        </w:tc>
        <w:tc>
          <w:tcPr>
            <w:tcW w:w="7207" w:type="dxa"/>
            <w:vAlign w:val="center"/>
          </w:tcPr>
          <w:p w14:paraId="4011AEF3">
            <w:pP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产品质量保证措施：提供</w:t>
            </w:r>
            <w:r>
              <w:rPr>
                <w:rFonts w:hint="eastAsia" w:ascii="宋体" w:hAnsi="宋体" w:cs="宋体"/>
                <w:color w:val="auto"/>
                <w:sz w:val="21"/>
                <w:szCs w:val="21"/>
                <w:highlight w:val="none"/>
              </w:rPr>
              <w:t>产品质量保证措施(提供质量保证体系、制造标准、质量监控手段等相关证明资料)</w:t>
            </w:r>
            <w:r>
              <w:rPr>
                <w:rFonts w:hint="eastAsia" w:ascii="宋体" w:hAnsi="宋体" w:cs="宋体"/>
                <w:color w:val="auto"/>
                <w:sz w:val="21"/>
                <w:szCs w:val="21"/>
                <w:highlight w:val="none"/>
                <w:lang w:val="en-US" w:eastAsia="zh-CN"/>
              </w:rPr>
              <w:t>及质量检测设施或方案介绍</w:t>
            </w:r>
            <w:r>
              <w:rPr>
                <w:rFonts w:hint="eastAsia" w:ascii="宋体" w:hAnsi="宋体" w:cs="宋体"/>
                <w:color w:val="auto"/>
                <w:sz w:val="21"/>
                <w:szCs w:val="21"/>
                <w:highlight w:val="none"/>
              </w:rPr>
              <w:t>。</w:t>
            </w:r>
            <w:r>
              <w:rPr>
                <w:rFonts w:hint="eastAsia" w:ascii="宋体" w:hAnsi="宋体" w:cs="宋体"/>
                <w:color w:val="auto"/>
                <w:sz w:val="21"/>
                <w:szCs w:val="21"/>
                <w:highlight w:val="none"/>
                <w:lang w:val="en-US" w:eastAsia="zh-CN"/>
              </w:rPr>
              <w:t>根据质量保证措施</w:t>
            </w:r>
            <w:r>
              <w:rPr>
                <w:rFonts w:hint="eastAsia" w:ascii="宋体" w:hAnsi="宋体" w:cs="宋体"/>
                <w:color w:val="auto"/>
                <w:sz w:val="21"/>
                <w:szCs w:val="21"/>
                <w:highlight w:val="none"/>
              </w:rPr>
              <w:t>内容</w:t>
            </w:r>
            <w:r>
              <w:rPr>
                <w:rFonts w:hint="eastAsia" w:ascii="宋体" w:hAnsi="宋体" w:cs="宋体"/>
                <w:color w:val="auto"/>
                <w:sz w:val="21"/>
                <w:szCs w:val="21"/>
                <w:highlight w:val="none"/>
                <w:lang w:val="en-US" w:eastAsia="zh-CN"/>
              </w:rPr>
              <w:t>完整度、科学性</w:t>
            </w:r>
            <w:r>
              <w:rPr>
                <w:rFonts w:hint="eastAsia" w:ascii="宋体" w:hAnsi="宋体" w:cs="宋体"/>
                <w:color w:val="auto"/>
                <w:sz w:val="21"/>
                <w:szCs w:val="21"/>
                <w:highlight w:val="none"/>
              </w:rPr>
              <w:t>、可行性</w:t>
            </w:r>
            <w:r>
              <w:rPr>
                <w:rFonts w:hint="eastAsia" w:ascii="宋体" w:hAnsi="宋体" w:cs="宋体"/>
                <w:color w:val="auto"/>
                <w:sz w:val="21"/>
                <w:szCs w:val="21"/>
                <w:highlight w:val="none"/>
                <w:lang w:val="en-US" w:eastAsia="zh-CN"/>
              </w:rPr>
              <w:t>以及质量检测设施的先进性、可行性、保障效果进行评审。（评审分值为4分3分或2分或1分或0分）</w:t>
            </w:r>
          </w:p>
        </w:tc>
      </w:tr>
      <w:tr w14:paraId="0F719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1" w:hRule="atLeast"/>
          <w:jc w:val="center"/>
        </w:trPr>
        <w:tc>
          <w:tcPr>
            <w:tcW w:w="1767" w:type="dxa"/>
            <w:vMerge w:val="continue"/>
            <w:vAlign w:val="center"/>
          </w:tcPr>
          <w:p w14:paraId="1534BD58">
            <w:pPr>
              <w:jc w:val="center"/>
              <w:rPr>
                <w:rFonts w:hint="default" w:ascii="宋体" w:hAnsi="宋体" w:eastAsia="宋体" w:cs="宋体"/>
                <w:b/>
                <w:bCs/>
                <w:color w:val="auto"/>
                <w:sz w:val="21"/>
                <w:szCs w:val="21"/>
                <w:highlight w:val="none"/>
                <w:lang w:val="en-US" w:eastAsia="zh-CN"/>
              </w:rPr>
            </w:pPr>
          </w:p>
        </w:tc>
        <w:tc>
          <w:tcPr>
            <w:tcW w:w="654" w:type="dxa"/>
            <w:vAlign w:val="center"/>
          </w:tcPr>
          <w:p w14:paraId="176739CF">
            <w:pPr>
              <w:jc w:val="center"/>
              <w:rPr>
                <w:rFonts w:hint="default"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3</w:t>
            </w:r>
          </w:p>
        </w:tc>
        <w:tc>
          <w:tcPr>
            <w:tcW w:w="7207" w:type="dxa"/>
            <w:vAlign w:val="center"/>
          </w:tcPr>
          <w:p w14:paraId="13258640">
            <w:pPr>
              <w:rPr>
                <w:rFonts w:hint="default" w:ascii="宋体" w:hAnsi="宋体" w:eastAsia="宋体" w:cs="宋体"/>
                <w:color w:val="auto"/>
                <w:sz w:val="21"/>
                <w:szCs w:val="21"/>
                <w:highlight w:val="none"/>
                <w:lang w:val="en-US" w:eastAsia="zh-CN"/>
              </w:rPr>
            </w:pPr>
            <w:r>
              <w:rPr>
                <w:rFonts w:ascii="宋体" w:hAnsi="宋体" w:cs="宋体"/>
                <w:color w:val="auto"/>
                <w:szCs w:val="21"/>
                <w:highlight w:val="none"/>
              </w:rPr>
              <w:t>安装、调试</w:t>
            </w:r>
            <w:r>
              <w:rPr>
                <w:rFonts w:hint="eastAsia" w:ascii="宋体" w:hAnsi="宋体" w:cs="宋体"/>
                <w:color w:val="auto"/>
                <w:szCs w:val="21"/>
                <w:highlight w:val="none"/>
                <w:lang w:val="en-US" w:eastAsia="zh-CN"/>
              </w:rPr>
              <w:t>方案：</w:t>
            </w:r>
            <w:r>
              <w:rPr>
                <w:rFonts w:hint="eastAsia" w:ascii="宋体" w:hAnsi="宋体" w:cs="宋体"/>
                <w:color w:val="auto"/>
                <w:sz w:val="21"/>
                <w:szCs w:val="21"/>
                <w:highlight w:val="none"/>
                <w:lang w:val="en-US" w:eastAsia="zh-CN"/>
              </w:rPr>
              <w:t>根据</w:t>
            </w:r>
            <w:bookmarkStart w:id="157" w:name="_GoBack"/>
            <w:bookmarkEnd w:id="157"/>
            <w:r>
              <w:rPr>
                <w:rFonts w:hint="eastAsia" w:ascii="宋体" w:hAnsi="宋体" w:cs="宋体"/>
                <w:color w:val="auto"/>
                <w:sz w:val="21"/>
                <w:szCs w:val="21"/>
                <w:highlight w:val="none"/>
              </w:rPr>
              <w:t>安装、调试方案的</w:t>
            </w:r>
            <w:r>
              <w:rPr>
                <w:rFonts w:hint="eastAsia" w:ascii="宋体" w:hAnsi="宋体" w:cs="宋体"/>
                <w:color w:val="auto"/>
                <w:sz w:val="21"/>
                <w:szCs w:val="21"/>
                <w:highlight w:val="none"/>
                <w:lang w:val="en-US" w:eastAsia="zh-CN"/>
              </w:rPr>
              <w:t>完整性、科学</w:t>
            </w:r>
            <w:r>
              <w:rPr>
                <w:rFonts w:hint="eastAsia" w:ascii="宋体" w:hAnsi="宋体" w:cs="宋体"/>
                <w:color w:val="auto"/>
                <w:sz w:val="21"/>
                <w:szCs w:val="21"/>
                <w:highlight w:val="none"/>
              </w:rPr>
              <w:t>合理性、可行性</w:t>
            </w:r>
            <w:r>
              <w:rPr>
                <w:rFonts w:hint="eastAsia" w:ascii="宋体" w:hAnsi="宋体" w:cs="宋体"/>
                <w:color w:val="auto"/>
                <w:sz w:val="21"/>
                <w:szCs w:val="21"/>
                <w:highlight w:val="none"/>
                <w:lang w:val="en-US" w:eastAsia="zh-CN"/>
              </w:rPr>
              <w:t>及对采购需求的满足程度进行评审。（评审分值为3分或2分或1分或0分）</w:t>
            </w:r>
          </w:p>
        </w:tc>
      </w:tr>
      <w:tr w14:paraId="2A943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7" w:hRule="atLeast"/>
          <w:jc w:val="center"/>
        </w:trPr>
        <w:tc>
          <w:tcPr>
            <w:tcW w:w="1767" w:type="dxa"/>
            <w:vMerge w:val="continue"/>
            <w:vAlign w:val="center"/>
          </w:tcPr>
          <w:p w14:paraId="134FFC39">
            <w:pPr>
              <w:jc w:val="center"/>
              <w:rPr>
                <w:rFonts w:hint="default" w:ascii="宋体" w:hAnsi="宋体" w:eastAsia="宋体" w:cs="宋体"/>
                <w:b/>
                <w:bCs/>
                <w:color w:val="auto"/>
                <w:sz w:val="21"/>
                <w:szCs w:val="21"/>
                <w:highlight w:val="none"/>
                <w:lang w:val="en-US" w:eastAsia="zh-CN"/>
              </w:rPr>
            </w:pPr>
          </w:p>
        </w:tc>
        <w:tc>
          <w:tcPr>
            <w:tcW w:w="654" w:type="dxa"/>
            <w:vAlign w:val="center"/>
          </w:tcPr>
          <w:p w14:paraId="7F5238B0">
            <w:pPr>
              <w:jc w:val="center"/>
              <w:rPr>
                <w:rFonts w:hint="default"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3</w:t>
            </w:r>
          </w:p>
        </w:tc>
        <w:tc>
          <w:tcPr>
            <w:tcW w:w="7207" w:type="dxa"/>
            <w:vAlign w:val="center"/>
          </w:tcPr>
          <w:p w14:paraId="4820FE26">
            <w:pPr>
              <w:rPr>
                <w:rFonts w:hint="eastAsia" w:ascii="宋体" w:hAnsi="宋体" w:cs="宋体"/>
                <w:color w:val="auto"/>
                <w:sz w:val="21"/>
                <w:szCs w:val="21"/>
                <w:highlight w:val="none"/>
              </w:rPr>
            </w:pPr>
            <w:r>
              <w:rPr>
                <w:rFonts w:hint="eastAsia" w:ascii="宋体" w:hAnsi="宋体" w:cs="宋体"/>
                <w:color w:val="auto"/>
                <w:sz w:val="21"/>
                <w:szCs w:val="21"/>
                <w:highlight w:val="none"/>
              </w:rPr>
              <w:t>进度计划：包括</w:t>
            </w:r>
            <w:r>
              <w:rPr>
                <w:rFonts w:hint="eastAsia" w:ascii="宋体" w:hAnsi="宋体" w:cs="宋体"/>
                <w:color w:val="auto"/>
                <w:sz w:val="21"/>
                <w:szCs w:val="21"/>
                <w:highlight w:val="none"/>
                <w:lang w:val="en-US" w:eastAsia="zh-CN"/>
              </w:rPr>
              <w:t>并不限于</w:t>
            </w:r>
            <w:r>
              <w:rPr>
                <w:rFonts w:hint="eastAsia" w:ascii="宋体" w:hAnsi="宋体" w:cs="宋体"/>
                <w:color w:val="auto"/>
                <w:sz w:val="21"/>
                <w:szCs w:val="21"/>
                <w:highlight w:val="none"/>
              </w:rPr>
              <w:t>①进度计划节点安排，②各节点时间进度安排及保障措施。</w:t>
            </w:r>
            <w:r>
              <w:rPr>
                <w:rFonts w:hint="eastAsia"/>
                <w:color w:val="auto"/>
                <w:highlight w:val="none"/>
              </w:rPr>
              <w:t>根据投标人提供的</w:t>
            </w:r>
            <w:r>
              <w:rPr>
                <w:rFonts w:ascii="宋体" w:hAnsi="宋体" w:cs="宋体"/>
                <w:color w:val="auto"/>
                <w:szCs w:val="21"/>
                <w:highlight w:val="none"/>
              </w:rPr>
              <w:t>进度计划</w:t>
            </w:r>
            <w:r>
              <w:rPr>
                <w:rFonts w:hint="eastAsia"/>
                <w:color w:val="auto"/>
                <w:highlight w:val="none"/>
              </w:rPr>
              <w:t>的针对性、科学性、合理性、可行性进行评审。(</w:t>
            </w:r>
            <w:r>
              <w:rPr>
                <w:rFonts w:hint="eastAsia" w:ascii="宋体" w:hAnsi="宋体" w:cs="宋体"/>
                <w:color w:val="auto"/>
                <w:sz w:val="21"/>
                <w:szCs w:val="21"/>
                <w:highlight w:val="none"/>
                <w:lang w:val="en-US" w:eastAsia="zh-CN"/>
              </w:rPr>
              <w:t>评审分值为3分或2分或1分或0分</w:t>
            </w:r>
            <w:r>
              <w:rPr>
                <w:rFonts w:hint="eastAsia"/>
                <w:color w:val="auto"/>
                <w:highlight w:val="none"/>
              </w:rPr>
              <w:t>)</w:t>
            </w:r>
          </w:p>
        </w:tc>
      </w:tr>
      <w:tr w14:paraId="4648D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3" w:hRule="atLeast"/>
          <w:jc w:val="center"/>
        </w:trPr>
        <w:tc>
          <w:tcPr>
            <w:tcW w:w="1767" w:type="dxa"/>
            <w:vMerge w:val="continue"/>
            <w:vAlign w:val="center"/>
          </w:tcPr>
          <w:p w14:paraId="264F2ED6">
            <w:pPr>
              <w:jc w:val="center"/>
              <w:rPr>
                <w:rFonts w:hint="default" w:ascii="宋体" w:hAnsi="宋体" w:eastAsia="宋体" w:cs="宋体"/>
                <w:b/>
                <w:bCs/>
                <w:color w:val="auto"/>
                <w:sz w:val="21"/>
                <w:szCs w:val="21"/>
                <w:highlight w:val="none"/>
                <w:lang w:val="en-US" w:eastAsia="zh-CN"/>
              </w:rPr>
            </w:pPr>
          </w:p>
        </w:tc>
        <w:tc>
          <w:tcPr>
            <w:tcW w:w="654" w:type="dxa"/>
            <w:vAlign w:val="center"/>
          </w:tcPr>
          <w:p w14:paraId="594374E6">
            <w:pPr>
              <w:jc w:val="center"/>
              <w:rPr>
                <w:rFonts w:hint="default"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2</w:t>
            </w:r>
          </w:p>
        </w:tc>
        <w:tc>
          <w:tcPr>
            <w:tcW w:w="7207" w:type="dxa"/>
            <w:vAlign w:val="center"/>
          </w:tcPr>
          <w:p w14:paraId="1E8109B2">
            <w:pPr>
              <w:rPr>
                <w:rFonts w:hint="eastAsia" w:ascii="宋体" w:hAnsi="宋体" w:cs="宋体"/>
                <w:color w:val="auto"/>
                <w:sz w:val="21"/>
                <w:szCs w:val="21"/>
                <w:highlight w:val="none"/>
              </w:rPr>
            </w:pPr>
            <w:r>
              <w:rPr>
                <w:rFonts w:ascii="宋体" w:hAnsi="宋体" w:cs="宋体"/>
                <w:color w:val="auto"/>
                <w:szCs w:val="21"/>
                <w:highlight w:val="none"/>
              </w:rPr>
              <w:t>日常运行及保养方案：根据方案的专业性、全面性、对采购需求及特点的满足程度、对项目实施的有利程度进行评审。</w:t>
            </w:r>
            <w:r>
              <w:rPr>
                <w:color w:val="auto"/>
                <w:highlight w:val="none"/>
              </w:rPr>
              <w:t>(</w:t>
            </w:r>
            <w:r>
              <w:rPr>
                <w:rFonts w:ascii="宋体" w:hAnsi="宋体" w:cs="宋体"/>
                <w:color w:val="auto"/>
                <w:szCs w:val="21"/>
                <w:highlight w:val="none"/>
              </w:rPr>
              <w:t>评审分值为2分或1.5分或1分或0.5分或0分</w:t>
            </w:r>
            <w:r>
              <w:rPr>
                <w:color w:val="auto"/>
                <w:highlight w:val="none"/>
              </w:rPr>
              <w:t>)</w:t>
            </w:r>
          </w:p>
        </w:tc>
      </w:tr>
      <w:tr w14:paraId="7F8CE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89" w:hRule="atLeast"/>
          <w:jc w:val="center"/>
        </w:trPr>
        <w:tc>
          <w:tcPr>
            <w:tcW w:w="1767" w:type="dxa"/>
            <w:vMerge w:val="restart"/>
            <w:vAlign w:val="center"/>
          </w:tcPr>
          <w:p w14:paraId="73DAA9ED">
            <w:pPr>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售后服务</w:t>
            </w:r>
          </w:p>
        </w:tc>
        <w:tc>
          <w:tcPr>
            <w:tcW w:w="654" w:type="dxa"/>
            <w:vAlign w:val="center"/>
          </w:tcPr>
          <w:p w14:paraId="6D2BD94F">
            <w:pPr>
              <w:jc w:val="center"/>
              <w:rPr>
                <w:rFonts w:hint="eastAsia" w:ascii="宋体" w:hAnsi="宋体" w:eastAsia="宋体" w:cs="宋体"/>
                <w:b/>
                <w:bCs/>
                <w:color w:val="auto"/>
                <w:sz w:val="21"/>
                <w:szCs w:val="21"/>
                <w:highlight w:val="none"/>
                <w:lang w:eastAsia="zh-CN"/>
              </w:rPr>
            </w:pPr>
            <w:r>
              <w:rPr>
                <w:rFonts w:hint="eastAsia" w:ascii="宋体" w:hAnsi="宋体" w:cs="宋体"/>
                <w:b/>
                <w:bCs/>
                <w:color w:val="auto"/>
                <w:sz w:val="21"/>
                <w:szCs w:val="21"/>
                <w:highlight w:val="none"/>
                <w:lang w:val="en-US" w:eastAsia="zh-CN"/>
              </w:rPr>
              <w:t>3</w:t>
            </w:r>
          </w:p>
        </w:tc>
        <w:tc>
          <w:tcPr>
            <w:tcW w:w="7207" w:type="dxa"/>
            <w:vAlign w:val="center"/>
          </w:tcPr>
          <w:p w14:paraId="439661CA">
            <w:pP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rPr>
              <w:t>售后服务方案、售后服务承诺的可行性及服务承诺落实的保障措施</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包括并不限于①售后服务内容，②售后服务响应时间及修复时间，③修复保障措施等</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根据方案内容的完整性、科学性、合理性、可行性进行评审。</w:t>
            </w:r>
            <w:r>
              <w:rPr>
                <w:rFonts w:hint="eastAsia"/>
                <w:color w:val="auto"/>
                <w:highlight w:val="none"/>
              </w:rPr>
              <w:t>(</w:t>
            </w:r>
            <w:r>
              <w:rPr>
                <w:rFonts w:hint="eastAsia" w:ascii="宋体" w:hAnsi="宋体" w:cs="宋体"/>
                <w:color w:val="auto"/>
                <w:sz w:val="21"/>
                <w:szCs w:val="21"/>
                <w:highlight w:val="none"/>
                <w:lang w:val="en-US" w:eastAsia="zh-CN"/>
              </w:rPr>
              <w:t>评审分值为3分或2分或1分或0分</w:t>
            </w:r>
            <w:r>
              <w:rPr>
                <w:rFonts w:hint="eastAsia"/>
                <w:color w:val="auto"/>
                <w:highlight w:val="none"/>
              </w:rPr>
              <w:t>)</w:t>
            </w:r>
          </w:p>
        </w:tc>
      </w:tr>
      <w:tr w14:paraId="58DE1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5" w:hRule="atLeast"/>
          <w:jc w:val="center"/>
        </w:trPr>
        <w:tc>
          <w:tcPr>
            <w:tcW w:w="1767" w:type="dxa"/>
            <w:vMerge w:val="continue"/>
            <w:vAlign w:val="center"/>
          </w:tcPr>
          <w:p w14:paraId="176A5A6C">
            <w:pPr>
              <w:jc w:val="center"/>
              <w:rPr>
                <w:rFonts w:hint="eastAsia" w:ascii="宋体" w:hAnsi="宋体" w:cs="宋体"/>
                <w:b/>
                <w:bCs/>
                <w:color w:val="auto"/>
                <w:sz w:val="21"/>
                <w:szCs w:val="21"/>
                <w:highlight w:val="none"/>
              </w:rPr>
            </w:pPr>
          </w:p>
        </w:tc>
        <w:tc>
          <w:tcPr>
            <w:tcW w:w="654" w:type="dxa"/>
            <w:vAlign w:val="center"/>
          </w:tcPr>
          <w:p w14:paraId="01D318E8">
            <w:pPr>
              <w:jc w:val="center"/>
              <w:rPr>
                <w:rFonts w:hint="default"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3</w:t>
            </w:r>
          </w:p>
        </w:tc>
        <w:tc>
          <w:tcPr>
            <w:tcW w:w="7207" w:type="dxa"/>
            <w:vAlign w:val="center"/>
          </w:tcPr>
          <w:p w14:paraId="4E53EA3C">
            <w:pPr>
              <w:rPr>
                <w:rFonts w:hint="eastAsia" w:ascii="宋体" w:hAnsi="宋体" w:eastAsia="宋体" w:cs="宋体"/>
                <w:color w:val="auto"/>
                <w:sz w:val="21"/>
                <w:szCs w:val="21"/>
                <w:highlight w:val="none"/>
                <w:lang w:val="en-US" w:eastAsia="zh-CN"/>
              </w:rPr>
            </w:pPr>
            <w:r>
              <w:rPr>
                <w:rFonts w:hint="eastAsia"/>
                <w:color w:val="auto"/>
                <w:highlight w:val="none"/>
              </w:rPr>
              <w:t>配件、附件、备品备件的准备和保障措施。根据配件、附件、备品备件准备充足情况及保障措施可行性进行评审。(</w:t>
            </w:r>
            <w:r>
              <w:rPr>
                <w:rFonts w:hint="eastAsia" w:ascii="宋体" w:hAnsi="宋体" w:cs="宋体"/>
                <w:color w:val="auto"/>
                <w:sz w:val="21"/>
                <w:szCs w:val="21"/>
                <w:highlight w:val="none"/>
                <w:lang w:val="en-US" w:eastAsia="zh-CN"/>
              </w:rPr>
              <w:t>评审分值为3分或2分或1分或0分</w:t>
            </w:r>
            <w:r>
              <w:rPr>
                <w:rFonts w:hint="eastAsia"/>
                <w:color w:val="auto"/>
                <w:highlight w:val="none"/>
              </w:rPr>
              <w:t>)</w:t>
            </w:r>
          </w:p>
        </w:tc>
      </w:tr>
      <w:tr w14:paraId="00185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1767" w:type="dxa"/>
            <w:vMerge w:val="restart"/>
            <w:vAlign w:val="center"/>
          </w:tcPr>
          <w:p w14:paraId="3AF99BFE">
            <w:pPr>
              <w:jc w:val="center"/>
              <w:rPr>
                <w:rFonts w:ascii="宋体" w:hAnsi="宋体" w:cs="宋体"/>
                <w:b/>
                <w:bCs/>
                <w:color w:val="auto"/>
                <w:sz w:val="21"/>
                <w:szCs w:val="21"/>
                <w:highlight w:val="none"/>
              </w:rPr>
            </w:pPr>
            <w:r>
              <w:rPr>
                <w:rFonts w:hint="eastAsia" w:ascii="宋体" w:hAnsi="宋体" w:cs="宋体"/>
                <w:b/>
                <w:bCs/>
                <w:color w:val="auto"/>
                <w:sz w:val="21"/>
                <w:szCs w:val="21"/>
                <w:highlight w:val="none"/>
              </w:rPr>
              <w:t>技术服务、培训</w:t>
            </w:r>
          </w:p>
        </w:tc>
        <w:tc>
          <w:tcPr>
            <w:tcW w:w="654" w:type="dxa"/>
            <w:vAlign w:val="center"/>
          </w:tcPr>
          <w:p w14:paraId="257FC256">
            <w:pPr>
              <w:jc w:val="center"/>
              <w:rPr>
                <w:rFonts w:hint="eastAsia" w:ascii="宋体" w:hAnsi="宋体" w:eastAsia="宋体" w:cs="宋体"/>
                <w:b/>
                <w:bCs/>
                <w:color w:val="auto"/>
                <w:sz w:val="21"/>
                <w:szCs w:val="21"/>
                <w:highlight w:val="none"/>
                <w:lang w:eastAsia="zh-CN"/>
              </w:rPr>
            </w:pPr>
            <w:r>
              <w:rPr>
                <w:rFonts w:hint="eastAsia" w:ascii="宋体" w:hAnsi="宋体" w:cs="宋体"/>
                <w:b/>
                <w:bCs/>
                <w:color w:val="auto"/>
                <w:sz w:val="21"/>
                <w:szCs w:val="21"/>
                <w:highlight w:val="none"/>
                <w:lang w:val="en-US" w:eastAsia="zh-CN"/>
              </w:rPr>
              <w:t>3</w:t>
            </w:r>
          </w:p>
        </w:tc>
        <w:tc>
          <w:tcPr>
            <w:tcW w:w="7207" w:type="dxa"/>
            <w:vAlign w:val="center"/>
          </w:tcPr>
          <w:p w14:paraId="6F247106">
            <w:pPr>
              <w:bidi w:val="0"/>
              <w:rPr>
                <w:rFonts w:hint="default"/>
                <w:color w:val="auto"/>
                <w:highlight w:val="none"/>
                <w:lang w:val="en-US"/>
              </w:rPr>
            </w:pPr>
            <w:r>
              <w:rPr>
                <w:rFonts w:hint="eastAsia"/>
                <w:color w:val="auto"/>
                <w:highlight w:val="none"/>
              </w:rPr>
              <w:t>服务力量和服务保障，技术支持</w:t>
            </w:r>
            <w:r>
              <w:rPr>
                <w:rFonts w:hint="eastAsia"/>
                <w:color w:val="auto"/>
                <w:highlight w:val="none"/>
                <w:lang w:eastAsia="zh-CN"/>
              </w:rPr>
              <w:t>。</w:t>
            </w:r>
            <w:r>
              <w:rPr>
                <w:rFonts w:hint="eastAsia"/>
                <w:color w:val="auto"/>
                <w:highlight w:val="none"/>
                <w:lang w:val="en-US" w:eastAsia="zh-CN"/>
              </w:rPr>
              <w:t>根据方案的完整性、可行性以及对本项目的针对性进行评审。</w:t>
            </w:r>
            <w:r>
              <w:rPr>
                <w:rFonts w:hint="eastAsia"/>
                <w:color w:val="auto"/>
                <w:highlight w:val="none"/>
              </w:rPr>
              <w:t>(</w:t>
            </w:r>
            <w:r>
              <w:rPr>
                <w:rFonts w:hint="eastAsia" w:ascii="宋体" w:hAnsi="宋体" w:cs="宋体"/>
                <w:color w:val="auto"/>
                <w:sz w:val="21"/>
                <w:szCs w:val="21"/>
                <w:highlight w:val="none"/>
                <w:lang w:val="en-US" w:eastAsia="zh-CN"/>
              </w:rPr>
              <w:t>评审分值为3分或2分或1分或0分</w:t>
            </w:r>
            <w:r>
              <w:rPr>
                <w:rFonts w:hint="eastAsia"/>
                <w:color w:val="auto"/>
                <w:highlight w:val="none"/>
              </w:rPr>
              <w:t>)</w:t>
            </w:r>
          </w:p>
        </w:tc>
      </w:tr>
      <w:tr w14:paraId="13CEB3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5" w:hRule="atLeast"/>
          <w:jc w:val="center"/>
        </w:trPr>
        <w:tc>
          <w:tcPr>
            <w:tcW w:w="1767" w:type="dxa"/>
            <w:vMerge w:val="continue"/>
            <w:vAlign w:val="center"/>
          </w:tcPr>
          <w:p w14:paraId="4617E1BF">
            <w:pPr>
              <w:jc w:val="center"/>
              <w:rPr>
                <w:rFonts w:hint="eastAsia" w:ascii="宋体" w:hAnsi="宋体" w:cs="宋体"/>
                <w:b/>
                <w:bCs/>
                <w:color w:val="auto"/>
                <w:sz w:val="21"/>
                <w:szCs w:val="21"/>
                <w:highlight w:val="none"/>
              </w:rPr>
            </w:pPr>
          </w:p>
        </w:tc>
        <w:tc>
          <w:tcPr>
            <w:tcW w:w="654" w:type="dxa"/>
            <w:vAlign w:val="center"/>
          </w:tcPr>
          <w:p w14:paraId="39EEDE64">
            <w:pPr>
              <w:jc w:val="center"/>
              <w:rPr>
                <w:rFonts w:hint="default"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2</w:t>
            </w:r>
          </w:p>
        </w:tc>
        <w:tc>
          <w:tcPr>
            <w:tcW w:w="7207" w:type="dxa"/>
            <w:vAlign w:val="center"/>
          </w:tcPr>
          <w:p w14:paraId="6B668F96">
            <w:pPr>
              <w:bidi w:val="0"/>
              <w:rPr>
                <w:rFonts w:hint="eastAsia"/>
                <w:color w:val="auto"/>
                <w:highlight w:val="none"/>
              </w:rPr>
            </w:pPr>
            <w:r>
              <w:rPr>
                <w:rFonts w:hint="eastAsia"/>
                <w:color w:val="auto"/>
                <w:highlight w:val="none"/>
              </w:rPr>
              <w:t>培训计划内容、培训范围</w:t>
            </w:r>
            <w:r>
              <w:rPr>
                <w:rFonts w:hint="eastAsia"/>
                <w:color w:val="auto"/>
                <w:highlight w:val="none"/>
                <w:lang w:eastAsia="zh-CN"/>
              </w:rPr>
              <w:t>。</w:t>
            </w:r>
            <w:r>
              <w:rPr>
                <w:rFonts w:hint="eastAsia"/>
                <w:color w:val="auto"/>
                <w:highlight w:val="none"/>
                <w:lang w:val="en-US" w:eastAsia="zh-CN"/>
              </w:rPr>
              <w:t>根据方案的完整性、可行性以及对本项目的针对性进行评审。</w:t>
            </w:r>
            <w:r>
              <w:rPr>
                <w:rFonts w:hint="eastAsia"/>
                <w:color w:val="auto"/>
                <w:highlight w:val="none"/>
              </w:rPr>
              <w:t>(</w:t>
            </w:r>
            <w:r>
              <w:rPr>
                <w:rFonts w:hint="eastAsia" w:ascii="宋体" w:hAnsi="宋体" w:cs="宋体"/>
                <w:color w:val="auto"/>
                <w:sz w:val="21"/>
                <w:szCs w:val="21"/>
                <w:highlight w:val="none"/>
                <w:lang w:val="en-US" w:eastAsia="zh-CN"/>
              </w:rPr>
              <w:t>评审分值为2分或1.5分或1分或0.5分或0分</w:t>
            </w:r>
            <w:r>
              <w:rPr>
                <w:rFonts w:hint="eastAsia"/>
                <w:color w:val="auto"/>
                <w:highlight w:val="none"/>
              </w:rPr>
              <w:t>)</w:t>
            </w:r>
          </w:p>
        </w:tc>
      </w:tr>
    </w:tbl>
    <w:p w14:paraId="126D7357">
      <w:pPr>
        <w:rPr>
          <w:rFonts w:hint="default"/>
          <w:color w:val="auto"/>
          <w:sz w:val="24"/>
          <w:szCs w:val="24"/>
          <w:highlight w:val="none"/>
        </w:rPr>
      </w:pPr>
    </w:p>
    <w:bookmarkEnd w:id="63"/>
    <w:p w14:paraId="27CB8325">
      <w:pPr>
        <w:pStyle w:val="16"/>
        <w:adjustRightInd w:val="0"/>
        <w:snapToGrid w:val="0"/>
        <w:spacing w:line="360" w:lineRule="auto"/>
        <w:ind w:firstLine="466" w:firstLineChars="200"/>
        <w:rPr>
          <w:rFonts w:hint="default" w:ascii="Times New Roman" w:hAnsi="Times New Roman"/>
          <w:b/>
          <w:bCs/>
          <w:color w:val="auto"/>
          <w:sz w:val="24"/>
          <w:highlight w:val="none"/>
        </w:rPr>
      </w:pPr>
      <w:r>
        <w:rPr>
          <w:rFonts w:hint="default" w:ascii="Times New Roman" w:hAnsi="Times New Roman"/>
          <w:b/>
          <w:color w:val="auto"/>
          <w:sz w:val="24"/>
          <w:highlight w:val="none"/>
        </w:rPr>
        <w:t>（二）</w:t>
      </w:r>
      <w:r>
        <w:rPr>
          <w:rFonts w:hint="default" w:ascii="Times New Roman" w:hAnsi="Times New Roman"/>
          <w:b/>
          <w:bCs/>
          <w:color w:val="auto"/>
          <w:sz w:val="24"/>
          <w:highlight w:val="none"/>
        </w:rPr>
        <w:t>价格分（</w:t>
      </w:r>
      <w:r>
        <w:rPr>
          <w:rFonts w:ascii="Times New Roman" w:hAnsi="Times New Roman"/>
          <w:b/>
          <w:bCs/>
          <w:color w:val="auto"/>
          <w:sz w:val="24"/>
          <w:highlight w:val="none"/>
          <w:u w:val="single"/>
        </w:rPr>
        <w:t>3</w:t>
      </w:r>
      <w:r>
        <w:rPr>
          <w:rFonts w:hint="eastAsia" w:ascii="Times New Roman" w:hAnsi="Times New Roman"/>
          <w:b/>
          <w:bCs/>
          <w:color w:val="auto"/>
          <w:sz w:val="24"/>
          <w:highlight w:val="none"/>
          <w:u w:val="single"/>
          <w:lang w:val="en-US" w:eastAsia="zh-CN"/>
        </w:rPr>
        <w:t>5</w:t>
      </w:r>
      <w:r>
        <w:rPr>
          <w:rFonts w:hint="default" w:ascii="Times New Roman" w:hAnsi="Times New Roman"/>
          <w:b/>
          <w:bCs/>
          <w:color w:val="auto"/>
          <w:sz w:val="24"/>
          <w:highlight w:val="none"/>
        </w:rPr>
        <w:t>分）</w:t>
      </w:r>
    </w:p>
    <w:p w14:paraId="7D814A94">
      <w:pPr>
        <w:pStyle w:val="16"/>
        <w:adjustRightInd w:val="0"/>
        <w:snapToGrid w:val="0"/>
        <w:spacing w:line="360" w:lineRule="auto"/>
        <w:ind w:firstLine="464" w:firstLineChars="200"/>
        <w:rPr>
          <w:rFonts w:hint="default" w:ascii="Times New Roman" w:hAnsi="Times New Roman"/>
          <w:bCs/>
          <w:color w:val="auto"/>
          <w:sz w:val="24"/>
          <w:szCs w:val="24"/>
          <w:highlight w:val="none"/>
        </w:rPr>
      </w:pPr>
      <w:r>
        <w:rPr>
          <w:rFonts w:hint="default" w:ascii="Times New Roman" w:hAnsi="Times New Roman"/>
          <w:bCs/>
          <w:color w:val="auto"/>
          <w:sz w:val="24"/>
          <w:highlight w:val="none"/>
        </w:rPr>
        <w:t>价格分</w:t>
      </w:r>
      <w:r>
        <w:rPr>
          <w:rFonts w:hint="default" w:ascii="Times New Roman" w:hAnsi="Times New Roman"/>
          <w:bCs/>
          <w:color w:val="auto"/>
          <w:sz w:val="24"/>
          <w:szCs w:val="24"/>
          <w:highlight w:val="none"/>
        </w:rPr>
        <w:t>采用低价优先法计算，即满足招标文件要求且投标价格最低的投标报价为评标基准价，其价格分为满分。其他投标人的价格分按照下列公式计算：</w:t>
      </w:r>
    </w:p>
    <w:p w14:paraId="2C9C1962">
      <w:pPr>
        <w:adjustRightInd w:val="0"/>
        <w:snapToGrid w:val="0"/>
        <w:spacing w:line="360" w:lineRule="auto"/>
        <w:ind w:firstLine="470" w:firstLineChars="196"/>
        <w:rPr>
          <w:rFonts w:hint="default"/>
          <w:color w:val="auto"/>
          <w:highlight w:val="none"/>
        </w:rPr>
      </w:pPr>
      <w:r>
        <w:rPr>
          <w:rFonts w:hint="default"/>
          <w:color w:val="auto"/>
          <w:sz w:val="24"/>
          <w:highlight w:val="none"/>
        </w:rPr>
        <w:t>价格分=（评标基准价/投标报价）×</w:t>
      </w:r>
      <w:r>
        <w:rPr>
          <w:color w:val="auto"/>
          <w:sz w:val="24"/>
          <w:highlight w:val="none"/>
          <w:u w:val="single"/>
        </w:rPr>
        <w:t>3</w:t>
      </w:r>
      <w:r>
        <w:rPr>
          <w:rFonts w:hint="eastAsia"/>
          <w:color w:val="auto"/>
          <w:sz w:val="24"/>
          <w:highlight w:val="none"/>
          <w:u w:val="single"/>
          <w:lang w:val="en-US" w:eastAsia="zh-CN"/>
        </w:rPr>
        <w:t>5</w:t>
      </w:r>
      <w:r>
        <w:rPr>
          <w:rFonts w:hint="default"/>
          <w:color w:val="auto"/>
          <w:sz w:val="24"/>
          <w:highlight w:val="none"/>
        </w:rPr>
        <w:t>%×100</w:t>
      </w:r>
    </w:p>
    <w:p w14:paraId="32265F65">
      <w:pPr>
        <w:autoSpaceDE w:val="0"/>
        <w:autoSpaceDN w:val="0"/>
        <w:adjustRightInd w:val="0"/>
        <w:snapToGrid w:val="0"/>
        <w:spacing w:line="360" w:lineRule="auto"/>
        <w:ind w:firstLine="482"/>
        <w:rPr>
          <w:rFonts w:hint="default" w:ascii="宋体" w:hAnsi="宋体"/>
          <w:color w:val="auto"/>
          <w:sz w:val="24"/>
          <w:szCs w:val="24"/>
          <w:highlight w:val="none"/>
        </w:rPr>
      </w:pPr>
      <w:r>
        <w:rPr>
          <w:rFonts w:ascii="宋体" w:cs="仿宋_GB2312"/>
          <w:b/>
          <w:bCs/>
          <w:color w:val="auto"/>
          <w:sz w:val="24"/>
          <w:highlight w:val="none"/>
          <w:lang w:val="zh-CN"/>
        </w:rPr>
        <w:t>落实政府采购政策说明：</w:t>
      </w:r>
      <w:r>
        <w:rPr>
          <w:rFonts w:ascii="宋体" w:hAnsi="宋体"/>
          <w:b/>
          <w:bCs/>
          <w:color w:val="auto"/>
          <w:sz w:val="24"/>
          <w:szCs w:val="24"/>
          <w:highlight w:val="none"/>
        </w:rPr>
        <w:t>根据《关于进一步加大政府采购支持中小企业力度的通知》（财库〔2022〕19号），参加本次采购活动的投标人提供的货物全部由符合政策要求的小微企业制造的（以联合体形式参加政府采购活动，联合体各方均为小微企业的），其报价给予10%的扣除，取扣除后的价格作为最终投标报价（此最终投标报价仅作为价格分计算）。</w:t>
      </w:r>
      <w:r>
        <w:rPr>
          <w:rFonts w:hint="default"/>
          <w:b/>
          <w:color w:val="auto"/>
          <w:sz w:val="24"/>
          <w:szCs w:val="24"/>
          <w:highlight w:val="none"/>
        </w:rPr>
        <w:t>如投标人明确</w:t>
      </w:r>
      <w:r>
        <w:rPr>
          <w:b/>
          <w:color w:val="auto"/>
          <w:sz w:val="24"/>
          <w:szCs w:val="24"/>
          <w:highlight w:val="none"/>
        </w:rPr>
        <w:t>联合体投标的</w:t>
      </w:r>
      <w:r>
        <w:rPr>
          <w:rFonts w:hint="default"/>
          <w:b/>
          <w:color w:val="auto"/>
          <w:sz w:val="24"/>
          <w:szCs w:val="24"/>
          <w:highlight w:val="none"/>
        </w:rPr>
        <w:t>，对于</w:t>
      </w:r>
      <w:r>
        <w:rPr>
          <w:b/>
          <w:color w:val="auto"/>
          <w:sz w:val="24"/>
          <w:szCs w:val="24"/>
          <w:highlight w:val="none"/>
        </w:rPr>
        <w:t>联合协议</w:t>
      </w:r>
      <w:r>
        <w:rPr>
          <w:rFonts w:hint="default"/>
          <w:b/>
          <w:color w:val="auto"/>
          <w:sz w:val="24"/>
          <w:szCs w:val="24"/>
          <w:highlight w:val="none"/>
        </w:rPr>
        <w:t>约定</w:t>
      </w:r>
      <w:r>
        <w:rPr>
          <w:b/>
          <w:color w:val="auto"/>
          <w:sz w:val="24"/>
          <w:szCs w:val="24"/>
          <w:highlight w:val="none"/>
        </w:rPr>
        <w:t>中</w:t>
      </w:r>
      <w:r>
        <w:rPr>
          <w:rFonts w:hint="default"/>
          <w:b/>
          <w:color w:val="auto"/>
          <w:sz w:val="24"/>
          <w:szCs w:val="24"/>
          <w:highlight w:val="none"/>
        </w:rPr>
        <w:t>小微企业的合同份额占到合同总金额30%以上的，采购人、采购代理机构应当对大中型企业的报价给予</w:t>
      </w:r>
      <w:r>
        <w:rPr>
          <w:b/>
          <w:color w:val="auto"/>
          <w:sz w:val="24"/>
          <w:szCs w:val="24"/>
          <w:highlight w:val="none"/>
        </w:rPr>
        <w:t>4</w:t>
      </w:r>
      <w:r>
        <w:rPr>
          <w:rFonts w:hint="default"/>
          <w:b/>
          <w:color w:val="auto"/>
          <w:sz w:val="24"/>
          <w:szCs w:val="24"/>
          <w:highlight w:val="none"/>
        </w:rPr>
        <w:t>%的扣除，用扣除后的价格参加评审（投标人应提供</w:t>
      </w:r>
      <w:r>
        <w:rPr>
          <w:b/>
          <w:color w:val="auto"/>
          <w:sz w:val="24"/>
          <w:szCs w:val="24"/>
          <w:highlight w:val="none"/>
        </w:rPr>
        <w:t>联合协议</w:t>
      </w:r>
      <w:r>
        <w:rPr>
          <w:rFonts w:hint="default"/>
          <w:b/>
          <w:color w:val="auto"/>
          <w:sz w:val="24"/>
          <w:szCs w:val="24"/>
          <w:highlight w:val="none"/>
        </w:rPr>
        <w:t>，中小企业声明函中需如实填写</w:t>
      </w:r>
      <w:r>
        <w:rPr>
          <w:b/>
          <w:color w:val="auto"/>
          <w:sz w:val="24"/>
          <w:szCs w:val="24"/>
          <w:highlight w:val="none"/>
        </w:rPr>
        <w:t>联合体成员</w:t>
      </w:r>
      <w:r>
        <w:rPr>
          <w:rFonts w:hint="default"/>
          <w:b/>
          <w:color w:val="auto"/>
          <w:sz w:val="24"/>
          <w:szCs w:val="24"/>
          <w:highlight w:val="none"/>
        </w:rPr>
        <w:t>的信息）</w:t>
      </w:r>
      <w:r>
        <w:rPr>
          <w:b/>
          <w:color w:val="auto"/>
          <w:sz w:val="24"/>
          <w:szCs w:val="24"/>
          <w:highlight w:val="none"/>
        </w:rPr>
        <w:t>，组成联合体小微企业与联合体内其他企业之间存在直接控股、管理关系的，不享受价格扣除优惠政策。</w:t>
      </w:r>
    </w:p>
    <w:p w14:paraId="6E85C477">
      <w:pPr>
        <w:spacing w:line="360" w:lineRule="auto"/>
        <w:ind w:firstLine="482" w:firstLineChars="200"/>
        <w:rPr>
          <w:rFonts w:hint="default" w:ascii="宋体" w:cs="仿宋_GB2312"/>
          <w:color w:val="auto"/>
          <w:sz w:val="24"/>
          <w:szCs w:val="24"/>
          <w:highlight w:val="none"/>
          <w:lang w:val="zh-CN"/>
        </w:rPr>
      </w:pPr>
      <w:r>
        <w:rPr>
          <w:rFonts w:ascii="宋体" w:hAnsi="宋体"/>
          <w:b/>
          <w:color w:val="auto"/>
          <w:sz w:val="24"/>
          <w:szCs w:val="24"/>
          <w:highlight w:val="none"/>
        </w:rPr>
        <w:t>注：未按要求提供材料的，均不给予价格扣除。</w:t>
      </w:r>
    </w:p>
    <w:p w14:paraId="4E6B6206">
      <w:pPr>
        <w:autoSpaceDE w:val="0"/>
        <w:autoSpaceDN w:val="0"/>
        <w:spacing w:line="360" w:lineRule="auto"/>
        <w:ind w:firstLine="482"/>
        <w:rPr>
          <w:rFonts w:hint="default" w:ascii="宋体"/>
          <w:b/>
          <w:color w:val="auto"/>
          <w:sz w:val="24"/>
          <w:szCs w:val="24"/>
          <w:highlight w:val="none"/>
        </w:rPr>
      </w:pPr>
      <w:r>
        <w:rPr>
          <w:rFonts w:ascii="宋体" w:hAnsi="宋体"/>
          <w:b/>
          <w:color w:val="auto"/>
          <w:sz w:val="24"/>
          <w:szCs w:val="24"/>
          <w:highlight w:val="none"/>
        </w:rPr>
        <w:t>根据工信部联企业〔2011〕300号的相关规定属于小型和微型企业的，投标文件中必须提供《中小企业声明函》（见附件）。</w:t>
      </w:r>
    </w:p>
    <w:p w14:paraId="44A8AE90">
      <w:pPr>
        <w:autoSpaceDE w:val="0"/>
        <w:autoSpaceDN w:val="0"/>
        <w:spacing w:line="360" w:lineRule="auto"/>
        <w:ind w:firstLine="482"/>
        <w:rPr>
          <w:rFonts w:hint="default" w:ascii="宋体" w:cs="仿宋_GB2312"/>
          <w:color w:val="auto"/>
          <w:sz w:val="24"/>
          <w:szCs w:val="24"/>
          <w:highlight w:val="none"/>
        </w:rPr>
      </w:pPr>
      <w:r>
        <w:rPr>
          <w:rFonts w:ascii="宋体" w:hAnsi="宋体" w:cs="仿宋_GB2312"/>
          <w:color w:val="auto"/>
          <w:sz w:val="24"/>
          <w:szCs w:val="24"/>
          <w:highlight w:val="none"/>
        </w:rPr>
        <w:t>根据《关于政府采购支持监狱企业发展有关问题的通知》（财库[2014]68号）的规定，投标人提供由省级以上监狱管理局、戒毒管理局（含新疆生产建设兵团）出具的属于监狱企业证明文件的，视同为小型和微型企业。</w:t>
      </w:r>
    </w:p>
    <w:p w14:paraId="797CAB03">
      <w:pPr>
        <w:autoSpaceDE w:val="0"/>
        <w:autoSpaceDN w:val="0"/>
        <w:spacing w:line="360" w:lineRule="auto"/>
        <w:ind w:firstLine="482"/>
        <w:rPr>
          <w:rFonts w:hint="default" w:ascii="宋体" w:cs="仿宋_GB2312"/>
          <w:color w:val="auto"/>
          <w:sz w:val="24"/>
          <w:szCs w:val="24"/>
          <w:highlight w:val="none"/>
          <w:lang w:val="zh-CN"/>
        </w:rPr>
      </w:pPr>
      <w:r>
        <w:rPr>
          <w:rFonts w:ascii="宋体" w:hAnsi="宋体" w:cs="仿宋_GB2312"/>
          <w:color w:val="auto"/>
          <w:sz w:val="24"/>
          <w:szCs w:val="24"/>
          <w:highlight w:val="none"/>
        </w:rPr>
        <w:t>根据《关于促进残疾人就业政府采购政策的通知》（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14:paraId="465BFB01">
      <w:pPr>
        <w:autoSpaceDE w:val="0"/>
        <w:autoSpaceDN w:val="0"/>
        <w:adjustRightInd w:val="0"/>
        <w:snapToGrid w:val="0"/>
        <w:spacing w:line="360" w:lineRule="auto"/>
        <w:ind w:firstLine="482"/>
        <w:rPr>
          <w:rFonts w:hint="default" w:ascii="宋体" w:hAnsi="宋体" w:cs="宋体"/>
          <w:b/>
          <w:color w:val="auto"/>
          <w:spacing w:val="-4"/>
          <w:highlight w:val="none"/>
        </w:rPr>
      </w:pPr>
      <w:r>
        <w:rPr>
          <w:rFonts w:ascii="宋体" w:hAnsi="宋体" w:cs="仿宋_GB2312"/>
          <w:b/>
          <w:bCs/>
          <w:color w:val="auto"/>
          <w:sz w:val="24"/>
          <w:szCs w:val="24"/>
          <w:highlight w:val="none"/>
          <w:lang w:val="zh-CN"/>
        </w:rPr>
        <w:t>投标人需提供的相关证明材料，未按招标文件要求提供证明材料的不享受上述扶持政策。</w:t>
      </w:r>
    </w:p>
    <w:p w14:paraId="24E71B20">
      <w:pPr>
        <w:spacing w:line="360" w:lineRule="auto"/>
        <w:ind w:firstLine="482" w:firstLineChars="200"/>
        <w:rPr>
          <w:rFonts w:hint="default"/>
          <w:b/>
          <w:color w:val="auto"/>
          <w:sz w:val="24"/>
          <w:szCs w:val="24"/>
          <w:highlight w:val="none"/>
        </w:rPr>
      </w:pPr>
      <w:r>
        <w:rPr>
          <w:b/>
          <w:color w:val="auto"/>
          <w:sz w:val="24"/>
          <w:szCs w:val="24"/>
          <w:highlight w:val="none"/>
        </w:rPr>
        <w:t>五</w:t>
      </w:r>
      <w:r>
        <w:rPr>
          <w:rFonts w:hint="default"/>
          <w:b/>
          <w:color w:val="auto"/>
          <w:sz w:val="24"/>
          <w:szCs w:val="24"/>
          <w:highlight w:val="none"/>
        </w:rPr>
        <w:t>、询标</w:t>
      </w:r>
    </w:p>
    <w:p w14:paraId="2B6B746E">
      <w:pPr>
        <w:pStyle w:val="16"/>
        <w:adjustRightInd w:val="0"/>
        <w:snapToGrid w:val="0"/>
        <w:spacing w:line="360" w:lineRule="auto"/>
        <w:ind w:firstLine="464" w:firstLineChars="200"/>
        <w:rPr>
          <w:rFonts w:hint="default" w:ascii="Times New Roman" w:hAnsi="Times New Roman"/>
          <w:bCs/>
          <w:color w:val="auto"/>
          <w:sz w:val="24"/>
          <w:highlight w:val="none"/>
        </w:rPr>
      </w:pPr>
      <w:r>
        <w:rPr>
          <w:rFonts w:hint="default" w:ascii="Times New Roman" w:hAnsi="Times New Roman"/>
          <w:bCs/>
          <w:color w:val="auto"/>
          <w:sz w:val="24"/>
          <w:highlight w:val="none"/>
        </w:rPr>
        <w:t>对投标文件中存在含义不清楚的内容，必要时评标委员会要求</w:t>
      </w:r>
      <w:r>
        <w:rPr>
          <w:rFonts w:ascii="Times New Roman" w:hAnsi="Times New Roman"/>
          <w:bCs/>
          <w:color w:val="auto"/>
          <w:sz w:val="24"/>
          <w:highlight w:val="none"/>
        </w:rPr>
        <w:t>供应商</w:t>
      </w:r>
      <w:r>
        <w:rPr>
          <w:rFonts w:hint="default" w:ascii="Times New Roman" w:hAnsi="Times New Roman"/>
          <w:bCs/>
          <w:color w:val="auto"/>
          <w:sz w:val="24"/>
          <w:highlight w:val="none"/>
        </w:rPr>
        <w:t>作必要的澄清、说明或补正。询标记录需</w:t>
      </w:r>
      <w:r>
        <w:rPr>
          <w:rFonts w:ascii="Times New Roman" w:hAnsi="Times New Roman"/>
          <w:bCs/>
          <w:color w:val="auto"/>
          <w:sz w:val="24"/>
          <w:highlight w:val="none"/>
        </w:rPr>
        <w:t>供应商</w:t>
      </w:r>
      <w:r>
        <w:rPr>
          <w:rFonts w:hint="default" w:ascii="Times New Roman" w:hAnsi="Times New Roman"/>
          <w:bCs/>
          <w:color w:val="auto"/>
          <w:sz w:val="24"/>
          <w:highlight w:val="none"/>
        </w:rPr>
        <w:t>授权代表签字确认，它将作为投标文件的一部分。</w:t>
      </w:r>
    </w:p>
    <w:p w14:paraId="4B74C95B">
      <w:pPr>
        <w:spacing w:line="360" w:lineRule="auto"/>
        <w:ind w:firstLine="482" w:firstLineChars="200"/>
        <w:rPr>
          <w:rFonts w:hint="default"/>
          <w:b/>
          <w:color w:val="auto"/>
          <w:sz w:val="24"/>
          <w:szCs w:val="24"/>
          <w:highlight w:val="none"/>
        </w:rPr>
      </w:pPr>
      <w:r>
        <w:rPr>
          <w:b/>
          <w:color w:val="auto"/>
          <w:sz w:val="24"/>
          <w:szCs w:val="24"/>
          <w:highlight w:val="none"/>
        </w:rPr>
        <w:t>六、修改评标结果</w:t>
      </w:r>
    </w:p>
    <w:p w14:paraId="68542439">
      <w:pPr>
        <w:pStyle w:val="16"/>
        <w:adjustRightInd w:val="0"/>
        <w:snapToGrid w:val="0"/>
        <w:spacing w:line="360" w:lineRule="auto"/>
        <w:ind w:firstLine="464" w:firstLineChars="200"/>
        <w:rPr>
          <w:rFonts w:hint="default" w:ascii="Times New Roman" w:hAnsi="Times New Roman"/>
          <w:bCs/>
          <w:color w:val="auto"/>
          <w:sz w:val="24"/>
          <w:highlight w:val="none"/>
        </w:rPr>
      </w:pPr>
      <w:r>
        <w:rPr>
          <w:rFonts w:hint="default" w:ascii="Times New Roman" w:hAnsi="Times New Roman"/>
          <w:bCs/>
          <w:color w:val="auto"/>
          <w:sz w:val="24"/>
          <w:highlight w:val="none"/>
        </w:rPr>
        <w:t>评标结果汇总完成后，除下列情形外，任何人不得修改评标结果：</w:t>
      </w:r>
    </w:p>
    <w:p w14:paraId="7C92317F">
      <w:pPr>
        <w:pStyle w:val="16"/>
        <w:adjustRightInd w:val="0"/>
        <w:snapToGrid w:val="0"/>
        <w:spacing w:line="360" w:lineRule="auto"/>
        <w:ind w:firstLine="464" w:firstLineChars="200"/>
        <w:rPr>
          <w:rFonts w:hint="default" w:ascii="Times New Roman" w:hAnsi="Times New Roman"/>
          <w:bCs/>
          <w:color w:val="auto"/>
          <w:sz w:val="24"/>
          <w:highlight w:val="none"/>
        </w:rPr>
      </w:pPr>
      <w:r>
        <w:rPr>
          <w:rFonts w:hint="default" w:ascii="Times New Roman" w:hAnsi="Times New Roman"/>
          <w:bCs/>
          <w:color w:val="auto"/>
          <w:sz w:val="24"/>
          <w:highlight w:val="none"/>
        </w:rPr>
        <w:t>（一）分值汇总计算错误的</w:t>
      </w:r>
    </w:p>
    <w:p w14:paraId="7C94856D">
      <w:pPr>
        <w:pStyle w:val="16"/>
        <w:adjustRightInd w:val="0"/>
        <w:snapToGrid w:val="0"/>
        <w:spacing w:line="360" w:lineRule="auto"/>
        <w:ind w:firstLine="464" w:firstLineChars="200"/>
        <w:rPr>
          <w:rFonts w:hint="default" w:ascii="Times New Roman" w:hAnsi="Times New Roman"/>
          <w:bCs/>
          <w:color w:val="auto"/>
          <w:sz w:val="24"/>
          <w:highlight w:val="none"/>
        </w:rPr>
      </w:pPr>
      <w:r>
        <w:rPr>
          <w:rFonts w:hint="default" w:ascii="Times New Roman" w:hAnsi="Times New Roman"/>
          <w:bCs/>
          <w:color w:val="auto"/>
          <w:sz w:val="24"/>
          <w:highlight w:val="none"/>
        </w:rPr>
        <w:t>（二）分项评分超出评分标准范围的；</w:t>
      </w:r>
    </w:p>
    <w:p w14:paraId="56471A66">
      <w:pPr>
        <w:pStyle w:val="16"/>
        <w:adjustRightInd w:val="0"/>
        <w:snapToGrid w:val="0"/>
        <w:spacing w:line="360" w:lineRule="auto"/>
        <w:ind w:firstLine="464" w:firstLineChars="200"/>
        <w:rPr>
          <w:rFonts w:hint="default" w:ascii="Times New Roman" w:hAnsi="Times New Roman"/>
          <w:bCs/>
          <w:color w:val="auto"/>
          <w:sz w:val="24"/>
          <w:highlight w:val="none"/>
        </w:rPr>
      </w:pPr>
      <w:r>
        <w:rPr>
          <w:rFonts w:hint="default" w:ascii="Times New Roman" w:hAnsi="Times New Roman"/>
          <w:bCs/>
          <w:color w:val="auto"/>
          <w:sz w:val="24"/>
          <w:highlight w:val="none"/>
        </w:rPr>
        <w:t>（三）评标委员会成员对客观评审因素评分不一致的；</w:t>
      </w:r>
    </w:p>
    <w:p w14:paraId="24A7DCCF">
      <w:pPr>
        <w:pStyle w:val="16"/>
        <w:adjustRightInd w:val="0"/>
        <w:snapToGrid w:val="0"/>
        <w:spacing w:line="360" w:lineRule="auto"/>
        <w:ind w:firstLine="464" w:firstLineChars="200"/>
        <w:rPr>
          <w:rFonts w:hint="default" w:ascii="Times New Roman" w:hAnsi="Times New Roman"/>
          <w:bCs/>
          <w:color w:val="auto"/>
          <w:sz w:val="24"/>
          <w:highlight w:val="none"/>
        </w:rPr>
        <w:sectPr>
          <w:headerReference r:id="rId6" w:type="default"/>
          <w:footerReference r:id="rId7" w:type="default"/>
          <w:pgSz w:w="11906" w:h="16838"/>
          <w:pgMar w:top="1134" w:right="1247" w:bottom="1247" w:left="1304" w:header="794" w:footer="794" w:gutter="0"/>
          <w:cols w:space="720" w:num="1"/>
          <w:docGrid w:linePitch="312" w:charSpace="0"/>
        </w:sectPr>
      </w:pPr>
      <w:r>
        <w:rPr>
          <w:rFonts w:hint="default" w:ascii="Times New Roman" w:hAnsi="Times New Roman"/>
          <w:bCs/>
          <w:color w:val="auto"/>
          <w:sz w:val="24"/>
          <w:highlight w:val="none"/>
        </w:rPr>
        <w:t>（四）经评标委员会认定评分畸高、畸低的。</w:t>
      </w:r>
    </w:p>
    <w:p w14:paraId="0DCC54A9">
      <w:pPr>
        <w:pStyle w:val="6"/>
        <w:adjustRightInd w:val="0"/>
        <w:snapToGrid w:val="0"/>
        <w:spacing w:beforeLines="0" w:afterLines="0" w:line="360" w:lineRule="auto"/>
        <w:jc w:val="center"/>
        <w:outlineLvl w:val="0"/>
        <w:rPr>
          <w:color w:val="auto"/>
          <w:highlight w:val="none"/>
        </w:rPr>
      </w:pPr>
      <w:bookmarkStart w:id="66" w:name="_Toc5663"/>
      <w:r>
        <w:rPr>
          <w:rFonts w:ascii="Times New Roman" w:hAnsi="Times New Roman"/>
          <w:b/>
          <w:color w:val="auto"/>
          <w:sz w:val="36"/>
          <w:szCs w:val="36"/>
          <w:highlight w:val="none"/>
        </w:rPr>
        <w:t>第四章  采购内容及需求</w:t>
      </w:r>
      <w:bookmarkEnd w:id="66"/>
    </w:p>
    <w:p w14:paraId="57126AEE">
      <w:pPr>
        <w:pStyle w:val="6"/>
        <w:snapToGrid w:val="0"/>
        <w:spacing w:before="120" w:after="120" w:line="360" w:lineRule="auto"/>
        <w:outlineLvl w:val="0"/>
        <w:rPr>
          <w:rFonts w:ascii="Times New Roman" w:hAnsi="Times New Roman"/>
          <w:b/>
          <w:color w:val="auto"/>
          <w:highlight w:val="none"/>
        </w:rPr>
      </w:pPr>
      <w:bookmarkStart w:id="67" w:name="_Toc11776"/>
      <w:r>
        <w:rPr>
          <w:rFonts w:ascii="Times New Roman" w:hAnsi="Times New Roman"/>
          <w:b/>
          <w:color w:val="auto"/>
          <w:highlight w:val="none"/>
        </w:rPr>
        <w:t>一、</w:t>
      </w:r>
      <w:bookmarkEnd w:id="67"/>
      <w:r>
        <w:rPr>
          <w:rFonts w:hint="eastAsia" w:ascii="Times New Roman" w:hAnsi="Times New Roman"/>
          <w:b/>
          <w:color w:val="auto"/>
          <w:highlight w:val="none"/>
        </w:rPr>
        <w:t>概述</w:t>
      </w:r>
    </w:p>
    <w:p w14:paraId="6CAD0FEF">
      <w:pPr>
        <w:spacing w:line="360" w:lineRule="auto"/>
        <w:ind w:firstLine="480" w:firstLineChars="200"/>
        <w:rPr>
          <w:rFonts w:hint="default"/>
          <w:color w:val="auto"/>
          <w:sz w:val="24"/>
          <w:szCs w:val="24"/>
          <w:highlight w:val="none"/>
        </w:rPr>
      </w:pPr>
      <w:r>
        <w:rPr>
          <w:color w:val="auto"/>
          <w:sz w:val="24"/>
          <w:szCs w:val="24"/>
          <w:highlight w:val="none"/>
        </w:rPr>
        <w:t>1.本次招标货物为</w:t>
      </w:r>
      <w:r>
        <w:rPr>
          <w:rFonts w:hint="eastAsia"/>
          <w:color w:val="auto"/>
          <w:sz w:val="24"/>
          <w:szCs w:val="24"/>
          <w:highlight w:val="none"/>
          <w:lang w:eastAsia="zh-CN"/>
        </w:rPr>
        <w:t>流式细胞仪</w:t>
      </w:r>
      <w:r>
        <w:rPr>
          <w:color w:val="auto"/>
          <w:sz w:val="24"/>
          <w:szCs w:val="24"/>
          <w:highlight w:val="none"/>
        </w:rPr>
        <w:t>，投标人应根据招标文件所提出的要求，选择具有最佳性能价格比的产品前来投标，并以精良的产品、优质的服务和优惠的价格，充分显示各自的竞争力。</w:t>
      </w:r>
    </w:p>
    <w:p w14:paraId="2640D09A">
      <w:pPr>
        <w:spacing w:line="360" w:lineRule="auto"/>
        <w:ind w:firstLine="480" w:firstLineChars="200"/>
        <w:rPr>
          <w:rFonts w:hint="default"/>
          <w:color w:val="auto"/>
          <w:sz w:val="24"/>
          <w:szCs w:val="24"/>
          <w:highlight w:val="none"/>
        </w:rPr>
      </w:pPr>
      <w:r>
        <w:rPr>
          <w:color w:val="auto"/>
          <w:sz w:val="24"/>
          <w:szCs w:val="24"/>
          <w:highlight w:val="none"/>
        </w:rPr>
        <w:t>2.采购内容</w:t>
      </w:r>
    </w:p>
    <w:tbl>
      <w:tblPr>
        <w:tblStyle w:val="41"/>
        <w:tblW w:w="98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3"/>
        <w:gridCol w:w="2570"/>
        <w:gridCol w:w="1296"/>
        <w:gridCol w:w="1320"/>
        <w:gridCol w:w="1704"/>
        <w:gridCol w:w="2082"/>
      </w:tblGrid>
      <w:tr w14:paraId="5950E8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jc w:val="center"/>
        </w:trPr>
        <w:tc>
          <w:tcPr>
            <w:tcW w:w="923" w:type="dxa"/>
            <w:tcBorders>
              <w:top w:val="single" w:color="auto" w:sz="4" w:space="0"/>
              <w:left w:val="single" w:color="auto" w:sz="4" w:space="0"/>
              <w:bottom w:val="single" w:color="auto" w:sz="4" w:space="0"/>
              <w:right w:val="single" w:color="auto" w:sz="4" w:space="0"/>
            </w:tcBorders>
            <w:vAlign w:val="center"/>
          </w:tcPr>
          <w:p w14:paraId="3DAAEA53">
            <w:pPr>
              <w:jc w:val="center"/>
              <w:rPr>
                <w:rFonts w:hint="default"/>
                <w:color w:val="auto"/>
                <w:sz w:val="24"/>
                <w:szCs w:val="24"/>
                <w:highlight w:val="none"/>
              </w:rPr>
            </w:pPr>
            <w:r>
              <w:rPr>
                <w:color w:val="auto"/>
                <w:sz w:val="24"/>
                <w:szCs w:val="24"/>
                <w:highlight w:val="none"/>
              </w:rPr>
              <w:t>序号</w:t>
            </w:r>
          </w:p>
        </w:tc>
        <w:tc>
          <w:tcPr>
            <w:tcW w:w="2570" w:type="dxa"/>
            <w:tcBorders>
              <w:top w:val="single" w:color="auto" w:sz="4" w:space="0"/>
              <w:left w:val="single" w:color="auto" w:sz="4" w:space="0"/>
              <w:bottom w:val="single" w:color="auto" w:sz="4" w:space="0"/>
              <w:right w:val="single" w:color="auto" w:sz="4" w:space="0"/>
            </w:tcBorders>
            <w:vAlign w:val="center"/>
          </w:tcPr>
          <w:p w14:paraId="53B2939D">
            <w:pPr>
              <w:jc w:val="center"/>
              <w:rPr>
                <w:rFonts w:hint="default"/>
                <w:color w:val="auto"/>
                <w:sz w:val="24"/>
                <w:szCs w:val="24"/>
                <w:highlight w:val="none"/>
              </w:rPr>
            </w:pPr>
            <w:r>
              <w:rPr>
                <w:color w:val="auto"/>
                <w:sz w:val="24"/>
                <w:szCs w:val="24"/>
                <w:highlight w:val="none"/>
              </w:rPr>
              <w:t>名称/标的名称</w:t>
            </w:r>
          </w:p>
        </w:tc>
        <w:tc>
          <w:tcPr>
            <w:tcW w:w="1296" w:type="dxa"/>
            <w:tcBorders>
              <w:top w:val="single" w:color="auto" w:sz="4" w:space="0"/>
              <w:left w:val="single" w:color="auto" w:sz="4" w:space="0"/>
              <w:bottom w:val="single" w:color="auto" w:sz="4" w:space="0"/>
              <w:right w:val="single" w:color="auto" w:sz="4" w:space="0"/>
            </w:tcBorders>
            <w:vAlign w:val="center"/>
          </w:tcPr>
          <w:p w14:paraId="0D7CDA74">
            <w:pPr>
              <w:jc w:val="center"/>
              <w:rPr>
                <w:rFonts w:hint="default"/>
                <w:color w:val="auto"/>
                <w:sz w:val="24"/>
                <w:szCs w:val="24"/>
                <w:highlight w:val="none"/>
              </w:rPr>
            </w:pPr>
            <w:r>
              <w:rPr>
                <w:color w:val="auto"/>
                <w:sz w:val="24"/>
                <w:szCs w:val="24"/>
                <w:highlight w:val="none"/>
              </w:rPr>
              <w:t>单位</w:t>
            </w:r>
          </w:p>
        </w:tc>
        <w:tc>
          <w:tcPr>
            <w:tcW w:w="1320" w:type="dxa"/>
            <w:tcBorders>
              <w:top w:val="single" w:color="auto" w:sz="4" w:space="0"/>
              <w:left w:val="single" w:color="auto" w:sz="4" w:space="0"/>
              <w:bottom w:val="single" w:color="auto" w:sz="4" w:space="0"/>
              <w:right w:val="single" w:color="auto" w:sz="4" w:space="0"/>
            </w:tcBorders>
            <w:vAlign w:val="center"/>
          </w:tcPr>
          <w:p w14:paraId="48FDA6B9">
            <w:pPr>
              <w:jc w:val="center"/>
              <w:rPr>
                <w:rFonts w:hint="default"/>
                <w:color w:val="auto"/>
                <w:sz w:val="24"/>
                <w:szCs w:val="24"/>
                <w:highlight w:val="none"/>
              </w:rPr>
            </w:pPr>
            <w:r>
              <w:rPr>
                <w:color w:val="auto"/>
                <w:sz w:val="24"/>
                <w:szCs w:val="24"/>
                <w:highlight w:val="none"/>
              </w:rPr>
              <w:t>数量</w:t>
            </w:r>
          </w:p>
        </w:tc>
        <w:tc>
          <w:tcPr>
            <w:tcW w:w="1704" w:type="dxa"/>
            <w:tcBorders>
              <w:top w:val="single" w:color="auto" w:sz="4" w:space="0"/>
              <w:left w:val="single" w:color="auto" w:sz="4" w:space="0"/>
              <w:bottom w:val="single" w:color="auto" w:sz="4" w:space="0"/>
              <w:right w:val="single" w:color="auto" w:sz="4" w:space="0"/>
            </w:tcBorders>
            <w:vAlign w:val="center"/>
          </w:tcPr>
          <w:p w14:paraId="061F75FE">
            <w:pPr>
              <w:jc w:val="center"/>
              <w:rPr>
                <w:rFonts w:hint="default"/>
                <w:color w:val="auto"/>
                <w:sz w:val="24"/>
                <w:szCs w:val="24"/>
                <w:highlight w:val="none"/>
              </w:rPr>
            </w:pPr>
            <w:r>
              <w:rPr>
                <w:color w:val="auto"/>
                <w:sz w:val="24"/>
                <w:szCs w:val="24"/>
                <w:highlight w:val="none"/>
              </w:rPr>
              <w:t>是否允许进口</w:t>
            </w:r>
          </w:p>
        </w:tc>
        <w:tc>
          <w:tcPr>
            <w:tcW w:w="2082" w:type="dxa"/>
            <w:tcBorders>
              <w:top w:val="single" w:color="auto" w:sz="4" w:space="0"/>
              <w:left w:val="single" w:color="auto" w:sz="4" w:space="0"/>
              <w:bottom w:val="single" w:color="auto" w:sz="4" w:space="0"/>
              <w:right w:val="single" w:color="auto" w:sz="4" w:space="0"/>
            </w:tcBorders>
            <w:vAlign w:val="center"/>
          </w:tcPr>
          <w:p w14:paraId="63DE10AF">
            <w:pPr>
              <w:jc w:val="center"/>
              <w:rPr>
                <w:rFonts w:hint="default" w:eastAsia="宋体"/>
                <w:color w:val="auto"/>
                <w:sz w:val="24"/>
                <w:szCs w:val="24"/>
                <w:highlight w:val="none"/>
                <w:lang w:val="en-US" w:eastAsia="zh-CN"/>
              </w:rPr>
            </w:pPr>
            <w:r>
              <w:rPr>
                <w:rFonts w:hint="eastAsia"/>
                <w:color w:val="auto"/>
                <w:sz w:val="24"/>
                <w:szCs w:val="24"/>
                <w:highlight w:val="none"/>
                <w:lang w:val="en-US" w:eastAsia="zh-CN"/>
              </w:rPr>
              <w:t>▲最高限价</w:t>
            </w:r>
          </w:p>
        </w:tc>
      </w:tr>
      <w:tr w14:paraId="3540F9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23" w:type="dxa"/>
            <w:tcBorders>
              <w:top w:val="single" w:color="auto" w:sz="4" w:space="0"/>
              <w:left w:val="single" w:color="auto" w:sz="4" w:space="0"/>
              <w:bottom w:val="single" w:color="auto" w:sz="4" w:space="0"/>
              <w:right w:val="single" w:color="auto" w:sz="4" w:space="0"/>
            </w:tcBorders>
            <w:vAlign w:val="center"/>
          </w:tcPr>
          <w:p w14:paraId="04876FF9">
            <w:pPr>
              <w:jc w:val="center"/>
              <w:rPr>
                <w:rFonts w:hint="default"/>
                <w:color w:val="auto"/>
                <w:sz w:val="24"/>
                <w:szCs w:val="24"/>
                <w:highlight w:val="none"/>
              </w:rPr>
            </w:pPr>
            <w:r>
              <w:rPr>
                <w:color w:val="auto"/>
                <w:sz w:val="24"/>
                <w:szCs w:val="24"/>
                <w:highlight w:val="none"/>
              </w:rPr>
              <w:t>1</w:t>
            </w:r>
          </w:p>
        </w:tc>
        <w:tc>
          <w:tcPr>
            <w:tcW w:w="2570" w:type="dxa"/>
            <w:tcBorders>
              <w:top w:val="single" w:color="auto" w:sz="4" w:space="0"/>
              <w:left w:val="single" w:color="auto" w:sz="4" w:space="0"/>
              <w:bottom w:val="single" w:color="auto" w:sz="4" w:space="0"/>
              <w:right w:val="single" w:color="auto" w:sz="4" w:space="0"/>
            </w:tcBorders>
            <w:vAlign w:val="center"/>
          </w:tcPr>
          <w:p w14:paraId="089235DD">
            <w:pPr>
              <w:jc w:val="center"/>
              <w:rPr>
                <w:rFonts w:hint="eastAsia" w:eastAsia="宋体"/>
                <w:color w:val="auto"/>
                <w:sz w:val="24"/>
                <w:szCs w:val="24"/>
                <w:highlight w:val="none"/>
                <w:lang w:eastAsia="zh-CN"/>
              </w:rPr>
            </w:pPr>
            <w:r>
              <w:rPr>
                <w:color w:val="auto"/>
                <w:sz w:val="24"/>
                <w:szCs w:val="24"/>
                <w:highlight w:val="none"/>
              </w:rPr>
              <w:t>·</w:t>
            </w:r>
            <w:r>
              <w:rPr>
                <w:rFonts w:hint="eastAsia" w:eastAsia="宋体"/>
                <w:color w:val="auto"/>
                <w:sz w:val="24"/>
                <w:szCs w:val="24"/>
                <w:highlight w:val="none"/>
                <w:lang w:eastAsia="zh-CN"/>
              </w:rPr>
              <w:t>气相色谱仪</w:t>
            </w:r>
          </w:p>
        </w:tc>
        <w:tc>
          <w:tcPr>
            <w:tcW w:w="1296" w:type="dxa"/>
            <w:tcBorders>
              <w:top w:val="single" w:color="auto" w:sz="4" w:space="0"/>
              <w:left w:val="single" w:color="auto" w:sz="4" w:space="0"/>
              <w:bottom w:val="single" w:color="auto" w:sz="4" w:space="0"/>
              <w:right w:val="single" w:color="auto" w:sz="4" w:space="0"/>
            </w:tcBorders>
            <w:vAlign w:val="center"/>
          </w:tcPr>
          <w:p w14:paraId="0CE6D9BA">
            <w:pPr>
              <w:jc w:val="center"/>
              <w:rPr>
                <w:rFonts w:hint="eastAsia" w:eastAsia="宋体"/>
                <w:color w:val="auto"/>
                <w:sz w:val="24"/>
                <w:szCs w:val="24"/>
                <w:highlight w:val="none"/>
                <w:lang w:eastAsia="zh-CN"/>
              </w:rPr>
            </w:pPr>
            <w:r>
              <w:rPr>
                <w:rFonts w:hint="eastAsia"/>
                <w:color w:val="auto"/>
                <w:sz w:val="24"/>
                <w:szCs w:val="24"/>
                <w:highlight w:val="none"/>
                <w:lang w:val="en-US" w:eastAsia="zh-CN"/>
              </w:rPr>
              <w:t>套</w:t>
            </w:r>
          </w:p>
        </w:tc>
        <w:tc>
          <w:tcPr>
            <w:tcW w:w="1320" w:type="dxa"/>
            <w:tcBorders>
              <w:top w:val="single" w:color="auto" w:sz="4" w:space="0"/>
              <w:left w:val="single" w:color="auto" w:sz="4" w:space="0"/>
              <w:bottom w:val="single" w:color="auto" w:sz="4" w:space="0"/>
              <w:right w:val="single" w:color="auto" w:sz="4" w:space="0"/>
            </w:tcBorders>
            <w:vAlign w:val="center"/>
          </w:tcPr>
          <w:p w14:paraId="13E4EB38">
            <w:pPr>
              <w:jc w:val="center"/>
              <w:rPr>
                <w:rFonts w:hint="default"/>
                <w:color w:val="auto"/>
                <w:sz w:val="24"/>
                <w:szCs w:val="24"/>
                <w:highlight w:val="none"/>
              </w:rPr>
            </w:pPr>
            <w:r>
              <w:rPr>
                <w:color w:val="auto"/>
                <w:sz w:val="24"/>
                <w:szCs w:val="24"/>
                <w:highlight w:val="none"/>
              </w:rPr>
              <w:t>1</w:t>
            </w:r>
          </w:p>
        </w:tc>
        <w:tc>
          <w:tcPr>
            <w:tcW w:w="1704" w:type="dxa"/>
            <w:tcBorders>
              <w:top w:val="single" w:color="auto" w:sz="4" w:space="0"/>
              <w:left w:val="single" w:color="auto" w:sz="4" w:space="0"/>
              <w:bottom w:val="single" w:color="auto" w:sz="4" w:space="0"/>
              <w:right w:val="single" w:color="auto" w:sz="4" w:space="0"/>
            </w:tcBorders>
            <w:vAlign w:val="center"/>
          </w:tcPr>
          <w:p w14:paraId="0DF079BC">
            <w:pPr>
              <w:jc w:val="center"/>
              <w:rPr>
                <w:rFonts w:hint="default"/>
                <w:color w:val="auto"/>
                <w:sz w:val="24"/>
                <w:szCs w:val="24"/>
                <w:highlight w:val="none"/>
              </w:rPr>
            </w:pPr>
            <w:r>
              <w:rPr>
                <w:color w:val="auto"/>
                <w:sz w:val="24"/>
                <w:szCs w:val="24"/>
                <w:highlight w:val="none"/>
              </w:rPr>
              <w:t>是</w:t>
            </w:r>
          </w:p>
        </w:tc>
        <w:tc>
          <w:tcPr>
            <w:tcW w:w="2082" w:type="dxa"/>
            <w:tcBorders>
              <w:top w:val="single" w:color="auto" w:sz="4" w:space="0"/>
              <w:left w:val="single" w:color="auto" w:sz="4" w:space="0"/>
              <w:bottom w:val="single" w:color="auto" w:sz="4" w:space="0"/>
              <w:right w:val="single" w:color="auto" w:sz="4" w:space="0"/>
            </w:tcBorders>
            <w:vAlign w:val="center"/>
          </w:tcPr>
          <w:p w14:paraId="18DD66D1">
            <w:pPr>
              <w:jc w:val="center"/>
              <w:rPr>
                <w:color w:val="auto"/>
                <w:sz w:val="24"/>
                <w:szCs w:val="24"/>
                <w:highlight w:val="none"/>
              </w:rPr>
            </w:pPr>
            <w:r>
              <w:rPr>
                <w:rFonts w:hint="eastAsia"/>
                <w:color w:val="auto"/>
                <w:sz w:val="24"/>
                <w:szCs w:val="24"/>
                <w:highlight w:val="none"/>
              </w:rPr>
              <w:t>280000元</w:t>
            </w:r>
          </w:p>
        </w:tc>
      </w:tr>
      <w:tr w14:paraId="51AEAE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23" w:type="dxa"/>
            <w:tcBorders>
              <w:top w:val="single" w:color="auto" w:sz="4" w:space="0"/>
              <w:left w:val="single" w:color="auto" w:sz="4" w:space="0"/>
              <w:bottom w:val="single" w:color="auto" w:sz="4" w:space="0"/>
              <w:right w:val="single" w:color="auto" w:sz="4" w:space="0"/>
            </w:tcBorders>
            <w:vAlign w:val="center"/>
          </w:tcPr>
          <w:p w14:paraId="28E50BD3">
            <w:pPr>
              <w:jc w:val="center"/>
              <w:rPr>
                <w:rFonts w:hint="eastAsia" w:eastAsia="宋体"/>
                <w:color w:val="auto"/>
                <w:sz w:val="24"/>
                <w:szCs w:val="24"/>
                <w:highlight w:val="none"/>
                <w:lang w:val="en-US" w:eastAsia="zh-CN"/>
              </w:rPr>
            </w:pPr>
            <w:r>
              <w:rPr>
                <w:rFonts w:hint="eastAsia"/>
                <w:color w:val="auto"/>
                <w:sz w:val="24"/>
                <w:szCs w:val="24"/>
                <w:highlight w:val="none"/>
                <w:lang w:val="en-US" w:eastAsia="zh-CN"/>
              </w:rPr>
              <w:t>2</w:t>
            </w:r>
          </w:p>
        </w:tc>
        <w:tc>
          <w:tcPr>
            <w:tcW w:w="2570" w:type="dxa"/>
            <w:tcBorders>
              <w:top w:val="single" w:color="auto" w:sz="4" w:space="0"/>
              <w:left w:val="single" w:color="auto" w:sz="4" w:space="0"/>
              <w:bottom w:val="single" w:color="auto" w:sz="4" w:space="0"/>
              <w:right w:val="single" w:color="auto" w:sz="4" w:space="0"/>
            </w:tcBorders>
            <w:vAlign w:val="center"/>
          </w:tcPr>
          <w:p w14:paraId="22F95AB0">
            <w:pPr>
              <w:jc w:val="center"/>
              <w:rPr>
                <w:color w:val="auto"/>
                <w:sz w:val="24"/>
                <w:szCs w:val="24"/>
                <w:highlight w:val="none"/>
              </w:rPr>
            </w:pPr>
            <w:r>
              <w:rPr>
                <w:color w:val="auto"/>
                <w:sz w:val="24"/>
                <w:szCs w:val="24"/>
                <w:highlight w:val="none"/>
              </w:rPr>
              <w:t>制备液相色谱仪</w:t>
            </w:r>
          </w:p>
        </w:tc>
        <w:tc>
          <w:tcPr>
            <w:tcW w:w="1296" w:type="dxa"/>
            <w:tcBorders>
              <w:top w:val="single" w:color="auto" w:sz="4" w:space="0"/>
              <w:left w:val="single" w:color="auto" w:sz="4" w:space="0"/>
              <w:bottom w:val="single" w:color="auto" w:sz="4" w:space="0"/>
              <w:right w:val="single" w:color="auto" w:sz="4" w:space="0"/>
            </w:tcBorders>
            <w:shd w:val="clear" w:color="auto" w:fill="auto"/>
            <w:vAlign w:val="center"/>
          </w:tcPr>
          <w:p w14:paraId="456ADADB">
            <w:pPr>
              <w:jc w:val="center"/>
              <w:rPr>
                <w:rFonts w:hint="eastAsia" w:ascii="Times New Roman" w:hAnsi="Times New Roman" w:eastAsia="宋体" w:cs="Times New Roman"/>
                <w:color w:val="auto"/>
                <w:kern w:val="2"/>
                <w:sz w:val="24"/>
                <w:szCs w:val="24"/>
                <w:highlight w:val="none"/>
                <w:lang w:val="en-US" w:eastAsia="zh-CN" w:bidi="ar-SA"/>
              </w:rPr>
            </w:pPr>
            <w:r>
              <w:rPr>
                <w:rFonts w:hint="eastAsia"/>
                <w:color w:val="auto"/>
                <w:sz w:val="24"/>
                <w:szCs w:val="24"/>
                <w:highlight w:val="none"/>
                <w:lang w:val="en-US" w:eastAsia="zh-CN"/>
              </w:rPr>
              <w:t>套</w:t>
            </w:r>
          </w:p>
        </w:tc>
        <w:tc>
          <w:tcPr>
            <w:tcW w:w="1320" w:type="dxa"/>
            <w:tcBorders>
              <w:top w:val="single" w:color="auto" w:sz="4" w:space="0"/>
              <w:left w:val="single" w:color="auto" w:sz="4" w:space="0"/>
              <w:bottom w:val="single" w:color="auto" w:sz="4" w:space="0"/>
              <w:right w:val="single" w:color="auto" w:sz="4" w:space="0"/>
            </w:tcBorders>
            <w:shd w:val="clear" w:color="auto" w:fill="auto"/>
            <w:vAlign w:val="center"/>
          </w:tcPr>
          <w:p w14:paraId="485F196C">
            <w:pPr>
              <w:jc w:val="center"/>
              <w:rPr>
                <w:rFonts w:hint="default" w:ascii="Times New Roman" w:hAnsi="Times New Roman" w:eastAsia="宋体" w:cs="Times New Roman"/>
                <w:color w:val="auto"/>
                <w:kern w:val="2"/>
                <w:sz w:val="24"/>
                <w:szCs w:val="24"/>
                <w:highlight w:val="none"/>
                <w:lang w:val="en-US" w:eastAsia="zh-CN" w:bidi="ar-SA"/>
              </w:rPr>
            </w:pPr>
            <w:r>
              <w:rPr>
                <w:color w:val="auto"/>
                <w:sz w:val="24"/>
                <w:szCs w:val="24"/>
                <w:highlight w:val="none"/>
              </w:rPr>
              <w:t>1</w:t>
            </w:r>
          </w:p>
        </w:tc>
        <w:tc>
          <w:tcPr>
            <w:tcW w:w="1704" w:type="dxa"/>
            <w:tcBorders>
              <w:top w:val="single" w:color="auto" w:sz="4" w:space="0"/>
              <w:left w:val="single" w:color="auto" w:sz="4" w:space="0"/>
              <w:bottom w:val="single" w:color="auto" w:sz="4" w:space="0"/>
              <w:right w:val="single" w:color="auto" w:sz="4" w:space="0"/>
            </w:tcBorders>
            <w:shd w:val="clear" w:color="auto" w:fill="auto"/>
            <w:vAlign w:val="center"/>
          </w:tcPr>
          <w:p w14:paraId="1D29C9AB">
            <w:pPr>
              <w:jc w:val="center"/>
              <w:rPr>
                <w:rFonts w:hint="default" w:ascii="Times New Roman" w:hAnsi="Times New Roman" w:eastAsia="宋体" w:cs="Times New Roman"/>
                <w:color w:val="auto"/>
                <w:kern w:val="2"/>
                <w:sz w:val="24"/>
                <w:szCs w:val="24"/>
                <w:highlight w:val="none"/>
                <w:lang w:val="en-US" w:eastAsia="zh-CN" w:bidi="ar-SA"/>
              </w:rPr>
            </w:pPr>
            <w:r>
              <w:rPr>
                <w:color w:val="auto"/>
                <w:sz w:val="24"/>
                <w:szCs w:val="24"/>
                <w:highlight w:val="none"/>
              </w:rPr>
              <w:t>是</w:t>
            </w:r>
          </w:p>
        </w:tc>
        <w:tc>
          <w:tcPr>
            <w:tcW w:w="2082" w:type="dxa"/>
            <w:tcBorders>
              <w:top w:val="single" w:color="auto" w:sz="4" w:space="0"/>
              <w:left w:val="single" w:color="auto" w:sz="4" w:space="0"/>
              <w:bottom w:val="single" w:color="auto" w:sz="4" w:space="0"/>
              <w:right w:val="single" w:color="auto" w:sz="4" w:space="0"/>
            </w:tcBorders>
            <w:shd w:val="clear" w:color="auto" w:fill="auto"/>
            <w:vAlign w:val="center"/>
          </w:tcPr>
          <w:p w14:paraId="173B514A">
            <w:pPr>
              <w:jc w:val="center"/>
              <w:rPr>
                <w:color w:val="auto"/>
                <w:sz w:val="24"/>
                <w:szCs w:val="24"/>
                <w:highlight w:val="none"/>
              </w:rPr>
            </w:pPr>
            <w:r>
              <w:rPr>
                <w:rFonts w:hint="eastAsia"/>
                <w:color w:val="auto"/>
                <w:sz w:val="24"/>
                <w:szCs w:val="24"/>
                <w:highlight w:val="none"/>
              </w:rPr>
              <w:t>599600元</w:t>
            </w:r>
          </w:p>
        </w:tc>
      </w:tr>
    </w:tbl>
    <w:p w14:paraId="58C6C64E">
      <w:pPr>
        <w:spacing w:line="360" w:lineRule="auto"/>
        <w:ind w:firstLine="480" w:firstLineChars="200"/>
        <w:rPr>
          <w:rFonts w:hint="default"/>
          <w:color w:val="auto"/>
          <w:sz w:val="24"/>
          <w:szCs w:val="24"/>
          <w:highlight w:val="none"/>
        </w:rPr>
      </w:pPr>
      <w:r>
        <w:rPr>
          <w:color w:val="auto"/>
          <w:sz w:val="24"/>
          <w:szCs w:val="24"/>
          <w:highlight w:val="none"/>
        </w:rPr>
        <w:t>注：标有“·”系产品采购项目中单一产品或核心产品。</w:t>
      </w:r>
    </w:p>
    <w:p w14:paraId="1F1D1083">
      <w:pPr>
        <w:spacing w:line="360" w:lineRule="auto"/>
        <w:ind w:firstLine="480" w:firstLineChars="200"/>
        <w:rPr>
          <w:rFonts w:hint="default"/>
          <w:color w:val="auto"/>
          <w:sz w:val="24"/>
          <w:szCs w:val="24"/>
          <w:highlight w:val="none"/>
        </w:rPr>
      </w:pPr>
      <w:r>
        <w:rPr>
          <w:color w:val="auto"/>
          <w:sz w:val="24"/>
          <w:szCs w:val="24"/>
          <w:highlight w:val="none"/>
        </w:rPr>
        <w:t>3.按交钥匙项目方式交货。</w:t>
      </w:r>
    </w:p>
    <w:p w14:paraId="4CA7E914">
      <w:pPr>
        <w:spacing w:line="360" w:lineRule="auto"/>
        <w:ind w:firstLine="480" w:firstLineChars="200"/>
        <w:rPr>
          <w:rFonts w:hint="default"/>
          <w:color w:val="auto"/>
          <w:sz w:val="24"/>
          <w:szCs w:val="24"/>
          <w:highlight w:val="none"/>
        </w:rPr>
      </w:pPr>
      <w:r>
        <w:rPr>
          <w:color w:val="auto"/>
          <w:sz w:val="24"/>
          <w:szCs w:val="24"/>
          <w:highlight w:val="none"/>
        </w:rPr>
        <w:t>4.安装坏境</w:t>
      </w:r>
    </w:p>
    <w:p w14:paraId="0A68685A">
      <w:pPr>
        <w:spacing w:line="360" w:lineRule="auto"/>
        <w:ind w:firstLine="480" w:firstLineChars="200"/>
        <w:rPr>
          <w:rFonts w:hint="default"/>
          <w:color w:val="auto"/>
          <w:sz w:val="24"/>
          <w:szCs w:val="24"/>
          <w:highlight w:val="none"/>
        </w:rPr>
      </w:pPr>
      <w:r>
        <w:rPr>
          <w:color w:val="auto"/>
          <w:sz w:val="24"/>
          <w:szCs w:val="24"/>
          <w:highlight w:val="none"/>
        </w:rPr>
        <w:t>投标人须自行了解使用坏境的一切与本项目实施有关的情况，提供产品时应考虑相应的环境与条件。</w:t>
      </w:r>
    </w:p>
    <w:p w14:paraId="318AA107">
      <w:pPr>
        <w:spacing w:line="360" w:lineRule="auto"/>
        <w:ind w:firstLine="480" w:firstLineChars="200"/>
        <w:rPr>
          <w:rFonts w:hint="default"/>
          <w:color w:val="auto"/>
          <w:sz w:val="24"/>
          <w:szCs w:val="24"/>
          <w:highlight w:val="none"/>
        </w:rPr>
      </w:pPr>
      <w:r>
        <w:rPr>
          <w:color w:val="auto"/>
          <w:sz w:val="24"/>
          <w:szCs w:val="24"/>
          <w:highlight w:val="none"/>
        </w:rPr>
        <w:t>5.安装地点：招标人指定的安装地点。</w:t>
      </w:r>
    </w:p>
    <w:p w14:paraId="34DA8E36">
      <w:pPr>
        <w:spacing w:line="360" w:lineRule="auto"/>
        <w:ind w:firstLine="480" w:firstLineChars="200"/>
        <w:rPr>
          <w:rFonts w:hint="default"/>
          <w:color w:val="auto"/>
          <w:sz w:val="24"/>
          <w:szCs w:val="24"/>
          <w:highlight w:val="none"/>
        </w:rPr>
      </w:pPr>
      <w:r>
        <w:rPr>
          <w:color w:val="auto"/>
          <w:sz w:val="24"/>
          <w:szCs w:val="24"/>
          <w:highlight w:val="none"/>
        </w:rPr>
        <w:t>6.本招标文件中打▲的条款为关键性指标，不允许负偏离，出现负偏离的将导致投标无效。打★的条款为重要指标，允许偏离，但在技术评分时会重点扣分。</w:t>
      </w:r>
    </w:p>
    <w:p w14:paraId="0E44875A">
      <w:pPr>
        <w:spacing w:line="360" w:lineRule="auto"/>
        <w:ind w:firstLine="480" w:firstLineChars="200"/>
        <w:rPr>
          <w:rFonts w:hint="default"/>
          <w:color w:val="auto"/>
          <w:sz w:val="24"/>
          <w:szCs w:val="24"/>
          <w:highlight w:val="none"/>
        </w:rPr>
      </w:pPr>
      <w:r>
        <w:rPr>
          <w:color w:val="auto"/>
          <w:sz w:val="24"/>
          <w:szCs w:val="24"/>
          <w:highlight w:val="none"/>
        </w:rPr>
        <w:t>7.投标产品须满足国家相关标准。如有未特别注明需执行的国家相关标准、行业标准、地方标准或者其他标准、规范，则统一执行最新标准、规范。</w:t>
      </w:r>
    </w:p>
    <w:p w14:paraId="472D3AA2">
      <w:pPr>
        <w:spacing w:line="360" w:lineRule="auto"/>
        <w:rPr>
          <w:rFonts w:hint="default"/>
          <w:color w:val="auto"/>
          <w:sz w:val="24"/>
          <w:szCs w:val="24"/>
          <w:highlight w:val="none"/>
        </w:rPr>
      </w:pPr>
    </w:p>
    <w:p w14:paraId="1E84AC1B">
      <w:pPr>
        <w:pStyle w:val="36"/>
        <w:spacing w:before="0" w:beforeAutospacing="0" w:after="0" w:afterAutospacing="0" w:line="360" w:lineRule="auto"/>
        <w:rPr>
          <w:rFonts w:hint="default" w:ascii="Times New Roman" w:hAnsi="Times New Roman"/>
          <w:b/>
          <w:bCs/>
          <w:color w:val="auto"/>
          <w:szCs w:val="24"/>
          <w:highlight w:val="none"/>
          <w:lang w:val="en-US" w:eastAsia="zh-CN"/>
        </w:rPr>
      </w:pPr>
      <w:r>
        <w:rPr>
          <w:rFonts w:hint="eastAsia" w:ascii="Times New Roman" w:hAnsi="Times New Roman"/>
          <w:b/>
          <w:bCs/>
          <w:color w:val="auto"/>
          <w:szCs w:val="24"/>
          <w:highlight w:val="none"/>
          <w:lang w:val="en-US" w:eastAsia="zh-CN"/>
        </w:rPr>
        <w:t>二、技术参数要求</w:t>
      </w:r>
    </w:p>
    <w:p w14:paraId="7BDE9575">
      <w:pPr>
        <w:pStyle w:val="36"/>
        <w:spacing w:before="0" w:beforeAutospacing="0" w:after="0" w:afterAutospacing="0" w:line="360" w:lineRule="auto"/>
        <w:rPr>
          <w:rFonts w:hint="default" w:ascii="Times New Roman" w:hAnsi="Times New Roman" w:eastAsia="宋体"/>
          <w:b/>
          <w:bCs/>
          <w:color w:val="auto"/>
          <w:szCs w:val="24"/>
          <w:highlight w:val="none"/>
          <w:lang w:val="en-US" w:eastAsia="zh-CN"/>
        </w:rPr>
      </w:pPr>
      <w:r>
        <w:rPr>
          <w:rFonts w:hint="eastAsia" w:ascii="Times New Roman" w:hAnsi="Times New Roman"/>
          <w:b/>
          <w:bCs/>
          <w:color w:val="auto"/>
          <w:szCs w:val="24"/>
          <w:highlight w:val="none"/>
          <w:lang w:val="en-US" w:eastAsia="zh-CN"/>
        </w:rPr>
        <w:t>（一）气相色谱仪</w:t>
      </w:r>
    </w:p>
    <w:p w14:paraId="3079DE43">
      <w:pPr>
        <w:tabs>
          <w:tab w:val="left" w:pos="851"/>
        </w:tabs>
        <w:spacing w:line="360" w:lineRule="auto"/>
        <w:jc w:val="left"/>
        <w:rPr>
          <w:b/>
          <w:color w:val="auto"/>
          <w:sz w:val="24"/>
          <w:highlight w:val="none"/>
        </w:rPr>
      </w:pPr>
      <w:r>
        <w:rPr>
          <w:b/>
          <w:color w:val="auto"/>
          <w:sz w:val="24"/>
          <w:highlight w:val="none"/>
        </w:rPr>
        <w:t>1、柱箱</w:t>
      </w:r>
    </w:p>
    <w:p w14:paraId="0BCABDC6">
      <w:pPr>
        <w:tabs>
          <w:tab w:val="left" w:pos="851"/>
        </w:tabs>
        <w:spacing w:line="360" w:lineRule="auto"/>
        <w:ind w:firstLine="480" w:firstLineChars="200"/>
        <w:jc w:val="left"/>
        <w:rPr>
          <w:color w:val="auto"/>
          <w:sz w:val="24"/>
          <w:highlight w:val="none"/>
        </w:rPr>
      </w:pPr>
      <w:r>
        <w:rPr>
          <w:color w:val="auto"/>
          <w:sz w:val="24"/>
          <w:highlight w:val="none"/>
        </w:rPr>
        <w:t>1.1温度范围：室温以上4˚C～</w:t>
      </w:r>
      <w:r>
        <w:rPr>
          <w:rFonts w:hint="eastAsia"/>
          <w:color w:val="auto"/>
          <w:sz w:val="24"/>
          <w:highlight w:val="none"/>
          <w:lang w:val="en-US" w:eastAsia="zh-CN"/>
        </w:rPr>
        <w:t>≥</w:t>
      </w:r>
      <w:r>
        <w:rPr>
          <w:color w:val="auto"/>
          <w:sz w:val="24"/>
          <w:highlight w:val="none"/>
        </w:rPr>
        <w:t>450˚C</w:t>
      </w:r>
    </w:p>
    <w:p w14:paraId="037D15D6">
      <w:pPr>
        <w:tabs>
          <w:tab w:val="left" w:pos="851"/>
        </w:tabs>
        <w:spacing w:line="360" w:lineRule="auto"/>
        <w:ind w:firstLine="480" w:firstLineChars="200"/>
        <w:jc w:val="left"/>
        <w:rPr>
          <w:color w:val="auto"/>
          <w:sz w:val="24"/>
          <w:highlight w:val="none"/>
        </w:rPr>
      </w:pPr>
      <w:r>
        <w:rPr>
          <w:color w:val="auto"/>
          <w:sz w:val="24"/>
          <w:highlight w:val="none"/>
        </w:rPr>
        <w:t>1.2温度设定：温度1˚C；程序设定升温速率0.1˚C</w:t>
      </w:r>
    </w:p>
    <w:p w14:paraId="23DCBBA5">
      <w:pPr>
        <w:tabs>
          <w:tab w:val="left" w:pos="851"/>
        </w:tabs>
        <w:spacing w:line="360" w:lineRule="auto"/>
        <w:ind w:firstLine="480" w:firstLineChars="200"/>
        <w:jc w:val="left"/>
        <w:rPr>
          <w:color w:val="auto"/>
          <w:sz w:val="24"/>
          <w:highlight w:val="none"/>
        </w:rPr>
      </w:pPr>
      <w:r>
        <w:rPr>
          <w:color w:val="auto"/>
          <w:sz w:val="24"/>
          <w:highlight w:val="none"/>
        </w:rPr>
        <w:t>1.3升温速度：0.1˚C/min～</w:t>
      </w:r>
      <w:r>
        <w:rPr>
          <w:rFonts w:hint="eastAsia"/>
          <w:color w:val="auto"/>
          <w:sz w:val="24"/>
          <w:highlight w:val="none"/>
          <w:lang w:val="en-US" w:eastAsia="zh-CN"/>
        </w:rPr>
        <w:t>≥</w:t>
      </w:r>
      <w:r>
        <w:rPr>
          <w:color w:val="auto"/>
          <w:sz w:val="24"/>
          <w:highlight w:val="none"/>
        </w:rPr>
        <w:t>120˚C/min, 最大升温速度可拓展至：</w:t>
      </w:r>
      <w:r>
        <w:rPr>
          <w:rFonts w:hint="eastAsia"/>
          <w:color w:val="auto"/>
          <w:sz w:val="24"/>
          <w:highlight w:val="none"/>
          <w:lang w:val="en-US" w:eastAsia="zh-CN"/>
        </w:rPr>
        <w:t>≥</w:t>
      </w:r>
      <w:r>
        <w:rPr>
          <w:color w:val="auto"/>
          <w:sz w:val="24"/>
          <w:highlight w:val="none"/>
        </w:rPr>
        <w:t>1200℃/min</w:t>
      </w:r>
    </w:p>
    <w:p w14:paraId="74F539C7">
      <w:pPr>
        <w:tabs>
          <w:tab w:val="left" w:pos="851"/>
        </w:tabs>
        <w:spacing w:line="360" w:lineRule="auto"/>
        <w:ind w:firstLine="480" w:firstLineChars="200"/>
        <w:jc w:val="left"/>
        <w:rPr>
          <w:color w:val="auto"/>
          <w:sz w:val="24"/>
          <w:highlight w:val="none"/>
        </w:rPr>
      </w:pPr>
      <w:r>
        <w:rPr>
          <w:color w:val="auto"/>
          <w:sz w:val="24"/>
          <w:highlight w:val="none"/>
        </w:rPr>
        <w:t>1.4温度稳定性；当环境温度变化1˚C时，优于0.01˚C</w:t>
      </w:r>
    </w:p>
    <w:p w14:paraId="1DD2C860">
      <w:pPr>
        <w:tabs>
          <w:tab w:val="left" w:pos="851"/>
        </w:tabs>
        <w:spacing w:line="360" w:lineRule="auto"/>
        <w:ind w:firstLine="480" w:firstLineChars="200"/>
        <w:jc w:val="left"/>
        <w:rPr>
          <w:color w:val="auto"/>
          <w:sz w:val="24"/>
          <w:highlight w:val="none"/>
        </w:rPr>
      </w:pPr>
      <w:r>
        <w:rPr>
          <w:color w:val="auto"/>
          <w:sz w:val="24"/>
          <w:highlight w:val="none"/>
        </w:rPr>
        <w:t>1.5程序升温：</w:t>
      </w:r>
      <w:r>
        <w:rPr>
          <w:rFonts w:hint="eastAsia"/>
          <w:color w:val="auto"/>
          <w:sz w:val="24"/>
          <w:highlight w:val="none"/>
          <w:lang w:val="en-US" w:eastAsia="zh-CN"/>
        </w:rPr>
        <w:t>≥</w:t>
      </w:r>
      <w:r>
        <w:rPr>
          <w:color w:val="auto"/>
          <w:sz w:val="24"/>
          <w:highlight w:val="none"/>
        </w:rPr>
        <w:t>20阶21平台</w:t>
      </w:r>
    </w:p>
    <w:p w14:paraId="552A029E">
      <w:pPr>
        <w:tabs>
          <w:tab w:val="left" w:pos="851"/>
        </w:tabs>
        <w:spacing w:line="360" w:lineRule="auto"/>
        <w:ind w:firstLine="480" w:firstLineChars="200"/>
        <w:jc w:val="left"/>
        <w:rPr>
          <w:color w:val="auto"/>
          <w:sz w:val="24"/>
          <w:highlight w:val="none"/>
        </w:rPr>
      </w:pPr>
      <w:r>
        <w:rPr>
          <w:color w:val="auto"/>
          <w:sz w:val="24"/>
          <w:highlight w:val="none"/>
        </w:rPr>
        <w:t>1.6最大运行时间：</w:t>
      </w:r>
      <w:r>
        <w:rPr>
          <w:rFonts w:hint="eastAsia"/>
          <w:color w:val="auto"/>
          <w:sz w:val="24"/>
          <w:highlight w:val="none"/>
          <w:lang w:val="en-US" w:eastAsia="zh-CN"/>
        </w:rPr>
        <w:t>≥</w:t>
      </w:r>
      <w:r>
        <w:rPr>
          <w:color w:val="auto"/>
          <w:sz w:val="24"/>
          <w:highlight w:val="none"/>
        </w:rPr>
        <w:t>999.99min</w:t>
      </w:r>
    </w:p>
    <w:p w14:paraId="03990A9C">
      <w:pPr>
        <w:tabs>
          <w:tab w:val="left" w:pos="851"/>
        </w:tabs>
        <w:spacing w:line="360" w:lineRule="auto"/>
        <w:ind w:firstLine="480" w:firstLineChars="200"/>
        <w:jc w:val="left"/>
        <w:rPr>
          <w:color w:val="auto"/>
          <w:sz w:val="24"/>
          <w:highlight w:val="none"/>
        </w:rPr>
      </w:pPr>
      <w:r>
        <w:rPr>
          <w:color w:val="auto"/>
          <w:sz w:val="24"/>
          <w:highlight w:val="none"/>
        </w:rPr>
        <w:t>1.7降温速率：从450˚C降至50˚C</w:t>
      </w:r>
      <w:r>
        <w:rPr>
          <w:rFonts w:hint="eastAsia"/>
          <w:color w:val="auto"/>
          <w:sz w:val="24"/>
          <w:highlight w:val="none"/>
          <w:lang w:val="en-US" w:eastAsia="zh-CN"/>
        </w:rPr>
        <w:t>≤</w:t>
      </w:r>
      <w:r>
        <w:rPr>
          <w:color w:val="auto"/>
          <w:sz w:val="24"/>
          <w:highlight w:val="none"/>
        </w:rPr>
        <w:t>240秒(22℃室温下)</w:t>
      </w:r>
    </w:p>
    <w:p w14:paraId="659403C3">
      <w:pPr>
        <w:tabs>
          <w:tab w:val="left" w:pos="851"/>
        </w:tabs>
        <w:spacing w:line="360" w:lineRule="auto"/>
        <w:ind w:firstLine="480" w:firstLineChars="200"/>
        <w:jc w:val="left"/>
        <w:rPr>
          <w:color w:val="auto"/>
          <w:sz w:val="24"/>
          <w:highlight w:val="none"/>
        </w:rPr>
      </w:pPr>
      <w:r>
        <w:rPr>
          <w:color w:val="auto"/>
          <w:sz w:val="24"/>
          <w:highlight w:val="none"/>
        </w:rPr>
        <w:t xml:space="preserve">1.8保留时间重现性: </w:t>
      </w:r>
      <w:r>
        <w:rPr>
          <w:rFonts w:hint="eastAsia"/>
          <w:color w:val="auto"/>
          <w:sz w:val="24"/>
          <w:highlight w:val="none"/>
          <w:lang w:val="en-US" w:eastAsia="zh-CN"/>
        </w:rPr>
        <w:t>≤</w:t>
      </w:r>
      <w:r>
        <w:rPr>
          <w:color w:val="auto"/>
          <w:sz w:val="24"/>
          <w:highlight w:val="none"/>
        </w:rPr>
        <w:t xml:space="preserve">0.008% 或 </w:t>
      </w:r>
      <w:r>
        <w:rPr>
          <w:rFonts w:hint="eastAsia"/>
          <w:color w:val="auto"/>
          <w:sz w:val="24"/>
          <w:highlight w:val="none"/>
          <w:lang w:val="en-US" w:eastAsia="zh-CN"/>
        </w:rPr>
        <w:t>≤</w:t>
      </w:r>
      <w:r>
        <w:rPr>
          <w:color w:val="auto"/>
          <w:sz w:val="24"/>
          <w:highlight w:val="none"/>
        </w:rPr>
        <w:t>0.0008min</w:t>
      </w:r>
    </w:p>
    <w:p w14:paraId="0383F783">
      <w:pPr>
        <w:tabs>
          <w:tab w:val="left" w:pos="851"/>
        </w:tabs>
        <w:spacing w:line="360" w:lineRule="auto"/>
        <w:ind w:firstLine="480" w:firstLineChars="200"/>
        <w:jc w:val="left"/>
        <w:rPr>
          <w:color w:val="auto"/>
          <w:sz w:val="24"/>
          <w:highlight w:val="none"/>
        </w:rPr>
      </w:pPr>
      <w:r>
        <w:rPr>
          <w:color w:val="auto"/>
          <w:sz w:val="24"/>
          <w:highlight w:val="none"/>
        </w:rPr>
        <w:t xml:space="preserve">1.9峰面积重现性: </w:t>
      </w:r>
      <w:r>
        <w:rPr>
          <w:rFonts w:hint="eastAsia"/>
          <w:color w:val="auto"/>
          <w:sz w:val="24"/>
          <w:highlight w:val="none"/>
          <w:lang w:val="en-US" w:eastAsia="zh-CN"/>
        </w:rPr>
        <w:t>≤</w:t>
      </w:r>
      <w:r>
        <w:rPr>
          <w:color w:val="auto"/>
          <w:sz w:val="24"/>
          <w:highlight w:val="none"/>
        </w:rPr>
        <w:t>1.0% RSD</w:t>
      </w:r>
    </w:p>
    <w:p w14:paraId="470BF360">
      <w:pPr>
        <w:tabs>
          <w:tab w:val="left" w:pos="851"/>
        </w:tabs>
        <w:spacing w:line="360" w:lineRule="auto"/>
        <w:jc w:val="left"/>
        <w:rPr>
          <w:b/>
          <w:color w:val="auto"/>
          <w:sz w:val="24"/>
          <w:highlight w:val="none"/>
        </w:rPr>
      </w:pPr>
      <w:r>
        <w:rPr>
          <w:b/>
          <w:color w:val="auto"/>
          <w:sz w:val="24"/>
          <w:highlight w:val="none"/>
        </w:rPr>
        <w:t>2、分流/无分流进样口（带电子气路控制）</w:t>
      </w:r>
    </w:p>
    <w:p w14:paraId="58E554A3">
      <w:pPr>
        <w:tabs>
          <w:tab w:val="left" w:pos="851"/>
        </w:tabs>
        <w:spacing w:line="360" w:lineRule="auto"/>
        <w:ind w:firstLine="480" w:firstLineChars="200"/>
        <w:jc w:val="left"/>
        <w:rPr>
          <w:color w:val="auto"/>
          <w:sz w:val="24"/>
          <w:highlight w:val="none"/>
        </w:rPr>
      </w:pPr>
      <w:r>
        <w:rPr>
          <w:color w:val="auto"/>
          <w:sz w:val="24"/>
          <w:highlight w:val="none"/>
        </w:rPr>
        <w:t>2.1电子参数设定压力、流速和分流比。</w:t>
      </w:r>
    </w:p>
    <w:p w14:paraId="4AF397B8">
      <w:pPr>
        <w:tabs>
          <w:tab w:val="left" w:pos="851"/>
        </w:tabs>
        <w:spacing w:line="360" w:lineRule="auto"/>
        <w:ind w:firstLine="480" w:firstLineChars="200"/>
        <w:jc w:val="left"/>
        <w:rPr>
          <w:color w:val="auto"/>
          <w:sz w:val="24"/>
          <w:highlight w:val="none"/>
        </w:rPr>
      </w:pPr>
      <w:r>
        <w:rPr>
          <w:color w:val="auto"/>
          <w:sz w:val="24"/>
          <w:highlight w:val="none"/>
        </w:rPr>
        <w:t>2.2流量范围：流量设定范围：0～500m</w:t>
      </w:r>
      <w:r>
        <w:rPr>
          <w:rFonts w:hint="eastAsia"/>
          <w:color w:val="auto"/>
          <w:sz w:val="24"/>
          <w:highlight w:val="none"/>
          <w:lang w:val="en-US" w:eastAsia="zh-CN"/>
        </w:rPr>
        <w:t>L</w:t>
      </w:r>
      <w:r>
        <w:rPr>
          <w:color w:val="auto"/>
          <w:sz w:val="24"/>
          <w:highlight w:val="none"/>
        </w:rPr>
        <w:t>/min（以N</w:t>
      </w:r>
      <w:r>
        <w:rPr>
          <w:color w:val="auto"/>
          <w:sz w:val="24"/>
          <w:highlight w:val="none"/>
          <w:vertAlign w:val="subscript"/>
        </w:rPr>
        <w:t>2</w:t>
      </w:r>
      <w:r>
        <w:rPr>
          <w:color w:val="auto"/>
          <w:sz w:val="24"/>
          <w:highlight w:val="none"/>
        </w:rPr>
        <w:t>为载气时）0～1250m</w:t>
      </w:r>
      <w:r>
        <w:rPr>
          <w:rFonts w:hint="eastAsia"/>
          <w:color w:val="auto"/>
          <w:sz w:val="24"/>
          <w:highlight w:val="none"/>
          <w:lang w:val="en-US" w:eastAsia="zh-CN"/>
        </w:rPr>
        <w:t>L</w:t>
      </w:r>
      <w:r>
        <w:rPr>
          <w:color w:val="auto"/>
          <w:sz w:val="24"/>
          <w:highlight w:val="none"/>
        </w:rPr>
        <w:t>/min（以H</w:t>
      </w:r>
      <w:r>
        <w:rPr>
          <w:color w:val="auto"/>
          <w:sz w:val="24"/>
          <w:highlight w:val="none"/>
          <w:vertAlign w:val="subscript"/>
        </w:rPr>
        <w:t>2</w:t>
      </w:r>
      <w:r>
        <w:rPr>
          <w:color w:val="auto"/>
          <w:sz w:val="24"/>
          <w:highlight w:val="none"/>
        </w:rPr>
        <w:t>，He为载气时）</w:t>
      </w:r>
    </w:p>
    <w:p w14:paraId="353C6619">
      <w:pPr>
        <w:tabs>
          <w:tab w:val="left" w:pos="851"/>
        </w:tabs>
        <w:spacing w:line="360" w:lineRule="auto"/>
        <w:ind w:firstLine="480" w:firstLineChars="200"/>
        <w:jc w:val="left"/>
        <w:rPr>
          <w:color w:val="auto"/>
          <w:sz w:val="24"/>
          <w:highlight w:val="none"/>
        </w:rPr>
      </w:pPr>
      <w:r>
        <w:rPr>
          <w:color w:val="auto"/>
          <w:sz w:val="24"/>
          <w:highlight w:val="none"/>
        </w:rPr>
        <w:t>2.3数字式电子气路控制保证气体流量精度。</w:t>
      </w:r>
    </w:p>
    <w:p w14:paraId="2FC30C4C">
      <w:pPr>
        <w:tabs>
          <w:tab w:val="left" w:pos="851"/>
        </w:tabs>
        <w:spacing w:line="360" w:lineRule="auto"/>
        <w:ind w:firstLine="210" w:firstLineChars="100"/>
        <w:jc w:val="left"/>
        <w:rPr>
          <w:color w:val="auto"/>
          <w:sz w:val="24"/>
          <w:highlight w:val="none"/>
        </w:rPr>
      </w:pPr>
      <w:r>
        <w:rPr>
          <w:rFonts w:ascii="Segoe UI Symbol" w:hAnsi="Segoe UI Symbol" w:cs="Segoe UI Symbol"/>
          <w:color w:val="auto"/>
          <w:kern w:val="0"/>
          <w:szCs w:val="21"/>
          <w:highlight w:val="none"/>
        </w:rPr>
        <w:t>★</w:t>
      </w:r>
      <w:r>
        <w:rPr>
          <w:color w:val="auto"/>
          <w:sz w:val="24"/>
          <w:highlight w:val="none"/>
        </w:rPr>
        <w:t>2.4分流/不分流进样口：快速扳转系统，更换衬管无需拆卸螺丝</w:t>
      </w:r>
      <w:r>
        <w:rPr>
          <w:color w:val="auto"/>
          <w:sz w:val="24"/>
          <w:highlight w:val="none"/>
          <w:u w:val="single"/>
        </w:rPr>
        <w:t>（需提供彩图说明</w:t>
      </w:r>
      <w:r>
        <w:rPr>
          <w:rFonts w:hint="eastAsia"/>
          <w:color w:val="auto"/>
          <w:sz w:val="24"/>
          <w:highlight w:val="none"/>
          <w:u w:val="single"/>
          <w:lang w:eastAsia="zh-CN"/>
        </w:rPr>
        <w:t>，</w:t>
      </w:r>
      <w:r>
        <w:rPr>
          <w:rFonts w:hint="eastAsia"/>
          <w:color w:val="auto"/>
          <w:sz w:val="24"/>
          <w:highlight w:val="none"/>
          <w:u w:val="single"/>
          <w:lang w:val="en-US" w:eastAsia="zh-CN"/>
        </w:rPr>
        <w:t>否则视为负偏离</w:t>
      </w:r>
      <w:r>
        <w:rPr>
          <w:color w:val="auto"/>
          <w:sz w:val="24"/>
          <w:highlight w:val="none"/>
          <w:u w:val="single"/>
        </w:rPr>
        <w:t>）</w:t>
      </w:r>
    </w:p>
    <w:p w14:paraId="20D97843">
      <w:pPr>
        <w:tabs>
          <w:tab w:val="left" w:pos="851"/>
        </w:tabs>
        <w:spacing w:line="360" w:lineRule="auto"/>
        <w:jc w:val="left"/>
        <w:rPr>
          <w:b/>
          <w:color w:val="auto"/>
          <w:sz w:val="24"/>
          <w:highlight w:val="none"/>
        </w:rPr>
      </w:pPr>
      <w:r>
        <w:rPr>
          <w:b/>
          <w:color w:val="auto"/>
          <w:sz w:val="24"/>
          <w:highlight w:val="none"/>
        </w:rPr>
        <w:t>3、电子气路控制</w:t>
      </w:r>
    </w:p>
    <w:p w14:paraId="267FA969">
      <w:pPr>
        <w:tabs>
          <w:tab w:val="left" w:pos="851"/>
        </w:tabs>
        <w:spacing w:line="360" w:lineRule="auto"/>
        <w:ind w:firstLine="480" w:firstLineChars="200"/>
        <w:jc w:val="left"/>
        <w:rPr>
          <w:color w:val="auto"/>
          <w:sz w:val="24"/>
          <w:highlight w:val="none"/>
        </w:rPr>
      </w:pPr>
      <w:r>
        <w:rPr>
          <w:color w:val="auto"/>
          <w:sz w:val="24"/>
          <w:highlight w:val="none"/>
        </w:rPr>
        <w:t>3.1自动海拔高度压力及室温补偿。</w:t>
      </w:r>
    </w:p>
    <w:p w14:paraId="1E91E93F">
      <w:pPr>
        <w:tabs>
          <w:tab w:val="left" w:pos="851"/>
        </w:tabs>
        <w:spacing w:line="360" w:lineRule="auto"/>
        <w:ind w:firstLine="480" w:firstLineChars="200"/>
        <w:jc w:val="left"/>
        <w:rPr>
          <w:color w:val="auto"/>
          <w:sz w:val="24"/>
          <w:highlight w:val="none"/>
        </w:rPr>
      </w:pPr>
      <w:r>
        <w:rPr>
          <w:color w:val="auto"/>
          <w:sz w:val="24"/>
          <w:highlight w:val="none"/>
        </w:rPr>
        <w:t>3.2 全电子压力/流量控制</w:t>
      </w:r>
    </w:p>
    <w:p w14:paraId="300C004D">
      <w:pPr>
        <w:tabs>
          <w:tab w:val="left" w:pos="851"/>
        </w:tabs>
        <w:spacing w:line="360" w:lineRule="auto"/>
        <w:ind w:firstLine="480" w:firstLineChars="200"/>
        <w:jc w:val="left"/>
        <w:rPr>
          <w:color w:val="auto"/>
          <w:sz w:val="24"/>
          <w:highlight w:val="none"/>
        </w:rPr>
      </w:pPr>
      <w:r>
        <w:rPr>
          <w:color w:val="auto"/>
          <w:sz w:val="24"/>
          <w:highlight w:val="none"/>
        </w:rPr>
        <w:t>3.3具有恒流，恒压，程序增加流速，程序升压及压力脉冲等操作模式的电子气路控制。</w:t>
      </w:r>
    </w:p>
    <w:p w14:paraId="6486A392">
      <w:pPr>
        <w:spacing w:line="360" w:lineRule="auto"/>
        <w:jc w:val="left"/>
        <w:rPr>
          <w:b/>
          <w:color w:val="auto"/>
          <w:sz w:val="24"/>
          <w:highlight w:val="none"/>
        </w:rPr>
      </w:pPr>
      <w:r>
        <w:rPr>
          <w:b/>
          <w:color w:val="auto"/>
          <w:sz w:val="24"/>
          <w:highlight w:val="none"/>
        </w:rPr>
        <w:t>4 、氢火焰检测器（FID带电子气路控制）</w:t>
      </w:r>
    </w:p>
    <w:p w14:paraId="09B52F90">
      <w:pPr>
        <w:spacing w:line="360" w:lineRule="auto"/>
        <w:ind w:firstLine="210" w:firstLineChars="100"/>
        <w:jc w:val="left"/>
        <w:rPr>
          <w:color w:val="auto"/>
          <w:sz w:val="24"/>
          <w:highlight w:val="none"/>
        </w:rPr>
      </w:pPr>
      <w:r>
        <w:rPr>
          <w:rFonts w:ascii="Segoe UI Symbol" w:hAnsi="Segoe UI Symbol" w:cs="Segoe UI Symbol"/>
          <w:color w:val="auto"/>
          <w:kern w:val="0"/>
          <w:szCs w:val="21"/>
          <w:highlight w:val="none"/>
        </w:rPr>
        <w:t>★</w:t>
      </w:r>
      <w:r>
        <w:rPr>
          <w:color w:val="auto"/>
          <w:sz w:val="24"/>
          <w:highlight w:val="none"/>
        </w:rPr>
        <w:t>4.1最低检测限（对十三烷）：</w:t>
      </w:r>
      <w:r>
        <w:rPr>
          <w:rFonts w:hint="eastAsia"/>
          <w:color w:val="auto"/>
          <w:sz w:val="24"/>
          <w:highlight w:val="none"/>
          <w:lang w:val="en-US" w:eastAsia="zh-CN"/>
        </w:rPr>
        <w:t>≤</w:t>
      </w:r>
      <w:r>
        <w:rPr>
          <w:color w:val="auto"/>
          <w:sz w:val="24"/>
          <w:highlight w:val="none"/>
        </w:rPr>
        <w:t>1.2pg C/s。</w:t>
      </w:r>
      <w:r>
        <w:rPr>
          <w:rFonts w:hint="eastAsia" w:ascii="宋体" w:hAnsi="宋体" w:cs="宋体"/>
          <w:bCs/>
          <w:color w:val="auto"/>
          <w:kern w:val="0"/>
          <w:sz w:val="24"/>
          <w:szCs w:val="24"/>
          <w:highlight w:val="none"/>
          <w:u w:val="single"/>
          <w:lang w:eastAsia="zh-CN"/>
        </w:rPr>
        <w:t>（</w:t>
      </w:r>
      <w:r>
        <w:rPr>
          <w:rFonts w:hint="eastAsia" w:ascii="宋体" w:hAnsi="宋体" w:eastAsia="宋体" w:cs="宋体"/>
          <w:bCs/>
          <w:color w:val="auto"/>
          <w:kern w:val="0"/>
          <w:sz w:val="24"/>
          <w:szCs w:val="24"/>
          <w:highlight w:val="none"/>
          <w:u w:val="single"/>
          <w:lang w:val="en-US" w:eastAsia="zh-CN"/>
        </w:rPr>
        <w:t>须提供产品样本资料或官网上公开的技术参数等相关证明材料证明所投产品满足技术指标要求，否则视为负偏离</w:t>
      </w:r>
      <w:r>
        <w:rPr>
          <w:rFonts w:hint="eastAsia" w:ascii="宋体" w:hAnsi="宋体" w:cs="宋体"/>
          <w:bCs/>
          <w:color w:val="auto"/>
          <w:kern w:val="0"/>
          <w:sz w:val="24"/>
          <w:szCs w:val="24"/>
          <w:highlight w:val="none"/>
          <w:u w:val="single"/>
          <w:lang w:val="en-US" w:eastAsia="zh-CN"/>
        </w:rPr>
        <w:t>）</w:t>
      </w:r>
    </w:p>
    <w:p w14:paraId="2701A902">
      <w:pPr>
        <w:spacing w:line="360" w:lineRule="auto"/>
        <w:ind w:firstLine="480" w:firstLineChars="200"/>
        <w:jc w:val="left"/>
        <w:rPr>
          <w:color w:val="auto"/>
          <w:sz w:val="24"/>
          <w:highlight w:val="none"/>
        </w:rPr>
      </w:pPr>
      <w:r>
        <w:rPr>
          <w:color w:val="auto"/>
          <w:sz w:val="24"/>
          <w:highlight w:val="none"/>
        </w:rPr>
        <w:t>4.2线性动态范围：</w:t>
      </w:r>
      <w:r>
        <w:rPr>
          <w:rFonts w:hint="eastAsia"/>
          <w:color w:val="auto"/>
          <w:sz w:val="24"/>
          <w:highlight w:val="none"/>
          <w:lang w:val="en-US" w:eastAsia="zh-CN"/>
        </w:rPr>
        <w:t>≥</w:t>
      </w:r>
      <w:r>
        <w:rPr>
          <w:color w:val="auto"/>
          <w:sz w:val="24"/>
          <w:highlight w:val="none"/>
        </w:rPr>
        <w:t>10</w:t>
      </w:r>
      <w:r>
        <w:rPr>
          <w:color w:val="auto"/>
          <w:sz w:val="24"/>
          <w:highlight w:val="none"/>
          <w:vertAlign w:val="superscript"/>
        </w:rPr>
        <w:t>7</w:t>
      </w:r>
      <w:r>
        <w:rPr>
          <w:color w:val="auto"/>
          <w:sz w:val="24"/>
          <w:highlight w:val="none"/>
        </w:rPr>
        <w:t>。能在一次进样中可以对检测器的整个浓度范围（10</w:t>
      </w:r>
      <w:r>
        <w:rPr>
          <w:color w:val="auto"/>
          <w:sz w:val="24"/>
          <w:highlight w:val="none"/>
          <w:vertAlign w:val="superscript"/>
        </w:rPr>
        <w:t>7</w:t>
      </w:r>
      <w:r>
        <w:rPr>
          <w:color w:val="auto"/>
          <w:sz w:val="24"/>
          <w:highlight w:val="none"/>
        </w:rPr>
        <w:t>）的峰实现定量分析。</w:t>
      </w:r>
    </w:p>
    <w:p w14:paraId="2C98CABE">
      <w:pPr>
        <w:spacing w:line="360" w:lineRule="auto"/>
        <w:ind w:firstLine="210" w:firstLineChars="100"/>
        <w:jc w:val="left"/>
        <w:rPr>
          <w:color w:val="auto"/>
          <w:sz w:val="24"/>
          <w:highlight w:val="none"/>
        </w:rPr>
      </w:pPr>
      <w:r>
        <w:rPr>
          <w:rFonts w:ascii="Segoe UI Symbol" w:hAnsi="Segoe UI Symbol" w:cs="Segoe UI Symbol"/>
          <w:color w:val="auto"/>
          <w:kern w:val="0"/>
          <w:szCs w:val="21"/>
          <w:highlight w:val="none"/>
        </w:rPr>
        <w:t>★</w:t>
      </w:r>
      <w:r>
        <w:rPr>
          <w:color w:val="auto"/>
          <w:sz w:val="24"/>
          <w:highlight w:val="none"/>
        </w:rPr>
        <w:t>4.3数据采集速率：</w:t>
      </w:r>
      <w:r>
        <w:rPr>
          <w:rFonts w:hint="eastAsia"/>
          <w:color w:val="auto"/>
          <w:sz w:val="24"/>
          <w:highlight w:val="none"/>
          <w:lang w:val="en-US" w:eastAsia="zh-CN"/>
        </w:rPr>
        <w:t>≥</w:t>
      </w:r>
      <w:r>
        <w:rPr>
          <w:color w:val="auto"/>
          <w:sz w:val="24"/>
          <w:highlight w:val="none"/>
        </w:rPr>
        <w:t>1000 Hz。</w:t>
      </w:r>
      <w:r>
        <w:rPr>
          <w:rFonts w:hint="eastAsia" w:ascii="宋体" w:hAnsi="宋体" w:cs="宋体"/>
          <w:bCs/>
          <w:color w:val="auto"/>
          <w:kern w:val="0"/>
          <w:sz w:val="24"/>
          <w:szCs w:val="24"/>
          <w:highlight w:val="none"/>
          <w:u w:val="single"/>
          <w:lang w:eastAsia="zh-CN"/>
        </w:rPr>
        <w:t>（</w:t>
      </w:r>
      <w:r>
        <w:rPr>
          <w:rFonts w:hint="eastAsia" w:ascii="宋体" w:hAnsi="宋体" w:eastAsia="宋体" w:cs="宋体"/>
          <w:bCs/>
          <w:color w:val="auto"/>
          <w:kern w:val="0"/>
          <w:sz w:val="24"/>
          <w:szCs w:val="24"/>
          <w:highlight w:val="none"/>
          <w:u w:val="single"/>
          <w:lang w:val="en-US" w:eastAsia="zh-CN"/>
        </w:rPr>
        <w:t>须提供产品样本资料或官网上公开的技术参数等相关证明材料证明所投产品满足技术指标要求，否则视为负偏离</w:t>
      </w:r>
      <w:r>
        <w:rPr>
          <w:rFonts w:hint="eastAsia" w:ascii="宋体" w:hAnsi="宋体" w:cs="宋体"/>
          <w:bCs/>
          <w:color w:val="auto"/>
          <w:kern w:val="0"/>
          <w:sz w:val="24"/>
          <w:szCs w:val="24"/>
          <w:highlight w:val="none"/>
          <w:u w:val="single"/>
          <w:lang w:val="en-US" w:eastAsia="zh-CN"/>
        </w:rPr>
        <w:t>）</w:t>
      </w:r>
    </w:p>
    <w:p w14:paraId="445ED6FE">
      <w:pPr>
        <w:spacing w:line="360" w:lineRule="auto"/>
        <w:ind w:firstLine="480" w:firstLineChars="200"/>
        <w:jc w:val="left"/>
        <w:rPr>
          <w:color w:val="auto"/>
          <w:sz w:val="24"/>
          <w:highlight w:val="none"/>
        </w:rPr>
      </w:pPr>
      <w:r>
        <w:rPr>
          <w:color w:val="auto"/>
          <w:sz w:val="24"/>
          <w:highlight w:val="none"/>
        </w:rPr>
        <w:t>4.</w:t>
      </w:r>
      <w:r>
        <w:rPr>
          <w:rFonts w:hint="eastAsia"/>
          <w:color w:val="auto"/>
          <w:sz w:val="24"/>
          <w:highlight w:val="none"/>
          <w:lang w:val="en-US" w:eastAsia="zh-CN"/>
        </w:rPr>
        <w:t>4</w:t>
      </w:r>
      <w:r>
        <w:rPr>
          <w:color w:val="auto"/>
          <w:sz w:val="24"/>
          <w:highlight w:val="none"/>
        </w:rPr>
        <w:t>灭火自动检测和自动再点火。</w:t>
      </w:r>
    </w:p>
    <w:p w14:paraId="4A531E3D">
      <w:pPr>
        <w:spacing w:line="360" w:lineRule="auto"/>
        <w:ind w:firstLine="480" w:firstLineChars="200"/>
        <w:jc w:val="left"/>
        <w:rPr>
          <w:color w:val="auto"/>
          <w:sz w:val="24"/>
          <w:highlight w:val="none"/>
        </w:rPr>
      </w:pPr>
      <w:r>
        <w:rPr>
          <w:color w:val="auto"/>
          <w:sz w:val="24"/>
          <w:highlight w:val="none"/>
        </w:rPr>
        <w:t>4.</w:t>
      </w:r>
      <w:r>
        <w:rPr>
          <w:rFonts w:hint="eastAsia"/>
          <w:color w:val="auto"/>
          <w:sz w:val="24"/>
          <w:highlight w:val="none"/>
          <w:lang w:val="en-US" w:eastAsia="zh-CN"/>
        </w:rPr>
        <w:t>5</w:t>
      </w:r>
      <w:r>
        <w:rPr>
          <w:color w:val="auto"/>
          <w:sz w:val="24"/>
          <w:highlight w:val="none"/>
        </w:rPr>
        <w:t>最高使用温度：425°C。</w:t>
      </w:r>
    </w:p>
    <w:p w14:paraId="43D27D1B">
      <w:pPr>
        <w:tabs>
          <w:tab w:val="left" w:pos="851"/>
        </w:tabs>
        <w:spacing w:line="360" w:lineRule="auto"/>
        <w:ind w:firstLine="480" w:firstLineChars="200"/>
        <w:jc w:val="left"/>
        <w:rPr>
          <w:color w:val="auto"/>
          <w:sz w:val="24"/>
          <w:highlight w:val="none"/>
        </w:rPr>
      </w:pPr>
      <w:r>
        <w:rPr>
          <w:color w:val="auto"/>
          <w:sz w:val="24"/>
          <w:highlight w:val="none"/>
        </w:rPr>
        <w:t>5、更换毛细管柱简单便捷，无需借助工具定位</w:t>
      </w:r>
    </w:p>
    <w:p w14:paraId="44755065">
      <w:pPr>
        <w:tabs>
          <w:tab w:val="left" w:pos="851"/>
        </w:tabs>
        <w:spacing w:line="360" w:lineRule="auto"/>
        <w:ind w:firstLine="480" w:firstLineChars="200"/>
        <w:jc w:val="left"/>
        <w:rPr>
          <w:color w:val="auto"/>
          <w:sz w:val="24"/>
          <w:highlight w:val="none"/>
        </w:rPr>
      </w:pPr>
      <w:r>
        <w:rPr>
          <w:color w:val="auto"/>
          <w:sz w:val="24"/>
          <w:highlight w:val="none"/>
        </w:rPr>
        <w:t>6、气相色谱仪主机集成彩色触摸屏界面，彩色；触摸显示屏可访问气相色谱设定值、状态信息、配置和信号图，以确认分析正按预期运行。</w:t>
      </w:r>
    </w:p>
    <w:p w14:paraId="3985D781">
      <w:pPr>
        <w:tabs>
          <w:tab w:val="left" w:pos="851"/>
        </w:tabs>
        <w:spacing w:line="360" w:lineRule="auto"/>
        <w:ind w:firstLine="480" w:firstLineChars="200"/>
        <w:jc w:val="left"/>
        <w:rPr>
          <w:color w:val="auto"/>
          <w:sz w:val="24"/>
          <w:highlight w:val="none"/>
        </w:rPr>
      </w:pPr>
      <w:r>
        <w:rPr>
          <w:color w:val="auto"/>
          <w:sz w:val="24"/>
          <w:highlight w:val="none"/>
        </w:rPr>
        <w:t>7、气相色谱系统内置智能化功能可实现远程连接，能够监控气相色谱系统、检查系统日志，并在实验室外进行方法更改。</w:t>
      </w:r>
    </w:p>
    <w:p w14:paraId="142D4DF2">
      <w:pPr>
        <w:spacing w:line="360" w:lineRule="auto"/>
        <w:jc w:val="left"/>
        <w:rPr>
          <w:b/>
          <w:color w:val="auto"/>
          <w:sz w:val="24"/>
          <w:highlight w:val="none"/>
        </w:rPr>
      </w:pPr>
      <w:r>
        <w:rPr>
          <w:b/>
          <w:color w:val="auto"/>
          <w:sz w:val="24"/>
          <w:highlight w:val="none"/>
        </w:rPr>
        <w:t>8、液体自动进样器</w:t>
      </w:r>
    </w:p>
    <w:p w14:paraId="2C87AF92">
      <w:pPr>
        <w:spacing w:line="360" w:lineRule="auto"/>
        <w:ind w:firstLine="480" w:firstLineChars="200"/>
        <w:jc w:val="left"/>
        <w:rPr>
          <w:color w:val="auto"/>
          <w:sz w:val="24"/>
          <w:highlight w:val="none"/>
        </w:rPr>
      </w:pPr>
      <w:r>
        <w:rPr>
          <w:color w:val="auto"/>
          <w:sz w:val="24"/>
          <w:highlight w:val="none"/>
        </w:rPr>
        <w:t>8.1单个进样塔位数：</w:t>
      </w:r>
      <w:r>
        <w:rPr>
          <w:rFonts w:hint="eastAsia"/>
          <w:color w:val="auto"/>
          <w:sz w:val="24"/>
          <w:highlight w:val="none"/>
          <w:lang w:val="en-US" w:eastAsia="zh-CN"/>
        </w:rPr>
        <w:t>≥</w:t>
      </w:r>
      <w:r>
        <w:rPr>
          <w:color w:val="auto"/>
          <w:sz w:val="24"/>
          <w:highlight w:val="none"/>
        </w:rPr>
        <w:t>16位</w:t>
      </w:r>
    </w:p>
    <w:p w14:paraId="0DF0156E">
      <w:pPr>
        <w:spacing w:line="360" w:lineRule="auto"/>
        <w:ind w:firstLine="480" w:firstLineChars="200"/>
        <w:jc w:val="left"/>
        <w:rPr>
          <w:color w:val="auto"/>
          <w:sz w:val="24"/>
          <w:highlight w:val="none"/>
        </w:rPr>
      </w:pPr>
      <w:r>
        <w:rPr>
          <w:color w:val="auto"/>
          <w:sz w:val="24"/>
          <w:highlight w:val="none"/>
        </w:rPr>
        <w:t>8.2样品盘位数：</w:t>
      </w:r>
      <w:r>
        <w:rPr>
          <w:rFonts w:hint="eastAsia"/>
          <w:color w:val="auto"/>
          <w:sz w:val="24"/>
          <w:highlight w:val="none"/>
          <w:lang w:val="en-US" w:eastAsia="zh-CN"/>
        </w:rPr>
        <w:t>≥</w:t>
      </w:r>
      <w:r>
        <w:rPr>
          <w:color w:val="auto"/>
          <w:sz w:val="24"/>
          <w:highlight w:val="none"/>
        </w:rPr>
        <w:t>150位</w:t>
      </w:r>
    </w:p>
    <w:p w14:paraId="490F4B34">
      <w:pPr>
        <w:spacing w:line="360" w:lineRule="auto"/>
        <w:ind w:firstLine="480" w:firstLineChars="200"/>
        <w:jc w:val="left"/>
        <w:rPr>
          <w:color w:val="auto"/>
          <w:sz w:val="24"/>
          <w:highlight w:val="none"/>
        </w:rPr>
      </w:pPr>
      <w:r>
        <w:rPr>
          <w:color w:val="auto"/>
          <w:sz w:val="24"/>
          <w:highlight w:val="none"/>
        </w:rPr>
        <w:t>8.3非内置式，液体进样量范围：通常介于0.1-50μL之间，支持250uL进样针</w:t>
      </w:r>
    </w:p>
    <w:p w14:paraId="2EC23A78">
      <w:pPr>
        <w:spacing w:line="360" w:lineRule="auto"/>
        <w:ind w:firstLine="480" w:firstLineChars="200"/>
        <w:jc w:val="left"/>
        <w:rPr>
          <w:color w:val="auto"/>
          <w:sz w:val="24"/>
          <w:highlight w:val="none"/>
        </w:rPr>
      </w:pPr>
      <w:r>
        <w:rPr>
          <w:color w:val="auto"/>
          <w:sz w:val="24"/>
          <w:highlight w:val="none"/>
        </w:rPr>
        <w:t>8.4可升级配置样品加温/降温/涡旋/条形码等样品预处理功能。</w:t>
      </w:r>
    </w:p>
    <w:p w14:paraId="5B7CB514">
      <w:pPr>
        <w:spacing w:line="360" w:lineRule="auto"/>
        <w:ind w:firstLine="480" w:firstLineChars="200"/>
        <w:jc w:val="left"/>
        <w:rPr>
          <w:color w:val="auto"/>
          <w:sz w:val="24"/>
          <w:highlight w:val="none"/>
        </w:rPr>
      </w:pPr>
      <w:r>
        <w:rPr>
          <w:color w:val="auto"/>
          <w:sz w:val="24"/>
          <w:highlight w:val="none"/>
        </w:rPr>
        <w:t>8.5交叉污染：小于十万分之一。</w:t>
      </w:r>
    </w:p>
    <w:p w14:paraId="5A31E4D4">
      <w:pPr>
        <w:tabs>
          <w:tab w:val="left" w:pos="851"/>
        </w:tabs>
        <w:spacing w:line="360" w:lineRule="auto"/>
        <w:jc w:val="left"/>
        <w:rPr>
          <w:b/>
          <w:color w:val="auto"/>
          <w:sz w:val="24"/>
          <w:highlight w:val="none"/>
        </w:rPr>
      </w:pPr>
      <w:r>
        <w:rPr>
          <w:b/>
          <w:color w:val="auto"/>
          <w:sz w:val="24"/>
          <w:highlight w:val="none"/>
        </w:rPr>
        <w:t>9、化学工作站</w:t>
      </w:r>
    </w:p>
    <w:p w14:paraId="63403F4B">
      <w:pPr>
        <w:spacing w:line="360" w:lineRule="auto"/>
        <w:ind w:firstLine="480" w:firstLineChars="200"/>
        <w:jc w:val="left"/>
        <w:rPr>
          <w:color w:val="auto"/>
          <w:sz w:val="24"/>
          <w:highlight w:val="none"/>
        </w:rPr>
      </w:pPr>
      <w:r>
        <w:rPr>
          <w:color w:val="auto"/>
          <w:sz w:val="24"/>
          <w:highlight w:val="none"/>
        </w:rPr>
        <w:t>9.1软件部分：可控制气相色谱仪所有参数和运行，可实施编辑功能，自动进行序列样品分析；实时在线显示色谱图，积分并报告出分析结果，绘制标准曲线；具有在线帮助的自学操作教程；具有自诊断程序。</w:t>
      </w:r>
    </w:p>
    <w:p w14:paraId="5C3FB36B">
      <w:pPr>
        <w:spacing w:line="360" w:lineRule="auto"/>
        <w:ind w:firstLine="480" w:firstLineChars="200"/>
        <w:jc w:val="left"/>
        <w:rPr>
          <w:color w:val="auto"/>
          <w:sz w:val="24"/>
          <w:highlight w:val="none"/>
        </w:rPr>
      </w:pPr>
      <w:r>
        <w:rPr>
          <w:color w:val="auto"/>
          <w:sz w:val="24"/>
          <w:highlight w:val="none"/>
        </w:rPr>
        <w:t xml:space="preserve">9.2保留时间锁定软件: 可进行同台仪器的不同检测器,不同柱长及多台仪器之间数据的比对和确认。 </w:t>
      </w:r>
    </w:p>
    <w:p w14:paraId="3301FA3B">
      <w:pPr>
        <w:spacing w:line="360" w:lineRule="auto"/>
        <w:ind w:firstLine="480" w:firstLineChars="200"/>
        <w:jc w:val="left"/>
        <w:rPr>
          <w:color w:val="auto"/>
          <w:sz w:val="24"/>
          <w:highlight w:val="none"/>
        </w:rPr>
      </w:pPr>
      <w:r>
        <w:rPr>
          <w:color w:val="auto"/>
          <w:sz w:val="24"/>
          <w:highlight w:val="none"/>
        </w:rPr>
        <w:t>9.3具有保留时间锁定库。</w:t>
      </w:r>
    </w:p>
    <w:p w14:paraId="56ED681D">
      <w:pPr>
        <w:spacing w:line="360" w:lineRule="auto"/>
        <w:ind w:firstLine="480" w:firstLineChars="200"/>
        <w:jc w:val="left"/>
        <w:rPr>
          <w:color w:val="auto"/>
          <w:sz w:val="24"/>
          <w:highlight w:val="none"/>
        </w:rPr>
      </w:pPr>
      <w:r>
        <w:rPr>
          <w:color w:val="auto"/>
          <w:sz w:val="24"/>
          <w:highlight w:val="none"/>
        </w:rPr>
        <w:t>9.4数据通讯：LAN网卡, 实现真正的远程诊断。</w:t>
      </w:r>
    </w:p>
    <w:p w14:paraId="4F2D8D6A">
      <w:pPr>
        <w:spacing w:line="360" w:lineRule="auto"/>
        <w:rPr>
          <w:rFonts w:hint="eastAsia" w:eastAsia="宋体"/>
          <w:color w:val="auto"/>
          <w:sz w:val="24"/>
          <w:szCs w:val="24"/>
          <w:highlight w:val="none"/>
          <w:lang w:eastAsia="zh-CN"/>
        </w:rPr>
      </w:pPr>
    </w:p>
    <w:p w14:paraId="0A5A7013">
      <w:pPr>
        <w:spacing w:line="360" w:lineRule="auto"/>
        <w:rPr>
          <w:rFonts w:hint="eastAsia" w:eastAsia="宋体"/>
          <w:b/>
          <w:bCs/>
          <w:color w:val="auto"/>
          <w:sz w:val="24"/>
          <w:szCs w:val="24"/>
          <w:highlight w:val="none"/>
          <w:lang w:eastAsia="zh-CN"/>
        </w:rPr>
      </w:pPr>
      <w:r>
        <w:rPr>
          <w:rFonts w:hint="eastAsia"/>
          <w:b/>
          <w:bCs/>
          <w:color w:val="auto"/>
          <w:sz w:val="24"/>
          <w:szCs w:val="24"/>
          <w:highlight w:val="none"/>
          <w:lang w:eastAsia="zh-CN"/>
        </w:rPr>
        <w:t>（</w:t>
      </w:r>
      <w:r>
        <w:rPr>
          <w:rFonts w:hint="eastAsia"/>
          <w:b/>
          <w:bCs/>
          <w:color w:val="auto"/>
          <w:sz w:val="24"/>
          <w:szCs w:val="24"/>
          <w:highlight w:val="none"/>
          <w:lang w:val="en-US" w:eastAsia="zh-CN"/>
        </w:rPr>
        <w:t>二</w:t>
      </w:r>
      <w:r>
        <w:rPr>
          <w:rFonts w:hint="eastAsia"/>
          <w:b/>
          <w:bCs/>
          <w:color w:val="auto"/>
          <w:sz w:val="24"/>
          <w:szCs w:val="24"/>
          <w:highlight w:val="none"/>
          <w:lang w:eastAsia="zh-CN"/>
        </w:rPr>
        <w:t>）制备液相色谱仪</w:t>
      </w:r>
    </w:p>
    <w:p w14:paraId="4AAFB771">
      <w:pPr>
        <w:spacing w:line="360" w:lineRule="auto"/>
        <w:rPr>
          <w:bCs/>
          <w:color w:val="auto"/>
          <w:sz w:val="24"/>
          <w:highlight w:val="none"/>
        </w:rPr>
      </w:pPr>
      <w:r>
        <w:rPr>
          <w:bCs/>
          <w:color w:val="auto"/>
          <w:sz w:val="24"/>
          <w:highlight w:val="none"/>
        </w:rPr>
        <w:t>1、</w:t>
      </w:r>
      <w:r>
        <w:rPr>
          <w:b/>
          <w:bCs/>
          <w:color w:val="auto"/>
          <w:sz w:val="24"/>
          <w:highlight w:val="none"/>
        </w:rPr>
        <w:t>制备二元泵</w:t>
      </w:r>
    </w:p>
    <w:p w14:paraId="6EC13E61">
      <w:pPr>
        <w:spacing w:line="360" w:lineRule="auto"/>
        <w:ind w:firstLine="480" w:firstLineChars="200"/>
        <w:rPr>
          <w:bCs/>
          <w:color w:val="auto"/>
          <w:sz w:val="24"/>
          <w:highlight w:val="none"/>
        </w:rPr>
      </w:pPr>
      <w:r>
        <w:rPr>
          <w:bCs/>
          <w:color w:val="auto"/>
          <w:sz w:val="24"/>
          <w:highlight w:val="none"/>
        </w:rPr>
        <w:t>并联双柱塞往复泵设计；用户自主溶剂压缩因子设置，保证在不同流速及不同流动相组成的最佳流速稳定性。自动柱塞清洗装置，有效防止高盐浓度流动相对柱塞的磨损，实时维护泵的使用性能。</w:t>
      </w:r>
    </w:p>
    <w:p w14:paraId="1C444CD7">
      <w:pPr>
        <w:spacing w:line="360" w:lineRule="auto"/>
        <w:ind w:firstLine="240" w:firstLineChars="100"/>
        <w:rPr>
          <w:bCs/>
          <w:color w:val="auto"/>
          <w:sz w:val="24"/>
          <w:highlight w:val="none"/>
        </w:rPr>
      </w:pPr>
      <w:r>
        <w:rPr>
          <w:rFonts w:ascii="Segoe UI Symbol" w:hAnsi="Segoe UI Symbol" w:cs="Segoe UI Symbol"/>
          <w:bCs/>
          <w:color w:val="auto"/>
          <w:sz w:val="24"/>
          <w:highlight w:val="none"/>
        </w:rPr>
        <w:t>★</w:t>
      </w:r>
      <w:r>
        <w:rPr>
          <w:bCs/>
          <w:color w:val="auto"/>
          <w:sz w:val="24"/>
          <w:highlight w:val="none"/>
        </w:rPr>
        <w:t>1.1 压力操作范围：</w:t>
      </w:r>
      <w:r>
        <w:rPr>
          <w:rFonts w:hint="eastAsia"/>
          <w:bCs/>
          <w:color w:val="auto"/>
          <w:sz w:val="24"/>
          <w:highlight w:val="none"/>
          <w:lang w:val="en-US" w:eastAsia="zh-CN"/>
        </w:rPr>
        <w:t>≥</w:t>
      </w:r>
      <w:r>
        <w:rPr>
          <w:bCs/>
          <w:color w:val="auto"/>
          <w:sz w:val="24"/>
          <w:highlight w:val="none"/>
        </w:rPr>
        <w:t>4</w:t>
      </w:r>
      <w:r>
        <w:rPr>
          <w:rFonts w:hint="eastAsia"/>
          <w:bCs/>
          <w:color w:val="auto"/>
          <w:sz w:val="24"/>
          <w:highlight w:val="none"/>
          <w:lang w:val="en-US" w:eastAsia="zh-CN"/>
        </w:rPr>
        <w:t>2</w:t>
      </w:r>
      <w:r>
        <w:rPr>
          <w:bCs/>
          <w:color w:val="auto"/>
          <w:sz w:val="24"/>
          <w:highlight w:val="none"/>
        </w:rPr>
        <w:t>0bar；</w:t>
      </w:r>
      <w:r>
        <w:rPr>
          <w:rFonts w:hint="eastAsia" w:ascii="宋体" w:hAnsi="宋体" w:cs="宋体"/>
          <w:bCs/>
          <w:color w:val="auto"/>
          <w:kern w:val="0"/>
          <w:sz w:val="24"/>
          <w:szCs w:val="24"/>
          <w:highlight w:val="none"/>
          <w:u w:val="single"/>
          <w:lang w:eastAsia="zh-CN"/>
        </w:rPr>
        <w:t>（</w:t>
      </w:r>
      <w:r>
        <w:rPr>
          <w:rFonts w:hint="eastAsia" w:ascii="宋体" w:hAnsi="宋体" w:eastAsia="宋体" w:cs="宋体"/>
          <w:bCs/>
          <w:color w:val="auto"/>
          <w:kern w:val="0"/>
          <w:sz w:val="24"/>
          <w:szCs w:val="24"/>
          <w:highlight w:val="none"/>
          <w:u w:val="single"/>
          <w:lang w:val="en-US" w:eastAsia="zh-CN"/>
        </w:rPr>
        <w:t>须提供产品样本资料或官网上公开的技术参数等相关证明材料证明所投产品满足技术指标要求，否则视为负偏离</w:t>
      </w:r>
      <w:r>
        <w:rPr>
          <w:rFonts w:hint="eastAsia" w:ascii="宋体" w:hAnsi="宋体" w:cs="宋体"/>
          <w:bCs/>
          <w:color w:val="auto"/>
          <w:kern w:val="0"/>
          <w:sz w:val="24"/>
          <w:szCs w:val="24"/>
          <w:highlight w:val="none"/>
          <w:u w:val="single"/>
          <w:lang w:val="en-US" w:eastAsia="zh-CN"/>
        </w:rPr>
        <w:t>）</w:t>
      </w:r>
    </w:p>
    <w:p w14:paraId="13152B00">
      <w:pPr>
        <w:spacing w:line="360" w:lineRule="auto"/>
        <w:ind w:firstLine="480" w:firstLineChars="200"/>
        <w:rPr>
          <w:bCs/>
          <w:color w:val="auto"/>
          <w:sz w:val="24"/>
          <w:highlight w:val="none"/>
        </w:rPr>
      </w:pPr>
      <w:r>
        <w:rPr>
          <w:bCs/>
          <w:color w:val="auto"/>
          <w:sz w:val="24"/>
          <w:highlight w:val="none"/>
        </w:rPr>
        <w:t>1.2 压缩补偿：预定义或根据流动相种类压缩；</w:t>
      </w:r>
    </w:p>
    <w:p w14:paraId="40D99EFF">
      <w:pPr>
        <w:spacing w:line="360" w:lineRule="auto"/>
        <w:ind w:firstLine="240" w:firstLineChars="100"/>
        <w:rPr>
          <w:bCs/>
          <w:color w:val="auto"/>
          <w:sz w:val="24"/>
          <w:highlight w:val="none"/>
        </w:rPr>
      </w:pPr>
      <w:r>
        <w:rPr>
          <w:rFonts w:ascii="Segoe UI Symbol" w:hAnsi="Segoe UI Symbol" w:cs="Segoe UI Symbol"/>
          <w:bCs/>
          <w:color w:val="auto"/>
          <w:sz w:val="24"/>
          <w:highlight w:val="none"/>
        </w:rPr>
        <w:t>★</w:t>
      </w:r>
      <w:r>
        <w:rPr>
          <w:bCs/>
          <w:color w:val="auto"/>
          <w:sz w:val="24"/>
          <w:highlight w:val="none"/>
        </w:rPr>
        <w:t>1.3 可设流速范围：0.01-</w:t>
      </w:r>
      <w:r>
        <w:rPr>
          <w:rFonts w:hint="eastAsia"/>
          <w:bCs/>
          <w:color w:val="auto"/>
          <w:sz w:val="24"/>
          <w:highlight w:val="none"/>
          <w:lang w:val="en-US" w:eastAsia="zh-CN"/>
        </w:rPr>
        <w:t>20</w:t>
      </w:r>
      <w:r>
        <w:rPr>
          <w:bCs/>
          <w:color w:val="auto"/>
          <w:sz w:val="24"/>
          <w:highlight w:val="none"/>
        </w:rPr>
        <w:t>0 mL/min, 0.01mL/min</w:t>
      </w:r>
      <w:r>
        <w:rPr>
          <w:rFonts w:hint="eastAsia"/>
          <w:bCs/>
          <w:color w:val="auto"/>
          <w:sz w:val="24"/>
          <w:highlight w:val="none"/>
          <w:lang w:eastAsia="zh-CN"/>
        </w:rPr>
        <w:t>；</w:t>
      </w:r>
      <w:r>
        <w:rPr>
          <w:rFonts w:hint="eastAsia" w:ascii="宋体" w:hAnsi="宋体" w:cs="宋体"/>
          <w:bCs/>
          <w:color w:val="auto"/>
          <w:kern w:val="0"/>
          <w:sz w:val="24"/>
          <w:szCs w:val="24"/>
          <w:highlight w:val="none"/>
          <w:u w:val="single"/>
          <w:lang w:eastAsia="zh-CN"/>
        </w:rPr>
        <w:t>（</w:t>
      </w:r>
      <w:r>
        <w:rPr>
          <w:rFonts w:hint="eastAsia" w:ascii="宋体" w:hAnsi="宋体" w:eastAsia="宋体" w:cs="宋体"/>
          <w:bCs/>
          <w:color w:val="auto"/>
          <w:kern w:val="0"/>
          <w:sz w:val="24"/>
          <w:szCs w:val="24"/>
          <w:highlight w:val="none"/>
          <w:u w:val="single"/>
          <w:lang w:val="en-US" w:eastAsia="zh-CN"/>
        </w:rPr>
        <w:t>须提供产品样本资料或官网上公开的技术参数等相关证明材料证明所投产品满足技术指标要求，否则视为负偏离</w:t>
      </w:r>
      <w:r>
        <w:rPr>
          <w:rFonts w:hint="eastAsia" w:ascii="宋体" w:hAnsi="宋体" w:cs="宋体"/>
          <w:bCs/>
          <w:color w:val="auto"/>
          <w:kern w:val="0"/>
          <w:sz w:val="24"/>
          <w:szCs w:val="24"/>
          <w:highlight w:val="none"/>
          <w:u w:val="single"/>
          <w:lang w:val="en-US" w:eastAsia="zh-CN"/>
        </w:rPr>
        <w:t>）</w:t>
      </w:r>
      <w:r>
        <w:rPr>
          <w:bCs/>
          <w:color w:val="auto"/>
          <w:sz w:val="24"/>
          <w:highlight w:val="none"/>
        </w:rPr>
        <w:t xml:space="preserve"> </w:t>
      </w:r>
    </w:p>
    <w:p w14:paraId="5A2B03BF">
      <w:pPr>
        <w:spacing w:line="360" w:lineRule="auto"/>
        <w:ind w:firstLine="480" w:firstLineChars="200"/>
        <w:rPr>
          <w:bCs/>
          <w:color w:val="auto"/>
          <w:sz w:val="24"/>
          <w:highlight w:val="none"/>
        </w:rPr>
      </w:pPr>
      <w:r>
        <w:rPr>
          <w:bCs/>
          <w:color w:val="auto"/>
          <w:sz w:val="24"/>
          <w:highlight w:val="none"/>
        </w:rPr>
        <w:t>1.4 梯度方式：高压梯度混合；</w:t>
      </w:r>
    </w:p>
    <w:p w14:paraId="4164CA10">
      <w:pPr>
        <w:spacing w:line="360" w:lineRule="auto"/>
        <w:ind w:firstLine="480" w:firstLineChars="200"/>
        <w:rPr>
          <w:bCs/>
          <w:color w:val="auto"/>
          <w:sz w:val="24"/>
          <w:highlight w:val="none"/>
        </w:rPr>
      </w:pPr>
      <w:r>
        <w:rPr>
          <w:bCs/>
          <w:color w:val="auto"/>
          <w:sz w:val="24"/>
          <w:highlight w:val="none"/>
        </w:rPr>
        <w:t>1.5 可设梯度范围：0-100%, 0.1%增量；</w:t>
      </w:r>
    </w:p>
    <w:p w14:paraId="07087548">
      <w:pPr>
        <w:spacing w:line="360" w:lineRule="auto"/>
        <w:ind w:firstLine="480" w:firstLineChars="200"/>
        <w:rPr>
          <w:bCs/>
          <w:color w:val="auto"/>
          <w:sz w:val="24"/>
          <w:highlight w:val="none"/>
        </w:rPr>
      </w:pPr>
      <w:r>
        <w:rPr>
          <w:bCs/>
          <w:color w:val="auto"/>
          <w:sz w:val="24"/>
          <w:highlight w:val="none"/>
        </w:rPr>
        <w:t>1.6 流速准度：</w:t>
      </w:r>
      <w:r>
        <w:rPr>
          <w:rFonts w:hint="eastAsia"/>
          <w:bCs/>
          <w:color w:val="auto"/>
          <w:sz w:val="24"/>
          <w:highlight w:val="none"/>
          <w:lang w:val="en-US" w:eastAsia="zh-CN"/>
        </w:rPr>
        <w:t>≤</w:t>
      </w:r>
      <w:r>
        <w:rPr>
          <w:bCs/>
          <w:color w:val="auto"/>
          <w:sz w:val="24"/>
          <w:highlight w:val="none"/>
        </w:rPr>
        <w:t>±1%；</w:t>
      </w:r>
    </w:p>
    <w:p w14:paraId="5C67E2B9">
      <w:pPr>
        <w:spacing w:line="360" w:lineRule="auto"/>
        <w:ind w:firstLine="480" w:firstLineChars="200"/>
        <w:rPr>
          <w:bCs/>
          <w:color w:val="auto"/>
          <w:sz w:val="24"/>
          <w:highlight w:val="none"/>
        </w:rPr>
      </w:pPr>
      <w:r>
        <w:rPr>
          <w:bCs/>
          <w:color w:val="auto"/>
          <w:sz w:val="24"/>
          <w:highlight w:val="none"/>
        </w:rPr>
        <w:t>1.7 流速精密度：</w:t>
      </w:r>
      <w:r>
        <w:rPr>
          <w:rFonts w:hint="eastAsia"/>
          <w:bCs/>
          <w:color w:val="auto"/>
          <w:sz w:val="24"/>
          <w:highlight w:val="none"/>
          <w:lang w:val="en-US" w:eastAsia="zh-CN"/>
        </w:rPr>
        <w:t>≤</w:t>
      </w:r>
      <w:r>
        <w:rPr>
          <w:bCs/>
          <w:color w:val="auto"/>
          <w:sz w:val="24"/>
          <w:highlight w:val="none"/>
        </w:rPr>
        <w:t>0.3% RSD；</w:t>
      </w:r>
    </w:p>
    <w:p w14:paraId="1DC99DD2">
      <w:pPr>
        <w:spacing w:line="360" w:lineRule="auto"/>
        <w:ind w:firstLine="480" w:firstLineChars="200"/>
        <w:rPr>
          <w:bCs/>
          <w:color w:val="auto"/>
          <w:sz w:val="24"/>
          <w:highlight w:val="none"/>
        </w:rPr>
      </w:pPr>
      <w:r>
        <w:rPr>
          <w:bCs/>
          <w:color w:val="auto"/>
          <w:sz w:val="24"/>
          <w:highlight w:val="none"/>
        </w:rPr>
        <w:t>1.8 组成精密度：</w:t>
      </w:r>
      <w:r>
        <w:rPr>
          <w:rFonts w:hint="eastAsia"/>
          <w:bCs/>
          <w:color w:val="auto"/>
          <w:sz w:val="24"/>
          <w:highlight w:val="none"/>
          <w:lang w:val="en-US" w:eastAsia="zh-CN"/>
        </w:rPr>
        <w:t>≤</w:t>
      </w:r>
      <w:r>
        <w:rPr>
          <w:bCs/>
          <w:color w:val="auto"/>
          <w:sz w:val="24"/>
          <w:highlight w:val="none"/>
        </w:rPr>
        <w:t>0.3% RSD。</w:t>
      </w:r>
    </w:p>
    <w:p w14:paraId="0D706615">
      <w:pPr>
        <w:spacing w:line="360" w:lineRule="auto"/>
        <w:rPr>
          <w:b/>
          <w:bCs/>
          <w:color w:val="auto"/>
          <w:sz w:val="24"/>
          <w:highlight w:val="none"/>
        </w:rPr>
      </w:pPr>
      <w:r>
        <w:rPr>
          <w:b/>
          <w:bCs/>
          <w:color w:val="auto"/>
          <w:sz w:val="24"/>
          <w:highlight w:val="none"/>
        </w:rPr>
        <w:t>2、自动进样/馏分收集一体模块</w:t>
      </w:r>
    </w:p>
    <w:p w14:paraId="43474A85">
      <w:pPr>
        <w:spacing w:line="360" w:lineRule="auto"/>
        <w:ind w:firstLine="480" w:firstLineChars="200"/>
        <w:rPr>
          <w:bCs/>
          <w:color w:val="auto"/>
          <w:sz w:val="24"/>
          <w:highlight w:val="none"/>
        </w:rPr>
      </w:pPr>
      <w:r>
        <w:rPr>
          <w:bCs/>
          <w:color w:val="auto"/>
          <w:sz w:val="24"/>
          <w:highlight w:val="none"/>
        </w:rPr>
        <w:t>2.1标配延迟传感器，自动测算峰检测与收集之间的时间差，准确开启收集阀门。</w:t>
      </w:r>
    </w:p>
    <w:p w14:paraId="35EFCA38">
      <w:pPr>
        <w:spacing w:line="360" w:lineRule="auto"/>
        <w:ind w:firstLine="240" w:firstLineChars="100"/>
        <w:rPr>
          <w:bCs/>
          <w:color w:val="auto"/>
          <w:sz w:val="24"/>
          <w:highlight w:val="none"/>
        </w:rPr>
      </w:pPr>
      <w:r>
        <w:rPr>
          <w:rFonts w:ascii="Segoe UI Symbol" w:hAnsi="Segoe UI Symbol" w:cs="Segoe UI Symbol"/>
          <w:bCs/>
          <w:color w:val="auto"/>
          <w:sz w:val="24"/>
          <w:highlight w:val="none"/>
        </w:rPr>
        <w:t>★</w:t>
      </w:r>
      <w:r>
        <w:rPr>
          <w:bCs/>
          <w:color w:val="auto"/>
          <w:sz w:val="24"/>
          <w:highlight w:val="none"/>
        </w:rPr>
        <w:t xml:space="preserve">2.2 馏分收集的触发模式 </w:t>
      </w:r>
      <w:r>
        <w:rPr>
          <w:rFonts w:hint="eastAsia"/>
          <w:bCs/>
          <w:color w:val="auto"/>
          <w:sz w:val="24"/>
          <w:highlight w:val="none"/>
          <w:lang w:val="en-US" w:eastAsia="zh-CN"/>
        </w:rPr>
        <w:t>≥</w:t>
      </w:r>
      <w:r>
        <w:rPr>
          <w:bCs/>
          <w:color w:val="auto"/>
          <w:sz w:val="24"/>
          <w:highlight w:val="none"/>
        </w:rPr>
        <w:t>8种(</w:t>
      </w:r>
      <w:r>
        <w:rPr>
          <w:rFonts w:hint="eastAsia"/>
          <w:bCs/>
          <w:color w:val="auto"/>
          <w:sz w:val="24"/>
          <w:highlight w:val="none"/>
          <w:lang w:val="en-US" w:eastAsia="zh-CN"/>
        </w:rPr>
        <w:t>必须包含以下模式</w:t>
      </w:r>
      <w:r>
        <w:rPr>
          <w:bCs/>
          <w:color w:val="auto"/>
          <w:sz w:val="24"/>
          <w:highlight w:val="none"/>
        </w:rPr>
        <w:t>):</w:t>
      </w:r>
      <w:r>
        <w:rPr>
          <w:rFonts w:hint="eastAsia" w:ascii="宋体" w:hAnsi="宋体" w:cs="宋体"/>
          <w:bCs/>
          <w:color w:val="auto"/>
          <w:kern w:val="0"/>
          <w:sz w:val="24"/>
          <w:szCs w:val="24"/>
          <w:highlight w:val="none"/>
          <w:u w:val="single"/>
          <w:lang w:eastAsia="zh-CN"/>
        </w:rPr>
        <w:t>（</w:t>
      </w:r>
      <w:r>
        <w:rPr>
          <w:rFonts w:hint="eastAsia" w:ascii="宋体" w:hAnsi="宋体" w:eastAsia="宋体" w:cs="宋体"/>
          <w:bCs/>
          <w:color w:val="auto"/>
          <w:kern w:val="0"/>
          <w:sz w:val="24"/>
          <w:szCs w:val="24"/>
          <w:highlight w:val="none"/>
          <w:u w:val="single"/>
          <w:lang w:val="en-US" w:eastAsia="zh-CN"/>
        </w:rPr>
        <w:t>须提供产品样本资料或官网上公开的技术参数等相关证明材料证明所投产品满足技术指标要求，否则视为负偏离</w:t>
      </w:r>
      <w:r>
        <w:rPr>
          <w:rFonts w:hint="eastAsia" w:ascii="宋体" w:hAnsi="宋体" w:cs="宋体"/>
          <w:bCs/>
          <w:color w:val="auto"/>
          <w:kern w:val="0"/>
          <w:sz w:val="24"/>
          <w:szCs w:val="24"/>
          <w:highlight w:val="none"/>
          <w:u w:val="single"/>
          <w:lang w:val="en-US" w:eastAsia="zh-CN"/>
        </w:rPr>
        <w:t>）</w:t>
      </w:r>
      <w:r>
        <w:rPr>
          <w:bCs/>
          <w:color w:val="auto"/>
          <w:sz w:val="24"/>
          <w:highlight w:val="none"/>
        </w:rPr>
        <w:t xml:space="preserve"> </w:t>
      </w:r>
    </w:p>
    <w:p w14:paraId="12F0F2F1">
      <w:pPr>
        <w:spacing w:line="360" w:lineRule="auto"/>
        <w:ind w:firstLine="720" w:firstLineChars="300"/>
        <w:rPr>
          <w:bCs/>
          <w:color w:val="auto"/>
          <w:sz w:val="24"/>
          <w:highlight w:val="none"/>
        </w:rPr>
      </w:pPr>
      <w:r>
        <w:rPr>
          <w:bCs/>
          <w:color w:val="auto"/>
          <w:sz w:val="24"/>
          <w:highlight w:val="none"/>
        </w:rPr>
        <w:t>2.2.1基于色谱峰</w:t>
      </w:r>
    </w:p>
    <w:p w14:paraId="54FF6191">
      <w:pPr>
        <w:spacing w:line="360" w:lineRule="auto"/>
        <w:ind w:firstLine="720" w:firstLineChars="300"/>
        <w:rPr>
          <w:bCs/>
          <w:color w:val="auto"/>
          <w:sz w:val="24"/>
          <w:highlight w:val="none"/>
        </w:rPr>
      </w:pPr>
      <w:r>
        <w:rPr>
          <w:bCs/>
          <w:color w:val="auto"/>
          <w:sz w:val="24"/>
          <w:highlight w:val="none"/>
        </w:rPr>
        <w:t>2.2.2基于色谱峰，收集时间片段</w:t>
      </w:r>
    </w:p>
    <w:p w14:paraId="0BE3B01D">
      <w:pPr>
        <w:spacing w:line="360" w:lineRule="auto"/>
        <w:ind w:firstLine="720" w:firstLineChars="300"/>
        <w:rPr>
          <w:bCs/>
          <w:color w:val="auto"/>
          <w:sz w:val="24"/>
          <w:highlight w:val="none"/>
        </w:rPr>
      </w:pPr>
      <w:r>
        <w:rPr>
          <w:bCs/>
          <w:color w:val="auto"/>
          <w:sz w:val="24"/>
          <w:highlight w:val="none"/>
        </w:rPr>
        <w:t>2.2.3基于色谱峰，收集体积片段</w:t>
      </w:r>
    </w:p>
    <w:p w14:paraId="16B8C2D4">
      <w:pPr>
        <w:spacing w:line="360" w:lineRule="auto"/>
        <w:ind w:firstLine="720" w:firstLineChars="300"/>
        <w:rPr>
          <w:bCs/>
          <w:color w:val="auto"/>
          <w:sz w:val="24"/>
          <w:highlight w:val="none"/>
        </w:rPr>
      </w:pPr>
      <w:r>
        <w:rPr>
          <w:bCs/>
          <w:color w:val="auto"/>
          <w:sz w:val="24"/>
          <w:highlight w:val="none"/>
        </w:rPr>
        <w:t>2.2.4基于色谱峰，使用时间片段回收</w:t>
      </w:r>
    </w:p>
    <w:p w14:paraId="3CD544BE">
      <w:pPr>
        <w:spacing w:line="360" w:lineRule="auto"/>
        <w:ind w:firstLine="720" w:firstLineChars="300"/>
        <w:rPr>
          <w:bCs/>
          <w:color w:val="auto"/>
          <w:sz w:val="24"/>
          <w:highlight w:val="none"/>
        </w:rPr>
      </w:pPr>
      <w:r>
        <w:rPr>
          <w:bCs/>
          <w:color w:val="auto"/>
          <w:sz w:val="24"/>
          <w:highlight w:val="none"/>
        </w:rPr>
        <w:t>2.2.5基于色谱峰，使用体积片段回收</w:t>
      </w:r>
    </w:p>
    <w:p w14:paraId="41AB50AF">
      <w:pPr>
        <w:spacing w:line="360" w:lineRule="auto"/>
        <w:ind w:firstLine="720" w:firstLineChars="300"/>
        <w:rPr>
          <w:bCs/>
          <w:color w:val="auto"/>
          <w:sz w:val="24"/>
          <w:highlight w:val="none"/>
        </w:rPr>
      </w:pPr>
      <w:r>
        <w:rPr>
          <w:bCs/>
          <w:color w:val="auto"/>
          <w:sz w:val="24"/>
          <w:highlight w:val="none"/>
        </w:rPr>
        <w:t>2.2.6基于时间，收集一定数量的馏分</w:t>
      </w:r>
    </w:p>
    <w:p w14:paraId="12D24476">
      <w:pPr>
        <w:spacing w:line="360" w:lineRule="auto"/>
        <w:ind w:firstLine="720" w:firstLineChars="300"/>
        <w:rPr>
          <w:bCs/>
          <w:color w:val="auto"/>
          <w:sz w:val="24"/>
          <w:highlight w:val="none"/>
        </w:rPr>
      </w:pPr>
      <w:r>
        <w:rPr>
          <w:bCs/>
          <w:color w:val="auto"/>
          <w:sz w:val="24"/>
          <w:highlight w:val="none"/>
        </w:rPr>
        <w:t>2.2.7基于时间，收集时间片段</w:t>
      </w:r>
    </w:p>
    <w:p w14:paraId="43ABD674">
      <w:pPr>
        <w:spacing w:line="360" w:lineRule="auto"/>
        <w:ind w:firstLine="720" w:firstLineChars="300"/>
        <w:rPr>
          <w:bCs/>
          <w:color w:val="auto"/>
          <w:sz w:val="24"/>
          <w:highlight w:val="none"/>
        </w:rPr>
      </w:pPr>
      <w:r>
        <w:rPr>
          <w:bCs/>
          <w:color w:val="auto"/>
          <w:sz w:val="24"/>
          <w:highlight w:val="none"/>
        </w:rPr>
        <w:t>2.2.8基于时间，收集体积片段</w:t>
      </w:r>
    </w:p>
    <w:p w14:paraId="05F102E7">
      <w:pPr>
        <w:spacing w:line="360" w:lineRule="auto"/>
        <w:ind w:firstLine="480" w:firstLineChars="200"/>
        <w:rPr>
          <w:bCs/>
          <w:color w:val="auto"/>
          <w:sz w:val="24"/>
          <w:highlight w:val="none"/>
        </w:rPr>
      </w:pPr>
      <w:r>
        <w:rPr>
          <w:bCs/>
          <w:color w:val="auto"/>
          <w:sz w:val="24"/>
          <w:highlight w:val="none"/>
        </w:rPr>
        <w:t xml:space="preserve">2.3 操作流速：1-180mL/min </w:t>
      </w:r>
    </w:p>
    <w:p w14:paraId="5B907012">
      <w:pPr>
        <w:spacing w:line="360" w:lineRule="auto"/>
        <w:ind w:firstLine="480" w:firstLineChars="200"/>
        <w:rPr>
          <w:bCs/>
          <w:color w:val="auto"/>
          <w:sz w:val="24"/>
          <w:highlight w:val="none"/>
        </w:rPr>
      </w:pPr>
      <w:r>
        <w:rPr>
          <w:bCs/>
          <w:color w:val="auto"/>
          <w:sz w:val="24"/>
          <w:highlight w:val="none"/>
        </w:rPr>
        <w:t>2.4 最少收集体积：</w:t>
      </w:r>
      <w:r>
        <w:rPr>
          <w:rFonts w:hint="eastAsia"/>
          <w:bCs/>
          <w:color w:val="auto"/>
          <w:sz w:val="24"/>
          <w:highlight w:val="none"/>
          <w:lang w:val="en-US" w:eastAsia="zh-CN"/>
        </w:rPr>
        <w:t>≤</w:t>
      </w:r>
      <w:r>
        <w:rPr>
          <w:bCs/>
          <w:color w:val="auto"/>
          <w:sz w:val="24"/>
          <w:highlight w:val="none"/>
        </w:rPr>
        <w:t>0.2mL</w:t>
      </w:r>
    </w:p>
    <w:p w14:paraId="50939990">
      <w:pPr>
        <w:spacing w:line="360" w:lineRule="auto"/>
        <w:ind w:firstLine="480" w:firstLineChars="200"/>
        <w:rPr>
          <w:bCs/>
          <w:color w:val="auto"/>
          <w:sz w:val="24"/>
          <w:highlight w:val="none"/>
        </w:rPr>
      </w:pPr>
      <w:r>
        <w:rPr>
          <w:bCs/>
          <w:color w:val="auto"/>
          <w:sz w:val="24"/>
          <w:highlight w:val="none"/>
        </w:rPr>
        <w:t>2.5 最大收集体积：</w:t>
      </w:r>
      <w:r>
        <w:rPr>
          <w:rFonts w:hint="eastAsia"/>
          <w:bCs/>
          <w:color w:val="auto"/>
          <w:sz w:val="24"/>
          <w:highlight w:val="none"/>
          <w:lang w:val="en-US" w:eastAsia="zh-CN"/>
        </w:rPr>
        <w:t>≥</w:t>
      </w:r>
      <w:r>
        <w:rPr>
          <w:bCs/>
          <w:color w:val="auto"/>
          <w:sz w:val="24"/>
          <w:highlight w:val="none"/>
        </w:rPr>
        <w:t>80mL</w:t>
      </w:r>
    </w:p>
    <w:p w14:paraId="7592AE6F">
      <w:pPr>
        <w:spacing w:line="360" w:lineRule="auto"/>
        <w:ind w:firstLine="480" w:firstLineChars="200"/>
        <w:rPr>
          <w:bCs/>
          <w:color w:val="auto"/>
          <w:sz w:val="24"/>
          <w:highlight w:val="none"/>
        </w:rPr>
      </w:pPr>
      <w:r>
        <w:rPr>
          <w:bCs/>
          <w:color w:val="auto"/>
          <w:sz w:val="24"/>
          <w:highlight w:val="none"/>
        </w:rPr>
        <w:t>2.6样品残留：</w:t>
      </w:r>
      <w:r>
        <w:rPr>
          <w:rFonts w:hint="eastAsia"/>
          <w:bCs/>
          <w:color w:val="auto"/>
          <w:sz w:val="24"/>
          <w:highlight w:val="none"/>
          <w:lang w:val="en-US" w:eastAsia="zh-CN"/>
        </w:rPr>
        <w:t>≤</w:t>
      </w:r>
      <w:r>
        <w:rPr>
          <w:bCs/>
          <w:color w:val="auto"/>
          <w:sz w:val="24"/>
          <w:highlight w:val="none"/>
        </w:rPr>
        <w:t>10ppm</w:t>
      </w:r>
    </w:p>
    <w:p w14:paraId="233A4FF1">
      <w:pPr>
        <w:spacing w:line="360" w:lineRule="auto"/>
        <w:ind w:firstLine="480" w:firstLineChars="200"/>
        <w:rPr>
          <w:bCs/>
          <w:color w:val="auto"/>
          <w:sz w:val="24"/>
          <w:highlight w:val="none"/>
        </w:rPr>
      </w:pPr>
      <w:r>
        <w:rPr>
          <w:bCs/>
          <w:color w:val="auto"/>
          <w:sz w:val="24"/>
          <w:highlight w:val="none"/>
        </w:rPr>
        <w:t>2.7最大进样体积：</w:t>
      </w:r>
      <w:r>
        <w:rPr>
          <w:rFonts w:hint="eastAsia"/>
          <w:bCs/>
          <w:color w:val="auto"/>
          <w:sz w:val="24"/>
          <w:highlight w:val="none"/>
          <w:lang w:val="en-US" w:eastAsia="zh-CN"/>
        </w:rPr>
        <w:t>≥</w:t>
      </w:r>
      <w:r>
        <w:rPr>
          <w:bCs/>
          <w:color w:val="auto"/>
          <w:sz w:val="24"/>
          <w:highlight w:val="none"/>
        </w:rPr>
        <w:t xml:space="preserve"> 60mL</w:t>
      </w:r>
    </w:p>
    <w:p w14:paraId="17050D89">
      <w:pPr>
        <w:spacing w:line="360" w:lineRule="auto"/>
        <w:ind w:firstLine="480" w:firstLineChars="200"/>
        <w:rPr>
          <w:bCs/>
          <w:color w:val="auto"/>
          <w:sz w:val="24"/>
          <w:highlight w:val="none"/>
        </w:rPr>
      </w:pPr>
      <w:r>
        <w:rPr>
          <w:bCs/>
          <w:color w:val="auto"/>
          <w:sz w:val="24"/>
          <w:highlight w:val="none"/>
        </w:rPr>
        <w:t>2.8进样循环时间：</w:t>
      </w:r>
      <w:r>
        <w:rPr>
          <w:rFonts w:hint="eastAsia"/>
          <w:bCs/>
          <w:color w:val="auto"/>
          <w:sz w:val="24"/>
          <w:highlight w:val="none"/>
          <w:lang w:val="en-US" w:eastAsia="zh-CN"/>
        </w:rPr>
        <w:t>≤</w:t>
      </w:r>
      <w:r>
        <w:rPr>
          <w:bCs/>
          <w:color w:val="auto"/>
          <w:sz w:val="24"/>
          <w:highlight w:val="none"/>
        </w:rPr>
        <w:t xml:space="preserve">28 s      </w:t>
      </w:r>
    </w:p>
    <w:p w14:paraId="5241FCCE">
      <w:pPr>
        <w:spacing w:line="360" w:lineRule="auto"/>
        <w:ind w:firstLine="480" w:firstLineChars="200"/>
        <w:rPr>
          <w:bCs/>
          <w:color w:val="auto"/>
          <w:sz w:val="24"/>
          <w:highlight w:val="none"/>
        </w:rPr>
      </w:pPr>
      <w:r>
        <w:rPr>
          <w:bCs/>
          <w:color w:val="auto"/>
          <w:sz w:val="24"/>
          <w:highlight w:val="none"/>
        </w:rPr>
        <w:t>2.9安全性能：漏液报警，故障检测并提示</w:t>
      </w:r>
    </w:p>
    <w:p w14:paraId="6F3579B8">
      <w:pPr>
        <w:spacing w:line="360" w:lineRule="auto"/>
        <w:rPr>
          <w:b/>
          <w:bCs/>
          <w:color w:val="auto"/>
          <w:sz w:val="24"/>
          <w:highlight w:val="none"/>
        </w:rPr>
      </w:pPr>
      <w:r>
        <w:rPr>
          <w:b/>
          <w:bCs/>
          <w:color w:val="auto"/>
          <w:sz w:val="24"/>
          <w:highlight w:val="none"/>
        </w:rPr>
        <w:t>3、紫外检测器</w:t>
      </w:r>
    </w:p>
    <w:p w14:paraId="37C818BC">
      <w:pPr>
        <w:spacing w:line="360" w:lineRule="auto"/>
        <w:ind w:firstLine="480" w:firstLineChars="200"/>
        <w:rPr>
          <w:bCs/>
          <w:color w:val="auto"/>
          <w:sz w:val="24"/>
          <w:highlight w:val="none"/>
        </w:rPr>
      </w:pPr>
      <w:r>
        <w:rPr>
          <w:bCs/>
          <w:color w:val="auto"/>
          <w:sz w:val="24"/>
          <w:highlight w:val="none"/>
        </w:rPr>
        <w:t>3.1光源：氘灯；</w:t>
      </w:r>
    </w:p>
    <w:p w14:paraId="41B9E780">
      <w:pPr>
        <w:spacing w:line="360" w:lineRule="auto"/>
        <w:ind w:firstLine="480" w:firstLineChars="200"/>
        <w:rPr>
          <w:bCs/>
          <w:color w:val="auto"/>
          <w:sz w:val="24"/>
          <w:highlight w:val="none"/>
        </w:rPr>
      </w:pPr>
      <w:r>
        <w:rPr>
          <w:bCs/>
          <w:color w:val="auto"/>
          <w:sz w:val="24"/>
          <w:highlight w:val="none"/>
        </w:rPr>
        <w:t xml:space="preserve">3.2波长范围：190-600nm，氘灯和内置氧化钬滤光片自动校正波长； </w:t>
      </w:r>
    </w:p>
    <w:p w14:paraId="18C5F9A1">
      <w:pPr>
        <w:spacing w:line="360" w:lineRule="auto"/>
        <w:ind w:firstLine="480" w:firstLineChars="200"/>
        <w:rPr>
          <w:bCs/>
          <w:color w:val="auto"/>
          <w:sz w:val="24"/>
          <w:highlight w:val="none"/>
        </w:rPr>
      </w:pPr>
      <w:r>
        <w:rPr>
          <w:bCs/>
          <w:color w:val="auto"/>
          <w:sz w:val="24"/>
          <w:highlight w:val="none"/>
        </w:rPr>
        <w:t xml:space="preserve">3.3 实时信号：2 个实时信号； </w:t>
      </w:r>
    </w:p>
    <w:p w14:paraId="4309D744">
      <w:pPr>
        <w:spacing w:line="360" w:lineRule="auto"/>
        <w:ind w:firstLine="240" w:firstLineChars="100"/>
        <w:rPr>
          <w:bCs/>
          <w:color w:val="auto"/>
          <w:sz w:val="24"/>
          <w:highlight w:val="none"/>
        </w:rPr>
      </w:pPr>
      <w:r>
        <w:rPr>
          <w:rFonts w:ascii="Segoe UI Symbol" w:hAnsi="Segoe UI Symbol" w:cs="Segoe UI Symbol"/>
          <w:bCs/>
          <w:color w:val="auto"/>
          <w:sz w:val="24"/>
          <w:highlight w:val="none"/>
        </w:rPr>
        <w:t>★</w:t>
      </w:r>
      <w:r>
        <w:rPr>
          <w:bCs/>
          <w:color w:val="auto"/>
          <w:sz w:val="24"/>
          <w:highlight w:val="none"/>
        </w:rPr>
        <w:t>3.4最大采集速率：</w:t>
      </w:r>
      <w:r>
        <w:rPr>
          <w:rFonts w:hint="eastAsia"/>
          <w:bCs/>
          <w:color w:val="auto"/>
          <w:sz w:val="24"/>
          <w:highlight w:val="none"/>
          <w:lang w:val="en-US" w:eastAsia="zh-CN"/>
        </w:rPr>
        <w:t>≥</w:t>
      </w:r>
      <w:r>
        <w:rPr>
          <w:bCs/>
          <w:color w:val="auto"/>
          <w:sz w:val="24"/>
          <w:highlight w:val="none"/>
        </w:rPr>
        <w:t>100 HZ；</w:t>
      </w:r>
      <w:r>
        <w:rPr>
          <w:rFonts w:hint="eastAsia" w:ascii="宋体" w:hAnsi="宋体" w:cs="宋体"/>
          <w:bCs/>
          <w:color w:val="auto"/>
          <w:kern w:val="0"/>
          <w:sz w:val="24"/>
          <w:szCs w:val="24"/>
          <w:highlight w:val="none"/>
          <w:u w:val="single"/>
          <w:lang w:eastAsia="zh-CN"/>
        </w:rPr>
        <w:t>（</w:t>
      </w:r>
      <w:r>
        <w:rPr>
          <w:rFonts w:hint="eastAsia" w:ascii="宋体" w:hAnsi="宋体" w:eastAsia="宋体" w:cs="宋体"/>
          <w:bCs/>
          <w:color w:val="auto"/>
          <w:kern w:val="0"/>
          <w:sz w:val="24"/>
          <w:szCs w:val="24"/>
          <w:highlight w:val="none"/>
          <w:u w:val="single"/>
          <w:lang w:val="en-US" w:eastAsia="zh-CN"/>
        </w:rPr>
        <w:t>须提供产品样本资料或官网上公开的技术参数等相关证明材料证明所投产品满足技术指标要求，否则视为负偏离</w:t>
      </w:r>
      <w:r>
        <w:rPr>
          <w:rFonts w:hint="eastAsia" w:ascii="宋体" w:hAnsi="宋体" w:cs="宋体"/>
          <w:bCs/>
          <w:color w:val="auto"/>
          <w:kern w:val="0"/>
          <w:sz w:val="24"/>
          <w:szCs w:val="24"/>
          <w:highlight w:val="none"/>
          <w:u w:val="single"/>
          <w:lang w:val="en-US" w:eastAsia="zh-CN"/>
        </w:rPr>
        <w:t>）</w:t>
      </w:r>
    </w:p>
    <w:p w14:paraId="1C86DDD6">
      <w:pPr>
        <w:spacing w:line="360" w:lineRule="auto"/>
        <w:ind w:firstLine="480" w:firstLineChars="200"/>
        <w:rPr>
          <w:bCs/>
          <w:color w:val="auto"/>
          <w:sz w:val="24"/>
          <w:highlight w:val="none"/>
        </w:rPr>
      </w:pPr>
      <w:r>
        <w:rPr>
          <w:bCs/>
          <w:color w:val="auto"/>
          <w:sz w:val="24"/>
          <w:highlight w:val="none"/>
        </w:rPr>
        <w:t xml:space="preserve">3.5波长准确度：±1nm，用氘灯进行自动校准； </w:t>
      </w:r>
    </w:p>
    <w:p w14:paraId="2F71F1B4">
      <w:pPr>
        <w:spacing w:line="360" w:lineRule="auto"/>
        <w:ind w:firstLine="480" w:firstLineChars="200"/>
        <w:rPr>
          <w:bCs/>
          <w:color w:val="auto"/>
          <w:sz w:val="24"/>
          <w:highlight w:val="none"/>
        </w:rPr>
      </w:pPr>
      <w:r>
        <w:rPr>
          <w:bCs/>
          <w:color w:val="auto"/>
          <w:sz w:val="24"/>
          <w:highlight w:val="none"/>
        </w:rPr>
        <w:t>3.6基线噪音：在 230 nm 处，</w:t>
      </w:r>
      <w:r>
        <w:rPr>
          <w:rFonts w:hint="eastAsia"/>
          <w:bCs/>
          <w:color w:val="auto"/>
          <w:sz w:val="24"/>
          <w:highlight w:val="none"/>
          <w:lang w:val="en-US" w:eastAsia="zh-CN"/>
        </w:rPr>
        <w:t>≤</w:t>
      </w:r>
      <w:r>
        <w:rPr>
          <w:bCs/>
          <w:color w:val="auto"/>
          <w:sz w:val="24"/>
          <w:highlight w:val="none"/>
        </w:rPr>
        <w:t xml:space="preserve"> ±0.25x10</w:t>
      </w:r>
      <w:r>
        <w:rPr>
          <w:bCs/>
          <w:color w:val="auto"/>
          <w:sz w:val="24"/>
          <w:highlight w:val="none"/>
          <w:vertAlign w:val="superscript"/>
        </w:rPr>
        <w:t>-5</w:t>
      </w:r>
      <w:r>
        <w:rPr>
          <w:bCs/>
          <w:color w:val="auto"/>
          <w:sz w:val="24"/>
          <w:highlight w:val="none"/>
        </w:rPr>
        <w:t xml:space="preserve"> AU； </w:t>
      </w:r>
    </w:p>
    <w:p w14:paraId="168BF79F">
      <w:pPr>
        <w:spacing w:line="360" w:lineRule="auto"/>
        <w:ind w:firstLine="480" w:firstLineChars="200"/>
        <w:rPr>
          <w:bCs/>
          <w:color w:val="auto"/>
          <w:sz w:val="24"/>
          <w:highlight w:val="none"/>
        </w:rPr>
      </w:pPr>
      <w:r>
        <w:rPr>
          <w:bCs/>
          <w:color w:val="auto"/>
          <w:sz w:val="24"/>
          <w:highlight w:val="none"/>
        </w:rPr>
        <w:t>3.7基线漂移：在 230 nm 处，</w:t>
      </w:r>
      <w:r>
        <w:rPr>
          <w:rFonts w:hint="eastAsia"/>
          <w:bCs/>
          <w:color w:val="auto"/>
          <w:sz w:val="24"/>
          <w:highlight w:val="none"/>
          <w:lang w:val="en-US" w:eastAsia="zh-CN"/>
        </w:rPr>
        <w:t>≤</w:t>
      </w:r>
      <w:r>
        <w:rPr>
          <w:bCs/>
          <w:color w:val="auto"/>
          <w:sz w:val="24"/>
          <w:highlight w:val="none"/>
        </w:rPr>
        <w:t xml:space="preserve"> 1x10</w:t>
      </w:r>
      <w:r>
        <w:rPr>
          <w:bCs/>
          <w:color w:val="auto"/>
          <w:sz w:val="24"/>
          <w:highlight w:val="none"/>
          <w:vertAlign w:val="superscript"/>
        </w:rPr>
        <w:t>-4</w:t>
      </w:r>
      <w:r>
        <w:rPr>
          <w:bCs/>
          <w:color w:val="auto"/>
          <w:sz w:val="24"/>
          <w:highlight w:val="none"/>
        </w:rPr>
        <w:t xml:space="preserve"> AU/小时； </w:t>
      </w:r>
    </w:p>
    <w:p w14:paraId="5D763E80">
      <w:pPr>
        <w:spacing w:line="360" w:lineRule="auto"/>
        <w:ind w:firstLine="480" w:firstLineChars="200"/>
        <w:rPr>
          <w:bCs/>
          <w:color w:val="auto"/>
          <w:sz w:val="24"/>
          <w:highlight w:val="none"/>
        </w:rPr>
      </w:pPr>
      <w:r>
        <w:rPr>
          <w:bCs/>
          <w:color w:val="auto"/>
          <w:sz w:val="24"/>
          <w:highlight w:val="none"/>
        </w:rPr>
        <w:t>3.8线性范围：</w:t>
      </w:r>
      <w:r>
        <w:rPr>
          <w:rFonts w:hint="eastAsia"/>
          <w:bCs/>
          <w:color w:val="auto"/>
          <w:sz w:val="24"/>
          <w:highlight w:val="none"/>
          <w:lang w:val="en-US" w:eastAsia="zh-CN"/>
        </w:rPr>
        <w:t>≥</w:t>
      </w:r>
      <w:r>
        <w:rPr>
          <w:bCs/>
          <w:color w:val="auto"/>
          <w:sz w:val="24"/>
          <w:highlight w:val="none"/>
        </w:rPr>
        <w:t xml:space="preserve">2.5AU； </w:t>
      </w:r>
    </w:p>
    <w:p w14:paraId="2874828A">
      <w:pPr>
        <w:spacing w:line="360" w:lineRule="auto"/>
        <w:ind w:firstLine="480" w:firstLineChars="200"/>
        <w:rPr>
          <w:bCs/>
          <w:color w:val="auto"/>
          <w:sz w:val="24"/>
          <w:highlight w:val="none"/>
        </w:rPr>
      </w:pPr>
      <w:r>
        <w:rPr>
          <w:bCs/>
          <w:color w:val="auto"/>
          <w:sz w:val="24"/>
          <w:highlight w:val="none"/>
        </w:rPr>
        <w:t>3.9检测器类型：双光束光度计</w:t>
      </w:r>
    </w:p>
    <w:p w14:paraId="62C43185">
      <w:pPr>
        <w:spacing w:line="360" w:lineRule="auto"/>
        <w:rPr>
          <w:b/>
          <w:bCs/>
          <w:color w:val="auto"/>
          <w:sz w:val="24"/>
          <w:highlight w:val="none"/>
        </w:rPr>
      </w:pPr>
      <w:r>
        <w:rPr>
          <w:b/>
          <w:bCs/>
          <w:color w:val="auto"/>
          <w:sz w:val="24"/>
          <w:highlight w:val="none"/>
        </w:rPr>
        <w:t>4、化学工作站：</w:t>
      </w:r>
    </w:p>
    <w:p w14:paraId="63657B78">
      <w:pPr>
        <w:spacing w:line="360" w:lineRule="auto"/>
        <w:ind w:firstLine="480" w:firstLineChars="200"/>
        <w:rPr>
          <w:bCs/>
          <w:color w:val="auto"/>
          <w:sz w:val="24"/>
          <w:highlight w:val="none"/>
        </w:rPr>
      </w:pPr>
      <w:r>
        <w:rPr>
          <w:bCs/>
          <w:color w:val="auto"/>
          <w:sz w:val="24"/>
          <w:highlight w:val="none"/>
        </w:rPr>
        <w:t>仪器控制色谱工作站软件；图形用户界面参数输入，控制所有仪器控制参数，数据采集及计算处理参数的设定；报告：内置多种报告格式，可自动生成系统适应性报告、峰纯度报告、光谱检索报告等；用户也可编辑个性化的报告模板。</w:t>
      </w:r>
    </w:p>
    <w:p w14:paraId="054C4CE5">
      <w:pPr>
        <w:numPr>
          <w:ilvl w:val="0"/>
          <w:numId w:val="0"/>
        </w:numPr>
        <w:spacing w:line="360" w:lineRule="auto"/>
        <w:rPr>
          <w:b/>
          <w:bCs/>
          <w:color w:val="auto"/>
          <w:sz w:val="24"/>
          <w:szCs w:val="24"/>
          <w:highlight w:val="none"/>
        </w:rPr>
      </w:pPr>
      <w:r>
        <w:rPr>
          <w:rFonts w:hint="eastAsia"/>
          <w:b/>
          <w:bCs/>
          <w:color w:val="auto"/>
          <w:sz w:val="24"/>
          <w:szCs w:val="24"/>
          <w:highlight w:val="none"/>
          <w:lang w:eastAsia="zh-CN"/>
        </w:rPr>
        <w:t>（</w:t>
      </w:r>
      <w:r>
        <w:rPr>
          <w:rFonts w:hint="eastAsia"/>
          <w:b/>
          <w:bCs/>
          <w:color w:val="auto"/>
          <w:sz w:val="24"/>
          <w:szCs w:val="24"/>
          <w:highlight w:val="none"/>
          <w:lang w:val="en-US" w:eastAsia="zh-CN"/>
        </w:rPr>
        <w:t>三</w:t>
      </w:r>
      <w:r>
        <w:rPr>
          <w:rFonts w:hint="eastAsia"/>
          <w:b/>
          <w:bCs/>
          <w:color w:val="auto"/>
          <w:sz w:val="24"/>
          <w:szCs w:val="24"/>
          <w:highlight w:val="none"/>
          <w:lang w:eastAsia="zh-CN"/>
        </w:rPr>
        <w:t>）</w:t>
      </w:r>
      <w:r>
        <w:rPr>
          <w:b/>
          <w:bCs/>
          <w:color w:val="auto"/>
          <w:sz w:val="24"/>
          <w:szCs w:val="24"/>
          <w:highlight w:val="none"/>
        </w:rPr>
        <w:t>配置清单：</w:t>
      </w:r>
    </w:p>
    <w:tbl>
      <w:tblPr>
        <w:tblStyle w:val="147"/>
        <w:tblW w:w="4995" w:type="pct"/>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autofit"/>
        <w:tblCellMar>
          <w:top w:w="0" w:type="dxa"/>
          <w:left w:w="108" w:type="dxa"/>
          <w:bottom w:w="0" w:type="dxa"/>
          <w:right w:w="108" w:type="dxa"/>
        </w:tblCellMar>
      </w:tblPr>
      <w:tblGrid>
        <w:gridCol w:w="709"/>
        <w:gridCol w:w="1884"/>
        <w:gridCol w:w="1511"/>
        <w:gridCol w:w="5457"/>
      </w:tblGrid>
      <w:tr w14:paraId="4B3D6DED">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526" w:hRule="atLeast"/>
          <w:jc w:val="center"/>
        </w:trPr>
        <w:tc>
          <w:tcPr>
            <w:tcW w:w="371" w:type="pct"/>
            <w:tcBorders>
              <w:tl2br w:val="nil"/>
              <w:tr2bl w:val="nil"/>
            </w:tcBorders>
            <w:shd w:val="clear" w:color="auto" w:fill="auto"/>
            <w:vAlign w:val="center"/>
          </w:tcPr>
          <w:p w14:paraId="52FC5C0E">
            <w:pPr>
              <w:bidi w:val="0"/>
              <w:jc w:val="center"/>
              <w:rPr>
                <w:color w:val="auto"/>
                <w:highlight w:val="none"/>
              </w:rPr>
            </w:pPr>
            <w:r>
              <w:rPr>
                <w:rFonts w:hint="eastAsia"/>
                <w:color w:val="auto"/>
                <w:highlight w:val="none"/>
              </w:rPr>
              <w:t>序号</w:t>
            </w:r>
          </w:p>
        </w:tc>
        <w:tc>
          <w:tcPr>
            <w:tcW w:w="985" w:type="pct"/>
            <w:tcBorders>
              <w:tl2br w:val="nil"/>
              <w:tr2bl w:val="nil"/>
            </w:tcBorders>
            <w:shd w:val="clear" w:color="auto" w:fill="auto"/>
            <w:vAlign w:val="center"/>
          </w:tcPr>
          <w:p w14:paraId="4C11B770">
            <w:pPr>
              <w:bidi w:val="0"/>
              <w:jc w:val="center"/>
              <w:rPr>
                <w:color w:val="auto"/>
                <w:highlight w:val="none"/>
              </w:rPr>
            </w:pPr>
            <w:r>
              <w:rPr>
                <w:rFonts w:hint="eastAsia"/>
                <w:color w:val="auto"/>
                <w:highlight w:val="none"/>
              </w:rPr>
              <w:t>名称</w:t>
            </w:r>
          </w:p>
        </w:tc>
        <w:tc>
          <w:tcPr>
            <w:tcW w:w="790" w:type="pct"/>
            <w:tcBorders>
              <w:tl2br w:val="nil"/>
              <w:tr2bl w:val="nil"/>
            </w:tcBorders>
            <w:shd w:val="clear" w:color="auto" w:fill="auto"/>
            <w:vAlign w:val="center"/>
          </w:tcPr>
          <w:p w14:paraId="3BE2F18D">
            <w:pPr>
              <w:bidi w:val="0"/>
              <w:jc w:val="center"/>
              <w:rPr>
                <w:color w:val="auto"/>
                <w:highlight w:val="none"/>
              </w:rPr>
            </w:pPr>
            <w:r>
              <w:rPr>
                <w:rFonts w:hint="eastAsia"/>
                <w:color w:val="auto"/>
                <w:highlight w:val="none"/>
              </w:rPr>
              <w:t>数量</w:t>
            </w:r>
          </w:p>
        </w:tc>
        <w:tc>
          <w:tcPr>
            <w:tcW w:w="2853" w:type="pct"/>
            <w:tcBorders>
              <w:tl2br w:val="nil"/>
              <w:tr2bl w:val="nil"/>
            </w:tcBorders>
            <w:shd w:val="clear" w:color="auto" w:fill="auto"/>
            <w:vAlign w:val="center"/>
          </w:tcPr>
          <w:p w14:paraId="054B7723">
            <w:pPr>
              <w:bidi w:val="0"/>
              <w:jc w:val="center"/>
              <w:rPr>
                <w:color w:val="auto"/>
                <w:highlight w:val="none"/>
              </w:rPr>
            </w:pPr>
            <w:r>
              <w:rPr>
                <w:rFonts w:hint="eastAsia"/>
                <w:color w:val="auto"/>
                <w:highlight w:val="none"/>
              </w:rPr>
              <w:t>备注</w:t>
            </w:r>
          </w:p>
        </w:tc>
      </w:tr>
      <w:tr w14:paraId="27F6C1B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243" w:hRule="atLeast"/>
          <w:jc w:val="center"/>
        </w:trPr>
        <w:tc>
          <w:tcPr>
            <w:tcW w:w="371" w:type="pct"/>
            <w:tcBorders>
              <w:tl2br w:val="nil"/>
              <w:tr2bl w:val="nil"/>
            </w:tcBorders>
            <w:shd w:val="clear" w:color="auto" w:fill="auto"/>
            <w:vAlign w:val="center"/>
          </w:tcPr>
          <w:p w14:paraId="29724332">
            <w:pPr>
              <w:bidi w:val="0"/>
              <w:jc w:val="center"/>
              <w:rPr>
                <w:rFonts w:hint="eastAsia" w:eastAsia="宋体"/>
                <w:color w:val="auto"/>
                <w:highlight w:val="none"/>
                <w:lang w:val="en-US" w:eastAsia="zh-CN"/>
              </w:rPr>
            </w:pPr>
            <w:r>
              <w:rPr>
                <w:rFonts w:hint="eastAsia"/>
                <w:color w:val="auto"/>
                <w:highlight w:val="none"/>
                <w:lang w:val="en-US" w:eastAsia="zh-CN"/>
              </w:rPr>
              <w:t>1</w:t>
            </w:r>
          </w:p>
        </w:tc>
        <w:tc>
          <w:tcPr>
            <w:tcW w:w="985" w:type="pct"/>
            <w:tcBorders>
              <w:tl2br w:val="nil"/>
              <w:tr2bl w:val="nil"/>
            </w:tcBorders>
            <w:shd w:val="clear" w:color="auto" w:fill="auto"/>
            <w:vAlign w:val="center"/>
          </w:tcPr>
          <w:p w14:paraId="439BFCBA">
            <w:pPr>
              <w:bidi w:val="0"/>
              <w:jc w:val="center"/>
              <w:rPr>
                <w:rFonts w:hint="eastAsia"/>
                <w:color w:val="auto"/>
                <w:highlight w:val="none"/>
              </w:rPr>
            </w:pPr>
            <w:r>
              <w:rPr>
                <w:rFonts w:hint="eastAsia"/>
                <w:color w:val="auto"/>
                <w:highlight w:val="none"/>
              </w:rPr>
              <w:t>气相色谱仪</w:t>
            </w:r>
          </w:p>
        </w:tc>
        <w:tc>
          <w:tcPr>
            <w:tcW w:w="790" w:type="pct"/>
            <w:tcBorders>
              <w:tl2br w:val="nil"/>
              <w:tr2bl w:val="nil"/>
            </w:tcBorders>
            <w:shd w:val="clear" w:color="auto" w:fill="auto"/>
            <w:vAlign w:val="center"/>
          </w:tcPr>
          <w:p w14:paraId="20210CCA">
            <w:pPr>
              <w:bidi w:val="0"/>
              <w:jc w:val="center"/>
              <w:rPr>
                <w:rFonts w:hint="default" w:eastAsia="宋体"/>
                <w:color w:val="auto"/>
                <w:highlight w:val="none"/>
                <w:lang w:val="en-US" w:eastAsia="zh-CN"/>
              </w:rPr>
            </w:pPr>
            <w:r>
              <w:rPr>
                <w:rFonts w:hint="eastAsia"/>
                <w:color w:val="auto"/>
                <w:highlight w:val="none"/>
                <w:lang w:val="en-US" w:eastAsia="zh-CN"/>
              </w:rPr>
              <w:t>1套</w:t>
            </w:r>
          </w:p>
        </w:tc>
        <w:tc>
          <w:tcPr>
            <w:tcW w:w="2853" w:type="pct"/>
            <w:tcBorders>
              <w:tl2br w:val="nil"/>
              <w:tr2bl w:val="nil"/>
            </w:tcBorders>
            <w:shd w:val="clear" w:color="auto" w:fill="auto"/>
            <w:vAlign w:val="center"/>
          </w:tcPr>
          <w:p w14:paraId="1CD08DFD">
            <w:pPr>
              <w:keepNext w:val="0"/>
              <w:keepLines w:val="0"/>
              <w:pageBreakBefore w:val="0"/>
              <w:widowControl w:val="0"/>
              <w:kinsoku/>
              <w:wordWrap/>
              <w:overflowPunct/>
              <w:topLinePunct w:val="0"/>
              <w:autoSpaceDE/>
              <w:autoSpaceDN/>
              <w:bidi w:val="0"/>
              <w:adjustRightInd/>
              <w:snapToGrid/>
              <w:spacing w:line="300" w:lineRule="auto"/>
              <w:jc w:val="both"/>
              <w:textAlignment w:val="auto"/>
              <w:rPr>
                <w:rFonts w:hint="eastAsia"/>
                <w:color w:val="auto"/>
                <w:highlight w:val="none"/>
                <w:lang w:val="en-US" w:eastAsia="zh-CN"/>
              </w:rPr>
            </w:pPr>
            <w:r>
              <w:rPr>
                <w:rFonts w:hint="eastAsia"/>
                <w:color w:val="auto"/>
                <w:highlight w:val="none"/>
                <w:lang w:val="en-US" w:eastAsia="zh-CN"/>
              </w:rPr>
              <w:t>配置要求</w:t>
            </w:r>
          </w:p>
          <w:p w14:paraId="6592B397">
            <w:pPr>
              <w:keepNext w:val="0"/>
              <w:keepLines w:val="0"/>
              <w:pageBreakBefore w:val="0"/>
              <w:widowControl w:val="0"/>
              <w:kinsoku/>
              <w:wordWrap/>
              <w:overflowPunct/>
              <w:topLinePunct w:val="0"/>
              <w:autoSpaceDE/>
              <w:autoSpaceDN/>
              <w:bidi w:val="0"/>
              <w:adjustRightInd/>
              <w:snapToGrid/>
              <w:spacing w:line="300" w:lineRule="auto"/>
              <w:jc w:val="left"/>
              <w:textAlignment w:val="auto"/>
              <w:rPr>
                <w:color w:val="auto"/>
                <w:sz w:val="21"/>
                <w:szCs w:val="21"/>
                <w:highlight w:val="none"/>
              </w:rPr>
            </w:pPr>
            <w:r>
              <w:rPr>
                <w:color w:val="auto"/>
                <w:sz w:val="21"/>
                <w:szCs w:val="21"/>
                <w:highlight w:val="none"/>
              </w:rPr>
              <w:t>1</w:t>
            </w:r>
            <w:r>
              <w:rPr>
                <w:rFonts w:hint="eastAsia"/>
                <w:color w:val="auto"/>
                <w:sz w:val="21"/>
                <w:szCs w:val="21"/>
                <w:highlight w:val="none"/>
                <w:lang w:val="en-US" w:eastAsia="zh-CN"/>
              </w:rPr>
              <w:t xml:space="preserve">.1 </w:t>
            </w:r>
            <w:r>
              <w:rPr>
                <w:color w:val="auto"/>
                <w:sz w:val="21"/>
                <w:szCs w:val="21"/>
                <w:highlight w:val="none"/>
              </w:rPr>
              <w:t>气相色谱主机1套；</w:t>
            </w:r>
          </w:p>
          <w:p w14:paraId="03876211">
            <w:pPr>
              <w:keepNext w:val="0"/>
              <w:keepLines w:val="0"/>
              <w:pageBreakBefore w:val="0"/>
              <w:widowControl w:val="0"/>
              <w:kinsoku/>
              <w:wordWrap/>
              <w:overflowPunct/>
              <w:topLinePunct w:val="0"/>
              <w:autoSpaceDE/>
              <w:autoSpaceDN/>
              <w:bidi w:val="0"/>
              <w:adjustRightInd/>
              <w:snapToGrid/>
              <w:spacing w:line="300" w:lineRule="auto"/>
              <w:jc w:val="left"/>
              <w:textAlignment w:val="auto"/>
              <w:rPr>
                <w:color w:val="auto"/>
                <w:sz w:val="21"/>
                <w:szCs w:val="21"/>
                <w:highlight w:val="none"/>
              </w:rPr>
            </w:pPr>
            <w:r>
              <w:rPr>
                <w:rFonts w:hint="eastAsia"/>
                <w:color w:val="auto"/>
                <w:sz w:val="21"/>
                <w:szCs w:val="21"/>
                <w:highlight w:val="none"/>
                <w:lang w:val="en-US" w:eastAsia="zh-CN"/>
              </w:rPr>
              <w:t xml:space="preserve">1.2 </w:t>
            </w:r>
            <w:r>
              <w:rPr>
                <w:color w:val="auto"/>
                <w:sz w:val="21"/>
                <w:szCs w:val="21"/>
                <w:highlight w:val="none"/>
              </w:rPr>
              <w:t>分流/不分流进样口1个；</w:t>
            </w:r>
          </w:p>
          <w:p w14:paraId="084BB376">
            <w:pPr>
              <w:keepNext w:val="0"/>
              <w:keepLines w:val="0"/>
              <w:pageBreakBefore w:val="0"/>
              <w:widowControl w:val="0"/>
              <w:kinsoku/>
              <w:wordWrap/>
              <w:overflowPunct/>
              <w:topLinePunct w:val="0"/>
              <w:autoSpaceDE/>
              <w:autoSpaceDN/>
              <w:bidi w:val="0"/>
              <w:adjustRightInd/>
              <w:snapToGrid/>
              <w:spacing w:line="300" w:lineRule="auto"/>
              <w:jc w:val="left"/>
              <w:textAlignment w:val="auto"/>
              <w:rPr>
                <w:color w:val="auto"/>
                <w:sz w:val="21"/>
                <w:szCs w:val="21"/>
                <w:highlight w:val="none"/>
              </w:rPr>
            </w:pPr>
            <w:r>
              <w:rPr>
                <w:rFonts w:hint="eastAsia"/>
                <w:color w:val="auto"/>
                <w:sz w:val="21"/>
                <w:szCs w:val="21"/>
                <w:highlight w:val="none"/>
                <w:lang w:val="en-US" w:eastAsia="zh-CN"/>
              </w:rPr>
              <w:t xml:space="preserve">1.3 </w:t>
            </w:r>
            <w:r>
              <w:rPr>
                <w:color w:val="auto"/>
                <w:sz w:val="21"/>
                <w:szCs w:val="21"/>
                <w:highlight w:val="none"/>
              </w:rPr>
              <w:t>FID检测器1套，</w:t>
            </w:r>
          </w:p>
          <w:p w14:paraId="42E47AA9">
            <w:pPr>
              <w:keepNext w:val="0"/>
              <w:keepLines w:val="0"/>
              <w:pageBreakBefore w:val="0"/>
              <w:widowControl w:val="0"/>
              <w:kinsoku/>
              <w:wordWrap/>
              <w:overflowPunct/>
              <w:topLinePunct w:val="0"/>
              <w:autoSpaceDE/>
              <w:autoSpaceDN/>
              <w:bidi w:val="0"/>
              <w:adjustRightInd/>
              <w:snapToGrid/>
              <w:spacing w:line="300" w:lineRule="auto"/>
              <w:jc w:val="left"/>
              <w:textAlignment w:val="auto"/>
              <w:rPr>
                <w:color w:val="auto"/>
                <w:sz w:val="21"/>
                <w:szCs w:val="21"/>
                <w:highlight w:val="none"/>
              </w:rPr>
            </w:pPr>
            <w:r>
              <w:rPr>
                <w:rFonts w:hint="eastAsia"/>
                <w:color w:val="auto"/>
                <w:sz w:val="21"/>
                <w:szCs w:val="21"/>
                <w:highlight w:val="none"/>
                <w:lang w:val="en-US" w:eastAsia="zh-CN"/>
              </w:rPr>
              <w:t xml:space="preserve">1.4 </w:t>
            </w:r>
            <w:r>
              <w:rPr>
                <w:color w:val="auto"/>
                <w:sz w:val="21"/>
                <w:szCs w:val="21"/>
                <w:highlight w:val="none"/>
              </w:rPr>
              <w:t>自动进样器1套，</w:t>
            </w:r>
          </w:p>
          <w:p w14:paraId="32763357">
            <w:pPr>
              <w:keepNext w:val="0"/>
              <w:keepLines w:val="0"/>
              <w:pageBreakBefore w:val="0"/>
              <w:widowControl w:val="0"/>
              <w:kinsoku/>
              <w:wordWrap/>
              <w:overflowPunct/>
              <w:topLinePunct w:val="0"/>
              <w:autoSpaceDE/>
              <w:autoSpaceDN/>
              <w:bidi w:val="0"/>
              <w:adjustRightInd/>
              <w:snapToGrid/>
              <w:spacing w:line="300" w:lineRule="auto"/>
              <w:jc w:val="left"/>
              <w:textAlignment w:val="auto"/>
              <w:rPr>
                <w:color w:val="auto"/>
                <w:sz w:val="21"/>
                <w:szCs w:val="21"/>
                <w:highlight w:val="none"/>
              </w:rPr>
            </w:pPr>
            <w:r>
              <w:rPr>
                <w:rFonts w:hint="eastAsia"/>
                <w:color w:val="auto"/>
                <w:sz w:val="21"/>
                <w:szCs w:val="21"/>
                <w:highlight w:val="none"/>
                <w:lang w:val="en-US" w:eastAsia="zh-CN"/>
              </w:rPr>
              <w:t xml:space="preserve">1.5 </w:t>
            </w:r>
            <w:r>
              <w:rPr>
                <w:color w:val="auto"/>
                <w:sz w:val="21"/>
                <w:szCs w:val="21"/>
                <w:highlight w:val="none"/>
              </w:rPr>
              <w:t>气相色谱仪安装工具包1包；</w:t>
            </w:r>
          </w:p>
          <w:p w14:paraId="5D900D22">
            <w:pPr>
              <w:keepNext w:val="0"/>
              <w:keepLines w:val="0"/>
              <w:pageBreakBefore w:val="0"/>
              <w:widowControl w:val="0"/>
              <w:kinsoku/>
              <w:wordWrap/>
              <w:overflowPunct/>
              <w:topLinePunct w:val="0"/>
              <w:autoSpaceDE/>
              <w:autoSpaceDN/>
              <w:bidi w:val="0"/>
              <w:adjustRightInd/>
              <w:snapToGrid/>
              <w:spacing w:line="300" w:lineRule="auto"/>
              <w:jc w:val="left"/>
              <w:textAlignment w:val="auto"/>
              <w:rPr>
                <w:color w:val="auto"/>
                <w:sz w:val="21"/>
                <w:szCs w:val="21"/>
                <w:highlight w:val="none"/>
              </w:rPr>
            </w:pPr>
            <w:r>
              <w:rPr>
                <w:rFonts w:hint="eastAsia"/>
                <w:color w:val="auto"/>
                <w:sz w:val="21"/>
                <w:szCs w:val="21"/>
                <w:highlight w:val="none"/>
                <w:lang w:val="en-US" w:eastAsia="zh-CN"/>
              </w:rPr>
              <w:t xml:space="preserve">1.6 </w:t>
            </w:r>
            <w:r>
              <w:rPr>
                <w:color w:val="auto"/>
                <w:sz w:val="21"/>
                <w:szCs w:val="21"/>
                <w:highlight w:val="none"/>
              </w:rPr>
              <w:t>配套消耗品</w:t>
            </w:r>
            <w:r>
              <w:rPr>
                <w:rFonts w:hint="eastAsia"/>
                <w:color w:val="auto"/>
                <w:sz w:val="21"/>
                <w:szCs w:val="21"/>
                <w:highlight w:val="none"/>
                <w:lang w:eastAsia="zh-CN"/>
              </w:rPr>
              <w:t>：</w:t>
            </w:r>
            <w:r>
              <w:rPr>
                <w:color w:val="auto"/>
                <w:sz w:val="21"/>
                <w:szCs w:val="21"/>
                <w:highlight w:val="none"/>
              </w:rPr>
              <w:t>毛细管柱1根，隔垫100个，衬管10个，石墨垫圈20个，通用柱螺帽4个，O形圈20个，10</w:t>
            </w:r>
            <w:r>
              <w:rPr>
                <w:rFonts w:hint="eastAsia"/>
                <w:color w:val="auto"/>
                <w:sz w:val="21"/>
                <w:szCs w:val="21"/>
                <w:highlight w:val="none"/>
              </w:rPr>
              <w:t>μL</w:t>
            </w:r>
            <w:r>
              <w:rPr>
                <w:color w:val="auto"/>
                <w:sz w:val="21"/>
                <w:szCs w:val="21"/>
                <w:highlight w:val="none"/>
              </w:rPr>
              <w:t>进样针12支</w:t>
            </w:r>
          </w:p>
          <w:p w14:paraId="064BCB77">
            <w:pPr>
              <w:keepNext w:val="0"/>
              <w:keepLines w:val="0"/>
              <w:pageBreakBefore w:val="0"/>
              <w:widowControl w:val="0"/>
              <w:kinsoku/>
              <w:wordWrap/>
              <w:overflowPunct/>
              <w:topLinePunct w:val="0"/>
              <w:autoSpaceDE/>
              <w:autoSpaceDN/>
              <w:bidi w:val="0"/>
              <w:adjustRightInd/>
              <w:snapToGrid/>
              <w:spacing w:line="300" w:lineRule="auto"/>
              <w:jc w:val="left"/>
              <w:textAlignment w:val="auto"/>
              <w:rPr>
                <w:color w:val="auto"/>
                <w:sz w:val="21"/>
                <w:szCs w:val="21"/>
                <w:highlight w:val="none"/>
              </w:rPr>
            </w:pPr>
            <w:r>
              <w:rPr>
                <w:rFonts w:hint="eastAsia"/>
                <w:color w:val="auto"/>
                <w:sz w:val="21"/>
                <w:szCs w:val="21"/>
                <w:highlight w:val="none"/>
                <w:lang w:val="en-US" w:eastAsia="zh-CN"/>
              </w:rPr>
              <w:t xml:space="preserve">1.7 </w:t>
            </w:r>
            <w:r>
              <w:rPr>
                <w:color w:val="auto"/>
                <w:sz w:val="21"/>
                <w:szCs w:val="21"/>
                <w:highlight w:val="none"/>
              </w:rPr>
              <w:t>气相色谱控制软件1套；</w:t>
            </w:r>
          </w:p>
          <w:p w14:paraId="3220D834">
            <w:pPr>
              <w:keepNext w:val="0"/>
              <w:keepLines w:val="0"/>
              <w:pageBreakBefore w:val="0"/>
              <w:widowControl w:val="0"/>
              <w:kinsoku/>
              <w:wordWrap/>
              <w:overflowPunct/>
              <w:topLinePunct w:val="0"/>
              <w:autoSpaceDE/>
              <w:autoSpaceDN/>
              <w:bidi w:val="0"/>
              <w:adjustRightInd/>
              <w:snapToGrid/>
              <w:spacing w:line="300" w:lineRule="auto"/>
              <w:jc w:val="both"/>
              <w:textAlignment w:val="auto"/>
              <w:rPr>
                <w:rFonts w:hint="default" w:eastAsia="宋体"/>
                <w:color w:val="auto"/>
                <w:highlight w:val="none"/>
                <w:lang w:val="en-US" w:eastAsia="zh-CN"/>
              </w:rPr>
            </w:pPr>
            <w:r>
              <w:rPr>
                <w:rFonts w:hint="eastAsia"/>
                <w:color w:val="auto"/>
                <w:sz w:val="21"/>
                <w:szCs w:val="21"/>
                <w:highlight w:val="none"/>
                <w:lang w:val="en-US" w:eastAsia="zh-CN"/>
              </w:rPr>
              <w:t xml:space="preserve">1.8 </w:t>
            </w:r>
            <w:r>
              <w:rPr>
                <w:color w:val="auto"/>
                <w:sz w:val="21"/>
                <w:szCs w:val="21"/>
                <w:highlight w:val="none"/>
              </w:rPr>
              <w:t>仪器控制</w:t>
            </w:r>
            <w:r>
              <w:rPr>
                <w:rFonts w:hint="eastAsia"/>
                <w:color w:val="auto"/>
                <w:sz w:val="21"/>
                <w:szCs w:val="21"/>
                <w:highlight w:val="none"/>
                <w:lang w:val="en-US" w:eastAsia="zh-CN"/>
              </w:rPr>
              <w:t>工作站</w:t>
            </w:r>
            <w:r>
              <w:rPr>
                <w:color w:val="auto"/>
                <w:sz w:val="21"/>
                <w:szCs w:val="21"/>
                <w:highlight w:val="none"/>
              </w:rPr>
              <w:t>1套(</w:t>
            </w:r>
            <w:r>
              <w:rPr>
                <w:rFonts w:hint="eastAsia"/>
                <w:color w:val="auto"/>
                <w:sz w:val="21"/>
                <w:szCs w:val="21"/>
                <w:highlight w:val="none"/>
                <w:lang w:val="en-US" w:eastAsia="zh-CN"/>
              </w:rPr>
              <w:t>配置不低于</w:t>
            </w:r>
            <w:r>
              <w:rPr>
                <w:color w:val="auto"/>
                <w:sz w:val="21"/>
                <w:szCs w:val="21"/>
                <w:highlight w:val="none"/>
              </w:rPr>
              <w:t>i7-10700/16G/512G SSD/LCD显示器&gt;22.0英寸，正版Win10系统)。</w:t>
            </w:r>
          </w:p>
        </w:tc>
      </w:tr>
      <w:tr w14:paraId="13C6F4F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874" w:hRule="atLeast"/>
          <w:jc w:val="center"/>
        </w:trPr>
        <w:tc>
          <w:tcPr>
            <w:tcW w:w="371" w:type="pct"/>
            <w:tcBorders>
              <w:tl2br w:val="nil"/>
              <w:tr2bl w:val="nil"/>
            </w:tcBorders>
            <w:shd w:val="clear" w:color="auto" w:fill="auto"/>
            <w:vAlign w:val="center"/>
          </w:tcPr>
          <w:p w14:paraId="556788F7">
            <w:pPr>
              <w:bidi w:val="0"/>
              <w:jc w:val="center"/>
              <w:rPr>
                <w:rFonts w:hint="default"/>
                <w:color w:val="auto"/>
                <w:highlight w:val="none"/>
                <w:lang w:val="en-US" w:eastAsia="zh-CN"/>
              </w:rPr>
            </w:pPr>
            <w:r>
              <w:rPr>
                <w:rFonts w:hint="eastAsia"/>
                <w:color w:val="auto"/>
                <w:highlight w:val="none"/>
                <w:lang w:val="en-US" w:eastAsia="zh-CN"/>
              </w:rPr>
              <w:t>2</w:t>
            </w:r>
          </w:p>
        </w:tc>
        <w:tc>
          <w:tcPr>
            <w:tcW w:w="985" w:type="pct"/>
            <w:tcBorders>
              <w:tl2br w:val="nil"/>
              <w:tr2bl w:val="nil"/>
            </w:tcBorders>
            <w:shd w:val="clear" w:color="auto" w:fill="auto"/>
            <w:vAlign w:val="center"/>
          </w:tcPr>
          <w:p w14:paraId="38721480">
            <w:pPr>
              <w:bidi w:val="0"/>
              <w:jc w:val="center"/>
              <w:rPr>
                <w:rFonts w:hint="eastAsia"/>
                <w:color w:val="auto"/>
                <w:highlight w:val="none"/>
              </w:rPr>
            </w:pPr>
            <w:r>
              <w:rPr>
                <w:rFonts w:hint="eastAsia"/>
                <w:color w:val="auto"/>
                <w:highlight w:val="none"/>
              </w:rPr>
              <w:t>制备液相色谱仪</w:t>
            </w:r>
          </w:p>
        </w:tc>
        <w:tc>
          <w:tcPr>
            <w:tcW w:w="790" w:type="pct"/>
            <w:tcBorders>
              <w:tl2br w:val="nil"/>
              <w:tr2bl w:val="nil"/>
            </w:tcBorders>
            <w:shd w:val="clear" w:color="auto" w:fill="auto"/>
            <w:vAlign w:val="center"/>
          </w:tcPr>
          <w:p w14:paraId="7B50A161">
            <w:pPr>
              <w:bidi w:val="0"/>
              <w:jc w:val="center"/>
              <w:rPr>
                <w:rFonts w:hint="eastAsia"/>
                <w:color w:val="auto"/>
                <w:highlight w:val="none"/>
                <w:lang w:val="en-US" w:eastAsia="zh-CN"/>
              </w:rPr>
            </w:pPr>
            <w:r>
              <w:rPr>
                <w:rFonts w:hint="eastAsia"/>
                <w:color w:val="auto"/>
                <w:highlight w:val="none"/>
                <w:lang w:val="en-US" w:eastAsia="zh-CN"/>
              </w:rPr>
              <w:t>1套</w:t>
            </w:r>
          </w:p>
        </w:tc>
        <w:tc>
          <w:tcPr>
            <w:tcW w:w="2853" w:type="pct"/>
            <w:tcBorders>
              <w:tl2br w:val="nil"/>
              <w:tr2bl w:val="nil"/>
            </w:tcBorders>
            <w:shd w:val="clear" w:color="auto" w:fill="auto"/>
            <w:vAlign w:val="center"/>
          </w:tcPr>
          <w:p w14:paraId="328FCE9C">
            <w:pPr>
              <w:keepNext w:val="0"/>
              <w:keepLines w:val="0"/>
              <w:pageBreakBefore w:val="0"/>
              <w:widowControl w:val="0"/>
              <w:kinsoku/>
              <w:wordWrap/>
              <w:overflowPunct/>
              <w:topLinePunct w:val="0"/>
              <w:autoSpaceDE/>
              <w:autoSpaceDN/>
              <w:bidi w:val="0"/>
              <w:adjustRightInd/>
              <w:snapToGrid/>
              <w:spacing w:line="300" w:lineRule="auto"/>
              <w:jc w:val="both"/>
              <w:textAlignment w:val="auto"/>
              <w:rPr>
                <w:rFonts w:hint="eastAsia"/>
                <w:color w:val="auto"/>
                <w:sz w:val="21"/>
                <w:szCs w:val="21"/>
                <w:highlight w:val="none"/>
                <w:lang w:val="en-US" w:eastAsia="zh-CN"/>
              </w:rPr>
            </w:pPr>
            <w:r>
              <w:rPr>
                <w:rFonts w:hint="eastAsia"/>
                <w:color w:val="auto"/>
                <w:sz w:val="21"/>
                <w:szCs w:val="21"/>
                <w:highlight w:val="none"/>
                <w:lang w:val="en-US" w:eastAsia="zh-CN"/>
              </w:rPr>
              <w:t>配置要求</w:t>
            </w:r>
          </w:p>
          <w:p w14:paraId="20188DF9">
            <w:pPr>
              <w:keepNext w:val="0"/>
              <w:keepLines w:val="0"/>
              <w:pageBreakBefore w:val="0"/>
              <w:widowControl w:val="0"/>
              <w:kinsoku/>
              <w:wordWrap/>
              <w:overflowPunct/>
              <w:topLinePunct w:val="0"/>
              <w:autoSpaceDE/>
              <w:autoSpaceDN/>
              <w:bidi w:val="0"/>
              <w:adjustRightInd/>
              <w:snapToGrid/>
              <w:spacing w:line="300" w:lineRule="auto"/>
              <w:textAlignment w:val="auto"/>
              <w:rPr>
                <w:color w:val="auto"/>
                <w:sz w:val="21"/>
                <w:szCs w:val="21"/>
                <w:highlight w:val="none"/>
              </w:rPr>
            </w:pPr>
            <w:r>
              <w:rPr>
                <w:rFonts w:hint="eastAsia"/>
                <w:color w:val="auto"/>
                <w:sz w:val="21"/>
                <w:szCs w:val="21"/>
                <w:highlight w:val="none"/>
                <w:lang w:val="en-US" w:eastAsia="zh-CN"/>
              </w:rPr>
              <w:t xml:space="preserve">2.1 </w:t>
            </w:r>
            <w:r>
              <w:rPr>
                <w:color w:val="auto"/>
                <w:sz w:val="21"/>
                <w:szCs w:val="21"/>
                <w:highlight w:val="none"/>
              </w:rPr>
              <w:t>制备二元泵 1套；</w:t>
            </w:r>
          </w:p>
          <w:p w14:paraId="03D20D86">
            <w:pPr>
              <w:keepNext w:val="0"/>
              <w:keepLines w:val="0"/>
              <w:pageBreakBefore w:val="0"/>
              <w:widowControl w:val="0"/>
              <w:kinsoku/>
              <w:wordWrap/>
              <w:overflowPunct/>
              <w:topLinePunct w:val="0"/>
              <w:autoSpaceDE/>
              <w:autoSpaceDN/>
              <w:bidi w:val="0"/>
              <w:adjustRightInd/>
              <w:snapToGrid/>
              <w:spacing w:line="300" w:lineRule="auto"/>
              <w:textAlignment w:val="auto"/>
              <w:rPr>
                <w:color w:val="auto"/>
                <w:sz w:val="21"/>
                <w:szCs w:val="21"/>
                <w:highlight w:val="none"/>
              </w:rPr>
            </w:pPr>
            <w:r>
              <w:rPr>
                <w:rFonts w:hint="eastAsia"/>
                <w:color w:val="auto"/>
                <w:sz w:val="21"/>
                <w:szCs w:val="21"/>
                <w:highlight w:val="none"/>
                <w:lang w:val="en-US" w:eastAsia="zh-CN"/>
              </w:rPr>
              <w:t xml:space="preserve">2.2 </w:t>
            </w:r>
            <w:r>
              <w:rPr>
                <w:color w:val="auto"/>
                <w:sz w:val="21"/>
                <w:szCs w:val="21"/>
                <w:highlight w:val="none"/>
              </w:rPr>
              <w:t>自动进样/馏分收集一体模块 1套</w:t>
            </w:r>
          </w:p>
          <w:p w14:paraId="77BD4FD4">
            <w:pPr>
              <w:keepNext w:val="0"/>
              <w:keepLines w:val="0"/>
              <w:pageBreakBefore w:val="0"/>
              <w:widowControl w:val="0"/>
              <w:kinsoku/>
              <w:wordWrap/>
              <w:overflowPunct/>
              <w:topLinePunct w:val="0"/>
              <w:autoSpaceDE/>
              <w:autoSpaceDN/>
              <w:bidi w:val="0"/>
              <w:adjustRightInd/>
              <w:snapToGrid/>
              <w:spacing w:line="300" w:lineRule="auto"/>
              <w:textAlignment w:val="auto"/>
              <w:rPr>
                <w:color w:val="auto"/>
                <w:sz w:val="21"/>
                <w:szCs w:val="21"/>
                <w:highlight w:val="none"/>
              </w:rPr>
            </w:pPr>
            <w:r>
              <w:rPr>
                <w:rFonts w:hint="eastAsia"/>
                <w:color w:val="auto"/>
                <w:sz w:val="21"/>
                <w:szCs w:val="21"/>
                <w:highlight w:val="none"/>
                <w:lang w:val="en-US" w:eastAsia="zh-CN"/>
              </w:rPr>
              <w:t xml:space="preserve">2.3 </w:t>
            </w:r>
            <w:r>
              <w:rPr>
                <w:color w:val="auto"/>
                <w:sz w:val="21"/>
                <w:szCs w:val="21"/>
                <w:highlight w:val="none"/>
              </w:rPr>
              <w:t>柱架 1套；</w:t>
            </w:r>
          </w:p>
          <w:p w14:paraId="406ACEFD">
            <w:pPr>
              <w:keepNext w:val="0"/>
              <w:keepLines w:val="0"/>
              <w:pageBreakBefore w:val="0"/>
              <w:widowControl w:val="0"/>
              <w:kinsoku/>
              <w:wordWrap/>
              <w:overflowPunct/>
              <w:topLinePunct w:val="0"/>
              <w:autoSpaceDE/>
              <w:autoSpaceDN/>
              <w:bidi w:val="0"/>
              <w:adjustRightInd/>
              <w:snapToGrid/>
              <w:spacing w:line="300" w:lineRule="auto"/>
              <w:textAlignment w:val="auto"/>
              <w:rPr>
                <w:color w:val="auto"/>
                <w:sz w:val="21"/>
                <w:szCs w:val="21"/>
                <w:highlight w:val="none"/>
              </w:rPr>
            </w:pPr>
            <w:r>
              <w:rPr>
                <w:rFonts w:hint="eastAsia"/>
                <w:color w:val="auto"/>
                <w:sz w:val="21"/>
                <w:szCs w:val="21"/>
                <w:highlight w:val="none"/>
                <w:lang w:val="en-US" w:eastAsia="zh-CN"/>
              </w:rPr>
              <w:t xml:space="preserve">2.4 </w:t>
            </w:r>
            <w:r>
              <w:rPr>
                <w:color w:val="auto"/>
                <w:sz w:val="21"/>
                <w:szCs w:val="21"/>
                <w:highlight w:val="none"/>
              </w:rPr>
              <w:t>紫外检测器1台；</w:t>
            </w:r>
          </w:p>
          <w:p w14:paraId="74E64C46">
            <w:pPr>
              <w:keepNext w:val="0"/>
              <w:keepLines w:val="0"/>
              <w:pageBreakBefore w:val="0"/>
              <w:widowControl w:val="0"/>
              <w:kinsoku/>
              <w:wordWrap/>
              <w:overflowPunct/>
              <w:topLinePunct w:val="0"/>
              <w:autoSpaceDE/>
              <w:autoSpaceDN/>
              <w:bidi w:val="0"/>
              <w:adjustRightInd/>
              <w:snapToGrid/>
              <w:spacing w:line="300" w:lineRule="auto"/>
              <w:textAlignment w:val="auto"/>
              <w:rPr>
                <w:color w:val="auto"/>
                <w:sz w:val="21"/>
                <w:szCs w:val="21"/>
                <w:highlight w:val="none"/>
              </w:rPr>
            </w:pPr>
            <w:r>
              <w:rPr>
                <w:rFonts w:hint="eastAsia"/>
                <w:color w:val="auto"/>
                <w:sz w:val="21"/>
                <w:szCs w:val="21"/>
                <w:highlight w:val="none"/>
                <w:lang w:val="en-US" w:eastAsia="zh-CN"/>
              </w:rPr>
              <w:t xml:space="preserve">2.5 </w:t>
            </w:r>
            <w:r>
              <w:rPr>
                <w:color w:val="auto"/>
                <w:sz w:val="21"/>
                <w:szCs w:val="21"/>
                <w:highlight w:val="none"/>
              </w:rPr>
              <w:t>试管架 1套；</w:t>
            </w:r>
          </w:p>
          <w:p w14:paraId="1C70096F">
            <w:pPr>
              <w:keepNext w:val="0"/>
              <w:keepLines w:val="0"/>
              <w:pageBreakBefore w:val="0"/>
              <w:widowControl w:val="0"/>
              <w:kinsoku/>
              <w:wordWrap/>
              <w:overflowPunct/>
              <w:topLinePunct w:val="0"/>
              <w:autoSpaceDE/>
              <w:autoSpaceDN/>
              <w:bidi w:val="0"/>
              <w:adjustRightInd/>
              <w:snapToGrid/>
              <w:spacing w:line="300" w:lineRule="auto"/>
              <w:textAlignment w:val="auto"/>
              <w:rPr>
                <w:color w:val="auto"/>
                <w:sz w:val="21"/>
                <w:szCs w:val="21"/>
                <w:highlight w:val="none"/>
              </w:rPr>
            </w:pPr>
            <w:r>
              <w:rPr>
                <w:rFonts w:hint="eastAsia"/>
                <w:color w:val="auto"/>
                <w:sz w:val="21"/>
                <w:szCs w:val="21"/>
                <w:highlight w:val="none"/>
                <w:lang w:val="en-US" w:eastAsia="zh-CN"/>
              </w:rPr>
              <w:t xml:space="preserve">2.6 </w:t>
            </w:r>
            <w:r>
              <w:rPr>
                <w:color w:val="auto"/>
                <w:sz w:val="21"/>
                <w:szCs w:val="21"/>
                <w:highlight w:val="none"/>
              </w:rPr>
              <w:t>试管 1套；</w:t>
            </w:r>
          </w:p>
          <w:p w14:paraId="2F6E2A50">
            <w:pPr>
              <w:keepNext w:val="0"/>
              <w:keepLines w:val="0"/>
              <w:pageBreakBefore w:val="0"/>
              <w:widowControl w:val="0"/>
              <w:kinsoku/>
              <w:wordWrap/>
              <w:overflowPunct/>
              <w:topLinePunct w:val="0"/>
              <w:autoSpaceDE/>
              <w:autoSpaceDN/>
              <w:bidi w:val="0"/>
              <w:adjustRightInd/>
              <w:snapToGrid/>
              <w:spacing w:line="300" w:lineRule="auto"/>
              <w:textAlignment w:val="auto"/>
              <w:rPr>
                <w:color w:val="auto"/>
                <w:sz w:val="21"/>
                <w:szCs w:val="21"/>
                <w:highlight w:val="none"/>
              </w:rPr>
            </w:pPr>
            <w:r>
              <w:rPr>
                <w:rFonts w:hint="eastAsia"/>
                <w:color w:val="auto"/>
                <w:sz w:val="21"/>
                <w:szCs w:val="21"/>
                <w:highlight w:val="none"/>
                <w:lang w:val="en-US" w:eastAsia="zh-CN"/>
              </w:rPr>
              <w:t xml:space="preserve">2.7 </w:t>
            </w:r>
            <w:r>
              <w:rPr>
                <w:color w:val="auto"/>
                <w:sz w:val="21"/>
                <w:szCs w:val="21"/>
                <w:highlight w:val="none"/>
              </w:rPr>
              <w:t>泄压阀 1个</w:t>
            </w:r>
          </w:p>
          <w:p w14:paraId="5A36747A">
            <w:pPr>
              <w:keepNext w:val="0"/>
              <w:keepLines w:val="0"/>
              <w:pageBreakBefore w:val="0"/>
              <w:widowControl w:val="0"/>
              <w:kinsoku/>
              <w:wordWrap/>
              <w:overflowPunct/>
              <w:topLinePunct w:val="0"/>
              <w:autoSpaceDE/>
              <w:autoSpaceDN/>
              <w:bidi w:val="0"/>
              <w:adjustRightInd/>
              <w:snapToGrid/>
              <w:spacing w:line="300" w:lineRule="auto"/>
              <w:textAlignment w:val="auto"/>
              <w:rPr>
                <w:color w:val="auto"/>
                <w:sz w:val="21"/>
                <w:szCs w:val="21"/>
                <w:highlight w:val="none"/>
              </w:rPr>
            </w:pPr>
            <w:r>
              <w:rPr>
                <w:rFonts w:hint="eastAsia"/>
                <w:color w:val="auto"/>
                <w:sz w:val="21"/>
                <w:szCs w:val="21"/>
                <w:highlight w:val="none"/>
                <w:lang w:val="en-US" w:eastAsia="zh-CN"/>
              </w:rPr>
              <w:t xml:space="preserve">2.8 </w:t>
            </w:r>
            <w:r>
              <w:rPr>
                <w:color w:val="auto"/>
                <w:sz w:val="21"/>
                <w:szCs w:val="21"/>
                <w:highlight w:val="none"/>
              </w:rPr>
              <w:t>延迟体积校准标样 1套</w:t>
            </w:r>
          </w:p>
          <w:p w14:paraId="4FF0461F">
            <w:pPr>
              <w:keepNext w:val="0"/>
              <w:keepLines w:val="0"/>
              <w:pageBreakBefore w:val="0"/>
              <w:widowControl w:val="0"/>
              <w:kinsoku/>
              <w:wordWrap/>
              <w:overflowPunct/>
              <w:topLinePunct w:val="0"/>
              <w:autoSpaceDE/>
              <w:autoSpaceDN/>
              <w:bidi w:val="0"/>
              <w:adjustRightInd/>
              <w:snapToGrid/>
              <w:spacing w:line="300" w:lineRule="auto"/>
              <w:textAlignment w:val="auto"/>
              <w:rPr>
                <w:color w:val="auto"/>
                <w:sz w:val="21"/>
                <w:szCs w:val="21"/>
                <w:highlight w:val="none"/>
              </w:rPr>
            </w:pPr>
            <w:r>
              <w:rPr>
                <w:rFonts w:hint="eastAsia"/>
                <w:color w:val="auto"/>
                <w:sz w:val="21"/>
                <w:szCs w:val="21"/>
                <w:highlight w:val="none"/>
                <w:lang w:val="en-US" w:eastAsia="zh-CN"/>
              </w:rPr>
              <w:t xml:space="preserve">2.9 </w:t>
            </w:r>
            <w:r>
              <w:rPr>
                <w:color w:val="auto"/>
                <w:sz w:val="21"/>
                <w:szCs w:val="21"/>
                <w:highlight w:val="none"/>
              </w:rPr>
              <w:t>制备色谱柱及配置保护柱（250 mm长，50 mm和30 mm内径） 2根</w:t>
            </w:r>
          </w:p>
          <w:p w14:paraId="45B48C8D">
            <w:pPr>
              <w:keepNext w:val="0"/>
              <w:keepLines w:val="0"/>
              <w:pageBreakBefore w:val="0"/>
              <w:widowControl w:val="0"/>
              <w:kinsoku/>
              <w:wordWrap/>
              <w:overflowPunct/>
              <w:topLinePunct w:val="0"/>
              <w:autoSpaceDE/>
              <w:autoSpaceDN/>
              <w:bidi w:val="0"/>
              <w:adjustRightInd/>
              <w:snapToGrid/>
              <w:spacing w:line="300" w:lineRule="auto"/>
              <w:jc w:val="both"/>
              <w:textAlignment w:val="auto"/>
              <w:rPr>
                <w:rFonts w:hint="default"/>
                <w:color w:val="auto"/>
                <w:sz w:val="21"/>
                <w:szCs w:val="21"/>
                <w:highlight w:val="none"/>
                <w:lang w:val="en-US" w:eastAsia="zh-CN"/>
              </w:rPr>
            </w:pPr>
            <w:r>
              <w:rPr>
                <w:rFonts w:hint="eastAsia"/>
                <w:color w:val="auto"/>
                <w:sz w:val="21"/>
                <w:szCs w:val="21"/>
                <w:highlight w:val="none"/>
                <w:lang w:val="en-US" w:eastAsia="zh-CN"/>
              </w:rPr>
              <w:t xml:space="preserve">2.10 </w:t>
            </w:r>
            <w:r>
              <w:rPr>
                <w:color w:val="auto"/>
                <w:sz w:val="21"/>
                <w:szCs w:val="21"/>
                <w:highlight w:val="none"/>
              </w:rPr>
              <w:t>仪器控制工作站 1套</w:t>
            </w:r>
            <w:r>
              <w:rPr>
                <w:rFonts w:hint="eastAsia"/>
                <w:color w:val="auto"/>
                <w:sz w:val="21"/>
                <w:szCs w:val="21"/>
                <w:highlight w:val="none"/>
                <w:lang w:eastAsia="zh-CN"/>
              </w:rPr>
              <w:t>（</w:t>
            </w:r>
            <w:r>
              <w:rPr>
                <w:rFonts w:hint="eastAsia"/>
                <w:color w:val="auto"/>
                <w:sz w:val="21"/>
                <w:szCs w:val="21"/>
                <w:highlight w:val="none"/>
                <w:lang w:val="en-US" w:eastAsia="zh-CN"/>
              </w:rPr>
              <w:t>配置不低于</w:t>
            </w:r>
            <w:r>
              <w:rPr>
                <w:color w:val="auto"/>
                <w:sz w:val="21"/>
                <w:szCs w:val="21"/>
                <w:highlight w:val="none"/>
              </w:rPr>
              <w:t>i7-10700/16G/512G SSD/LCD显示器&gt;22.0英寸，正版Win10系统</w:t>
            </w:r>
            <w:r>
              <w:rPr>
                <w:rFonts w:hint="eastAsia"/>
                <w:color w:val="auto"/>
                <w:sz w:val="21"/>
                <w:szCs w:val="21"/>
                <w:highlight w:val="none"/>
                <w:lang w:eastAsia="zh-CN"/>
              </w:rPr>
              <w:t>）</w:t>
            </w:r>
          </w:p>
        </w:tc>
      </w:tr>
    </w:tbl>
    <w:p w14:paraId="330068FD">
      <w:pPr>
        <w:spacing w:line="360" w:lineRule="auto"/>
        <w:ind w:firstLine="480" w:firstLineChars="200"/>
        <w:rPr>
          <w:rFonts w:hint="default"/>
          <w:b w:val="0"/>
          <w:bCs w:val="0"/>
          <w:color w:val="auto"/>
          <w:sz w:val="24"/>
          <w:szCs w:val="24"/>
          <w:highlight w:val="none"/>
        </w:rPr>
      </w:pPr>
    </w:p>
    <w:p w14:paraId="045E7AF6">
      <w:pPr>
        <w:pStyle w:val="36"/>
        <w:spacing w:before="0" w:beforeAutospacing="0" w:after="0" w:afterAutospacing="0" w:line="360" w:lineRule="auto"/>
        <w:rPr>
          <w:rFonts w:hint="default" w:ascii="Times New Roman" w:hAnsi="Times New Roman"/>
          <w:b/>
          <w:bCs/>
          <w:color w:val="auto"/>
          <w:szCs w:val="24"/>
          <w:highlight w:val="none"/>
        </w:rPr>
      </w:pPr>
      <w:r>
        <w:rPr>
          <w:rFonts w:ascii="Times New Roman" w:hAnsi="Times New Roman"/>
          <w:b/>
          <w:bCs/>
          <w:color w:val="auto"/>
          <w:szCs w:val="24"/>
          <w:highlight w:val="none"/>
        </w:rPr>
        <w:t>三、其他要求</w:t>
      </w:r>
    </w:p>
    <w:tbl>
      <w:tblPr>
        <w:tblStyle w:val="41"/>
        <w:tblW w:w="10145"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39"/>
        <w:gridCol w:w="8406"/>
      </w:tblGrid>
      <w:tr w14:paraId="73A5A5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76" w:hRule="atLeast"/>
          <w:jc w:val="center"/>
        </w:trPr>
        <w:tc>
          <w:tcPr>
            <w:tcW w:w="1739" w:type="dxa"/>
            <w:tcBorders>
              <w:top w:val="single" w:color="auto" w:sz="4" w:space="0"/>
              <w:left w:val="single" w:color="auto" w:sz="4" w:space="0"/>
              <w:bottom w:val="single" w:color="auto" w:sz="4" w:space="0"/>
              <w:right w:val="single" w:color="auto" w:sz="4" w:space="0"/>
            </w:tcBorders>
            <w:vAlign w:val="center"/>
          </w:tcPr>
          <w:p w14:paraId="7480994C">
            <w:pPr>
              <w:spacing w:line="300" w:lineRule="auto"/>
              <w:jc w:val="center"/>
              <w:rPr>
                <w:rFonts w:hint="default" w:ascii="宋体" w:hAnsi="宋体" w:cs="宋体"/>
                <w:color w:val="auto"/>
                <w:sz w:val="24"/>
                <w:szCs w:val="24"/>
                <w:highlight w:val="none"/>
              </w:rPr>
            </w:pPr>
            <w:r>
              <w:rPr>
                <w:rFonts w:ascii="宋体" w:hAnsi="宋体" w:cs="宋体"/>
                <w:color w:val="auto"/>
                <w:sz w:val="24"/>
                <w:szCs w:val="24"/>
                <w:highlight w:val="none"/>
              </w:rPr>
              <w:t>1.交付时间</w:t>
            </w:r>
          </w:p>
        </w:tc>
        <w:tc>
          <w:tcPr>
            <w:tcW w:w="8406" w:type="dxa"/>
            <w:tcBorders>
              <w:top w:val="single" w:color="auto" w:sz="4" w:space="0"/>
              <w:left w:val="single" w:color="auto" w:sz="4" w:space="0"/>
              <w:bottom w:val="single" w:color="auto" w:sz="4" w:space="0"/>
              <w:right w:val="single" w:color="auto" w:sz="4" w:space="0"/>
            </w:tcBorders>
            <w:vAlign w:val="center"/>
          </w:tcPr>
          <w:p w14:paraId="797C973E">
            <w:pPr>
              <w:spacing w:line="300" w:lineRule="auto"/>
              <w:jc w:val="left"/>
              <w:rPr>
                <w:rFonts w:hint="default" w:ascii="宋体" w:hAnsi="宋体" w:cs="宋体"/>
                <w:color w:val="auto"/>
                <w:sz w:val="24"/>
                <w:szCs w:val="24"/>
                <w:highlight w:val="none"/>
              </w:rPr>
            </w:pPr>
            <w:r>
              <w:rPr>
                <w:rFonts w:hint="eastAsia" w:ascii="Times New Roman" w:hAnsi="Times New Roman"/>
                <w:color w:val="auto"/>
                <w:kern w:val="2"/>
                <w:sz w:val="24"/>
                <w:szCs w:val="24"/>
                <w:highlight w:val="none"/>
                <w:lang w:val="en-US" w:eastAsia="zh-CN"/>
              </w:rPr>
              <w:t>国产设备自合同签订之日起60天内交付/进口设备自办理出免税证明或提交税款担保后60天内交付</w:t>
            </w:r>
            <w:r>
              <w:rPr>
                <w:rFonts w:hint="default" w:ascii="Times New Roman" w:hAnsi="Times New Roman"/>
                <w:color w:val="auto"/>
                <w:kern w:val="2"/>
                <w:sz w:val="24"/>
                <w:szCs w:val="24"/>
                <w:highlight w:val="none"/>
              </w:rPr>
              <w:t>。</w:t>
            </w:r>
          </w:p>
        </w:tc>
      </w:tr>
      <w:tr w14:paraId="17A41D3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39" w:hRule="atLeast"/>
          <w:jc w:val="center"/>
        </w:trPr>
        <w:tc>
          <w:tcPr>
            <w:tcW w:w="1739" w:type="dxa"/>
            <w:tcBorders>
              <w:top w:val="single" w:color="auto" w:sz="4" w:space="0"/>
              <w:left w:val="single" w:color="auto" w:sz="4" w:space="0"/>
              <w:bottom w:val="single" w:color="auto" w:sz="4" w:space="0"/>
              <w:right w:val="single" w:color="auto" w:sz="4" w:space="0"/>
            </w:tcBorders>
            <w:vAlign w:val="center"/>
          </w:tcPr>
          <w:p w14:paraId="47B4DD0E">
            <w:pPr>
              <w:spacing w:line="300" w:lineRule="auto"/>
              <w:jc w:val="center"/>
              <w:rPr>
                <w:rFonts w:hint="default" w:ascii="宋体" w:hAnsi="宋体" w:cs="宋体"/>
                <w:color w:val="auto"/>
                <w:sz w:val="24"/>
                <w:szCs w:val="24"/>
                <w:highlight w:val="none"/>
              </w:rPr>
            </w:pPr>
            <w:r>
              <w:rPr>
                <w:rFonts w:ascii="宋体" w:hAnsi="宋体" w:cs="宋体"/>
                <w:color w:val="auto"/>
                <w:sz w:val="24"/>
                <w:szCs w:val="24"/>
                <w:highlight w:val="none"/>
              </w:rPr>
              <w:t>2.交付地点</w:t>
            </w:r>
          </w:p>
        </w:tc>
        <w:tc>
          <w:tcPr>
            <w:tcW w:w="8406" w:type="dxa"/>
            <w:tcBorders>
              <w:top w:val="single" w:color="auto" w:sz="4" w:space="0"/>
              <w:left w:val="single" w:color="auto" w:sz="4" w:space="0"/>
              <w:bottom w:val="single" w:color="auto" w:sz="4" w:space="0"/>
              <w:right w:val="single" w:color="auto" w:sz="4" w:space="0"/>
            </w:tcBorders>
            <w:vAlign w:val="center"/>
          </w:tcPr>
          <w:p w14:paraId="4FA0D091">
            <w:pPr>
              <w:spacing w:line="300" w:lineRule="auto"/>
              <w:jc w:val="left"/>
              <w:rPr>
                <w:rFonts w:hint="default" w:ascii="宋体" w:hAnsi="宋体" w:cs="宋体"/>
                <w:color w:val="auto"/>
                <w:sz w:val="24"/>
                <w:szCs w:val="24"/>
                <w:highlight w:val="none"/>
              </w:rPr>
            </w:pPr>
            <w:r>
              <w:rPr>
                <w:rFonts w:ascii="宋体" w:hAnsi="宋体" w:cs="宋体"/>
                <w:color w:val="auto"/>
                <w:sz w:val="24"/>
                <w:szCs w:val="24"/>
                <w:highlight w:val="none"/>
              </w:rPr>
              <w:t>采购人指定地点</w:t>
            </w:r>
          </w:p>
        </w:tc>
      </w:tr>
      <w:tr w14:paraId="274D19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61" w:hRule="atLeast"/>
          <w:jc w:val="center"/>
        </w:trPr>
        <w:tc>
          <w:tcPr>
            <w:tcW w:w="1739" w:type="dxa"/>
            <w:tcBorders>
              <w:top w:val="single" w:color="auto" w:sz="4" w:space="0"/>
              <w:left w:val="single" w:color="auto" w:sz="4" w:space="0"/>
              <w:bottom w:val="single" w:color="auto" w:sz="4" w:space="0"/>
              <w:right w:val="single" w:color="auto" w:sz="4" w:space="0"/>
            </w:tcBorders>
            <w:vAlign w:val="center"/>
          </w:tcPr>
          <w:p w14:paraId="631AB071">
            <w:pPr>
              <w:spacing w:line="300" w:lineRule="auto"/>
              <w:jc w:val="center"/>
              <w:rPr>
                <w:rFonts w:hint="default" w:ascii="宋体" w:hAnsi="宋体" w:cs="宋体"/>
                <w:color w:val="auto"/>
                <w:sz w:val="24"/>
                <w:szCs w:val="24"/>
                <w:highlight w:val="none"/>
              </w:rPr>
            </w:pPr>
            <w:r>
              <w:rPr>
                <w:rFonts w:ascii="宋体" w:hAnsi="宋体" w:cs="宋体"/>
                <w:color w:val="auto"/>
                <w:sz w:val="24"/>
                <w:szCs w:val="24"/>
                <w:highlight w:val="none"/>
              </w:rPr>
              <w:t>3.质保期</w:t>
            </w:r>
          </w:p>
        </w:tc>
        <w:tc>
          <w:tcPr>
            <w:tcW w:w="8406" w:type="dxa"/>
            <w:tcBorders>
              <w:top w:val="single" w:color="auto" w:sz="4" w:space="0"/>
              <w:left w:val="single" w:color="auto" w:sz="4" w:space="0"/>
              <w:bottom w:val="single" w:color="auto" w:sz="4" w:space="0"/>
              <w:right w:val="single" w:color="auto" w:sz="4" w:space="0"/>
            </w:tcBorders>
            <w:vAlign w:val="center"/>
          </w:tcPr>
          <w:p w14:paraId="2D375101">
            <w:pPr>
              <w:spacing w:line="300" w:lineRule="auto"/>
              <w:jc w:val="left"/>
              <w:rPr>
                <w:rFonts w:hint="default" w:ascii="宋体" w:hAnsi="宋体" w:cs="宋体"/>
                <w:color w:val="auto"/>
                <w:sz w:val="24"/>
                <w:szCs w:val="24"/>
                <w:highlight w:val="none"/>
              </w:rPr>
            </w:pPr>
            <w:r>
              <w:rPr>
                <w:rFonts w:ascii="宋体" w:hAnsi="宋体" w:cs="宋体"/>
                <w:color w:val="auto"/>
                <w:sz w:val="24"/>
                <w:szCs w:val="24"/>
                <w:highlight w:val="none"/>
              </w:rPr>
              <w:t>合同验收合格之日起，质保期为至少</w:t>
            </w:r>
            <w:r>
              <w:rPr>
                <w:rFonts w:ascii="宋体" w:hAnsi="宋体" w:cs="宋体"/>
                <w:b/>
                <w:bCs/>
                <w:color w:val="auto"/>
                <w:sz w:val="24"/>
                <w:szCs w:val="24"/>
                <w:highlight w:val="none"/>
                <w:u w:val="single"/>
              </w:rPr>
              <w:t xml:space="preserve"> </w:t>
            </w:r>
            <w:r>
              <w:rPr>
                <w:rFonts w:hint="eastAsia" w:ascii="宋体" w:hAnsi="宋体" w:cs="宋体"/>
                <w:b/>
                <w:bCs/>
                <w:color w:val="auto"/>
                <w:sz w:val="24"/>
                <w:szCs w:val="24"/>
                <w:highlight w:val="none"/>
                <w:u w:val="single"/>
                <w:lang w:val="en-US" w:eastAsia="zh-CN"/>
              </w:rPr>
              <w:t>1</w:t>
            </w:r>
            <w:r>
              <w:rPr>
                <w:rFonts w:ascii="宋体" w:hAnsi="宋体" w:cs="宋体"/>
                <w:b/>
                <w:bCs/>
                <w:color w:val="auto"/>
                <w:sz w:val="24"/>
                <w:szCs w:val="24"/>
                <w:highlight w:val="none"/>
                <w:u w:val="single"/>
              </w:rPr>
              <w:t xml:space="preserve"> </w:t>
            </w:r>
            <w:r>
              <w:rPr>
                <w:rFonts w:ascii="宋体" w:hAnsi="宋体" w:cs="宋体"/>
                <w:color w:val="auto"/>
                <w:sz w:val="24"/>
                <w:szCs w:val="24"/>
                <w:highlight w:val="none"/>
              </w:rPr>
              <w:t>年。（项目经校级验收合格后开始计算），因人为因素出现的故障不在免费保修范围内。超过质保期的货物，终身维修，维修时只收部件成本费。</w:t>
            </w:r>
          </w:p>
        </w:tc>
      </w:tr>
      <w:tr w14:paraId="4376F63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432" w:hRule="atLeast"/>
          <w:jc w:val="center"/>
        </w:trPr>
        <w:tc>
          <w:tcPr>
            <w:tcW w:w="1739" w:type="dxa"/>
            <w:tcBorders>
              <w:top w:val="single" w:color="auto" w:sz="4" w:space="0"/>
              <w:left w:val="single" w:color="auto" w:sz="4" w:space="0"/>
              <w:bottom w:val="single" w:color="auto" w:sz="4" w:space="0"/>
              <w:right w:val="single" w:color="auto" w:sz="4" w:space="0"/>
            </w:tcBorders>
            <w:vAlign w:val="center"/>
          </w:tcPr>
          <w:p w14:paraId="07843FE6">
            <w:pPr>
              <w:spacing w:line="300" w:lineRule="auto"/>
              <w:jc w:val="center"/>
              <w:rPr>
                <w:rFonts w:hint="default" w:ascii="宋体" w:hAnsi="宋体" w:cs="宋体"/>
                <w:color w:val="auto"/>
                <w:sz w:val="24"/>
                <w:szCs w:val="24"/>
                <w:highlight w:val="none"/>
              </w:rPr>
            </w:pPr>
            <w:r>
              <w:rPr>
                <w:rFonts w:ascii="宋体" w:hAnsi="宋体" w:cs="宋体"/>
                <w:color w:val="auto"/>
                <w:sz w:val="24"/>
                <w:szCs w:val="24"/>
                <w:highlight w:val="none"/>
              </w:rPr>
              <w:t>4.履约保证金</w:t>
            </w:r>
          </w:p>
        </w:tc>
        <w:tc>
          <w:tcPr>
            <w:tcW w:w="8406" w:type="dxa"/>
            <w:tcBorders>
              <w:top w:val="single" w:color="auto" w:sz="4" w:space="0"/>
              <w:left w:val="single" w:color="auto" w:sz="4" w:space="0"/>
              <w:bottom w:val="single" w:color="auto" w:sz="4" w:space="0"/>
              <w:right w:val="single" w:color="auto" w:sz="4" w:space="0"/>
            </w:tcBorders>
            <w:vAlign w:val="center"/>
          </w:tcPr>
          <w:p w14:paraId="2AC301D9">
            <w:pPr>
              <w:spacing w:line="300" w:lineRule="auto"/>
              <w:jc w:val="left"/>
              <w:rPr>
                <w:rFonts w:hint="default" w:ascii="宋体" w:hAnsi="宋体" w:cs="宋体"/>
                <w:color w:val="auto"/>
                <w:sz w:val="24"/>
                <w:szCs w:val="24"/>
                <w:highlight w:val="none"/>
              </w:rPr>
            </w:pPr>
            <w:r>
              <w:rPr>
                <w:rFonts w:ascii="宋体" w:hAnsi="宋体" w:cs="宋体"/>
                <w:color w:val="auto"/>
                <w:sz w:val="24"/>
                <w:szCs w:val="24"/>
                <w:highlight w:val="none"/>
              </w:rPr>
              <w:t>4.</w:t>
            </w:r>
            <w:r>
              <w:rPr>
                <w:rFonts w:hint="default" w:ascii="宋体" w:hAnsi="宋体" w:cs="宋体"/>
                <w:color w:val="auto"/>
                <w:sz w:val="24"/>
                <w:szCs w:val="24"/>
                <w:highlight w:val="none"/>
              </w:rPr>
              <w:t>1比例：合同金额的1%。</w:t>
            </w:r>
          </w:p>
          <w:p w14:paraId="180E0995">
            <w:pPr>
              <w:spacing w:line="300" w:lineRule="auto"/>
              <w:jc w:val="left"/>
              <w:rPr>
                <w:rFonts w:hint="default" w:ascii="宋体" w:hAnsi="宋体" w:cs="宋体"/>
                <w:color w:val="auto"/>
                <w:sz w:val="24"/>
                <w:szCs w:val="24"/>
                <w:highlight w:val="none"/>
              </w:rPr>
            </w:pPr>
            <w:r>
              <w:rPr>
                <w:rFonts w:ascii="宋体" w:hAnsi="宋体" w:cs="宋体"/>
                <w:color w:val="auto"/>
                <w:sz w:val="24"/>
                <w:szCs w:val="24"/>
                <w:highlight w:val="none"/>
              </w:rPr>
              <w:t>4.2</w:t>
            </w:r>
            <w:r>
              <w:rPr>
                <w:rFonts w:hint="default" w:ascii="宋体" w:hAnsi="宋体" w:cs="宋体"/>
                <w:color w:val="auto"/>
                <w:sz w:val="24"/>
                <w:szCs w:val="24"/>
                <w:highlight w:val="none"/>
              </w:rPr>
              <w:t>提交方式：支票、汇票、本票或者金融机构、担保机构出具的保函等非现金形式。</w:t>
            </w:r>
          </w:p>
          <w:p w14:paraId="7111CD5E">
            <w:pPr>
              <w:spacing w:line="300" w:lineRule="auto"/>
              <w:jc w:val="left"/>
              <w:rPr>
                <w:rFonts w:hint="default" w:ascii="宋体" w:hAnsi="宋体" w:cs="宋体"/>
                <w:color w:val="auto"/>
                <w:sz w:val="24"/>
                <w:szCs w:val="24"/>
                <w:highlight w:val="none"/>
              </w:rPr>
            </w:pPr>
            <w:r>
              <w:rPr>
                <w:rFonts w:ascii="宋体" w:hAnsi="宋体" w:cs="宋体"/>
                <w:color w:val="auto"/>
                <w:sz w:val="24"/>
                <w:szCs w:val="24"/>
                <w:highlight w:val="none"/>
              </w:rPr>
              <w:t>4.3</w:t>
            </w:r>
            <w:r>
              <w:rPr>
                <w:rFonts w:hint="default" w:ascii="宋体" w:hAnsi="宋体" w:cs="宋体"/>
                <w:color w:val="auto"/>
                <w:sz w:val="24"/>
                <w:szCs w:val="24"/>
                <w:highlight w:val="none"/>
              </w:rPr>
              <w:t>提交时间：收到</w:t>
            </w:r>
            <w:r>
              <w:rPr>
                <w:rFonts w:ascii="宋体" w:hAnsi="宋体" w:cs="宋体"/>
                <w:color w:val="auto"/>
                <w:sz w:val="24"/>
                <w:szCs w:val="24"/>
                <w:highlight w:val="none"/>
              </w:rPr>
              <w:t>采购人</w:t>
            </w:r>
            <w:r>
              <w:rPr>
                <w:rFonts w:hint="default" w:ascii="宋体" w:hAnsi="宋体" w:cs="宋体"/>
                <w:color w:val="auto"/>
                <w:sz w:val="24"/>
                <w:szCs w:val="24"/>
                <w:highlight w:val="none"/>
              </w:rPr>
              <w:t>发出的签订合同要约后7天内。</w:t>
            </w:r>
          </w:p>
          <w:p w14:paraId="64296823">
            <w:pPr>
              <w:spacing w:line="300" w:lineRule="auto"/>
              <w:jc w:val="left"/>
              <w:rPr>
                <w:rFonts w:hint="default" w:ascii="宋体" w:hAnsi="宋体" w:cs="宋体"/>
                <w:color w:val="auto"/>
                <w:sz w:val="24"/>
                <w:szCs w:val="24"/>
                <w:highlight w:val="none"/>
              </w:rPr>
            </w:pPr>
            <w:r>
              <w:rPr>
                <w:rFonts w:ascii="宋体" w:hAnsi="宋体" w:cs="宋体"/>
                <w:color w:val="auto"/>
                <w:sz w:val="24"/>
                <w:szCs w:val="24"/>
                <w:highlight w:val="none"/>
              </w:rPr>
              <w:t>4.4</w:t>
            </w:r>
            <w:r>
              <w:rPr>
                <w:rFonts w:hint="default" w:ascii="宋体" w:hAnsi="宋体" w:cs="宋体"/>
                <w:color w:val="auto"/>
                <w:sz w:val="24"/>
                <w:szCs w:val="24"/>
                <w:highlight w:val="none"/>
              </w:rPr>
              <w:t>退还时间及条件：合同履约期间无违约情形的，项目经校级验收合格后</w:t>
            </w:r>
            <w:r>
              <w:rPr>
                <w:rFonts w:ascii="宋体" w:hAnsi="宋体" w:cs="宋体"/>
                <w:color w:val="auto"/>
                <w:sz w:val="24"/>
                <w:szCs w:val="24"/>
                <w:highlight w:val="none"/>
              </w:rPr>
              <w:t>采购人</w:t>
            </w:r>
            <w:r>
              <w:rPr>
                <w:rFonts w:hint="default" w:ascii="宋体" w:hAnsi="宋体" w:cs="宋体"/>
                <w:color w:val="auto"/>
                <w:sz w:val="24"/>
                <w:szCs w:val="24"/>
                <w:highlight w:val="none"/>
              </w:rPr>
              <w:t>财务部门及时无息退还。如校级验收未通过，履约保证金不予退还。</w:t>
            </w:r>
          </w:p>
        </w:tc>
      </w:tr>
      <w:tr w14:paraId="27B1E7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2" w:hRule="atLeast"/>
          <w:jc w:val="center"/>
        </w:trPr>
        <w:tc>
          <w:tcPr>
            <w:tcW w:w="1739" w:type="dxa"/>
            <w:tcBorders>
              <w:top w:val="single" w:color="auto" w:sz="4" w:space="0"/>
              <w:left w:val="single" w:color="auto" w:sz="4" w:space="0"/>
              <w:bottom w:val="single" w:color="auto" w:sz="4" w:space="0"/>
              <w:right w:val="single" w:color="auto" w:sz="4" w:space="0"/>
            </w:tcBorders>
            <w:vAlign w:val="center"/>
          </w:tcPr>
          <w:p w14:paraId="14EC47EC">
            <w:pPr>
              <w:spacing w:line="300" w:lineRule="auto"/>
              <w:jc w:val="center"/>
              <w:rPr>
                <w:rFonts w:hint="default" w:ascii="宋体" w:hAnsi="宋体" w:cs="宋体"/>
                <w:color w:val="auto"/>
                <w:sz w:val="24"/>
                <w:szCs w:val="24"/>
                <w:highlight w:val="none"/>
              </w:rPr>
            </w:pPr>
            <w:r>
              <w:rPr>
                <w:rFonts w:ascii="宋体" w:hAnsi="宋体" w:cs="宋体"/>
                <w:color w:val="auto"/>
                <w:sz w:val="24"/>
                <w:szCs w:val="24"/>
                <w:highlight w:val="none"/>
              </w:rPr>
              <w:t>5.付款方式</w:t>
            </w:r>
          </w:p>
        </w:tc>
        <w:tc>
          <w:tcPr>
            <w:tcW w:w="8406" w:type="dxa"/>
            <w:tcBorders>
              <w:top w:val="single" w:color="auto" w:sz="4" w:space="0"/>
              <w:left w:val="single" w:color="auto" w:sz="4" w:space="0"/>
              <w:bottom w:val="single" w:color="auto" w:sz="4" w:space="0"/>
              <w:right w:val="single" w:color="auto" w:sz="4" w:space="0"/>
            </w:tcBorders>
            <w:vAlign w:val="center"/>
          </w:tcPr>
          <w:p w14:paraId="7D97DA49">
            <w:pPr>
              <w:pStyle w:val="16"/>
              <w:spacing w:line="300" w:lineRule="auto"/>
              <w:ind w:firstLine="0"/>
              <w:rPr>
                <w:rFonts w:hint="default" w:hAnsi="宋体" w:cs="宋体"/>
                <w:b/>
                <w:bCs/>
                <w:color w:val="auto"/>
                <w:spacing w:val="0"/>
                <w:sz w:val="24"/>
                <w:szCs w:val="24"/>
                <w:highlight w:val="none"/>
              </w:rPr>
            </w:pPr>
            <w:r>
              <w:rPr>
                <w:rFonts w:hAnsi="宋体" w:cs="宋体"/>
                <w:b/>
                <w:bCs/>
                <w:color w:val="auto"/>
                <w:spacing w:val="0"/>
                <w:sz w:val="24"/>
                <w:szCs w:val="24"/>
                <w:highlight w:val="none"/>
              </w:rPr>
              <w:t>国产设备：</w:t>
            </w:r>
          </w:p>
          <w:p w14:paraId="2D70D300">
            <w:pPr>
              <w:pStyle w:val="16"/>
              <w:spacing w:line="300" w:lineRule="auto"/>
              <w:ind w:firstLine="480" w:firstLineChars="200"/>
              <w:rPr>
                <w:rFonts w:hint="default" w:hAnsi="宋体" w:cs="宋体"/>
                <w:color w:val="auto"/>
                <w:spacing w:val="0"/>
                <w:sz w:val="24"/>
                <w:szCs w:val="24"/>
                <w:highlight w:val="none"/>
              </w:rPr>
            </w:pPr>
            <w:r>
              <w:rPr>
                <w:rFonts w:hAnsi="宋体" w:cs="宋体"/>
                <w:color w:val="auto"/>
                <w:spacing w:val="0"/>
                <w:sz w:val="24"/>
                <w:szCs w:val="24"/>
                <w:highlight w:val="none"/>
              </w:rPr>
              <w:t>合同生效以及具备实施条件后7个工作日内，采购人向中标人支付合同总价的40%作为预付款，合同货物送达使用方指定地点，安装调试成功并经验收合格且收到中标人开具的增值税专用发票后，采购人于7个工作日内向中标人支付剩余合同价款。</w:t>
            </w:r>
          </w:p>
          <w:p w14:paraId="1FE367E3">
            <w:pPr>
              <w:pStyle w:val="16"/>
              <w:spacing w:line="300" w:lineRule="auto"/>
              <w:ind w:firstLine="480" w:firstLineChars="200"/>
              <w:rPr>
                <w:rFonts w:hint="default" w:hAnsi="宋体" w:cs="宋体"/>
                <w:color w:val="auto"/>
                <w:spacing w:val="0"/>
                <w:sz w:val="24"/>
                <w:szCs w:val="24"/>
                <w:highlight w:val="none"/>
              </w:rPr>
            </w:pPr>
            <w:r>
              <w:rPr>
                <w:rFonts w:hAnsi="宋体" w:cs="宋体"/>
                <w:color w:val="auto"/>
                <w:spacing w:val="0"/>
                <w:sz w:val="24"/>
                <w:szCs w:val="24"/>
                <w:highlight w:val="none"/>
              </w:rPr>
              <w:t>备注：在签订合同时，中标人明确表示无需预付款或主动要求降低预付款比例的，可降低预付款比例。</w:t>
            </w:r>
          </w:p>
          <w:p w14:paraId="123ADECF">
            <w:pPr>
              <w:pStyle w:val="16"/>
              <w:spacing w:line="300" w:lineRule="auto"/>
              <w:ind w:firstLine="0"/>
              <w:rPr>
                <w:rFonts w:hint="default" w:hAnsi="宋体" w:cs="宋体"/>
                <w:b/>
                <w:bCs/>
                <w:color w:val="auto"/>
                <w:spacing w:val="0"/>
                <w:sz w:val="24"/>
                <w:szCs w:val="24"/>
                <w:highlight w:val="none"/>
              </w:rPr>
            </w:pPr>
            <w:r>
              <w:rPr>
                <w:rFonts w:hAnsi="宋体" w:cs="宋体"/>
                <w:b/>
                <w:bCs/>
                <w:color w:val="auto"/>
                <w:spacing w:val="0"/>
                <w:sz w:val="24"/>
                <w:szCs w:val="24"/>
                <w:highlight w:val="none"/>
              </w:rPr>
              <w:t>进口设备：</w:t>
            </w:r>
          </w:p>
          <w:p w14:paraId="3D79FA12">
            <w:pPr>
              <w:spacing w:line="300" w:lineRule="auto"/>
              <w:ind w:firstLine="480" w:firstLineChars="200"/>
              <w:rPr>
                <w:rFonts w:hint="default" w:ascii="宋体" w:hAnsi="宋体" w:cs="宋体"/>
                <w:color w:val="auto"/>
                <w:szCs w:val="24"/>
                <w:highlight w:val="none"/>
              </w:rPr>
            </w:pPr>
            <w:r>
              <w:rPr>
                <w:rFonts w:hint="default" w:ascii="宋体" w:hAnsi="宋体" w:cs="宋体"/>
                <w:color w:val="auto"/>
                <w:sz w:val="24"/>
                <w:szCs w:val="24"/>
                <w:highlight w:val="none"/>
              </w:rPr>
              <w:t>办理出免税证明后7个工作日内</w:t>
            </w:r>
            <w:r>
              <w:rPr>
                <w:rFonts w:ascii="宋体" w:hAnsi="宋体" w:cs="宋体"/>
                <w:color w:val="auto"/>
                <w:sz w:val="24"/>
                <w:szCs w:val="24"/>
                <w:highlight w:val="none"/>
              </w:rPr>
              <w:t>采购人</w:t>
            </w:r>
            <w:r>
              <w:rPr>
                <w:rFonts w:hint="default" w:ascii="宋体" w:hAnsi="宋体" w:cs="宋体"/>
                <w:color w:val="auto"/>
                <w:sz w:val="24"/>
                <w:szCs w:val="24"/>
                <w:highlight w:val="none"/>
              </w:rPr>
              <w:t>向指定的进口代理公司支付合同金额30%的预付款，合同货物送达丙方指定地点后，</w:t>
            </w:r>
            <w:r>
              <w:rPr>
                <w:rFonts w:ascii="宋体" w:hAnsi="宋体" w:cs="宋体"/>
                <w:color w:val="auto"/>
                <w:sz w:val="24"/>
                <w:szCs w:val="24"/>
                <w:highlight w:val="none"/>
              </w:rPr>
              <w:t>采购人</w:t>
            </w:r>
            <w:r>
              <w:rPr>
                <w:rFonts w:hint="default" w:ascii="宋体" w:hAnsi="宋体" w:cs="宋体"/>
                <w:color w:val="auto"/>
                <w:sz w:val="24"/>
                <w:szCs w:val="24"/>
                <w:highlight w:val="none"/>
              </w:rPr>
              <w:t>向指定的进口代理公司支付合同金额60%的进度款，合同货物安装调试成功并经校级验收合格后，</w:t>
            </w:r>
            <w:r>
              <w:rPr>
                <w:rFonts w:ascii="宋体" w:hAnsi="宋体" w:cs="宋体"/>
                <w:color w:val="auto"/>
                <w:sz w:val="24"/>
                <w:szCs w:val="24"/>
                <w:highlight w:val="none"/>
              </w:rPr>
              <w:t>采购人</w:t>
            </w:r>
            <w:r>
              <w:rPr>
                <w:rFonts w:hint="default" w:ascii="宋体" w:hAnsi="宋体" w:cs="宋体"/>
                <w:color w:val="auto"/>
                <w:sz w:val="24"/>
                <w:szCs w:val="24"/>
                <w:highlight w:val="none"/>
              </w:rPr>
              <w:t>向指定的进口代理公司支付合同金额10%的尾款。指定的进口代理公司在货物送到</w:t>
            </w:r>
            <w:r>
              <w:rPr>
                <w:rFonts w:ascii="宋体" w:hAnsi="宋体" w:cs="宋体"/>
                <w:color w:val="auto"/>
                <w:sz w:val="24"/>
                <w:szCs w:val="24"/>
                <w:highlight w:val="none"/>
              </w:rPr>
              <w:t>使用方</w:t>
            </w:r>
            <w:r>
              <w:rPr>
                <w:rFonts w:hint="default" w:ascii="宋体" w:hAnsi="宋体" w:cs="宋体"/>
                <w:color w:val="auto"/>
                <w:sz w:val="24"/>
                <w:szCs w:val="24"/>
                <w:highlight w:val="none"/>
              </w:rPr>
              <w:t>指定地点且收到90%合同金额后支付给</w:t>
            </w:r>
            <w:r>
              <w:rPr>
                <w:rFonts w:ascii="宋体" w:hAnsi="宋体" w:cs="宋体"/>
                <w:color w:val="auto"/>
                <w:sz w:val="24"/>
                <w:szCs w:val="24"/>
                <w:highlight w:val="none"/>
              </w:rPr>
              <w:t>中标人</w:t>
            </w:r>
            <w:r>
              <w:rPr>
                <w:rFonts w:hint="default" w:ascii="宋体" w:hAnsi="宋体" w:cs="宋体"/>
                <w:color w:val="auto"/>
                <w:sz w:val="24"/>
                <w:szCs w:val="24"/>
                <w:highlight w:val="none"/>
              </w:rPr>
              <w:t>境外公司，合同金额10%的尾款在合同货物安装调试成功并经校级验收合格且乙方提交浙江工业大学校级验收报告、履约保证金缴纳凭证、进口代理公司开具的发票后由进口代理公司支付。</w:t>
            </w:r>
          </w:p>
        </w:tc>
      </w:tr>
      <w:tr w14:paraId="4E9136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07" w:hRule="atLeast"/>
          <w:jc w:val="center"/>
        </w:trPr>
        <w:tc>
          <w:tcPr>
            <w:tcW w:w="1739" w:type="dxa"/>
            <w:tcBorders>
              <w:top w:val="single" w:color="auto" w:sz="4" w:space="0"/>
              <w:left w:val="single" w:color="auto" w:sz="4" w:space="0"/>
              <w:bottom w:val="single" w:color="auto" w:sz="4" w:space="0"/>
              <w:right w:val="single" w:color="auto" w:sz="4" w:space="0"/>
            </w:tcBorders>
            <w:vAlign w:val="center"/>
          </w:tcPr>
          <w:p w14:paraId="0809E868">
            <w:pPr>
              <w:spacing w:line="300" w:lineRule="auto"/>
              <w:jc w:val="center"/>
              <w:rPr>
                <w:rFonts w:hint="default" w:ascii="宋体" w:hAnsi="宋体" w:cs="宋体"/>
                <w:color w:val="auto"/>
                <w:sz w:val="24"/>
                <w:szCs w:val="24"/>
                <w:highlight w:val="none"/>
              </w:rPr>
            </w:pPr>
            <w:r>
              <w:rPr>
                <w:rFonts w:hAnsi="宋体" w:cs="宋体"/>
                <w:color w:val="auto"/>
                <w:sz w:val="24"/>
                <w:szCs w:val="24"/>
                <w:highlight w:val="none"/>
              </w:rPr>
              <w:t>6.安装调试</w:t>
            </w:r>
          </w:p>
        </w:tc>
        <w:tc>
          <w:tcPr>
            <w:tcW w:w="8406" w:type="dxa"/>
            <w:tcBorders>
              <w:top w:val="single" w:color="auto" w:sz="4" w:space="0"/>
              <w:left w:val="single" w:color="auto" w:sz="4" w:space="0"/>
              <w:bottom w:val="single" w:color="auto" w:sz="4" w:space="0"/>
              <w:right w:val="single" w:color="auto" w:sz="4" w:space="0"/>
            </w:tcBorders>
            <w:vAlign w:val="center"/>
          </w:tcPr>
          <w:p w14:paraId="136287A7">
            <w:pPr>
              <w:pStyle w:val="16"/>
              <w:spacing w:line="300" w:lineRule="auto"/>
              <w:ind w:firstLine="0"/>
              <w:rPr>
                <w:rFonts w:hint="default" w:hAnsi="宋体" w:cs="宋体"/>
                <w:color w:val="auto"/>
                <w:spacing w:val="0"/>
                <w:sz w:val="24"/>
                <w:szCs w:val="24"/>
                <w:highlight w:val="none"/>
              </w:rPr>
            </w:pPr>
            <w:r>
              <w:rPr>
                <w:rFonts w:hAnsi="宋体" w:cs="宋体"/>
                <w:color w:val="auto"/>
                <w:spacing w:val="0"/>
                <w:sz w:val="24"/>
                <w:szCs w:val="24"/>
                <w:highlight w:val="none"/>
              </w:rPr>
              <w:t>6.1安装地点：采购人指定地点；</w:t>
            </w:r>
          </w:p>
          <w:p w14:paraId="7ED0F0F1">
            <w:pPr>
              <w:pStyle w:val="16"/>
              <w:spacing w:line="300" w:lineRule="auto"/>
              <w:ind w:firstLine="0"/>
              <w:rPr>
                <w:rFonts w:hint="default" w:hAnsi="宋体" w:cs="宋体"/>
                <w:color w:val="auto"/>
                <w:spacing w:val="0"/>
                <w:sz w:val="24"/>
                <w:szCs w:val="24"/>
                <w:highlight w:val="none"/>
              </w:rPr>
            </w:pPr>
            <w:r>
              <w:rPr>
                <w:rFonts w:hAnsi="宋体" w:cs="宋体"/>
                <w:color w:val="auto"/>
                <w:spacing w:val="0"/>
                <w:sz w:val="24"/>
                <w:szCs w:val="24"/>
                <w:highlight w:val="none"/>
              </w:rPr>
              <w:t>6.2安装完成时间：接到采购人通知后在规定时间内完成安装和调试，如在规定的时间内由于中标人的原因不能完成安装和调试，中标人应承担由此给采购人造成的损失；</w:t>
            </w:r>
          </w:p>
          <w:p w14:paraId="5F98F572">
            <w:pPr>
              <w:pStyle w:val="16"/>
              <w:spacing w:line="300" w:lineRule="auto"/>
              <w:ind w:firstLine="0"/>
              <w:rPr>
                <w:rFonts w:hint="default" w:hAnsi="宋体" w:cs="宋体"/>
                <w:color w:val="auto"/>
                <w:spacing w:val="0"/>
                <w:sz w:val="24"/>
                <w:szCs w:val="24"/>
                <w:highlight w:val="none"/>
              </w:rPr>
            </w:pPr>
            <w:r>
              <w:rPr>
                <w:rFonts w:hAnsi="宋体" w:cs="宋体"/>
                <w:color w:val="auto"/>
                <w:spacing w:val="0"/>
                <w:sz w:val="24"/>
                <w:szCs w:val="24"/>
                <w:highlight w:val="none"/>
              </w:rPr>
              <w:t>6.3如中标人委托国内代理（或其他机构）负责安装或配合安装应在签约时指明，但中标人仍要对合同货物及其安装质量负全部责任；</w:t>
            </w:r>
          </w:p>
          <w:p w14:paraId="6DFE30BA">
            <w:pPr>
              <w:pStyle w:val="16"/>
              <w:spacing w:line="300" w:lineRule="auto"/>
              <w:ind w:firstLine="0"/>
              <w:rPr>
                <w:rFonts w:hint="default" w:hAnsi="宋体" w:cs="宋体"/>
                <w:color w:val="auto"/>
                <w:spacing w:val="0"/>
                <w:sz w:val="24"/>
                <w:szCs w:val="24"/>
                <w:highlight w:val="none"/>
              </w:rPr>
            </w:pPr>
            <w:r>
              <w:rPr>
                <w:rFonts w:hAnsi="宋体" w:cs="宋体"/>
                <w:color w:val="auto"/>
                <w:spacing w:val="0"/>
                <w:sz w:val="24"/>
                <w:szCs w:val="24"/>
                <w:highlight w:val="none"/>
              </w:rPr>
              <w:t>6.4安装标准：符合我国国家有关技术规范要求和技术标准，所有的软件和硬件必须保证同时安装到位；</w:t>
            </w:r>
          </w:p>
          <w:p w14:paraId="098C0799">
            <w:pPr>
              <w:pStyle w:val="16"/>
              <w:spacing w:line="300" w:lineRule="auto"/>
              <w:ind w:firstLine="0"/>
              <w:rPr>
                <w:rFonts w:hint="default" w:hAnsi="宋体" w:cs="宋体"/>
                <w:color w:val="auto"/>
                <w:spacing w:val="0"/>
                <w:sz w:val="24"/>
                <w:szCs w:val="24"/>
                <w:highlight w:val="none"/>
              </w:rPr>
            </w:pPr>
            <w:r>
              <w:rPr>
                <w:rFonts w:hAnsi="宋体" w:cs="宋体"/>
                <w:color w:val="auto"/>
                <w:spacing w:val="0"/>
                <w:sz w:val="24"/>
                <w:szCs w:val="24"/>
                <w:highlight w:val="none"/>
              </w:rPr>
              <w:t>6.5中标人提供合同货物的安装服务，相关费用在报价中综合考虑，成交后不再另行支付；</w:t>
            </w:r>
          </w:p>
          <w:p w14:paraId="12982F29">
            <w:pPr>
              <w:pStyle w:val="16"/>
              <w:spacing w:line="300" w:lineRule="auto"/>
              <w:ind w:firstLine="0"/>
              <w:rPr>
                <w:rFonts w:hint="default" w:hAnsi="宋体" w:cs="宋体"/>
                <w:color w:val="auto"/>
                <w:spacing w:val="0"/>
                <w:sz w:val="24"/>
                <w:szCs w:val="24"/>
                <w:highlight w:val="none"/>
              </w:rPr>
            </w:pPr>
            <w:r>
              <w:rPr>
                <w:rFonts w:hAnsi="宋体" w:cs="宋体"/>
                <w:color w:val="auto"/>
                <w:spacing w:val="0"/>
                <w:sz w:val="24"/>
                <w:szCs w:val="24"/>
                <w:highlight w:val="none"/>
              </w:rPr>
              <w:t>6.6投标人在投标文件中应提供安装调试计划、对安装场地和环境的要求。</w:t>
            </w:r>
          </w:p>
        </w:tc>
      </w:tr>
      <w:tr w14:paraId="7B3C26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45" w:hRule="atLeast"/>
          <w:jc w:val="center"/>
        </w:trPr>
        <w:tc>
          <w:tcPr>
            <w:tcW w:w="1739" w:type="dxa"/>
            <w:tcBorders>
              <w:top w:val="single" w:color="auto" w:sz="4" w:space="0"/>
              <w:left w:val="single" w:color="auto" w:sz="4" w:space="0"/>
              <w:bottom w:val="single" w:color="auto" w:sz="4" w:space="0"/>
              <w:right w:val="single" w:color="auto" w:sz="4" w:space="0"/>
            </w:tcBorders>
            <w:vAlign w:val="center"/>
          </w:tcPr>
          <w:p w14:paraId="542812A3">
            <w:pPr>
              <w:pStyle w:val="16"/>
              <w:spacing w:line="300" w:lineRule="auto"/>
              <w:ind w:firstLine="0"/>
              <w:rPr>
                <w:rFonts w:hint="default" w:hAnsi="宋体" w:cs="宋体"/>
                <w:color w:val="auto"/>
                <w:sz w:val="24"/>
                <w:szCs w:val="24"/>
                <w:highlight w:val="none"/>
              </w:rPr>
            </w:pPr>
            <w:r>
              <w:rPr>
                <w:rFonts w:hAnsi="宋体" w:cs="宋体"/>
                <w:color w:val="auto"/>
                <w:spacing w:val="0"/>
                <w:sz w:val="24"/>
                <w:szCs w:val="24"/>
                <w:highlight w:val="none"/>
              </w:rPr>
              <w:t>7.技术支持及售后服务</w:t>
            </w:r>
          </w:p>
        </w:tc>
        <w:tc>
          <w:tcPr>
            <w:tcW w:w="8406" w:type="dxa"/>
            <w:tcBorders>
              <w:top w:val="single" w:color="auto" w:sz="4" w:space="0"/>
              <w:left w:val="single" w:color="auto" w:sz="4" w:space="0"/>
              <w:bottom w:val="single" w:color="auto" w:sz="4" w:space="0"/>
              <w:right w:val="single" w:color="auto" w:sz="4" w:space="0"/>
            </w:tcBorders>
            <w:vAlign w:val="center"/>
          </w:tcPr>
          <w:p w14:paraId="40FD4A48">
            <w:pPr>
              <w:pStyle w:val="16"/>
              <w:spacing w:line="300" w:lineRule="auto"/>
              <w:ind w:firstLine="0"/>
              <w:rPr>
                <w:rFonts w:hint="default" w:hAnsi="宋体" w:cs="宋体"/>
                <w:color w:val="auto"/>
                <w:spacing w:val="0"/>
                <w:sz w:val="24"/>
                <w:szCs w:val="24"/>
                <w:highlight w:val="none"/>
              </w:rPr>
            </w:pPr>
            <w:r>
              <w:rPr>
                <w:rFonts w:hAnsi="宋体" w:cs="宋体"/>
                <w:color w:val="auto"/>
                <w:spacing w:val="0"/>
                <w:sz w:val="24"/>
                <w:szCs w:val="24"/>
                <w:highlight w:val="none"/>
              </w:rPr>
              <w:t>7.1终身提供技术服务、技术支持。</w:t>
            </w:r>
          </w:p>
          <w:p w14:paraId="3F336C47">
            <w:pPr>
              <w:pStyle w:val="16"/>
              <w:spacing w:line="300" w:lineRule="auto"/>
              <w:ind w:firstLine="0"/>
              <w:rPr>
                <w:rFonts w:hint="default" w:hAnsi="宋体" w:cs="宋体"/>
                <w:color w:val="auto"/>
                <w:spacing w:val="0"/>
                <w:sz w:val="24"/>
                <w:szCs w:val="24"/>
                <w:highlight w:val="none"/>
              </w:rPr>
            </w:pPr>
            <w:r>
              <w:rPr>
                <w:rFonts w:hAnsi="宋体" w:cs="宋体"/>
                <w:color w:val="auto"/>
                <w:spacing w:val="0"/>
                <w:sz w:val="24"/>
                <w:szCs w:val="24"/>
                <w:highlight w:val="none"/>
              </w:rPr>
              <w:t>7.2在质保期内，供应商应对货物出现的质量及安全问题负责处理解决并承担一切费用。</w:t>
            </w:r>
          </w:p>
          <w:p w14:paraId="40981732">
            <w:pPr>
              <w:pStyle w:val="16"/>
              <w:spacing w:line="300" w:lineRule="auto"/>
              <w:ind w:firstLine="0"/>
              <w:rPr>
                <w:rFonts w:hint="default" w:hAnsi="宋体" w:cs="宋体"/>
                <w:color w:val="auto"/>
                <w:spacing w:val="0"/>
                <w:sz w:val="24"/>
                <w:szCs w:val="24"/>
                <w:highlight w:val="none"/>
              </w:rPr>
            </w:pPr>
            <w:r>
              <w:rPr>
                <w:rFonts w:hAnsi="宋体" w:cs="宋体"/>
                <w:color w:val="auto"/>
                <w:spacing w:val="0"/>
                <w:sz w:val="24"/>
                <w:szCs w:val="24"/>
                <w:highlight w:val="none"/>
              </w:rPr>
              <w:t>7.3质保期内因不能排除的故障而影响工作的情况每发生一次，其质保期相应延长30天，因货物本身缺陷造成各种故障应由中标人予以更换且不另行支付费用，否则采购人有权按照“违约责任”条款的约定要求中标人承担相应违约责任；</w:t>
            </w:r>
          </w:p>
          <w:p w14:paraId="2BF37D9D">
            <w:pPr>
              <w:pStyle w:val="16"/>
              <w:spacing w:line="300" w:lineRule="auto"/>
              <w:ind w:firstLine="0"/>
              <w:rPr>
                <w:rFonts w:hint="default" w:hAnsi="宋体" w:cs="宋体"/>
                <w:color w:val="auto"/>
                <w:spacing w:val="0"/>
                <w:sz w:val="24"/>
                <w:szCs w:val="24"/>
                <w:highlight w:val="none"/>
              </w:rPr>
            </w:pPr>
            <w:r>
              <w:rPr>
                <w:rFonts w:hAnsi="宋体" w:cs="宋体"/>
                <w:color w:val="auto"/>
                <w:spacing w:val="0"/>
                <w:sz w:val="24"/>
                <w:szCs w:val="24"/>
                <w:highlight w:val="none"/>
              </w:rPr>
              <w:t>7.4质保期内出现无法排除的故障，供应商需无条件更换同型号产品。</w:t>
            </w:r>
          </w:p>
          <w:p w14:paraId="16730F92">
            <w:pPr>
              <w:pStyle w:val="16"/>
              <w:spacing w:line="300" w:lineRule="auto"/>
              <w:ind w:firstLine="0"/>
              <w:rPr>
                <w:rFonts w:hint="default" w:hAnsi="宋体" w:cs="宋体"/>
                <w:color w:val="auto"/>
                <w:spacing w:val="0"/>
                <w:sz w:val="24"/>
                <w:szCs w:val="24"/>
                <w:highlight w:val="none"/>
              </w:rPr>
            </w:pPr>
            <w:r>
              <w:rPr>
                <w:rFonts w:hAnsi="宋体" w:cs="宋体"/>
                <w:color w:val="auto"/>
                <w:spacing w:val="0"/>
                <w:sz w:val="24"/>
                <w:szCs w:val="24"/>
                <w:highlight w:val="none"/>
              </w:rPr>
              <w:t>7.5质保期过后，厂商终身维护，并提供成本价零配件，人工差旅费等费用在报价时综合考虑，成交后采购人不再另行支付。</w:t>
            </w:r>
          </w:p>
          <w:p w14:paraId="63BE3052">
            <w:pPr>
              <w:pStyle w:val="16"/>
              <w:spacing w:line="300" w:lineRule="auto"/>
              <w:ind w:firstLine="0"/>
              <w:rPr>
                <w:rFonts w:hint="default" w:hAnsi="宋体" w:cs="宋体"/>
                <w:color w:val="auto"/>
                <w:spacing w:val="0"/>
                <w:sz w:val="24"/>
                <w:szCs w:val="24"/>
                <w:highlight w:val="none"/>
              </w:rPr>
            </w:pPr>
            <w:r>
              <w:rPr>
                <w:rFonts w:hAnsi="宋体" w:cs="宋体"/>
                <w:color w:val="auto"/>
                <w:spacing w:val="0"/>
                <w:sz w:val="24"/>
                <w:szCs w:val="24"/>
                <w:highlight w:val="none"/>
              </w:rPr>
              <w:t>7.6因人为因素出现的故障不在保修范围内。</w:t>
            </w:r>
          </w:p>
          <w:p w14:paraId="16E5963D">
            <w:pPr>
              <w:pStyle w:val="16"/>
              <w:spacing w:line="300" w:lineRule="auto"/>
              <w:ind w:firstLine="0"/>
              <w:rPr>
                <w:rFonts w:hint="default" w:hAnsi="宋体" w:cs="宋体"/>
                <w:color w:val="auto"/>
                <w:spacing w:val="0"/>
                <w:sz w:val="24"/>
                <w:szCs w:val="24"/>
                <w:highlight w:val="none"/>
              </w:rPr>
            </w:pPr>
            <w:r>
              <w:rPr>
                <w:rFonts w:hAnsi="宋体" w:cs="宋体"/>
                <w:color w:val="auto"/>
                <w:spacing w:val="0"/>
                <w:sz w:val="24"/>
                <w:szCs w:val="24"/>
                <w:highlight w:val="none"/>
              </w:rPr>
              <w:t>7.7提供设备配套软件终身升级服务，相关费用在报价中综合考虑，成交后采购人不再另行支付。</w:t>
            </w:r>
          </w:p>
          <w:p w14:paraId="198625BD">
            <w:pPr>
              <w:pStyle w:val="16"/>
              <w:spacing w:line="300" w:lineRule="auto"/>
              <w:ind w:firstLine="0"/>
              <w:rPr>
                <w:rFonts w:hint="default" w:hAnsi="宋体" w:cs="宋体"/>
                <w:color w:val="auto"/>
                <w:spacing w:val="0"/>
                <w:sz w:val="24"/>
                <w:szCs w:val="24"/>
                <w:highlight w:val="none"/>
              </w:rPr>
            </w:pPr>
            <w:r>
              <w:rPr>
                <w:rFonts w:hAnsi="宋体" w:cs="宋体"/>
                <w:color w:val="auto"/>
                <w:spacing w:val="0"/>
                <w:sz w:val="24"/>
                <w:szCs w:val="24"/>
                <w:highlight w:val="none"/>
              </w:rPr>
              <w:t>7.8如在使用过程中发生质量问题，</w:t>
            </w:r>
          </w:p>
          <w:p w14:paraId="3CF16979">
            <w:pPr>
              <w:pStyle w:val="16"/>
              <w:spacing w:line="300" w:lineRule="auto"/>
              <w:ind w:firstLine="0"/>
              <w:rPr>
                <w:rFonts w:hint="default" w:hAnsi="宋体" w:cs="宋体"/>
                <w:color w:val="auto"/>
                <w:spacing w:val="0"/>
                <w:sz w:val="24"/>
                <w:szCs w:val="24"/>
                <w:highlight w:val="none"/>
              </w:rPr>
            </w:pPr>
            <w:r>
              <w:rPr>
                <w:rFonts w:hAnsi="宋体" w:cs="宋体"/>
                <w:color w:val="auto"/>
                <w:spacing w:val="0"/>
                <w:sz w:val="24"/>
                <w:szCs w:val="24"/>
                <w:highlight w:val="none"/>
              </w:rPr>
              <w:t>电话技术支持时间：2小时以内；</w:t>
            </w:r>
          </w:p>
          <w:p w14:paraId="7CCF8ECB">
            <w:pPr>
              <w:pStyle w:val="16"/>
              <w:spacing w:line="300" w:lineRule="auto"/>
              <w:ind w:firstLine="0"/>
              <w:rPr>
                <w:rFonts w:hint="default" w:hAnsi="宋体" w:cs="宋体"/>
                <w:color w:val="auto"/>
                <w:spacing w:val="0"/>
                <w:sz w:val="24"/>
                <w:szCs w:val="24"/>
                <w:highlight w:val="none"/>
              </w:rPr>
            </w:pPr>
            <w:r>
              <w:rPr>
                <w:rFonts w:hAnsi="宋体" w:cs="宋体"/>
                <w:color w:val="auto"/>
                <w:spacing w:val="0"/>
                <w:sz w:val="24"/>
                <w:szCs w:val="24"/>
                <w:highlight w:val="none"/>
              </w:rPr>
              <w:t>若需上门维修，则在：48小时内到达现场并进行维修。</w:t>
            </w:r>
          </w:p>
        </w:tc>
      </w:tr>
      <w:tr w14:paraId="244E2F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82" w:hRule="atLeast"/>
          <w:jc w:val="center"/>
        </w:trPr>
        <w:tc>
          <w:tcPr>
            <w:tcW w:w="1739" w:type="dxa"/>
            <w:tcBorders>
              <w:top w:val="single" w:color="auto" w:sz="4" w:space="0"/>
              <w:left w:val="single" w:color="auto" w:sz="4" w:space="0"/>
              <w:bottom w:val="single" w:color="auto" w:sz="4" w:space="0"/>
              <w:right w:val="single" w:color="auto" w:sz="4" w:space="0"/>
            </w:tcBorders>
            <w:vAlign w:val="center"/>
          </w:tcPr>
          <w:p w14:paraId="2CA9AA91">
            <w:pPr>
              <w:spacing w:line="300" w:lineRule="auto"/>
              <w:jc w:val="center"/>
              <w:rPr>
                <w:rFonts w:hint="default" w:ascii="宋体" w:hAnsi="宋体" w:cs="宋体"/>
                <w:color w:val="auto"/>
                <w:sz w:val="24"/>
                <w:szCs w:val="24"/>
                <w:highlight w:val="none"/>
              </w:rPr>
            </w:pPr>
            <w:r>
              <w:rPr>
                <w:rFonts w:hAnsi="宋体" w:cs="宋体"/>
                <w:color w:val="auto"/>
                <w:sz w:val="24"/>
                <w:szCs w:val="24"/>
                <w:highlight w:val="none"/>
              </w:rPr>
              <w:t>8.培训</w:t>
            </w:r>
          </w:p>
        </w:tc>
        <w:tc>
          <w:tcPr>
            <w:tcW w:w="8406" w:type="dxa"/>
            <w:tcBorders>
              <w:top w:val="single" w:color="auto" w:sz="4" w:space="0"/>
              <w:left w:val="single" w:color="auto" w:sz="4" w:space="0"/>
              <w:bottom w:val="single" w:color="auto" w:sz="4" w:space="0"/>
              <w:right w:val="single" w:color="auto" w:sz="4" w:space="0"/>
            </w:tcBorders>
            <w:vAlign w:val="center"/>
          </w:tcPr>
          <w:p w14:paraId="6030502F">
            <w:pPr>
              <w:pStyle w:val="16"/>
              <w:spacing w:line="300" w:lineRule="auto"/>
              <w:ind w:firstLine="0"/>
              <w:rPr>
                <w:rFonts w:hint="default" w:hAnsi="宋体" w:cs="宋体"/>
                <w:color w:val="auto"/>
                <w:spacing w:val="0"/>
                <w:sz w:val="24"/>
                <w:szCs w:val="24"/>
                <w:highlight w:val="none"/>
              </w:rPr>
            </w:pPr>
            <w:r>
              <w:rPr>
                <w:rFonts w:hAnsi="宋体" w:cs="宋体"/>
                <w:color w:val="auto"/>
                <w:spacing w:val="0"/>
                <w:sz w:val="24"/>
                <w:szCs w:val="24"/>
                <w:highlight w:val="none"/>
              </w:rPr>
              <w:t>8.1中标人应对采购人的操作人员、维修人员免费进行培训，直至能够熟练操作为止；</w:t>
            </w:r>
          </w:p>
          <w:p w14:paraId="541514C4">
            <w:pPr>
              <w:pStyle w:val="16"/>
              <w:spacing w:line="300" w:lineRule="auto"/>
              <w:ind w:firstLine="0"/>
              <w:rPr>
                <w:rFonts w:hint="default" w:hAnsi="宋体" w:cs="宋体"/>
                <w:color w:val="auto"/>
                <w:spacing w:val="0"/>
                <w:sz w:val="24"/>
                <w:szCs w:val="24"/>
                <w:highlight w:val="none"/>
              </w:rPr>
            </w:pPr>
            <w:r>
              <w:rPr>
                <w:rFonts w:hAnsi="宋体" w:cs="宋体"/>
                <w:color w:val="auto"/>
                <w:spacing w:val="0"/>
                <w:sz w:val="24"/>
                <w:szCs w:val="24"/>
                <w:highlight w:val="none"/>
              </w:rPr>
              <w:t>8.2中标人应提供相应的培训计划；</w:t>
            </w:r>
          </w:p>
          <w:p w14:paraId="27401083">
            <w:pPr>
              <w:pStyle w:val="16"/>
              <w:spacing w:line="300" w:lineRule="auto"/>
              <w:ind w:firstLine="0"/>
              <w:rPr>
                <w:rFonts w:hint="default" w:hAnsi="宋体" w:cs="宋体"/>
                <w:color w:val="auto"/>
                <w:spacing w:val="0"/>
                <w:sz w:val="24"/>
                <w:szCs w:val="24"/>
                <w:highlight w:val="none"/>
              </w:rPr>
            </w:pPr>
            <w:r>
              <w:rPr>
                <w:rFonts w:hAnsi="宋体" w:cs="宋体"/>
                <w:color w:val="auto"/>
                <w:spacing w:val="0"/>
                <w:sz w:val="24"/>
                <w:szCs w:val="24"/>
                <w:highlight w:val="none"/>
              </w:rPr>
              <w:t>8.3投标人应对上述内容的实现方式、地点、人数、时间在投标文件中详细说明。</w:t>
            </w:r>
          </w:p>
        </w:tc>
      </w:tr>
      <w:tr w14:paraId="36232F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302" w:hRule="atLeast"/>
          <w:jc w:val="center"/>
        </w:trPr>
        <w:tc>
          <w:tcPr>
            <w:tcW w:w="1739" w:type="dxa"/>
            <w:tcBorders>
              <w:top w:val="single" w:color="auto" w:sz="4" w:space="0"/>
              <w:left w:val="single" w:color="auto" w:sz="4" w:space="0"/>
              <w:bottom w:val="single" w:color="auto" w:sz="4" w:space="0"/>
              <w:right w:val="single" w:color="auto" w:sz="4" w:space="0"/>
            </w:tcBorders>
            <w:vAlign w:val="center"/>
          </w:tcPr>
          <w:p w14:paraId="39ED852F">
            <w:pPr>
              <w:spacing w:line="300" w:lineRule="auto"/>
              <w:jc w:val="center"/>
              <w:rPr>
                <w:rFonts w:hint="default" w:hAnsi="宋体" w:cs="宋体"/>
                <w:color w:val="auto"/>
                <w:sz w:val="24"/>
                <w:szCs w:val="24"/>
                <w:highlight w:val="none"/>
              </w:rPr>
            </w:pPr>
            <w:r>
              <w:rPr>
                <w:rFonts w:hAnsi="宋体" w:cs="宋体"/>
                <w:color w:val="auto"/>
                <w:sz w:val="24"/>
                <w:szCs w:val="24"/>
                <w:highlight w:val="none"/>
              </w:rPr>
              <w:t>9.报价</w:t>
            </w:r>
          </w:p>
        </w:tc>
        <w:tc>
          <w:tcPr>
            <w:tcW w:w="8406" w:type="dxa"/>
            <w:tcBorders>
              <w:top w:val="single" w:color="auto" w:sz="4" w:space="0"/>
              <w:left w:val="single" w:color="auto" w:sz="4" w:space="0"/>
              <w:bottom w:val="single" w:color="auto" w:sz="4" w:space="0"/>
              <w:right w:val="single" w:color="auto" w:sz="4" w:space="0"/>
            </w:tcBorders>
            <w:vAlign w:val="center"/>
          </w:tcPr>
          <w:p w14:paraId="31C60CA8">
            <w:pPr>
              <w:pStyle w:val="16"/>
              <w:spacing w:line="300" w:lineRule="auto"/>
              <w:ind w:firstLine="0"/>
              <w:rPr>
                <w:rFonts w:hint="default" w:hAnsi="宋体" w:cs="宋体"/>
                <w:color w:val="auto"/>
                <w:spacing w:val="0"/>
                <w:sz w:val="24"/>
                <w:szCs w:val="24"/>
                <w:highlight w:val="none"/>
              </w:rPr>
            </w:pPr>
            <w:r>
              <w:rPr>
                <w:rFonts w:hAnsi="宋体" w:cs="宋体"/>
                <w:color w:val="auto"/>
                <w:spacing w:val="0"/>
                <w:sz w:val="24"/>
                <w:szCs w:val="24"/>
                <w:highlight w:val="none"/>
              </w:rPr>
              <w:t>请响应投标人将有关本项目所需的所有费用在报价中充分考虑，合理、理性、谨慎地报价，中标后采购人不再另行支付，成交投标人亦不得以任何理由要求增加费用。</w:t>
            </w:r>
          </w:p>
        </w:tc>
      </w:tr>
    </w:tbl>
    <w:p w14:paraId="7EB51F0A">
      <w:pPr>
        <w:pStyle w:val="36"/>
        <w:spacing w:before="0" w:beforeAutospacing="0" w:after="0" w:afterAutospacing="0" w:line="360" w:lineRule="auto"/>
        <w:rPr>
          <w:rFonts w:hint="default" w:ascii="Times New Roman" w:hAnsi="Times New Roman"/>
          <w:b/>
          <w:bCs/>
          <w:color w:val="auto"/>
          <w:szCs w:val="24"/>
          <w:highlight w:val="none"/>
        </w:rPr>
      </w:pPr>
      <w:r>
        <w:rPr>
          <w:rFonts w:ascii="Times New Roman" w:hAnsi="Times New Roman"/>
          <w:b/>
          <w:bCs/>
          <w:color w:val="auto"/>
          <w:szCs w:val="24"/>
          <w:highlight w:val="none"/>
        </w:rPr>
        <w:t>其他未尽事宜详见第五章 合同主要条款。</w:t>
      </w:r>
    </w:p>
    <w:p w14:paraId="28762066">
      <w:pPr>
        <w:pStyle w:val="6"/>
        <w:tabs>
          <w:tab w:val="left" w:pos="1050"/>
        </w:tabs>
        <w:adjustRightInd w:val="0"/>
        <w:snapToGrid w:val="0"/>
        <w:spacing w:beforeLines="0" w:afterLines="0" w:line="360" w:lineRule="auto"/>
        <w:jc w:val="center"/>
        <w:outlineLvl w:val="0"/>
        <w:rPr>
          <w:rFonts w:ascii="Times New Roman" w:hAnsi="Times New Roman"/>
          <w:b/>
          <w:color w:val="auto"/>
          <w:sz w:val="36"/>
          <w:szCs w:val="36"/>
          <w:highlight w:val="none"/>
        </w:rPr>
        <w:sectPr>
          <w:pgSz w:w="11906" w:h="16838"/>
          <w:pgMar w:top="1134" w:right="1247" w:bottom="1247" w:left="1304" w:header="794" w:footer="794" w:gutter="0"/>
          <w:cols w:space="720" w:num="1"/>
          <w:docGrid w:linePitch="312" w:charSpace="0"/>
        </w:sectPr>
      </w:pPr>
      <w:bookmarkStart w:id="68" w:name="_Toc15889"/>
    </w:p>
    <w:p w14:paraId="484B253E">
      <w:pPr>
        <w:pStyle w:val="6"/>
        <w:tabs>
          <w:tab w:val="left" w:pos="1050"/>
        </w:tabs>
        <w:adjustRightInd w:val="0"/>
        <w:snapToGrid w:val="0"/>
        <w:spacing w:beforeLines="0" w:afterLines="0" w:line="360" w:lineRule="auto"/>
        <w:jc w:val="center"/>
        <w:outlineLvl w:val="0"/>
        <w:rPr>
          <w:rFonts w:ascii="Times New Roman" w:hAnsi="Times New Roman"/>
          <w:b/>
          <w:color w:val="auto"/>
          <w:sz w:val="36"/>
          <w:szCs w:val="36"/>
          <w:highlight w:val="none"/>
        </w:rPr>
      </w:pPr>
      <w:r>
        <w:rPr>
          <w:rFonts w:ascii="Times New Roman" w:hAnsi="Times New Roman"/>
          <w:b/>
          <w:color w:val="auto"/>
          <w:sz w:val="36"/>
          <w:szCs w:val="36"/>
          <w:highlight w:val="none"/>
        </w:rPr>
        <w:t xml:space="preserve">第五章 </w:t>
      </w:r>
      <w:bookmarkEnd w:id="68"/>
      <w:r>
        <w:rPr>
          <w:rFonts w:ascii="Times New Roman" w:hAnsi="Times New Roman"/>
          <w:b/>
          <w:color w:val="auto"/>
          <w:sz w:val="36"/>
          <w:szCs w:val="36"/>
          <w:highlight w:val="none"/>
        </w:rPr>
        <w:t>合同主要条款</w:t>
      </w:r>
    </w:p>
    <w:p w14:paraId="651C510C">
      <w:pPr>
        <w:spacing w:line="360" w:lineRule="auto"/>
        <w:jc w:val="center"/>
        <w:outlineLvl w:val="1"/>
        <w:rPr>
          <w:rFonts w:hint="default" w:ascii="宋体" w:hAnsi="宋体" w:cs="宋体"/>
          <w:color w:val="auto"/>
          <w:spacing w:val="-6"/>
          <w:sz w:val="24"/>
          <w:szCs w:val="24"/>
          <w:highlight w:val="none"/>
        </w:rPr>
      </w:pPr>
      <w:bookmarkStart w:id="69" w:name="_Toc2160"/>
      <w:r>
        <w:rPr>
          <w:rFonts w:ascii="宋体" w:hAnsi="宋体" w:cs="宋体"/>
          <w:b/>
          <w:color w:val="auto"/>
          <w:spacing w:val="-6"/>
          <w:sz w:val="24"/>
          <w:szCs w:val="24"/>
          <w:highlight w:val="none"/>
        </w:rPr>
        <w:t>浙江工业大学采购合同（国产设备）</w:t>
      </w:r>
    </w:p>
    <w:p w14:paraId="6272D4B8">
      <w:pPr>
        <w:spacing w:line="360" w:lineRule="auto"/>
        <w:jc w:val="center"/>
        <w:rPr>
          <w:rFonts w:hint="default" w:ascii="宋体" w:hAnsi="宋体" w:cs="宋体"/>
          <w:color w:val="auto"/>
          <w:spacing w:val="-6"/>
          <w:sz w:val="24"/>
          <w:szCs w:val="24"/>
          <w:highlight w:val="none"/>
        </w:rPr>
      </w:pPr>
      <w:bookmarkStart w:id="70" w:name="_Hlk117088475"/>
      <w:r>
        <w:rPr>
          <w:rFonts w:ascii="宋体" w:hAnsi="宋体" w:cs="宋体"/>
          <w:color w:val="auto"/>
          <w:spacing w:val="-6"/>
          <w:szCs w:val="21"/>
          <w:highlight w:val="none"/>
        </w:rPr>
        <w:t>（本合同为合同样稿，最终稿由甲乙丙三方协商后确定，合同实质性内容不得更改；签订合同时删除此行）</w:t>
      </w:r>
    </w:p>
    <w:bookmarkEnd w:id="70"/>
    <w:p w14:paraId="3F90A066">
      <w:pPr>
        <w:spacing w:line="360" w:lineRule="auto"/>
        <w:ind w:firstLine="4560" w:firstLineChars="1900"/>
        <w:rPr>
          <w:rFonts w:hint="eastAsia" w:ascii="宋体" w:hAnsi="宋体" w:eastAsia="宋体" w:cs="宋体"/>
          <w:color w:val="auto"/>
          <w:sz w:val="24"/>
          <w:szCs w:val="24"/>
          <w:highlight w:val="none"/>
          <w:lang w:eastAsia="zh-CN"/>
        </w:rPr>
      </w:pPr>
      <w:r>
        <w:rPr>
          <w:rFonts w:ascii="宋体" w:hAnsi="宋体" w:cs="宋体"/>
          <w:color w:val="auto"/>
          <w:sz w:val="24"/>
          <w:szCs w:val="24"/>
          <w:highlight w:val="none"/>
        </w:rPr>
        <w:t>项目编号：</w:t>
      </w:r>
      <w:r>
        <w:rPr>
          <w:rFonts w:hint="eastAsia" w:ascii="宋体" w:hAnsi="宋体" w:cs="宋体"/>
          <w:color w:val="auto"/>
          <w:sz w:val="24"/>
          <w:szCs w:val="24"/>
          <w:highlight w:val="none"/>
          <w:lang w:eastAsia="zh-CN"/>
        </w:rPr>
        <w:t>HSZB-2024-972</w:t>
      </w:r>
    </w:p>
    <w:p w14:paraId="31690596">
      <w:pPr>
        <w:spacing w:line="360" w:lineRule="auto"/>
        <w:ind w:firstLine="4560" w:firstLineChars="1900"/>
        <w:jc w:val="left"/>
        <w:rPr>
          <w:rFonts w:hint="eastAsia" w:ascii="宋体" w:hAnsi="宋体" w:eastAsia="宋体" w:cs="宋体"/>
          <w:color w:val="auto"/>
          <w:sz w:val="24"/>
          <w:szCs w:val="24"/>
          <w:highlight w:val="none"/>
          <w:lang w:val="en-US" w:eastAsia="zh-CN"/>
        </w:rPr>
      </w:pPr>
      <w:r>
        <w:rPr>
          <w:rFonts w:ascii="宋体" w:hAnsi="宋体" w:cs="宋体"/>
          <w:color w:val="auto"/>
          <w:sz w:val="24"/>
          <w:szCs w:val="24"/>
          <w:highlight w:val="none"/>
        </w:rPr>
        <w:t>确认书号：[2024]63181</w:t>
      </w:r>
      <w:r>
        <w:rPr>
          <w:rFonts w:hint="eastAsia" w:ascii="宋体" w:hAnsi="宋体" w:cs="宋体"/>
          <w:color w:val="auto"/>
          <w:sz w:val="24"/>
          <w:szCs w:val="24"/>
          <w:highlight w:val="none"/>
          <w:lang w:val="en-US" w:eastAsia="zh-CN"/>
        </w:rPr>
        <w:t>号</w:t>
      </w:r>
      <w:r>
        <w:rPr>
          <w:rFonts w:hint="eastAsia" w:ascii="宋体" w:hAnsi="宋体" w:cs="宋体"/>
          <w:color w:val="auto"/>
          <w:sz w:val="24"/>
          <w:szCs w:val="24"/>
          <w:highlight w:val="none"/>
        </w:rPr>
        <w:t>，</w:t>
      </w:r>
      <w:r>
        <w:rPr>
          <w:rFonts w:ascii="宋体" w:hAnsi="宋体" w:cs="宋体"/>
          <w:color w:val="auto"/>
          <w:sz w:val="24"/>
          <w:szCs w:val="24"/>
          <w:highlight w:val="none"/>
        </w:rPr>
        <w:t>[2024]63655</w:t>
      </w:r>
      <w:r>
        <w:rPr>
          <w:rFonts w:hint="eastAsia" w:ascii="宋体" w:hAnsi="宋体" w:cs="宋体"/>
          <w:color w:val="auto"/>
          <w:sz w:val="24"/>
          <w:szCs w:val="24"/>
          <w:highlight w:val="none"/>
          <w:lang w:val="en-US" w:eastAsia="zh-CN"/>
        </w:rPr>
        <w:t>号</w:t>
      </w:r>
    </w:p>
    <w:p w14:paraId="53B9E170">
      <w:pPr>
        <w:spacing w:line="360" w:lineRule="auto"/>
        <w:ind w:firstLine="4560" w:firstLineChars="1900"/>
        <w:jc w:val="left"/>
        <w:rPr>
          <w:rFonts w:hint="eastAsia" w:ascii="宋体" w:hAnsi="宋体" w:eastAsia="宋体" w:cs="宋体"/>
          <w:color w:val="auto"/>
          <w:sz w:val="24"/>
          <w:szCs w:val="24"/>
          <w:highlight w:val="none"/>
          <w:lang w:eastAsia="zh-CN"/>
        </w:rPr>
      </w:pPr>
      <w:r>
        <w:rPr>
          <w:rFonts w:ascii="宋体" w:hAnsi="宋体" w:cs="宋体"/>
          <w:color w:val="auto"/>
          <w:sz w:val="24"/>
          <w:szCs w:val="24"/>
          <w:highlight w:val="none"/>
        </w:rPr>
        <w:t>委托编号：</w:t>
      </w:r>
      <w:r>
        <w:rPr>
          <w:rFonts w:hint="eastAsia" w:ascii="宋体" w:hAnsi="宋体" w:cs="宋体"/>
          <w:color w:val="auto"/>
          <w:sz w:val="24"/>
          <w:szCs w:val="24"/>
          <w:highlight w:val="none"/>
        </w:rPr>
        <w:t>ZJGDZC（W)-2024-HS</w:t>
      </w:r>
      <w:r>
        <w:rPr>
          <w:rFonts w:ascii="宋体" w:hAnsi="宋体" w:cs="宋体"/>
          <w:color w:val="auto"/>
          <w:sz w:val="24"/>
          <w:szCs w:val="24"/>
          <w:highlight w:val="none"/>
        </w:rPr>
        <w:t>042</w:t>
      </w:r>
    </w:p>
    <w:p w14:paraId="5EB3DD5F">
      <w:pPr>
        <w:spacing w:line="360" w:lineRule="auto"/>
        <w:ind w:firstLine="480" w:firstLineChars="200"/>
        <w:rPr>
          <w:rFonts w:hint="eastAsia" w:ascii="宋体" w:hAnsi="宋体" w:eastAsia="宋体" w:cs="宋体"/>
          <w:color w:val="auto"/>
          <w:sz w:val="24"/>
          <w:szCs w:val="24"/>
          <w:highlight w:val="none"/>
          <w:lang w:eastAsia="zh-CN"/>
        </w:rPr>
      </w:pPr>
      <w:r>
        <w:rPr>
          <w:rFonts w:ascii="宋体" w:hAnsi="宋体" w:cs="宋体"/>
          <w:color w:val="auto"/>
          <w:sz w:val="24"/>
          <w:szCs w:val="24"/>
          <w:highlight w:val="none"/>
        </w:rPr>
        <w:t>项目名称：</w:t>
      </w:r>
      <w:r>
        <w:rPr>
          <w:rFonts w:hint="eastAsia" w:ascii="宋体" w:hAnsi="宋体" w:cs="宋体"/>
          <w:color w:val="auto"/>
          <w:sz w:val="24"/>
          <w:szCs w:val="24"/>
          <w:highlight w:val="none"/>
          <w:lang w:eastAsia="zh-CN"/>
        </w:rPr>
        <w:t>浙江工业大学制备液相色谱仪等采购</w:t>
      </w:r>
    </w:p>
    <w:p w14:paraId="6B7AFAAA">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甲方（采购方）：浙江工业大学</w:t>
      </w:r>
    </w:p>
    <w:p w14:paraId="4DE81CEE">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乙方（供应方）：</w:t>
      </w:r>
    </w:p>
    <w:p w14:paraId="3040B841">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丙方（使用方）：</w:t>
      </w:r>
    </w:p>
    <w:p w14:paraId="6E75F3EE">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采购代理机构（鉴证方）：浙江豪圣建设项目管理有限公司</w:t>
      </w:r>
    </w:p>
    <w:p w14:paraId="3C3804D8">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甲、乙、丙三方根据浙江豪圣建设项目管理有限公司关于</w:t>
      </w:r>
      <w:r>
        <w:rPr>
          <w:rFonts w:hint="eastAsia" w:ascii="宋体" w:hAnsi="宋体" w:cs="宋体"/>
          <w:color w:val="auto"/>
          <w:sz w:val="24"/>
          <w:szCs w:val="24"/>
          <w:highlight w:val="none"/>
          <w:lang w:eastAsia="zh-CN"/>
        </w:rPr>
        <w:t>浙江工业大学制备液相色谱仪等采购</w:t>
      </w:r>
      <w:r>
        <w:rPr>
          <w:rFonts w:ascii="宋体" w:hAnsi="宋体" w:cs="宋体"/>
          <w:color w:val="auto"/>
          <w:sz w:val="24"/>
          <w:szCs w:val="24"/>
          <w:highlight w:val="none"/>
        </w:rPr>
        <w:t>项目公开招标的结果，签署本合同。</w:t>
      </w:r>
    </w:p>
    <w:p w14:paraId="0D4D7F2D">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一、货物内容</w:t>
      </w:r>
    </w:p>
    <w:p w14:paraId="26328BEB">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乙方保证本合同中所供应的国产商品是2024年</w:t>
      </w:r>
      <w:r>
        <w:rPr>
          <w:rFonts w:ascii="宋体" w:hAnsi="宋体" w:cs="宋体"/>
          <w:color w:val="auto"/>
          <w:sz w:val="24"/>
          <w:szCs w:val="24"/>
          <w:highlight w:val="none"/>
          <w:u w:val="single"/>
        </w:rPr>
        <w:t xml:space="preserve">   </w:t>
      </w:r>
      <w:r>
        <w:rPr>
          <w:rFonts w:ascii="宋体" w:hAnsi="宋体" w:cs="宋体"/>
          <w:color w:val="auto"/>
          <w:sz w:val="24"/>
          <w:szCs w:val="24"/>
          <w:highlight w:val="none"/>
        </w:rPr>
        <w:t>月</w:t>
      </w:r>
      <w:r>
        <w:rPr>
          <w:rFonts w:ascii="宋体" w:hAnsi="宋体" w:cs="宋体"/>
          <w:color w:val="auto"/>
          <w:sz w:val="24"/>
          <w:szCs w:val="24"/>
          <w:highlight w:val="none"/>
          <w:u w:val="single"/>
        </w:rPr>
        <w:t xml:space="preserve">   </w:t>
      </w:r>
      <w:r>
        <w:rPr>
          <w:rFonts w:ascii="宋体" w:hAnsi="宋体" w:cs="宋体"/>
          <w:color w:val="auto"/>
          <w:sz w:val="24"/>
          <w:szCs w:val="24"/>
          <w:highlight w:val="none"/>
        </w:rPr>
        <w:t>日以后生产的符合国家技术规格和质量标准的出厂原装合格产品。如发生所供商品与合同不符，甲方有权拒收或退货，由此产生的一切责任和后果由乙方承担。</w:t>
      </w:r>
    </w:p>
    <w:p w14:paraId="31D1300A">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1.货物名称：</w:t>
      </w:r>
    </w:p>
    <w:p w14:paraId="4AF8522E">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2.型号规格：</w:t>
      </w:r>
    </w:p>
    <w:p w14:paraId="08E67A8F">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3.技术参数：</w:t>
      </w:r>
    </w:p>
    <w:p w14:paraId="278DAC3C">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4.数量（单位）：</w:t>
      </w:r>
    </w:p>
    <w:p w14:paraId="235C84C3">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（注：商品型号、数量、配置等要求等详见附件清单）</w:t>
      </w:r>
    </w:p>
    <w:p w14:paraId="7687553A">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二、合同金额</w:t>
      </w:r>
    </w:p>
    <w:p w14:paraId="7FA16FAB">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本合同金额为人民币（大写）</w:t>
      </w:r>
      <w:r>
        <w:rPr>
          <w:rFonts w:ascii="宋体" w:hAnsi="宋体" w:cs="宋体"/>
          <w:color w:val="auto"/>
          <w:sz w:val="24"/>
          <w:szCs w:val="24"/>
          <w:highlight w:val="none"/>
          <w:u w:val="single"/>
        </w:rPr>
        <w:t xml:space="preserve">          </w:t>
      </w:r>
      <w:r>
        <w:rPr>
          <w:rFonts w:ascii="宋体" w:hAnsi="宋体" w:cs="宋体"/>
          <w:color w:val="auto"/>
          <w:sz w:val="24"/>
          <w:szCs w:val="24"/>
          <w:highlight w:val="none"/>
        </w:rPr>
        <w:t>元（¥</w:t>
      </w:r>
      <w:r>
        <w:rPr>
          <w:rFonts w:ascii="宋体" w:hAnsi="宋体" w:cs="宋体"/>
          <w:color w:val="auto"/>
          <w:sz w:val="24"/>
          <w:szCs w:val="24"/>
          <w:highlight w:val="none"/>
          <w:u w:val="single"/>
        </w:rPr>
        <w:t xml:space="preserve">          </w:t>
      </w:r>
      <w:r>
        <w:rPr>
          <w:rFonts w:ascii="宋体" w:hAnsi="宋体" w:cs="宋体"/>
          <w:color w:val="auto"/>
          <w:sz w:val="24"/>
          <w:szCs w:val="24"/>
          <w:highlight w:val="none"/>
        </w:rPr>
        <w:t>）</w:t>
      </w:r>
    </w:p>
    <w:p w14:paraId="171E7782">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注：以上合同总价包括运抵各使用单位的运费及安装调试费等相关费用。</w:t>
      </w:r>
    </w:p>
    <w:p w14:paraId="3E1FD220">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三、技术资料</w:t>
      </w:r>
    </w:p>
    <w:p w14:paraId="56E7E7C5">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1.乙方应向丙方提供使用货物的有关技术资料。</w:t>
      </w:r>
    </w:p>
    <w:p w14:paraId="537B25AB">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5CDC559C">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四、知识产权</w:t>
      </w:r>
    </w:p>
    <w:p w14:paraId="083EF776">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乙方应保证所提供的货物或其任何一部分均不会侵犯任何第三方的知识产权。</w:t>
      </w:r>
    </w:p>
    <w:p w14:paraId="4AA72737">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五、产权担保</w:t>
      </w:r>
    </w:p>
    <w:p w14:paraId="40DBF63A">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乙方保证所交付的货物所有权完全属于乙方且无任何抵押、查封等产权瑕疵。</w:t>
      </w:r>
    </w:p>
    <w:p w14:paraId="2053B327">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六、履约保证金</w:t>
      </w:r>
    </w:p>
    <w:p w14:paraId="2286F27D">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1.比例：合同金额的1%，即人民币（大写）</w:t>
      </w:r>
      <w:r>
        <w:rPr>
          <w:rFonts w:ascii="宋体" w:hAnsi="宋体" w:cs="宋体"/>
          <w:color w:val="auto"/>
          <w:sz w:val="24"/>
          <w:szCs w:val="24"/>
          <w:highlight w:val="none"/>
          <w:u w:val="single"/>
        </w:rPr>
        <w:t xml:space="preserve">          </w:t>
      </w:r>
      <w:r>
        <w:rPr>
          <w:rFonts w:ascii="宋体" w:hAnsi="宋体" w:cs="宋体"/>
          <w:color w:val="auto"/>
          <w:sz w:val="24"/>
          <w:szCs w:val="24"/>
          <w:highlight w:val="none"/>
        </w:rPr>
        <w:t>元（¥</w:t>
      </w:r>
      <w:r>
        <w:rPr>
          <w:rFonts w:ascii="宋体" w:hAnsi="宋体" w:cs="宋体"/>
          <w:color w:val="auto"/>
          <w:sz w:val="24"/>
          <w:szCs w:val="24"/>
          <w:highlight w:val="none"/>
          <w:u w:val="single"/>
        </w:rPr>
        <w:t xml:space="preserve">          </w:t>
      </w:r>
      <w:r>
        <w:rPr>
          <w:rFonts w:ascii="宋体" w:hAnsi="宋体" w:cs="宋体"/>
          <w:color w:val="auto"/>
          <w:sz w:val="24"/>
          <w:szCs w:val="24"/>
          <w:highlight w:val="none"/>
        </w:rPr>
        <w:t>）。</w:t>
      </w:r>
    </w:p>
    <w:p w14:paraId="50B886BF">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2.提交方式：支票、汇票、本票或者金融机构、担保机构出具的保函等非现金形式。</w:t>
      </w:r>
    </w:p>
    <w:p w14:paraId="7CB1B9ED">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3.提交时间：收到甲方发出的签订合同要约后7天内。</w:t>
      </w:r>
    </w:p>
    <w:p w14:paraId="625CF89E">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4.退还时间及条件：合同履约期间无违约情形的，项目经校级验收合格后甲方财务部门及时无息退还。如校级验收未通过，履约保证金不予退还。</w:t>
      </w:r>
    </w:p>
    <w:p w14:paraId="69FC003B">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七、转包或分包</w:t>
      </w:r>
    </w:p>
    <w:p w14:paraId="3CCD8040">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1.本合同范围的货物，应由乙方直接供应，不得转让他人供应。</w:t>
      </w:r>
    </w:p>
    <w:p w14:paraId="463EF4E5">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2.除非得到甲方的书面同意，乙方不得将本合同范围的货物全部或部分分包给他人供应。</w:t>
      </w:r>
    </w:p>
    <w:p w14:paraId="624B5D26">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3.如有转让和未经甲方同意的分包行为，甲方有权解除合同，并追究乙方的违约责任。</w:t>
      </w:r>
    </w:p>
    <w:p w14:paraId="7DF344E4">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八、交货期、交货方式及交货地点</w:t>
      </w:r>
    </w:p>
    <w:p w14:paraId="2536B0D0">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1.交货期：</w:t>
      </w:r>
    </w:p>
    <w:p w14:paraId="59F30DC1">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2.交货方式：</w:t>
      </w:r>
    </w:p>
    <w:p w14:paraId="2CC1DCD6">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3.交货地点：浙江工业大学丙方指定地点</w:t>
      </w:r>
    </w:p>
    <w:p w14:paraId="11B4B9B7">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九、货款支付</w:t>
      </w:r>
    </w:p>
    <w:p w14:paraId="6BA21417">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1.付款方式：合同生效以及具备实施条件后7个工作日内，甲方向乙方支付合同总价的40%作为预付款，合同货物送达丙方指定地点，安装调试成功并经校级验收合格且收到乙方开具的增值税专用发票后，甲方于7个工作日内向乙方支付剩余合同价款。</w:t>
      </w:r>
    </w:p>
    <w:p w14:paraId="5974A8F9">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备注：在签订合同时，乙方明确表示无需预付款或主动要求降低预付款比例的，可降低预付款比例。</w:t>
      </w:r>
    </w:p>
    <w:p w14:paraId="69D38C73">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2.当采购数量与实际使用数量不一致时，乙方应根据实际使用量供货，合同的最终结算金额按实际使用量乘以合同单价进行计算。</w:t>
      </w:r>
    </w:p>
    <w:p w14:paraId="43FD4839">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十、税费</w:t>
      </w:r>
    </w:p>
    <w:p w14:paraId="11149186">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本合同执行中相关的一切税费均由乙方负担。</w:t>
      </w:r>
    </w:p>
    <w:p w14:paraId="35AABC9A">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十一、质量保证及售后服务</w:t>
      </w:r>
    </w:p>
    <w:p w14:paraId="3056917F">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1.乙方应按</w:t>
      </w:r>
      <w:bookmarkStart w:id="71" w:name="_Hlk117089330"/>
      <w:r>
        <w:rPr>
          <w:rFonts w:ascii="宋体" w:hAnsi="宋体" w:cs="宋体"/>
          <w:color w:val="auto"/>
          <w:sz w:val="24"/>
          <w:szCs w:val="24"/>
          <w:highlight w:val="none"/>
        </w:rPr>
        <w:t>合同附件</w:t>
      </w:r>
      <w:bookmarkEnd w:id="71"/>
      <w:r>
        <w:rPr>
          <w:rFonts w:ascii="宋体" w:hAnsi="宋体" w:cs="宋体"/>
          <w:color w:val="auto"/>
          <w:sz w:val="24"/>
          <w:szCs w:val="24"/>
          <w:highlight w:val="none"/>
        </w:rPr>
        <w:t>规定的货物性能、技术要求、质量标准向丙方提供未经使用的全新产品。</w:t>
      </w:r>
    </w:p>
    <w:p w14:paraId="52A33677">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2.乙方提供的货物在质保期内因货物本身的质量问题发生故障，乙方应负责免费维修更换。</w:t>
      </w:r>
    </w:p>
    <w:p w14:paraId="6717CD7B">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3.如在使用过程中发生质量问题，乙方在接到丙方通知后，</w:t>
      </w:r>
      <w:r>
        <w:rPr>
          <w:rFonts w:ascii="宋体" w:hAnsi="宋体" w:cs="宋体"/>
          <w:color w:val="auto"/>
          <w:sz w:val="24"/>
          <w:szCs w:val="24"/>
          <w:highlight w:val="none"/>
          <w:u w:val="single"/>
        </w:rPr>
        <w:t xml:space="preserve">   </w:t>
      </w:r>
      <w:r>
        <w:rPr>
          <w:rFonts w:ascii="宋体" w:hAnsi="宋体" w:cs="宋体"/>
          <w:color w:val="auto"/>
          <w:sz w:val="24"/>
          <w:szCs w:val="24"/>
          <w:highlight w:val="none"/>
        </w:rPr>
        <w:t>小时内到达丙方现场予以维修服务。</w:t>
      </w:r>
    </w:p>
    <w:p w14:paraId="444143FB">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4.在质保期内，乙方应对货物出现的质量及安全问题负责处理解决并承担一切费用。</w:t>
      </w:r>
    </w:p>
    <w:p w14:paraId="5450648C">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5.货物的质保期为</w:t>
      </w:r>
      <w:r>
        <w:rPr>
          <w:rFonts w:ascii="宋体" w:hAnsi="宋体" w:cs="宋体"/>
          <w:color w:val="auto"/>
          <w:sz w:val="24"/>
          <w:szCs w:val="24"/>
          <w:highlight w:val="none"/>
          <w:u w:val="single"/>
        </w:rPr>
        <w:t xml:space="preserve">   </w:t>
      </w:r>
      <w:r>
        <w:rPr>
          <w:rFonts w:ascii="宋体" w:hAnsi="宋体" w:cs="宋体"/>
          <w:color w:val="auto"/>
          <w:sz w:val="24"/>
          <w:szCs w:val="24"/>
          <w:highlight w:val="none"/>
        </w:rPr>
        <w:t>年（项目经校级验收合格后开始计算），因人为因素出现的故障不在免费保修范围内。超过质保期的货物，终身维修，维修时只收部件成本费。</w:t>
      </w:r>
    </w:p>
    <w:p w14:paraId="1BF35AA4">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十二、调试和验收</w:t>
      </w:r>
    </w:p>
    <w:p w14:paraId="7A1C9371">
      <w:pPr>
        <w:spacing w:line="360" w:lineRule="auto"/>
        <w:ind w:firstLine="480" w:firstLineChars="200"/>
        <w:rPr>
          <w:rFonts w:hint="default" w:ascii="宋体" w:hAnsi="宋体" w:cs="宋体"/>
          <w:color w:val="auto"/>
          <w:sz w:val="24"/>
          <w:szCs w:val="24"/>
          <w:highlight w:val="none"/>
        </w:rPr>
      </w:pPr>
      <w:bookmarkStart w:id="72" w:name="_Hlk117089422"/>
      <w:r>
        <w:rPr>
          <w:rFonts w:ascii="宋体" w:hAnsi="宋体" w:cs="宋体"/>
          <w:color w:val="auto"/>
          <w:sz w:val="24"/>
          <w:szCs w:val="24"/>
          <w:highlight w:val="none"/>
        </w:rPr>
        <w:t>1.丙方对乙方提交的货物依据合同附件中的技术规格要求和国家有关质量标准进行现场初步验收，外观、说明书符合合同附件技术要求的，给予签收，初步验收不合格的不予签收。货到后，丙方需在五个工作日内组织初验收。</w:t>
      </w:r>
    </w:p>
    <w:bookmarkEnd w:id="72"/>
    <w:p w14:paraId="661F8229">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2.乙方交货前应对产品作出全面检查和对验收文件进行整理，并列出清单，作为丙方收货验收和使用的技术条件依据，检验的结果应随货物交丙方。</w:t>
      </w:r>
    </w:p>
    <w:p w14:paraId="6FEA3A37">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3.丙方对乙方提供的货物在使用前进行调试时，乙方需负责安装并培训丙方的使用操作人员，并协助丙方一起调试，直到符合技术要求，甲方才做最终验收。对技术复杂的货物，甲方有权邀请国家认可的专业检测机构参与初步验收及最终验收，并由其出具质量检测报告。验收时乙方必须在现场，验收完毕后作出验收结果报告；检测及验收费用全部由乙方负责。</w:t>
      </w:r>
    </w:p>
    <w:p w14:paraId="05C82509">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十三、货物包装、发运及运输</w:t>
      </w:r>
    </w:p>
    <w:p w14:paraId="243E3731">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1.乙方应在货物发运前对其进行满足运输距离、防潮、防震、防锈和防破损装卸等要求包装，以保证货物安全运达丙方指定地点。</w:t>
      </w:r>
    </w:p>
    <w:p w14:paraId="61B5BF25">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2.使用说明书、质量检验证明书、随配附件和工具以及清单一并附于货物内。</w:t>
      </w:r>
    </w:p>
    <w:p w14:paraId="629C0093">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3.乙方在货物发运手续办理完毕后二十四小时内，或者货到丙方四十八小时前通知甲方，以准备接货。</w:t>
      </w:r>
    </w:p>
    <w:p w14:paraId="58C5015F">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4.货物在交付丙方前发生的风险均由乙方负责。</w:t>
      </w:r>
    </w:p>
    <w:p w14:paraId="61BF2262">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5.货物在规定的交付期限内由乙方送达丙方指定的地点视为交付，乙方同时需通知丙方货物已送达。</w:t>
      </w:r>
    </w:p>
    <w:p w14:paraId="6B7F4CB1">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十四、违约责任</w:t>
      </w:r>
    </w:p>
    <w:p w14:paraId="20458CAB">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1.甲方无正当理由拒收货物的，甲方向乙方偿付拒收货款总值的百分之十的违约金。</w:t>
      </w:r>
    </w:p>
    <w:p w14:paraId="4C378558">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2.甲方无故逾期验收和办理货款支付手续的,甲方应按逾期付款总额每日万分之五向乙方支付违约金。</w:t>
      </w:r>
    </w:p>
    <w:p w14:paraId="7342FF86">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3.乙方逾期交付货物的，乙方应按逾期交货总额每日千分之六向甲方支付违约金，由甲方从待付货款中扣除。逾期超过约定日期十个工作日不能交货的，甲方可解除本合同。乙方因逾期交货或因其他违约行为导致甲方解除合同的，乙方应向甲方支付合同总值百分之十的违约金，如造成甲方损失超过违约金的，超出部分由乙方继续承担赔偿责任。</w:t>
      </w:r>
    </w:p>
    <w:p w14:paraId="587DF1C8">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4.乙方所交的货物品种、型号、规格、技术参数、质量不符合合同规定及招投标文件规定标准的，丙方有权拒收该货物，乙方愿意更换货物但逾期交货的，按乙方逾期交货处理。乙方拒绝更换货物的，甲方可单方面解除合同并没收履约保证金；若履约保证金不足以弥补甲方因乙方违约所受的损失，则还有权要求乙方赔偿不足部分。</w:t>
      </w:r>
    </w:p>
    <w:p w14:paraId="2DD5B113">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十五、不可抗力事件处理</w:t>
      </w:r>
    </w:p>
    <w:p w14:paraId="73658A5B">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1.在合同有效期内，任何一方因不可抗力事件导致不能履行合同，则合同履行期可延长，其延长期与不可抗力影响期相同。</w:t>
      </w:r>
    </w:p>
    <w:p w14:paraId="7E93556D">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2.不可抗力事件发生后，应立即通知对方，并寄送有关权威机构出具的证明。</w:t>
      </w:r>
    </w:p>
    <w:p w14:paraId="1B6337FA">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3.不可抗力事件延续一百二十天以上，</w:t>
      </w:r>
      <w:r>
        <w:rPr>
          <w:rFonts w:hint="eastAsia" w:ascii="宋体" w:hAnsi="宋体" w:cs="宋体"/>
          <w:color w:val="auto"/>
          <w:sz w:val="24"/>
          <w:szCs w:val="24"/>
          <w:highlight w:val="none"/>
          <w:lang w:val="en-US" w:eastAsia="zh-CN"/>
        </w:rPr>
        <w:t>甲乙</w:t>
      </w:r>
      <w:r>
        <w:rPr>
          <w:rFonts w:ascii="宋体" w:hAnsi="宋体" w:cs="宋体"/>
          <w:color w:val="auto"/>
          <w:sz w:val="24"/>
          <w:szCs w:val="24"/>
          <w:highlight w:val="none"/>
        </w:rPr>
        <w:t>双方应通过友好协商，确定是否继续履行合同。</w:t>
      </w:r>
    </w:p>
    <w:p w14:paraId="6FD3B72B">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十六、争议的解决</w:t>
      </w:r>
    </w:p>
    <w:p w14:paraId="6416AFF7">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双方在执行合同中所发生的一切争议，通过协商解决。如协商不成，由杭州仲裁委员会按该会仲裁规则裁决。</w:t>
      </w:r>
    </w:p>
    <w:p w14:paraId="3F443B48">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十七、合同生效及其它</w:t>
      </w:r>
    </w:p>
    <w:p w14:paraId="454ECADD">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1.合同经四方法定代表人或授权代表签字并加盖单位公章后生效。</w:t>
      </w:r>
    </w:p>
    <w:p w14:paraId="1CEECC3E">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2.合同执行中涉及采购资金和采购内容修改或补充的，须经财政部门审批，并签书面补充协议报政府采购监督管理部门备案，方可作为主合同不可分割的一部分。</w:t>
      </w:r>
    </w:p>
    <w:p w14:paraId="60F60AA4">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3.本合同未尽事宜，甲乙丙三方协商一致可以另行签订补充协议解决，或者遵照《中华人民共和国民法典》有关条文执行。</w:t>
      </w:r>
    </w:p>
    <w:p w14:paraId="066A3BEE">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4.本合同正本一式柒份，具有同等法律效力，甲乙丙三方各执贰份，采购代理机构执壹份。</w:t>
      </w:r>
    </w:p>
    <w:p w14:paraId="53982E6A">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5.本合同附件及招标文件、投标文件、书面澄清（承诺）等系本合同的组成部分。</w:t>
      </w:r>
    </w:p>
    <w:p w14:paraId="65DAE9D7">
      <w:pPr>
        <w:pStyle w:val="50"/>
        <w:spacing w:line="360" w:lineRule="auto"/>
        <w:jc w:val="center"/>
        <w:rPr>
          <w:rFonts w:ascii="宋体" w:hAnsi="宋体" w:eastAsia="宋体" w:cs="宋体"/>
          <w:b/>
          <w:bCs/>
          <w:color w:val="auto"/>
          <w:highlight w:val="none"/>
        </w:rPr>
      </w:pPr>
    </w:p>
    <w:p w14:paraId="7983EDC0">
      <w:pPr>
        <w:pStyle w:val="50"/>
        <w:spacing w:line="360" w:lineRule="auto"/>
        <w:jc w:val="center"/>
        <w:rPr>
          <w:rFonts w:ascii="宋体" w:hAnsi="宋体" w:eastAsia="宋体" w:cs="宋体"/>
          <w:b/>
          <w:bCs/>
          <w:color w:val="auto"/>
          <w:highlight w:val="none"/>
        </w:rPr>
      </w:pPr>
      <w:r>
        <w:rPr>
          <w:rFonts w:hint="eastAsia" w:ascii="宋体" w:hAnsi="宋体" w:eastAsia="宋体" w:cs="宋体"/>
          <w:b/>
          <w:bCs/>
          <w:color w:val="auto"/>
          <w:highlight w:val="none"/>
        </w:rPr>
        <w:t>下无正文</w:t>
      </w:r>
    </w:p>
    <w:tbl>
      <w:tblPr>
        <w:tblStyle w:val="41"/>
        <w:tblW w:w="9630" w:type="dxa"/>
        <w:jc w:val="center"/>
        <w:tblLayout w:type="fixed"/>
        <w:tblCellMar>
          <w:top w:w="0" w:type="dxa"/>
          <w:left w:w="108" w:type="dxa"/>
          <w:bottom w:w="0" w:type="dxa"/>
          <w:right w:w="108" w:type="dxa"/>
        </w:tblCellMar>
      </w:tblPr>
      <w:tblGrid>
        <w:gridCol w:w="4815"/>
        <w:gridCol w:w="4815"/>
      </w:tblGrid>
      <w:tr w14:paraId="0AB5C26D">
        <w:tblPrEx>
          <w:tblCellMar>
            <w:top w:w="0" w:type="dxa"/>
            <w:left w:w="108" w:type="dxa"/>
            <w:bottom w:w="0" w:type="dxa"/>
            <w:right w:w="108" w:type="dxa"/>
          </w:tblCellMar>
        </w:tblPrEx>
        <w:trPr>
          <w:trHeight w:val="340" w:hRule="atLeast"/>
          <w:jc w:val="center"/>
        </w:trPr>
        <w:tc>
          <w:tcPr>
            <w:tcW w:w="4815" w:type="dxa"/>
            <w:vAlign w:val="center"/>
          </w:tcPr>
          <w:p w14:paraId="7EECDC19">
            <w:pPr>
              <w:spacing w:line="360" w:lineRule="auto"/>
              <w:rPr>
                <w:rFonts w:hint="default" w:ascii="宋体" w:hAnsi="宋体" w:cs="宋体"/>
                <w:b/>
                <w:bCs/>
                <w:color w:val="auto"/>
                <w:sz w:val="24"/>
                <w:szCs w:val="24"/>
                <w:highlight w:val="none"/>
              </w:rPr>
            </w:pPr>
            <w:bookmarkStart w:id="73" w:name="_Hlk155252416"/>
            <w:r>
              <w:rPr>
                <w:rFonts w:ascii="宋体" w:hAnsi="宋体" w:cs="宋体"/>
                <w:b/>
                <w:bCs/>
                <w:color w:val="auto"/>
                <w:sz w:val="24"/>
                <w:szCs w:val="24"/>
                <w:highlight w:val="none"/>
              </w:rPr>
              <w:t>甲方（盖章）：</w:t>
            </w:r>
          </w:p>
        </w:tc>
        <w:tc>
          <w:tcPr>
            <w:tcW w:w="4815" w:type="dxa"/>
            <w:vAlign w:val="center"/>
          </w:tcPr>
          <w:p w14:paraId="42E7DEE2">
            <w:pPr>
              <w:spacing w:line="360" w:lineRule="auto"/>
              <w:rPr>
                <w:rFonts w:hint="default" w:ascii="宋体" w:hAnsi="宋体" w:cs="宋体"/>
                <w:b/>
                <w:bCs/>
                <w:color w:val="auto"/>
                <w:sz w:val="24"/>
                <w:szCs w:val="24"/>
                <w:highlight w:val="none"/>
              </w:rPr>
            </w:pPr>
            <w:r>
              <w:rPr>
                <w:rFonts w:ascii="宋体" w:hAnsi="宋体" w:cs="宋体"/>
                <w:b/>
                <w:bCs/>
                <w:color w:val="auto"/>
                <w:sz w:val="24"/>
                <w:szCs w:val="24"/>
                <w:highlight w:val="none"/>
              </w:rPr>
              <w:t>乙方（盖章）：</w:t>
            </w:r>
          </w:p>
        </w:tc>
      </w:tr>
      <w:tr w14:paraId="01CEDA8F">
        <w:tblPrEx>
          <w:tblCellMar>
            <w:top w:w="0" w:type="dxa"/>
            <w:left w:w="108" w:type="dxa"/>
            <w:bottom w:w="0" w:type="dxa"/>
            <w:right w:w="108" w:type="dxa"/>
          </w:tblCellMar>
        </w:tblPrEx>
        <w:trPr>
          <w:trHeight w:val="340" w:hRule="atLeast"/>
          <w:jc w:val="center"/>
        </w:trPr>
        <w:tc>
          <w:tcPr>
            <w:tcW w:w="4815" w:type="dxa"/>
            <w:vAlign w:val="center"/>
          </w:tcPr>
          <w:p w14:paraId="426E8E82">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法定代表人或受委托人：</w:t>
            </w:r>
          </w:p>
          <w:p w14:paraId="764C0990">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（签字）</w:t>
            </w:r>
          </w:p>
        </w:tc>
        <w:tc>
          <w:tcPr>
            <w:tcW w:w="4815" w:type="dxa"/>
            <w:vAlign w:val="center"/>
          </w:tcPr>
          <w:p w14:paraId="79371F64">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法定代表人或受委托人：</w:t>
            </w:r>
          </w:p>
          <w:p w14:paraId="0A8F66E6">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（签字）</w:t>
            </w:r>
          </w:p>
        </w:tc>
      </w:tr>
      <w:tr w14:paraId="74D7FB2F">
        <w:tblPrEx>
          <w:tblCellMar>
            <w:top w:w="0" w:type="dxa"/>
            <w:left w:w="108" w:type="dxa"/>
            <w:bottom w:w="0" w:type="dxa"/>
            <w:right w:w="108" w:type="dxa"/>
          </w:tblCellMar>
        </w:tblPrEx>
        <w:trPr>
          <w:trHeight w:val="340" w:hRule="atLeast"/>
          <w:jc w:val="center"/>
        </w:trPr>
        <w:tc>
          <w:tcPr>
            <w:tcW w:w="4815" w:type="dxa"/>
            <w:vAlign w:val="center"/>
          </w:tcPr>
          <w:p w14:paraId="55D47992">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地址：</w:t>
            </w:r>
          </w:p>
        </w:tc>
        <w:tc>
          <w:tcPr>
            <w:tcW w:w="4815" w:type="dxa"/>
            <w:vAlign w:val="center"/>
          </w:tcPr>
          <w:p w14:paraId="5755C48E">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地址：</w:t>
            </w:r>
          </w:p>
        </w:tc>
      </w:tr>
      <w:tr w14:paraId="60AF417D">
        <w:tblPrEx>
          <w:tblCellMar>
            <w:top w:w="0" w:type="dxa"/>
            <w:left w:w="108" w:type="dxa"/>
            <w:bottom w:w="0" w:type="dxa"/>
            <w:right w:w="108" w:type="dxa"/>
          </w:tblCellMar>
        </w:tblPrEx>
        <w:trPr>
          <w:trHeight w:val="340" w:hRule="atLeast"/>
          <w:jc w:val="center"/>
        </w:trPr>
        <w:tc>
          <w:tcPr>
            <w:tcW w:w="4815" w:type="dxa"/>
            <w:vAlign w:val="center"/>
          </w:tcPr>
          <w:p w14:paraId="69F4E510">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邮编：</w:t>
            </w:r>
          </w:p>
        </w:tc>
        <w:tc>
          <w:tcPr>
            <w:tcW w:w="4815" w:type="dxa"/>
            <w:vAlign w:val="center"/>
          </w:tcPr>
          <w:p w14:paraId="6632D5AD">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邮编：</w:t>
            </w:r>
          </w:p>
        </w:tc>
      </w:tr>
      <w:tr w14:paraId="60B15A02">
        <w:tblPrEx>
          <w:tblCellMar>
            <w:top w:w="0" w:type="dxa"/>
            <w:left w:w="108" w:type="dxa"/>
            <w:bottom w:w="0" w:type="dxa"/>
            <w:right w:w="108" w:type="dxa"/>
          </w:tblCellMar>
        </w:tblPrEx>
        <w:trPr>
          <w:trHeight w:val="340" w:hRule="atLeast"/>
          <w:jc w:val="center"/>
        </w:trPr>
        <w:tc>
          <w:tcPr>
            <w:tcW w:w="4815" w:type="dxa"/>
            <w:vAlign w:val="center"/>
          </w:tcPr>
          <w:p w14:paraId="5510410A">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电话：</w:t>
            </w:r>
          </w:p>
        </w:tc>
        <w:tc>
          <w:tcPr>
            <w:tcW w:w="4815" w:type="dxa"/>
            <w:vAlign w:val="center"/>
          </w:tcPr>
          <w:p w14:paraId="67BE6803">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电话：</w:t>
            </w:r>
          </w:p>
        </w:tc>
      </w:tr>
      <w:tr w14:paraId="078BB44A">
        <w:tblPrEx>
          <w:tblCellMar>
            <w:top w:w="0" w:type="dxa"/>
            <w:left w:w="108" w:type="dxa"/>
            <w:bottom w:w="0" w:type="dxa"/>
            <w:right w:w="108" w:type="dxa"/>
          </w:tblCellMar>
        </w:tblPrEx>
        <w:trPr>
          <w:trHeight w:val="340" w:hRule="atLeast"/>
          <w:jc w:val="center"/>
        </w:trPr>
        <w:tc>
          <w:tcPr>
            <w:tcW w:w="4815" w:type="dxa"/>
            <w:vAlign w:val="center"/>
          </w:tcPr>
          <w:p w14:paraId="5BFD4CD0">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传真：</w:t>
            </w:r>
          </w:p>
        </w:tc>
        <w:tc>
          <w:tcPr>
            <w:tcW w:w="4815" w:type="dxa"/>
            <w:vAlign w:val="center"/>
          </w:tcPr>
          <w:p w14:paraId="5D897F93">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传真：</w:t>
            </w:r>
          </w:p>
        </w:tc>
      </w:tr>
      <w:tr w14:paraId="6638D5C5">
        <w:tblPrEx>
          <w:tblCellMar>
            <w:top w:w="0" w:type="dxa"/>
            <w:left w:w="108" w:type="dxa"/>
            <w:bottom w:w="0" w:type="dxa"/>
            <w:right w:w="108" w:type="dxa"/>
          </w:tblCellMar>
        </w:tblPrEx>
        <w:trPr>
          <w:trHeight w:val="340" w:hRule="atLeast"/>
          <w:jc w:val="center"/>
        </w:trPr>
        <w:tc>
          <w:tcPr>
            <w:tcW w:w="4815" w:type="dxa"/>
            <w:vAlign w:val="center"/>
          </w:tcPr>
          <w:p w14:paraId="3BCDDD07">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开户银行：农业银行杭州朝晖支行</w:t>
            </w:r>
          </w:p>
        </w:tc>
        <w:tc>
          <w:tcPr>
            <w:tcW w:w="4815" w:type="dxa"/>
            <w:vAlign w:val="center"/>
          </w:tcPr>
          <w:p w14:paraId="33F1514E">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开户银行：（必填）</w:t>
            </w:r>
          </w:p>
        </w:tc>
      </w:tr>
      <w:tr w14:paraId="7DCDE98D">
        <w:tblPrEx>
          <w:tblCellMar>
            <w:top w:w="0" w:type="dxa"/>
            <w:left w:w="108" w:type="dxa"/>
            <w:bottom w:w="0" w:type="dxa"/>
            <w:right w:w="108" w:type="dxa"/>
          </w:tblCellMar>
        </w:tblPrEx>
        <w:trPr>
          <w:trHeight w:val="340" w:hRule="atLeast"/>
          <w:jc w:val="center"/>
        </w:trPr>
        <w:tc>
          <w:tcPr>
            <w:tcW w:w="4815" w:type="dxa"/>
            <w:vAlign w:val="center"/>
          </w:tcPr>
          <w:p w14:paraId="2022FF1C">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帐号：19015601040001412</w:t>
            </w:r>
          </w:p>
        </w:tc>
        <w:tc>
          <w:tcPr>
            <w:tcW w:w="4815" w:type="dxa"/>
            <w:vAlign w:val="center"/>
          </w:tcPr>
          <w:p w14:paraId="55B1CF6E">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帐号：（必填）</w:t>
            </w:r>
          </w:p>
        </w:tc>
      </w:tr>
      <w:tr w14:paraId="47E0A300">
        <w:tblPrEx>
          <w:tblCellMar>
            <w:top w:w="0" w:type="dxa"/>
            <w:left w:w="108" w:type="dxa"/>
            <w:bottom w:w="0" w:type="dxa"/>
            <w:right w:w="108" w:type="dxa"/>
          </w:tblCellMar>
        </w:tblPrEx>
        <w:trPr>
          <w:trHeight w:val="340" w:hRule="atLeast"/>
          <w:jc w:val="center"/>
        </w:trPr>
        <w:tc>
          <w:tcPr>
            <w:tcW w:w="9630" w:type="dxa"/>
            <w:gridSpan w:val="2"/>
            <w:vAlign w:val="center"/>
          </w:tcPr>
          <w:p w14:paraId="472BA5AF">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签约地点：浙江工业大学朝晖校区          签订时间：     年   月   日</w:t>
            </w:r>
          </w:p>
        </w:tc>
      </w:tr>
      <w:tr w14:paraId="621E4443">
        <w:tblPrEx>
          <w:tblCellMar>
            <w:top w:w="0" w:type="dxa"/>
            <w:left w:w="108" w:type="dxa"/>
            <w:bottom w:w="0" w:type="dxa"/>
            <w:right w:w="108" w:type="dxa"/>
          </w:tblCellMar>
        </w:tblPrEx>
        <w:trPr>
          <w:trHeight w:val="340" w:hRule="atLeast"/>
          <w:jc w:val="center"/>
        </w:trPr>
        <w:tc>
          <w:tcPr>
            <w:tcW w:w="4815" w:type="dxa"/>
            <w:vAlign w:val="center"/>
          </w:tcPr>
          <w:p w14:paraId="59195E10">
            <w:pPr>
              <w:spacing w:line="360" w:lineRule="auto"/>
              <w:rPr>
                <w:rFonts w:hint="default" w:ascii="宋体" w:hAnsi="宋体" w:cs="宋体"/>
                <w:b/>
                <w:bCs/>
                <w:color w:val="auto"/>
                <w:sz w:val="24"/>
                <w:szCs w:val="24"/>
                <w:highlight w:val="none"/>
              </w:rPr>
            </w:pPr>
            <w:r>
              <w:rPr>
                <w:rFonts w:ascii="宋体" w:hAnsi="宋体" w:cs="宋体"/>
                <w:b/>
                <w:bCs/>
                <w:color w:val="auto"/>
                <w:sz w:val="24"/>
                <w:szCs w:val="24"/>
                <w:highlight w:val="none"/>
              </w:rPr>
              <w:t>丙方（盖章）：</w:t>
            </w:r>
          </w:p>
        </w:tc>
        <w:tc>
          <w:tcPr>
            <w:tcW w:w="4815" w:type="dxa"/>
            <w:vAlign w:val="center"/>
          </w:tcPr>
          <w:p w14:paraId="6994BFC4">
            <w:pPr>
              <w:spacing w:line="360" w:lineRule="auto"/>
              <w:rPr>
                <w:rFonts w:hint="default" w:ascii="宋体" w:hAnsi="宋体" w:cs="宋体"/>
                <w:b/>
                <w:bCs/>
                <w:color w:val="auto"/>
                <w:sz w:val="24"/>
                <w:szCs w:val="24"/>
                <w:highlight w:val="none"/>
              </w:rPr>
            </w:pPr>
            <w:r>
              <w:rPr>
                <w:rFonts w:ascii="宋体" w:hAnsi="宋体" w:cs="宋体"/>
                <w:b/>
                <w:bCs/>
                <w:color w:val="auto"/>
                <w:sz w:val="24"/>
                <w:szCs w:val="24"/>
                <w:highlight w:val="none"/>
              </w:rPr>
              <w:t>鉴证方（盖章）：</w:t>
            </w:r>
          </w:p>
        </w:tc>
      </w:tr>
      <w:tr w14:paraId="7E60633C">
        <w:tblPrEx>
          <w:tblCellMar>
            <w:top w:w="0" w:type="dxa"/>
            <w:left w:w="108" w:type="dxa"/>
            <w:bottom w:w="0" w:type="dxa"/>
            <w:right w:w="108" w:type="dxa"/>
          </w:tblCellMar>
        </w:tblPrEx>
        <w:trPr>
          <w:trHeight w:val="340" w:hRule="atLeast"/>
          <w:jc w:val="center"/>
        </w:trPr>
        <w:tc>
          <w:tcPr>
            <w:tcW w:w="4815" w:type="dxa"/>
            <w:vAlign w:val="center"/>
          </w:tcPr>
          <w:p w14:paraId="78AE192A">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负责人：</w:t>
            </w:r>
          </w:p>
          <w:p w14:paraId="34F2D3D9">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（签字）</w:t>
            </w:r>
          </w:p>
        </w:tc>
        <w:tc>
          <w:tcPr>
            <w:tcW w:w="4815" w:type="dxa"/>
            <w:vAlign w:val="center"/>
          </w:tcPr>
          <w:p w14:paraId="114B2754">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法定代表人或受委托人：</w:t>
            </w:r>
          </w:p>
          <w:p w14:paraId="611F9FCC">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（签字）</w:t>
            </w:r>
          </w:p>
        </w:tc>
      </w:tr>
      <w:tr w14:paraId="1ED27EF4">
        <w:tblPrEx>
          <w:tblCellMar>
            <w:top w:w="0" w:type="dxa"/>
            <w:left w:w="108" w:type="dxa"/>
            <w:bottom w:w="0" w:type="dxa"/>
            <w:right w:w="108" w:type="dxa"/>
          </w:tblCellMar>
        </w:tblPrEx>
        <w:trPr>
          <w:trHeight w:val="340" w:hRule="atLeast"/>
          <w:jc w:val="center"/>
        </w:trPr>
        <w:tc>
          <w:tcPr>
            <w:tcW w:w="4815" w:type="dxa"/>
            <w:vAlign w:val="center"/>
          </w:tcPr>
          <w:p w14:paraId="5FB707B3">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地址：</w:t>
            </w:r>
          </w:p>
        </w:tc>
        <w:tc>
          <w:tcPr>
            <w:tcW w:w="4815" w:type="dxa"/>
            <w:vAlign w:val="center"/>
          </w:tcPr>
          <w:p w14:paraId="31AF8B1A">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 xml:space="preserve">地址： </w:t>
            </w:r>
          </w:p>
        </w:tc>
      </w:tr>
      <w:tr w14:paraId="215F5DBC">
        <w:tblPrEx>
          <w:tblCellMar>
            <w:top w:w="0" w:type="dxa"/>
            <w:left w:w="108" w:type="dxa"/>
            <w:bottom w:w="0" w:type="dxa"/>
            <w:right w:w="108" w:type="dxa"/>
          </w:tblCellMar>
        </w:tblPrEx>
        <w:trPr>
          <w:trHeight w:val="340" w:hRule="atLeast"/>
          <w:jc w:val="center"/>
        </w:trPr>
        <w:tc>
          <w:tcPr>
            <w:tcW w:w="4815" w:type="dxa"/>
            <w:vAlign w:val="center"/>
          </w:tcPr>
          <w:p w14:paraId="22B2AD7F">
            <w:pPr>
              <w:spacing w:line="360" w:lineRule="auto"/>
              <w:rPr>
                <w:rFonts w:hint="default" w:ascii="宋体" w:hAnsi="宋体" w:cs="宋体"/>
                <w:color w:val="auto"/>
                <w:sz w:val="24"/>
                <w:szCs w:val="24"/>
                <w:highlight w:val="none"/>
              </w:rPr>
            </w:pPr>
          </w:p>
        </w:tc>
        <w:tc>
          <w:tcPr>
            <w:tcW w:w="4815" w:type="dxa"/>
            <w:vAlign w:val="center"/>
          </w:tcPr>
          <w:p w14:paraId="00086B5C">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电话：</w:t>
            </w:r>
          </w:p>
        </w:tc>
      </w:tr>
      <w:tr w14:paraId="31ED62F6">
        <w:tblPrEx>
          <w:tblCellMar>
            <w:top w:w="0" w:type="dxa"/>
            <w:left w:w="108" w:type="dxa"/>
            <w:bottom w:w="0" w:type="dxa"/>
            <w:right w:w="108" w:type="dxa"/>
          </w:tblCellMar>
        </w:tblPrEx>
        <w:trPr>
          <w:trHeight w:val="340" w:hRule="atLeast"/>
          <w:jc w:val="center"/>
        </w:trPr>
        <w:tc>
          <w:tcPr>
            <w:tcW w:w="4815" w:type="dxa"/>
            <w:vAlign w:val="center"/>
          </w:tcPr>
          <w:p w14:paraId="5B0EF794">
            <w:pPr>
              <w:spacing w:line="360" w:lineRule="auto"/>
              <w:rPr>
                <w:rFonts w:hint="default" w:ascii="宋体" w:hAnsi="宋体" w:cs="宋体"/>
                <w:color w:val="auto"/>
                <w:sz w:val="24"/>
                <w:szCs w:val="24"/>
                <w:highlight w:val="none"/>
              </w:rPr>
            </w:pPr>
          </w:p>
        </w:tc>
        <w:tc>
          <w:tcPr>
            <w:tcW w:w="4815" w:type="dxa"/>
            <w:vAlign w:val="center"/>
          </w:tcPr>
          <w:p w14:paraId="0AE066CA">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鉴证时间：     年   月   日</w:t>
            </w:r>
          </w:p>
        </w:tc>
      </w:tr>
      <w:bookmarkEnd w:id="73"/>
    </w:tbl>
    <w:p w14:paraId="225CDDE5">
      <w:pPr>
        <w:rPr>
          <w:rFonts w:hint="default" w:ascii="仿宋" w:hAnsi="仿宋" w:eastAsia="仿宋" w:cs="仿宋"/>
          <w:color w:val="auto"/>
          <w:highlight w:val="none"/>
        </w:rPr>
      </w:pPr>
      <w:r>
        <w:rPr>
          <w:rFonts w:ascii="仿宋" w:hAnsi="仿宋" w:eastAsia="仿宋" w:cs="仿宋"/>
          <w:color w:val="auto"/>
          <w:highlight w:val="none"/>
        </w:rPr>
        <w:br w:type="page"/>
      </w:r>
    </w:p>
    <w:p w14:paraId="6E920EAA">
      <w:pPr>
        <w:spacing w:line="360" w:lineRule="auto"/>
        <w:jc w:val="center"/>
        <w:outlineLvl w:val="1"/>
        <w:rPr>
          <w:rFonts w:hint="default" w:ascii="宋体" w:hAnsi="宋体" w:cs="宋体"/>
          <w:color w:val="auto"/>
          <w:spacing w:val="-6"/>
          <w:sz w:val="24"/>
          <w:szCs w:val="24"/>
          <w:highlight w:val="none"/>
        </w:rPr>
      </w:pPr>
      <w:bookmarkStart w:id="74" w:name="_Hlk117088455"/>
      <w:r>
        <w:rPr>
          <w:rFonts w:ascii="宋体" w:hAnsi="宋体" w:cs="宋体"/>
          <w:b/>
          <w:color w:val="auto"/>
          <w:spacing w:val="-6"/>
          <w:sz w:val="24"/>
          <w:szCs w:val="24"/>
          <w:highlight w:val="none"/>
        </w:rPr>
        <w:t>浙江工业大学采购合同（进口设备）</w:t>
      </w:r>
    </w:p>
    <w:bookmarkEnd w:id="74"/>
    <w:p w14:paraId="33198D46">
      <w:pPr>
        <w:spacing w:line="360" w:lineRule="auto"/>
        <w:jc w:val="center"/>
        <w:rPr>
          <w:rFonts w:hint="default" w:ascii="宋体" w:hAnsi="宋体" w:cs="宋体"/>
          <w:color w:val="auto"/>
          <w:spacing w:val="-6"/>
          <w:szCs w:val="21"/>
          <w:highlight w:val="none"/>
        </w:rPr>
      </w:pPr>
      <w:r>
        <w:rPr>
          <w:rFonts w:ascii="宋体" w:hAnsi="宋体" w:cs="宋体"/>
          <w:color w:val="auto"/>
          <w:spacing w:val="-6"/>
          <w:szCs w:val="21"/>
          <w:highlight w:val="none"/>
        </w:rPr>
        <w:t>（本合同为合同样稿，最终稿由甲乙丙三方协商后确定，合同实质性内容不得更改；签订合同时删除此行）</w:t>
      </w:r>
    </w:p>
    <w:p w14:paraId="1051AA00">
      <w:pPr>
        <w:spacing w:line="360" w:lineRule="auto"/>
        <w:ind w:firstLine="4560" w:firstLineChars="1900"/>
        <w:rPr>
          <w:rFonts w:hint="eastAsia" w:ascii="宋体" w:hAnsi="宋体" w:eastAsia="宋体" w:cs="宋体"/>
          <w:color w:val="auto"/>
          <w:sz w:val="24"/>
          <w:szCs w:val="24"/>
          <w:highlight w:val="none"/>
          <w:lang w:eastAsia="zh-CN"/>
        </w:rPr>
      </w:pPr>
      <w:r>
        <w:rPr>
          <w:rFonts w:ascii="宋体" w:hAnsi="宋体" w:cs="宋体"/>
          <w:color w:val="auto"/>
          <w:sz w:val="24"/>
          <w:szCs w:val="24"/>
          <w:highlight w:val="none"/>
        </w:rPr>
        <w:t>项目编号：</w:t>
      </w:r>
      <w:r>
        <w:rPr>
          <w:rFonts w:hint="eastAsia" w:ascii="宋体" w:hAnsi="宋体" w:cs="宋体"/>
          <w:color w:val="auto"/>
          <w:sz w:val="24"/>
          <w:szCs w:val="24"/>
          <w:highlight w:val="none"/>
          <w:lang w:eastAsia="zh-CN"/>
        </w:rPr>
        <w:t>HSZB-2024-972</w:t>
      </w:r>
    </w:p>
    <w:p w14:paraId="5F76DC42">
      <w:pPr>
        <w:spacing w:line="360" w:lineRule="auto"/>
        <w:ind w:firstLine="4560" w:firstLineChars="1900"/>
        <w:jc w:val="left"/>
        <w:rPr>
          <w:rFonts w:hint="eastAsia" w:ascii="宋体" w:hAnsi="宋体" w:eastAsia="宋体" w:cs="宋体"/>
          <w:color w:val="auto"/>
          <w:sz w:val="24"/>
          <w:szCs w:val="24"/>
          <w:highlight w:val="none"/>
          <w:lang w:val="en-US" w:eastAsia="zh-CN"/>
        </w:rPr>
      </w:pPr>
      <w:r>
        <w:rPr>
          <w:rFonts w:ascii="宋体" w:hAnsi="宋体" w:cs="宋体"/>
          <w:color w:val="auto"/>
          <w:sz w:val="24"/>
          <w:szCs w:val="24"/>
          <w:highlight w:val="none"/>
        </w:rPr>
        <w:t>确认书号：[2024]63181</w:t>
      </w:r>
      <w:r>
        <w:rPr>
          <w:rFonts w:hint="eastAsia" w:ascii="宋体" w:hAnsi="宋体" w:cs="宋体"/>
          <w:color w:val="auto"/>
          <w:sz w:val="24"/>
          <w:szCs w:val="24"/>
          <w:highlight w:val="none"/>
          <w:lang w:val="en-US" w:eastAsia="zh-CN"/>
        </w:rPr>
        <w:t>号</w:t>
      </w:r>
      <w:r>
        <w:rPr>
          <w:rFonts w:hint="eastAsia" w:ascii="宋体" w:hAnsi="宋体" w:cs="宋体"/>
          <w:color w:val="auto"/>
          <w:sz w:val="24"/>
          <w:szCs w:val="24"/>
          <w:highlight w:val="none"/>
        </w:rPr>
        <w:t>，</w:t>
      </w:r>
      <w:r>
        <w:rPr>
          <w:rFonts w:ascii="宋体" w:hAnsi="宋体" w:cs="宋体"/>
          <w:color w:val="auto"/>
          <w:sz w:val="24"/>
          <w:szCs w:val="24"/>
          <w:highlight w:val="none"/>
        </w:rPr>
        <w:t>[2024]63655</w:t>
      </w:r>
      <w:r>
        <w:rPr>
          <w:rFonts w:hint="eastAsia" w:ascii="宋体" w:hAnsi="宋体" w:cs="宋体"/>
          <w:color w:val="auto"/>
          <w:sz w:val="24"/>
          <w:szCs w:val="24"/>
          <w:highlight w:val="none"/>
          <w:lang w:val="en-US" w:eastAsia="zh-CN"/>
        </w:rPr>
        <w:t>号</w:t>
      </w:r>
    </w:p>
    <w:p w14:paraId="335EF8CB">
      <w:pPr>
        <w:spacing w:line="360" w:lineRule="auto"/>
        <w:ind w:firstLine="4560" w:firstLineChars="1900"/>
        <w:jc w:val="left"/>
        <w:rPr>
          <w:rFonts w:hint="eastAsia" w:ascii="宋体" w:hAnsi="宋体" w:eastAsia="宋体" w:cs="宋体"/>
          <w:color w:val="auto"/>
          <w:sz w:val="24"/>
          <w:szCs w:val="24"/>
          <w:highlight w:val="none"/>
          <w:lang w:eastAsia="zh-CN"/>
        </w:rPr>
      </w:pPr>
      <w:r>
        <w:rPr>
          <w:rFonts w:ascii="宋体" w:hAnsi="宋体" w:cs="宋体"/>
          <w:color w:val="auto"/>
          <w:sz w:val="24"/>
          <w:szCs w:val="24"/>
          <w:highlight w:val="none"/>
        </w:rPr>
        <w:t>委托编号：</w:t>
      </w:r>
      <w:r>
        <w:rPr>
          <w:rFonts w:hint="eastAsia" w:ascii="宋体" w:hAnsi="宋体" w:cs="宋体"/>
          <w:color w:val="auto"/>
          <w:sz w:val="24"/>
          <w:szCs w:val="24"/>
          <w:highlight w:val="none"/>
        </w:rPr>
        <w:t>ZJGDZC（W)-2024-HS</w:t>
      </w:r>
      <w:r>
        <w:rPr>
          <w:rFonts w:ascii="宋体" w:hAnsi="宋体" w:cs="宋体"/>
          <w:color w:val="auto"/>
          <w:sz w:val="24"/>
          <w:szCs w:val="24"/>
          <w:highlight w:val="none"/>
        </w:rPr>
        <w:t>042</w:t>
      </w:r>
    </w:p>
    <w:p w14:paraId="079FE246">
      <w:pPr>
        <w:spacing w:line="360" w:lineRule="auto"/>
        <w:ind w:firstLine="480" w:firstLineChars="200"/>
        <w:rPr>
          <w:rFonts w:hint="eastAsia" w:ascii="宋体" w:hAnsi="宋体" w:eastAsia="宋体" w:cs="宋体"/>
          <w:color w:val="auto"/>
          <w:sz w:val="24"/>
          <w:szCs w:val="24"/>
          <w:highlight w:val="none"/>
          <w:lang w:eastAsia="zh-CN"/>
        </w:rPr>
      </w:pPr>
      <w:r>
        <w:rPr>
          <w:rFonts w:ascii="宋体" w:hAnsi="宋体" w:cs="宋体"/>
          <w:color w:val="auto"/>
          <w:sz w:val="24"/>
          <w:szCs w:val="24"/>
          <w:highlight w:val="none"/>
        </w:rPr>
        <w:t>项目名称：</w:t>
      </w:r>
      <w:r>
        <w:rPr>
          <w:rFonts w:hint="eastAsia" w:ascii="宋体" w:hAnsi="宋体" w:cs="宋体"/>
          <w:color w:val="auto"/>
          <w:sz w:val="24"/>
          <w:szCs w:val="24"/>
          <w:highlight w:val="none"/>
          <w:lang w:eastAsia="zh-CN"/>
        </w:rPr>
        <w:t>浙江工业大学制备液相色谱仪等采购</w:t>
      </w:r>
    </w:p>
    <w:p w14:paraId="66D13142">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甲方（采购方）：浙江工业大学</w:t>
      </w:r>
    </w:p>
    <w:p w14:paraId="62FCE1DC">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乙方（供应方）：</w:t>
      </w:r>
    </w:p>
    <w:p w14:paraId="657D82EF">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丙方（使用方）：</w:t>
      </w:r>
    </w:p>
    <w:p w14:paraId="3CB1D5D1">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采购代理机构（鉴证方）：浙江豪圣建设项目管理有限公司</w:t>
      </w:r>
    </w:p>
    <w:p w14:paraId="5E27E441">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甲、乙、丙三方根据浙江豪圣建设项目管理有限公司关于</w:t>
      </w:r>
      <w:r>
        <w:rPr>
          <w:rFonts w:hint="eastAsia" w:ascii="宋体" w:hAnsi="宋体" w:cs="宋体"/>
          <w:color w:val="auto"/>
          <w:sz w:val="24"/>
          <w:szCs w:val="24"/>
          <w:highlight w:val="none"/>
          <w:lang w:eastAsia="zh-CN"/>
        </w:rPr>
        <w:t>浙江工业大学制备液相色谱仪等采购</w:t>
      </w:r>
      <w:r>
        <w:rPr>
          <w:rFonts w:ascii="宋体" w:hAnsi="宋体" w:cs="宋体"/>
          <w:color w:val="auto"/>
          <w:sz w:val="24"/>
          <w:szCs w:val="24"/>
          <w:highlight w:val="none"/>
        </w:rPr>
        <w:t>项目公开招标的结果，签署本合同。</w:t>
      </w:r>
    </w:p>
    <w:p w14:paraId="5E489851">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一、货物内容</w:t>
      </w:r>
    </w:p>
    <w:p w14:paraId="46A3FC25">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乙方保证本合同中所供应的国产商品是2024年</w:t>
      </w:r>
      <w:r>
        <w:rPr>
          <w:rFonts w:ascii="宋体" w:hAnsi="宋体" w:cs="宋体"/>
          <w:color w:val="auto"/>
          <w:sz w:val="24"/>
          <w:szCs w:val="24"/>
          <w:highlight w:val="none"/>
          <w:u w:val="single"/>
        </w:rPr>
        <w:t xml:space="preserve">   </w:t>
      </w:r>
      <w:r>
        <w:rPr>
          <w:rFonts w:ascii="宋体" w:hAnsi="宋体" w:cs="宋体"/>
          <w:color w:val="auto"/>
          <w:sz w:val="24"/>
          <w:szCs w:val="24"/>
          <w:highlight w:val="none"/>
        </w:rPr>
        <w:t>月</w:t>
      </w:r>
      <w:r>
        <w:rPr>
          <w:rFonts w:ascii="宋体" w:hAnsi="宋体" w:cs="宋体"/>
          <w:color w:val="auto"/>
          <w:sz w:val="24"/>
          <w:szCs w:val="24"/>
          <w:highlight w:val="none"/>
          <w:u w:val="single"/>
        </w:rPr>
        <w:t xml:space="preserve">   </w:t>
      </w:r>
      <w:r>
        <w:rPr>
          <w:rFonts w:ascii="宋体" w:hAnsi="宋体" w:cs="宋体"/>
          <w:color w:val="auto"/>
          <w:sz w:val="24"/>
          <w:szCs w:val="24"/>
          <w:highlight w:val="none"/>
        </w:rPr>
        <w:t>日以后生产的符合国家技术规格和质量标准的出厂原装合格产品；进口商品是获得国家商检局颁布安全许可证的出厂原装合格产品。如发生所供商品与合同不符，甲方有权拒收或退货，由此产生的一切责任和后果由乙方承担。</w:t>
      </w:r>
    </w:p>
    <w:p w14:paraId="21531D34">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1.货物名称：</w:t>
      </w:r>
    </w:p>
    <w:p w14:paraId="5ED7B4D6">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2.型号规格：</w:t>
      </w:r>
    </w:p>
    <w:p w14:paraId="37A34630">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3.技术参数：</w:t>
      </w:r>
    </w:p>
    <w:p w14:paraId="7FF367A4">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4.数量（单位）：</w:t>
      </w:r>
    </w:p>
    <w:p w14:paraId="1FA0BCDE">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（注：商品型号、数量、配置等要求等详见附件清单）</w:t>
      </w:r>
    </w:p>
    <w:p w14:paraId="154922D0">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二、合同金额</w:t>
      </w:r>
    </w:p>
    <w:p w14:paraId="0C3DCB83">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本合同金额为人民币（大写）</w:t>
      </w:r>
      <w:r>
        <w:rPr>
          <w:rFonts w:ascii="宋体" w:hAnsi="宋体" w:cs="宋体"/>
          <w:color w:val="auto"/>
          <w:sz w:val="24"/>
          <w:szCs w:val="24"/>
          <w:highlight w:val="none"/>
          <w:u w:val="single"/>
        </w:rPr>
        <w:t xml:space="preserve">          </w:t>
      </w:r>
      <w:r>
        <w:rPr>
          <w:rFonts w:ascii="宋体" w:hAnsi="宋体" w:cs="宋体"/>
          <w:color w:val="auto"/>
          <w:sz w:val="24"/>
          <w:szCs w:val="24"/>
          <w:highlight w:val="none"/>
        </w:rPr>
        <w:t>元（¥</w:t>
      </w:r>
      <w:r>
        <w:rPr>
          <w:rFonts w:ascii="宋体" w:hAnsi="宋体" w:cs="宋体"/>
          <w:color w:val="auto"/>
          <w:sz w:val="24"/>
          <w:szCs w:val="24"/>
          <w:highlight w:val="none"/>
          <w:u w:val="single"/>
        </w:rPr>
        <w:t xml:space="preserve">          </w:t>
      </w:r>
      <w:r>
        <w:rPr>
          <w:rFonts w:ascii="宋体" w:hAnsi="宋体" w:cs="宋体"/>
          <w:color w:val="auto"/>
          <w:sz w:val="24"/>
          <w:szCs w:val="24"/>
          <w:highlight w:val="none"/>
        </w:rPr>
        <w:t>）</w:t>
      </w:r>
    </w:p>
    <w:p w14:paraId="4F03B8E4">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注：</w:t>
      </w:r>
    </w:p>
    <w:p w14:paraId="7434867D">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1.外贸代理费费率按</w:t>
      </w:r>
      <w:r>
        <w:rPr>
          <w:rFonts w:ascii="宋体" w:hAnsi="宋体" w:cs="宋体"/>
          <w:color w:val="auto"/>
          <w:sz w:val="24"/>
          <w:szCs w:val="24"/>
          <w:highlight w:val="none"/>
          <w:u w:val="single"/>
        </w:rPr>
        <w:t xml:space="preserve">   </w:t>
      </w:r>
      <w:r>
        <w:rPr>
          <w:rFonts w:ascii="宋体" w:hAnsi="宋体" w:cs="宋体"/>
          <w:color w:val="auto"/>
          <w:sz w:val="24"/>
          <w:szCs w:val="24"/>
          <w:highlight w:val="none"/>
        </w:rPr>
        <w:t>%进行计算。</w:t>
      </w:r>
    </w:p>
    <w:p w14:paraId="72DCFC14">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2.以上合同总价包括运抵各使用单位的运费及安装调试费等相关费用。</w:t>
      </w:r>
    </w:p>
    <w:p w14:paraId="453514E6">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3.合同履行过程中的汇率风险由乙方承担。</w:t>
      </w:r>
    </w:p>
    <w:p w14:paraId="253AEC21">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三、技术资料</w:t>
      </w:r>
    </w:p>
    <w:p w14:paraId="1F4A14A5">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1.乙方应向丙方提供使用货物的有关技术资料。</w:t>
      </w:r>
    </w:p>
    <w:p w14:paraId="49E4F1A9">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592F95CB">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四、知识产权</w:t>
      </w:r>
    </w:p>
    <w:p w14:paraId="40994500">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乙方应保证所提供的货物或其任何一部分均不会侵犯任何第三方的知识产权。</w:t>
      </w:r>
    </w:p>
    <w:p w14:paraId="7B16F395">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五、产权担保</w:t>
      </w:r>
    </w:p>
    <w:p w14:paraId="5020061E">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乙方保证所交付的货物所有权完全属于乙方且无任何抵押、查封等产权瑕疵。</w:t>
      </w:r>
    </w:p>
    <w:p w14:paraId="6FB3125E">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六、履约保证金</w:t>
      </w:r>
    </w:p>
    <w:p w14:paraId="6FF39E95">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1.比例：合同金额的1%，即人民币（大写）</w:t>
      </w:r>
      <w:r>
        <w:rPr>
          <w:rFonts w:ascii="宋体" w:hAnsi="宋体" w:cs="宋体"/>
          <w:color w:val="auto"/>
          <w:sz w:val="24"/>
          <w:szCs w:val="24"/>
          <w:highlight w:val="none"/>
          <w:u w:val="single"/>
        </w:rPr>
        <w:t xml:space="preserve">          </w:t>
      </w:r>
      <w:r>
        <w:rPr>
          <w:rFonts w:ascii="宋体" w:hAnsi="宋体" w:cs="宋体"/>
          <w:color w:val="auto"/>
          <w:sz w:val="24"/>
          <w:szCs w:val="24"/>
          <w:highlight w:val="none"/>
        </w:rPr>
        <w:t>元（¥</w:t>
      </w:r>
      <w:r>
        <w:rPr>
          <w:rFonts w:ascii="宋体" w:hAnsi="宋体" w:cs="宋体"/>
          <w:color w:val="auto"/>
          <w:sz w:val="24"/>
          <w:szCs w:val="24"/>
          <w:highlight w:val="none"/>
          <w:u w:val="single"/>
        </w:rPr>
        <w:t xml:space="preserve">          </w:t>
      </w:r>
      <w:r>
        <w:rPr>
          <w:rFonts w:ascii="宋体" w:hAnsi="宋体" w:cs="宋体"/>
          <w:color w:val="auto"/>
          <w:sz w:val="24"/>
          <w:szCs w:val="24"/>
          <w:highlight w:val="none"/>
        </w:rPr>
        <w:t>）。</w:t>
      </w:r>
    </w:p>
    <w:p w14:paraId="3C6827C7">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2.提交方式：支票、汇票、本票或者金融机构、担保机构出具的保函等非现金形式。</w:t>
      </w:r>
    </w:p>
    <w:p w14:paraId="7111D864">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3.提交时间：收到甲方发出的签订合同要约后7天内。</w:t>
      </w:r>
    </w:p>
    <w:p w14:paraId="6CCA2192">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4.退还时间及条件：合同履约期间无违约情形的，项目经校级验收合格后甲方财务部门及时无息退还。如校级验收未通过，履约保证金不予退还。</w:t>
      </w:r>
    </w:p>
    <w:p w14:paraId="2F0A452D">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七、转包或分包</w:t>
      </w:r>
    </w:p>
    <w:p w14:paraId="0B458741">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1.本合同范围的货物，应由乙方直接供应，不得转让他人供应。</w:t>
      </w:r>
    </w:p>
    <w:p w14:paraId="7D7CFFC3">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2.除非得到甲方的书面同意，乙方不得将本合同范围的货物全部或部分分包给他人供应。</w:t>
      </w:r>
    </w:p>
    <w:p w14:paraId="70654590">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3.如有转让和未经甲方同意的分包行为，甲方有权解除合同，并追究乙方的违约责任。</w:t>
      </w:r>
    </w:p>
    <w:p w14:paraId="2321CF78">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八、交货期、交货方式及交货地点</w:t>
      </w:r>
    </w:p>
    <w:p w14:paraId="77353D63">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1.交货期：合同签订并在甲方办理出免税证明或提交税款担保后</w:t>
      </w:r>
      <w:r>
        <w:rPr>
          <w:rFonts w:ascii="宋体" w:hAnsi="宋体" w:cs="宋体"/>
          <w:color w:val="auto"/>
          <w:sz w:val="24"/>
          <w:szCs w:val="24"/>
          <w:highlight w:val="none"/>
          <w:u w:val="single"/>
        </w:rPr>
        <w:t xml:space="preserve">   </w:t>
      </w:r>
      <w:r>
        <w:rPr>
          <w:rFonts w:ascii="宋体" w:hAnsi="宋体" w:cs="宋体"/>
          <w:color w:val="auto"/>
          <w:sz w:val="24"/>
          <w:szCs w:val="24"/>
          <w:highlight w:val="none"/>
        </w:rPr>
        <w:t>天内</w:t>
      </w:r>
    </w:p>
    <w:p w14:paraId="6481AF7F">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2.交货方式：CIP杭州，空运</w:t>
      </w:r>
    </w:p>
    <w:p w14:paraId="69247B46">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3.交货地点：浙江工业大学丙方指定地点（XX校区XX楼XX室）</w:t>
      </w:r>
    </w:p>
    <w:p w14:paraId="104D3636">
      <w:pPr>
        <w:spacing w:line="360" w:lineRule="auto"/>
        <w:ind w:left="420" w:leftChars="200"/>
        <w:rPr>
          <w:rFonts w:hint="default" w:ascii="宋体" w:hAnsi="宋体" w:cs="宋体"/>
          <w:b/>
          <w:bCs/>
          <w:color w:val="auto"/>
          <w:sz w:val="24"/>
          <w:szCs w:val="24"/>
          <w:highlight w:val="none"/>
        </w:rPr>
      </w:pPr>
      <w:r>
        <w:rPr>
          <w:rFonts w:ascii="宋体" w:hAnsi="宋体" w:cs="宋体"/>
          <w:b/>
          <w:bCs/>
          <w:color w:val="auto"/>
          <w:sz w:val="24"/>
          <w:szCs w:val="24"/>
          <w:highlight w:val="none"/>
        </w:rPr>
        <w:t>九、进口代理商及境外公司</w:t>
      </w:r>
    </w:p>
    <w:p w14:paraId="0C7EBCF9">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本项目进口代理商由甲方指定为</w:t>
      </w:r>
      <w:r>
        <w:rPr>
          <w:rFonts w:hint="eastAsia" w:ascii="宋体" w:hAnsi="宋体" w:cs="宋体"/>
          <w:color w:val="auto"/>
          <w:sz w:val="24"/>
          <w:szCs w:val="24"/>
          <w:highlight w:val="none"/>
          <w:lang w:eastAsia="zh-CN"/>
        </w:rPr>
        <w:t>赛尔网络有限公司</w:t>
      </w:r>
      <w:r>
        <w:rPr>
          <w:rFonts w:ascii="宋体" w:hAnsi="宋体" w:cs="宋体"/>
          <w:color w:val="auto"/>
          <w:sz w:val="24"/>
          <w:szCs w:val="24"/>
          <w:highlight w:val="none"/>
        </w:rPr>
        <w:t>，进口代理商与乙方指定的境外公司签订外贸合同，如乙方指定的境外公司未能履行所签订外贸合同的条款时，则乙方指定的该境外公司名下的所有合同法律后果、责任和风险转由乙方承担，乙方无条件接受。乙方指定的境外公司详细信息如下：</w:t>
      </w:r>
    </w:p>
    <w:p w14:paraId="3FF11687">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货物：合同项内所有货物</w:t>
      </w:r>
    </w:p>
    <w:p w14:paraId="458A917A">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货物原产地和制造商：</w:t>
      </w:r>
    </w:p>
    <w:p w14:paraId="7DFA4763">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运输方式、装运港和目的港：</w:t>
      </w:r>
    </w:p>
    <w:p w14:paraId="758C8A04">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境外公司名称：</w:t>
      </w:r>
    </w:p>
    <w:p w14:paraId="530F69E7">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联系人姓名：</w:t>
      </w:r>
    </w:p>
    <w:p w14:paraId="78C91FCB">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联系人电话：</w:t>
      </w:r>
    </w:p>
    <w:p w14:paraId="3BEC2D28">
      <w:pPr>
        <w:spacing w:line="360" w:lineRule="auto"/>
        <w:ind w:firstLine="480" w:firstLineChars="200"/>
        <w:rPr>
          <w:rFonts w:hint="default" w:ascii="宋体" w:hAnsi="宋体" w:cs="宋体"/>
          <w:b/>
          <w:bCs/>
          <w:color w:val="auto"/>
          <w:sz w:val="24"/>
          <w:szCs w:val="24"/>
          <w:highlight w:val="none"/>
        </w:rPr>
      </w:pPr>
      <w:r>
        <w:rPr>
          <w:rFonts w:ascii="宋体" w:hAnsi="宋体" w:cs="宋体"/>
          <w:color w:val="auto"/>
          <w:sz w:val="24"/>
          <w:szCs w:val="24"/>
          <w:highlight w:val="none"/>
        </w:rPr>
        <w:t>联系人Email：</w:t>
      </w:r>
    </w:p>
    <w:p w14:paraId="50CB345C">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十、货款支付</w:t>
      </w:r>
    </w:p>
    <w:p w14:paraId="5F22938E">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1.付款方式：办理出免税证明后7个工作日内甲方向指定的进口代理公司支付合同金额30%的预付款，合同货物送达丙方指定地点后，甲方向指定的进口代理公司支付合同金额60%的进度款，合同货物安装调试成功并经校级验收合格后，甲方向指定的进口代理公司支付合同金额10%的尾款。指定的进口代理公司在货物送到丙方指定地点且收到90%合同金额后支付给乙方境外公司，合同金额10%的尾款在合同货物安装调试成功并经校级验收合格且乙方提交浙江工业大学校级验收报告、履约保证金缴纳凭证、进口代理公司开具的发票后由进口代理公司支付。</w:t>
      </w:r>
    </w:p>
    <w:p w14:paraId="115298AA">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2.当采购数量与实际使用数量不一致时，乙方应根据实际使用量供货，合同的最终结算金额按实际使用量乘以合同单价进行计算。</w:t>
      </w:r>
    </w:p>
    <w:p w14:paraId="529F4DCD">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3.因进口货物无法办理免税手续的，甲方可以解除就该货物的采购合同，并应当及时通知对方。</w:t>
      </w:r>
    </w:p>
    <w:p w14:paraId="235732CB">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4.如有惩罚性关税，费用由乙方承担，甲方不再额外支付费用。</w:t>
      </w:r>
    </w:p>
    <w:p w14:paraId="543FA6E1">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十一、税费</w:t>
      </w:r>
    </w:p>
    <w:p w14:paraId="74EF28CD">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本合同执行中相关的一切税费均由乙方负担。</w:t>
      </w:r>
    </w:p>
    <w:p w14:paraId="578226EE">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十二、质量保证及售后服务</w:t>
      </w:r>
    </w:p>
    <w:p w14:paraId="2935FECB">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1.乙方应按合同附件规定的货物性能、技术要求、质量标准向丙方提供未经使用的全新产品。</w:t>
      </w:r>
    </w:p>
    <w:p w14:paraId="772472B3">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2.乙方提供的货物在质保期内因货物本身的质量问题发生故障，乙方应负责免费维修更换。</w:t>
      </w:r>
    </w:p>
    <w:p w14:paraId="0E479F43">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3.如在使用过程中发生质量问题，乙方在接到丙方通知后，</w:t>
      </w:r>
      <w:r>
        <w:rPr>
          <w:rFonts w:ascii="宋体" w:hAnsi="宋体" w:cs="宋体"/>
          <w:color w:val="auto"/>
          <w:sz w:val="24"/>
          <w:szCs w:val="24"/>
          <w:highlight w:val="none"/>
          <w:u w:val="single"/>
        </w:rPr>
        <w:t xml:space="preserve">   </w:t>
      </w:r>
      <w:r>
        <w:rPr>
          <w:rFonts w:ascii="宋体" w:hAnsi="宋体" w:cs="宋体"/>
          <w:color w:val="auto"/>
          <w:sz w:val="24"/>
          <w:szCs w:val="24"/>
          <w:highlight w:val="none"/>
        </w:rPr>
        <w:t>小时到达丙方现场予以维修服务。</w:t>
      </w:r>
    </w:p>
    <w:p w14:paraId="6BF8A0CB">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4.在质保期内，乙方应对货物出现的质量及安全问题负责处理解决并承担一切费用。</w:t>
      </w:r>
    </w:p>
    <w:p w14:paraId="29B14269">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5.货物的质保期为</w:t>
      </w:r>
      <w:r>
        <w:rPr>
          <w:rFonts w:ascii="宋体" w:hAnsi="宋体" w:cs="宋体"/>
          <w:color w:val="auto"/>
          <w:sz w:val="24"/>
          <w:szCs w:val="24"/>
          <w:highlight w:val="none"/>
          <w:u w:val="single"/>
        </w:rPr>
        <w:t xml:space="preserve">   </w:t>
      </w:r>
      <w:r>
        <w:rPr>
          <w:rFonts w:ascii="宋体" w:hAnsi="宋体" w:cs="宋体"/>
          <w:color w:val="auto"/>
          <w:sz w:val="24"/>
          <w:szCs w:val="24"/>
          <w:highlight w:val="none"/>
        </w:rPr>
        <w:t>年（项目经校级验收合格后开始计算），因人为因素出现的故障不在免费保修范围内。超过质保期的货物，终身维修，维修时只收部件成本费。</w:t>
      </w:r>
    </w:p>
    <w:p w14:paraId="4A40CECD">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十三、调试和验收</w:t>
      </w:r>
    </w:p>
    <w:p w14:paraId="4F79C753">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1.丙方对乙方提交的货物依据合同附件中的技术规格要求和国家有关质量标准进行现场初步验收，外观、说明书符合合同附件技术要求的，给予签收，初步验收不合格的不予签收。货到后，丙方需在五个工作日内组织初验收。</w:t>
      </w:r>
    </w:p>
    <w:p w14:paraId="2D3097A2">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2.乙方交货前应对产品作出全面检查和对验收文件进行整理，并列出清单，作为丙方收货验收和使用的技术条件依据，检验的结果应随货物交丙方。</w:t>
      </w:r>
    </w:p>
    <w:p w14:paraId="798AFCE6">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3.丙方对乙方提供的货物在使用前进行调试时，乙方需负责安装并培训丙方的使用操作人员，并协助丙方一起调试，直到符合技术要求，甲方才做最终验收。对技术复杂的货物，甲方有权邀请国家认可的专业检测机构参与初步验收及最终验收，并由其出具质量检测报告。验收时乙方必须在现场，验收完毕后作出验收结果报告；检测及验收费用全部由乙方负责。</w:t>
      </w:r>
    </w:p>
    <w:p w14:paraId="72E4AA23">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十四、货物包装、发运及运输</w:t>
      </w:r>
    </w:p>
    <w:p w14:paraId="21A83E85">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1.乙方应在货物发运前对其进行满足运输距离、防潮、防震、防锈和防破损装卸等要求包装，以保证货物安全运达丙方指定地点。</w:t>
      </w:r>
    </w:p>
    <w:p w14:paraId="6E2079E1">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2.使用说明书、质量检验证明书、随配附件和工具以及清单一并附于货物内。</w:t>
      </w:r>
    </w:p>
    <w:p w14:paraId="34A9D0CE">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3.乙方在货物发运手续办理完毕后二十四小时内，或者货到丙方四十八小时前通知丙方，以准备接货。</w:t>
      </w:r>
    </w:p>
    <w:p w14:paraId="44905B0B">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4.货物在交付丙方前发生的风险均由乙方负责。</w:t>
      </w:r>
    </w:p>
    <w:p w14:paraId="3D4A5D89">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5.货物在规定的交付期限内由乙方送达丙方指定的地点视为交付，乙方同时需通知丙方货物已送达。</w:t>
      </w:r>
    </w:p>
    <w:p w14:paraId="0E08B1DE">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十五、违约责任</w:t>
      </w:r>
    </w:p>
    <w:p w14:paraId="083C6D90">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1.甲方无正当理由拒收货物的，甲方向乙方偿付拒收货款总值的百分之十的违约金。</w:t>
      </w:r>
    </w:p>
    <w:p w14:paraId="3C9714A8">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2.甲方无故逾期验收和办理货款支付手续的,甲方应按逾期付款总额每日万分之五向乙方支付违约金。</w:t>
      </w:r>
    </w:p>
    <w:p w14:paraId="0E2938B4">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3.乙方逾期交付货物的，乙方应按逾期交货总额每日千分之六向甲方支付违约金，由甲方从待付货款中扣除。逾期超过约定日期十个工作日不能交货的，甲方可解除本合同。乙方因逾期交货或因其他违约行为导致甲方解除合同的，乙方应向甲方支付合同总值百分之十的违约金，如造成甲方损失超过违约金的，超出部分由乙方继续承担赔偿责任。</w:t>
      </w:r>
    </w:p>
    <w:p w14:paraId="1FFE1F7A">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4.乙方所交的货物品种、型号、规格、技术参数、质量不符合合同规定及招投标文件规定标准的，丙方有权拒收该货物，乙方愿意更换货物但逾期交货的，按乙方逾期交货处理。乙方拒绝更换货物的，甲方可单方面解除合同并没收履约保证金；若履约保证金不足以弥补甲方因乙方违约所受的损失，则还有权要求乙方赔偿不足部分。</w:t>
      </w:r>
    </w:p>
    <w:p w14:paraId="4E191BAE">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十六、不可抗力事件处理</w:t>
      </w:r>
    </w:p>
    <w:p w14:paraId="6CC301AD">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1.在合同有效期内，任何一方因不可抗力事件导致不能履行合同，则合同履行期可延长，其延长期与不可抗力影响期相同。</w:t>
      </w:r>
    </w:p>
    <w:p w14:paraId="232F9BEC">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2.不可抗力事件发生后，应立即通知对方，并寄送有关权威机构出具的证明。</w:t>
      </w:r>
    </w:p>
    <w:p w14:paraId="7F09609C">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3.不可抗力事件延续一百二十天以上，双方应通过友好协商，确定是否继续履行合同。</w:t>
      </w:r>
    </w:p>
    <w:p w14:paraId="09FB5712">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十七、争议的解决</w:t>
      </w:r>
    </w:p>
    <w:p w14:paraId="19ED313E">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双方在执行合同中所发生的一切争议，通过协商解决。如协商不成，由杭州仲裁委员会按该会仲裁规则裁决。</w:t>
      </w:r>
    </w:p>
    <w:p w14:paraId="55EEE4AA">
      <w:pPr>
        <w:spacing w:line="360" w:lineRule="auto"/>
        <w:ind w:firstLine="482" w:firstLineChars="200"/>
        <w:rPr>
          <w:rFonts w:hint="default" w:ascii="宋体" w:hAnsi="宋体" w:cs="宋体"/>
          <w:b/>
          <w:bCs/>
          <w:color w:val="auto"/>
          <w:sz w:val="24"/>
          <w:szCs w:val="24"/>
          <w:highlight w:val="none"/>
        </w:rPr>
      </w:pPr>
      <w:r>
        <w:rPr>
          <w:rFonts w:ascii="宋体" w:hAnsi="宋体" w:cs="宋体"/>
          <w:b/>
          <w:bCs/>
          <w:color w:val="auto"/>
          <w:sz w:val="24"/>
          <w:szCs w:val="24"/>
          <w:highlight w:val="none"/>
        </w:rPr>
        <w:t>十八、合同生效及其它</w:t>
      </w:r>
    </w:p>
    <w:p w14:paraId="36AD6CDC">
      <w:pPr>
        <w:spacing w:line="360" w:lineRule="auto"/>
        <w:ind w:firstLine="480" w:firstLineChars="200"/>
        <w:rPr>
          <w:rFonts w:hint="default" w:ascii="宋体" w:hAnsi="宋体" w:cs="宋体"/>
          <w:color w:val="auto"/>
          <w:sz w:val="24"/>
          <w:szCs w:val="24"/>
          <w:highlight w:val="none"/>
        </w:rPr>
      </w:pPr>
      <w:bookmarkStart w:id="75" w:name="_Hlk117088789"/>
      <w:r>
        <w:rPr>
          <w:rFonts w:ascii="宋体" w:hAnsi="宋体" w:cs="宋体"/>
          <w:color w:val="auto"/>
          <w:sz w:val="24"/>
          <w:szCs w:val="24"/>
          <w:highlight w:val="none"/>
        </w:rPr>
        <w:t>1.合同经四方法定代表人或授权代表签字并加盖单位公章后生效。</w:t>
      </w:r>
    </w:p>
    <w:p w14:paraId="7E4B3120">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2.合同执行中涉及采购资金和采购内容修改或补充的，须经财政部门审批，并签书面补充协议报政府采购监督管理部门备案，方可作为主合同不可分割的一部分。</w:t>
      </w:r>
    </w:p>
    <w:p w14:paraId="7CE57BE4">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3.本合同未尽事宜，甲乙丙三方协商一致可以另行签订补充协议解决，或者遵照《中华人民共和国民法典》有关条文执行。</w:t>
      </w:r>
    </w:p>
    <w:p w14:paraId="05483D71">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4.本合同正本一式柒份，具有同等法律效力，甲乙丙三方各执贰份，采购代理机构执壹份。</w:t>
      </w:r>
    </w:p>
    <w:p w14:paraId="0581E9B6">
      <w:pPr>
        <w:spacing w:line="360" w:lineRule="auto"/>
        <w:ind w:firstLine="480" w:firstLineChars="200"/>
        <w:rPr>
          <w:rFonts w:hint="default" w:ascii="宋体" w:hAnsi="宋体" w:cs="宋体"/>
          <w:color w:val="auto"/>
          <w:sz w:val="24"/>
          <w:szCs w:val="24"/>
          <w:highlight w:val="none"/>
        </w:rPr>
      </w:pPr>
      <w:r>
        <w:rPr>
          <w:rFonts w:ascii="宋体" w:hAnsi="宋体" w:cs="宋体"/>
          <w:color w:val="auto"/>
          <w:sz w:val="24"/>
          <w:szCs w:val="24"/>
          <w:highlight w:val="none"/>
        </w:rPr>
        <w:t>5.本合同附件及招标文件、投标文件、书面澄清（承诺）等系本合同的组成部分。</w:t>
      </w:r>
      <w:bookmarkEnd w:id="75"/>
    </w:p>
    <w:p w14:paraId="54DA1829">
      <w:pPr>
        <w:pStyle w:val="50"/>
        <w:spacing w:line="360" w:lineRule="auto"/>
        <w:jc w:val="center"/>
        <w:rPr>
          <w:rFonts w:ascii="宋体" w:hAnsi="宋体" w:eastAsia="宋体" w:cs="宋体"/>
          <w:b/>
          <w:bCs/>
          <w:color w:val="auto"/>
          <w:highlight w:val="none"/>
        </w:rPr>
      </w:pPr>
      <w:r>
        <w:rPr>
          <w:rFonts w:hint="eastAsia" w:ascii="宋体" w:hAnsi="宋体" w:eastAsia="宋体" w:cs="宋体"/>
          <w:b/>
          <w:bCs/>
          <w:color w:val="auto"/>
          <w:highlight w:val="none"/>
        </w:rPr>
        <w:t>下无正文</w:t>
      </w:r>
    </w:p>
    <w:tbl>
      <w:tblPr>
        <w:tblStyle w:val="41"/>
        <w:tblW w:w="9630" w:type="dxa"/>
        <w:jc w:val="center"/>
        <w:tblLayout w:type="fixed"/>
        <w:tblCellMar>
          <w:top w:w="0" w:type="dxa"/>
          <w:left w:w="108" w:type="dxa"/>
          <w:bottom w:w="0" w:type="dxa"/>
          <w:right w:w="108" w:type="dxa"/>
        </w:tblCellMar>
      </w:tblPr>
      <w:tblGrid>
        <w:gridCol w:w="4815"/>
        <w:gridCol w:w="4815"/>
      </w:tblGrid>
      <w:tr w14:paraId="74CB64F1">
        <w:tblPrEx>
          <w:tblCellMar>
            <w:top w:w="0" w:type="dxa"/>
            <w:left w:w="108" w:type="dxa"/>
            <w:bottom w:w="0" w:type="dxa"/>
            <w:right w:w="108" w:type="dxa"/>
          </w:tblCellMar>
        </w:tblPrEx>
        <w:trPr>
          <w:trHeight w:val="340" w:hRule="atLeast"/>
          <w:jc w:val="center"/>
        </w:trPr>
        <w:tc>
          <w:tcPr>
            <w:tcW w:w="4815" w:type="dxa"/>
            <w:vAlign w:val="center"/>
          </w:tcPr>
          <w:p w14:paraId="55B4F6D9">
            <w:pPr>
              <w:spacing w:line="360" w:lineRule="auto"/>
              <w:rPr>
                <w:rFonts w:hint="default" w:ascii="宋体" w:hAnsi="宋体" w:cs="宋体"/>
                <w:b/>
                <w:bCs/>
                <w:color w:val="auto"/>
                <w:sz w:val="24"/>
                <w:szCs w:val="24"/>
                <w:highlight w:val="none"/>
              </w:rPr>
            </w:pPr>
            <w:r>
              <w:rPr>
                <w:rFonts w:ascii="宋体" w:hAnsi="宋体" w:cs="宋体"/>
                <w:b/>
                <w:bCs/>
                <w:color w:val="auto"/>
                <w:sz w:val="24"/>
                <w:szCs w:val="24"/>
                <w:highlight w:val="none"/>
              </w:rPr>
              <w:t>甲方（盖章）：</w:t>
            </w:r>
          </w:p>
        </w:tc>
        <w:tc>
          <w:tcPr>
            <w:tcW w:w="4815" w:type="dxa"/>
            <w:vAlign w:val="center"/>
          </w:tcPr>
          <w:p w14:paraId="5FDCB0F2">
            <w:pPr>
              <w:spacing w:line="360" w:lineRule="auto"/>
              <w:rPr>
                <w:rFonts w:hint="default" w:ascii="宋体" w:hAnsi="宋体" w:cs="宋体"/>
                <w:b/>
                <w:bCs/>
                <w:color w:val="auto"/>
                <w:sz w:val="24"/>
                <w:szCs w:val="24"/>
                <w:highlight w:val="none"/>
              </w:rPr>
            </w:pPr>
            <w:r>
              <w:rPr>
                <w:rFonts w:ascii="宋体" w:hAnsi="宋体" w:cs="宋体"/>
                <w:b/>
                <w:bCs/>
                <w:color w:val="auto"/>
                <w:sz w:val="24"/>
                <w:szCs w:val="24"/>
                <w:highlight w:val="none"/>
              </w:rPr>
              <w:t>乙方（盖章）：</w:t>
            </w:r>
          </w:p>
        </w:tc>
      </w:tr>
      <w:tr w14:paraId="21692E3D">
        <w:tblPrEx>
          <w:tblCellMar>
            <w:top w:w="0" w:type="dxa"/>
            <w:left w:w="108" w:type="dxa"/>
            <w:bottom w:w="0" w:type="dxa"/>
            <w:right w:w="108" w:type="dxa"/>
          </w:tblCellMar>
        </w:tblPrEx>
        <w:trPr>
          <w:trHeight w:val="340" w:hRule="atLeast"/>
          <w:jc w:val="center"/>
        </w:trPr>
        <w:tc>
          <w:tcPr>
            <w:tcW w:w="4815" w:type="dxa"/>
            <w:vAlign w:val="center"/>
          </w:tcPr>
          <w:p w14:paraId="373C454D">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法定代表人或受委托人：</w:t>
            </w:r>
          </w:p>
          <w:p w14:paraId="52653A09">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（签字）</w:t>
            </w:r>
          </w:p>
        </w:tc>
        <w:tc>
          <w:tcPr>
            <w:tcW w:w="4815" w:type="dxa"/>
            <w:vAlign w:val="center"/>
          </w:tcPr>
          <w:p w14:paraId="7CE50A26">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法定代表人或受委托人：</w:t>
            </w:r>
          </w:p>
          <w:p w14:paraId="1B17579F">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（签字）</w:t>
            </w:r>
          </w:p>
        </w:tc>
      </w:tr>
      <w:tr w14:paraId="28F75D12">
        <w:tblPrEx>
          <w:tblCellMar>
            <w:top w:w="0" w:type="dxa"/>
            <w:left w:w="108" w:type="dxa"/>
            <w:bottom w:w="0" w:type="dxa"/>
            <w:right w:w="108" w:type="dxa"/>
          </w:tblCellMar>
        </w:tblPrEx>
        <w:trPr>
          <w:trHeight w:val="340" w:hRule="atLeast"/>
          <w:jc w:val="center"/>
        </w:trPr>
        <w:tc>
          <w:tcPr>
            <w:tcW w:w="4815" w:type="dxa"/>
            <w:vAlign w:val="center"/>
          </w:tcPr>
          <w:p w14:paraId="37A3800B">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地址：</w:t>
            </w:r>
          </w:p>
        </w:tc>
        <w:tc>
          <w:tcPr>
            <w:tcW w:w="4815" w:type="dxa"/>
            <w:vAlign w:val="center"/>
          </w:tcPr>
          <w:p w14:paraId="0D345937">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地址：</w:t>
            </w:r>
          </w:p>
        </w:tc>
      </w:tr>
      <w:tr w14:paraId="306D2FF7">
        <w:tblPrEx>
          <w:tblCellMar>
            <w:top w:w="0" w:type="dxa"/>
            <w:left w:w="108" w:type="dxa"/>
            <w:bottom w:w="0" w:type="dxa"/>
            <w:right w:w="108" w:type="dxa"/>
          </w:tblCellMar>
        </w:tblPrEx>
        <w:trPr>
          <w:trHeight w:val="340" w:hRule="atLeast"/>
          <w:jc w:val="center"/>
        </w:trPr>
        <w:tc>
          <w:tcPr>
            <w:tcW w:w="4815" w:type="dxa"/>
            <w:vAlign w:val="center"/>
          </w:tcPr>
          <w:p w14:paraId="5001CA9B">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邮编：</w:t>
            </w:r>
          </w:p>
        </w:tc>
        <w:tc>
          <w:tcPr>
            <w:tcW w:w="4815" w:type="dxa"/>
            <w:vAlign w:val="center"/>
          </w:tcPr>
          <w:p w14:paraId="70C74230">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邮编：</w:t>
            </w:r>
          </w:p>
        </w:tc>
      </w:tr>
      <w:tr w14:paraId="15040994">
        <w:tblPrEx>
          <w:tblCellMar>
            <w:top w:w="0" w:type="dxa"/>
            <w:left w:w="108" w:type="dxa"/>
            <w:bottom w:w="0" w:type="dxa"/>
            <w:right w:w="108" w:type="dxa"/>
          </w:tblCellMar>
        </w:tblPrEx>
        <w:trPr>
          <w:trHeight w:val="340" w:hRule="atLeast"/>
          <w:jc w:val="center"/>
        </w:trPr>
        <w:tc>
          <w:tcPr>
            <w:tcW w:w="4815" w:type="dxa"/>
            <w:vAlign w:val="center"/>
          </w:tcPr>
          <w:p w14:paraId="72E1C469">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电话：</w:t>
            </w:r>
          </w:p>
        </w:tc>
        <w:tc>
          <w:tcPr>
            <w:tcW w:w="4815" w:type="dxa"/>
            <w:vAlign w:val="center"/>
          </w:tcPr>
          <w:p w14:paraId="04B6DE31">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电话：</w:t>
            </w:r>
          </w:p>
        </w:tc>
      </w:tr>
      <w:tr w14:paraId="2C95BBEB">
        <w:tblPrEx>
          <w:tblCellMar>
            <w:top w:w="0" w:type="dxa"/>
            <w:left w:w="108" w:type="dxa"/>
            <w:bottom w:w="0" w:type="dxa"/>
            <w:right w:w="108" w:type="dxa"/>
          </w:tblCellMar>
        </w:tblPrEx>
        <w:trPr>
          <w:trHeight w:val="340" w:hRule="atLeast"/>
          <w:jc w:val="center"/>
        </w:trPr>
        <w:tc>
          <w:tcPr>
            <w:tcW w:w="4815" w:type="dxa"/>
            <w:vAlign w:val="center"/>
          </w:tcPr>
          <w:p w14:paraId="736C6C58">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传真：</w:t>
            </w:r>
          </w:p>
        </w:tc>
        <w:tc>
          <w:tcPr>
            <w:tcW w:w="4815" w:type="dxa"/>
            <w:vAlign w:val="center"/>
          </w:tcPr>
          <w:p w14:paraId="5F1F68D9">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传真：</w:t>
            </w:r>
          </w:p>
        </w:tc>
      </w:tr>
      <w:tr w14:paraId="3D64BA5B">
        <w:tblPrEx>
          <w:tblCellMar>
            <w:top w:w="0" w:type="dxa"/>
            <w:left w:w="108" w:type="dxa"/>
            <w:bottom w:w="0" w:type="dxa"/>
            <w:right w:w="108" w:type="dxa"/>
          </w:tblCellMar>
        </w:tblPrEx>
        <w:trPr>
          <w:trHeight w:val="340" w:hRule="atLeast"/>
          <w:jc w:val="center"/>
        </w:trPr>
        <w:tc>
          <w:tcPr>
            <w:tcW w:w="4815" w:type="dxa"/>
            <w:vAlign w:val="center"/>
          </w:tcPr>
          <w:p w14:paraId="6AC24518">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开户银行：农业银行杭州朝晖支行</w:t>
            </w:r>
          </w:p>
        </w:tc>
        <w:tc>
          <w:tcPr>
            <w:tcW w:w="4815" w:type="dxa"/>
            <w:vAlign w:val="center"/>
          </w:tcPr>
          <w:p w14:paraId="03A05D13">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开户银行：（必填）</w:t>
            </w:r>
          </w:p>
        </w:tc>
      </w:tr>
      <w:tr w14:paraId="7C3FB79C">
        <w:tblPrEx>
          <w:tblCellMar>
            <w:top w:w="0" w:type="dxa"/>
            <w:left w:w="108" w:type="dxa"/>
            <w:bottom w:w="0" w:type="dxa"/>
            <w:right w:w="108" w:type="dxa"/>
          </w:tblCellMar>
        </w:tblPrEx>
        <w:trPr>
          <w:trHeight w:val="340" w:hRule="atLeast"/>
          <w:jc w:val="center"/>
        </w:trPr>
        <w:tc>
          <w:tcPr>
            <w:tcW w:w="4815" w:type="dxa"/>
            <w:vAlign w:val="center"/>
          </w:tcPr>
          <w:p w14:paraId="6E10D0F0">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帐号：19015601040001412</w:t>
            </w:r>
          </w:p>
        </w:tc>
        <w:tc>
          <w:tcPr>
            <w:tcW w:w="4815" w:type="dxa"/>
            <w:vAlign w:val="center"/>
          </w:tcPr>
          <w:p w14:paraId="4F9E2573">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帐号：（必填）</w:t>
            </w:r>
          </w:p>
        </w:tc>
      </w:tr>
      <w:tr w14:paraId="0C60CB8E">
        <w:tblPrEx>
          <w:tblCellMar>
            <w:top w:w="0" w:type="dxa"/>
            <w:left w:w="108" w:type="dxa"/>
            <w:bottom w:w="0" w:type="dxa"/>
            <w:right w:w="108" w:type="dxa"/>
          </w:tblCellMar>
        </w:tblPrEx>
        <w:trPr>
          <w:trHeight w:val="340" w:hRule="atLeast"/>
          <w:jc w:val="center"/>
        </w:trPr>
        <w:tc>
          <w:tcPr>
            <w:tcW w:w="9630" w:type="dxa"/>
            <w:gridSpan w:val="2"/>
            <w:vAlign w:val="center"/>
          </w:tcPr>
          <w:p w14:paraId="581FDA0F">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签约地点：浙江工业大学朝晖校区          签订时间：     年   月   日</w:t>
            </w:r>
          </w:p>
        </w:tc>
      </w:tr>
      <w:tr w14:paraId="6E436BAF">
        <w:tblPrEx>
          <w:tblCellMar>
            <w:top w:w="0" w:type="dxa"/>
            <w:left w:w="108" w:type="dxa"/>
            <w:bottom w:w="0" w:type="dxa"/>
            <w:right w:w="108" w:type="dxa"/>
          </w:tblCellMar>
        </w:tblPrEx>
        <w:trPr>
          <w:trHeight w:val="340" w:hRule="atLeast"/>
          <w:jc w:val="center"/>
        </w:trPr>
        <w:tc>
          <w:tcPr>
            <w:tcW w:w="4815" w:type="dxa"/>
            <w:vAlign w:val="center"/>
          </w:tcPr>
          <w:p w14:paraId="249AFDD1">
            <w:pPr>
              <w:spacing w:line="360" w:lineRule="auto"/>
              <w:rPr>
                <w:rFonts w:hint="default" w:ascii="宋体" w:hAnsi="宋体" w:cs="宋体"/>
                <w:b/>
                <w:bCs/>
                <w:color w:val="auto"/>
                <w:sz w:val="24"/>
                <w:szCs w:val="24"/>
                <w:highlight w:val="none"/>
              </w:rPr>
            </w:pPr>
            <w:r>
              <w:rPr>
                <w:rFonts w:ascii="宋体" w:hAnsi="宋体" w:cs="宋体"/>
                <w:b/>
                <w:bCs/>
                <w:color w:val="auto"/>
                <w:sz w:val="24"/>
                <w:szCs w:val="24"/>
                <w:highlight w:val="none"/>
              </w:rPr>
              <w:t>丙方（盖章）：</w:t>
            </w:r>
          </w:p>
        </w:tc>
        <w:tc>
          <w:tcPr>
            <w:tcW w:w="4815" w:type="dxa"/>
            <w:vAlign w:val="center"/>
          </w:tcPr>
          <w:p w14:paraId="5C25B754">
            <w:pPr>
              <w:spacing w:line="360" w:lineRule="auto"/>
              <w:rPr>
                <w:rFonts w:hint="default" w:ascii="宋体" w:hAnsi="宋体" w:cs="宋体"/>
                <w:b/>
                <w:bCs/>
                <w:color w:val="auto"/>
                <w:sz w:val="24"/>
                <w:szCs w:val="24"/>
                <w:highlight w:val="none"/>
              </w:rPr>
            </w:pPr>
            <w:r>
              <w:rPr>
                <w:rFonts w:ascii="宋体" w:hAnsi="宋体" w:cs="宋体"/>
                <w:b/>
                <w:bCs/>
                <w:color w:val="auto"/>
                <w:sz w:val="24"/>
                <w:szCs w:val="24"/>
                <w:highlight w:val="none"/>
              </w:rPr>
              <w:t>鉴证方（盖章）：</w:t>
            </w:r>
          </w:p>
        </w:tc>
      </w:tr>
      <w:tr w14:paraId="10755F3E">
        <w:tblPrEx>
          <w:tblCellMar>
            <w:top w:w="0" w:type="dxa"/>
            <w:left w:w="108" w:type="dxa"/>
            <w:bottom w:w="0" w:type="dxa"/>
            <w:right w:w="108" w:type="dxa"/>
          </w:tblCellMar>
        </w:tblPrEx>
        <w:trPr>
          <w:trHeight w:val="340" w:hRule="atLeast"/>
          <w:jc w:val="center"/>
        </w:trPr>
        <w:tc>
          <w:tcPr>
            <w:tcW w:w="4815" w:type="dxa"/>
            <w:vAlign w:val="center"/>
          </w:tcPr>
          <w:p w14:paraId="23EE6ADD">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负责人：</w:t>
            </w:r>
          </w:p>
          <w:p w14:paraId="4A4511B7">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（签字）</w:t>
            </w:r>
          </w:p>
        </w:tc>
        <w:tc>
          <w:tcPr>
            <w:tcW w:w="4815" w:type="dxa"/>
            <w:vAlign w:val="center"/>
          </w:tcPr>
          <w:p w14:paraId="01078936">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法定代表人或受委托人：</w:t>
            </w:r>
          </w:p>
          <w:p w14:paraId="16C30E1C">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（签字）</w:t>
            </w:r>
          </w:p>
        </w:tc>
      </w:tr>
      <w:tr w14:paraId="419157BA">
        <w:tblPrEx>
          <w:tblCellMar>
            <w:top w:w="0" w:type="dxa"/>
            <w:left w:w="108" w:type="dxa"/>
            <w:bottom w:w="0" w:type="dxa"/>
            <w:right w:w="108" w:type="dxa"/>
          </w:tblCellMar>
        </w:tblPrEx>
        <w:trPr>
          <w:trHeight w:val="340" w:hRule="atLeast"/>
          <w:jc w:val="center"/>
        </w:trPr>
        <w:tc>
          <w:tcPr>
            <w:tcW w:w="4815" w:type="dxa"/>
            <w:vAlign w:val="center"/>
          </w:tcPr>
          <w:p w14:paraId="31E89C0C">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地址：</w:t>
            </w:r>
          </w:p>
        </w:tc>
        <w:tc>
          <w:tcPr>
            <w:tcW w:w="4815" w:type="dxa"/>
            <w:vAlign w:val="center"/>
          </w:tcPr>
          <w:p w14:paraId="3F52B2CD">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 xml:space="preserve">地址： </w:t>
            </w:r>
          </w:p>
        </w:tc>
      </w:tr>
      <w:tr w14:paraId="11872964">
        <w:tblPrEx>
          <w:tblCellMar>
            <w:top w:w="0" w:type="dxa"/>
            <w:left w:w="108" w:type="dxa"/>
            <w:bottom w:w="0" w:type="dxa"/>
            <w:right w:w="108" w:type="dxa"/>
          </w:tblCellMar>
        </w:tblPrEx>
        <w:trPr>
          <w:trHeight w:val="340" w:hRule="atLeast"/>
          <w:jc w:val="center"/>
        </w:trPr>
        <w:tc>
          <w:tcPr>
            <w:tcW w:w="4815" w:type="dxa"/>
            <w:vAlign w:val="center"/>
          </w:tcPr>
          <w:p w14:paraId="458DAC2F">
            <w:pPr>
              <w:spacing w:line="360" w:lineRule="auto"/>
              <w:rPr>
                <w:rFonts w:hint="default" w:ascii="宋体" w:hAnsi="宋体" w:cs="宋体"/>
                <w:color w:val="auto"/>
                <w:sz w:val="24"/>
                <w:szCs w:val="24"/>
                <w:highlight w:val="none"/>
              </w:rPr>
            </w:pPr>
          </w:p>
        </w:tc>
        <w:tc>
          <w:tcPr>
            <w:tcW w:w="4815" w:type="dxa"/>
            <w:vAlign w:val="center"/>
          </w:tcPr>
          <w:p w14:paraId="22FCE589">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电话：</w:t>
            </w:r>
          </w:p>
        </w:tc>
      </w:tr>
      <w:tr w14:paraId="763EA52E">
        <w:tblPrEx>
          <w:tblCellMar>
            <w:top w:w="0" w:type="dxa"/>
            <w:left w:w="108" w:type="dxa"/>
            <w:bottom w:w="0" w:type="dxa"/>
            <w:right w:w="108" w:type="dxa"/>
          </w:tblCellMar>
        </w:tblPrEx>
        <w:trPr>
          <w:trHeight w:val="234" w:hRule="atLeast"/>
          <w:jc w:val="center"/>
        </w:trPr>
        <w:tc>
          <w:tcPr>
            <w:tcW w:w="4815" w:type="dxa"/>
            <w:vAlign w:val="center"/>
          </w:tcPr>
          <w:p w14:paraId="53C236D2">
            <w:pPr>
              <w:spacing w:line="360" w:lineRule="auto"/>
              <w:rPr>
                <w:rFonts w:hint="default" w:ascii="宋体" w:hAnsi="宋体" w:cs="宋体"/>
                <w:color w:val="auto"/>
                <w:sz w:val="24"/>
                <w:szCs w:val="24"/>
                <w:highlight w:val="none"/>
              </w:rPr>
            </w:pPr>
          </w:p>
        </w:tc>
        <w:tc>
          <w:tcPr>
            <w:tcW w:w="4815" w:type="dxa"/>
            <w:vAlign w:val="center"/>
          </w:tcPr>
          <w:p w14:paraId="127E0DC6">
            <w:pPr>
              <w:spacing w:line="360" w:lineRule="auto"/>
              <w:rPr>
                <w:rFonts w:hint="default" w:ascii="宋体" w:hAnsi="宋体" w:cs="宋体"/>
                <w:color w:val="auto"/>
                <w:sz w:val="24"/>
                <w:szCs w:val="24"/>
                <w:highlight w:val="none"/>
              </w:rPr>
            </w:pPr>
            <w:r>
              <w:rPr>
                <w:rFonts w:ascii="宋体" w:hAnsi="宋体" w:cs="宋体"/>
                <w:color w:val="auto"/>
                <w:sz w:val="24"/>
                <w:szCs w:val="24"/>
                <w:highlight w:val="none"/>
              </w:rPr>
              <w:t>鉴证时间：     年   月   日</w:t>
            </w:r>
          </w:p>
        </w:tc>
      </w:tr>
    </w:tbl>
    <w:p w14:paraId="4049E898">
      <w:pPr>
        <w:pStyle w:val="50"/>
        <w:spacing w:line="360" w:lineRule="auto"/>
        <w:rPr>
          <w:rFonts w:ascii="宋体" w:hAnsi="宋体" w:eastAsia="宋体" w:cs="宋体"/>
          <w:color w:val="auto"/>
          <w:highlight w:val="none"/>
        </w:rPr>
      </w:pPr>
    </w:p>
    <w:p w14:paraId="5DB95A1F">
      <w:pPr>
        <w:rPr>
          <w:rFonts w:hint="default"/>
          <w:b/>
          <w:color w:val="auto"/>
          <w:sz w:val="36"/>
          <w:szCs w:val="36"/>
          <w:highlight w:val="none"/>
        </w:rPr>
      </w:pPr>
      <w:r>
        <w:rPr>
          <w:b/>
          <w:color w:val="auto"/>
          <w:sz w:val="36"/>
          <w:szCs w:val="36"/>
          <w:highlight w:val="none"/>
        </w:rPr>
        <w:br w:type="page"/>
      </w:r>
    </w:p>
    <w:p w14:paraId="2A4C6333">
      <w:pPr>
        <w:pStyle w:val="51"/>
        <w:rPr>
          <w:color w:val="auto"/>
          <w:highlight w:val="none"/>
        </w:rPr>
      </w:pPr>
    </w:p>
    <w:p w14:paraId="38933144">
      <w:pPr>
        <w:pStyle w:val="6"/>
        <w:snapToGrid w:val="0"/>
        <w:spacing w:before="120" w:after="120" w:line="360" w:lineRule="auto"/>
        <w:jc w:val="center"/>
        <w:outlineLvl w:val="0"/>
        <w:rPr>
          <w:rFonts w:ascii="Times New Roman" w:hAnsi="Times New Roman"/>
          <w:b/>
          <w:color w:val="auto"/>
          <w:sz w:val="36"/>
          <w:szCs w:val="36"/>
          <w:highlight w:val="none"/>
        </w:rPr>
      </w:pPr>
      <w:r>
        <w:rPr>
          <w:rFonts w:ascii="Times New Roman" w:hAnsi="Times New Roman"/>
          <w:b/>
          <w:color w:val="auto"/>
          <w:sz w:val="36"/>
          <w:szCs w:val="36"/>
          <w:highlight w:val="none"/>
        </w:rPr>
        <w:t>第六章　投标文件格式</w:t>
      </w:r>
      <w:bookmarkEnd w:id="69"/>
    </w:p>
    <w:p w14:paraId="70938F68">
      <w:pPr>
        <w:snapToGrid w:val="0"/>
        <w:spacing w:before="120" w:beforeLines="50" w:after="50" w:line="360" w:lineRule="auto"/>
        <w:rPr>
          <w:rFonts w:hint="default"/>
          <w:b/>
          <w:color w:val="auto"/>
          <w:sz w:val="24"/>
          <w:highlight w:val="none"/>
        </w:rPr>
      </w:pPr>
      <w:r>
        <w:rPr>
          <w:rFonts w:hint="default"/>
          <w:b/>
          <w:color w:val="auto"/>
          <w:sz w:val="24"/>
          <w:highlight w:val="none"/>
        </w:rPr>
        <w:t>1.电子备份投标文件的外包装封面格式</w:t>
      </w:r>
    </w:p>
    <w:p w14:paraId="6AF5F332">
      <w:pPr>
        <w:snapToGrid w:val="0"/>
        <w:spacing w:before="120" w:beforeLines="50" w:after="50" w:line="360" w:lineRule="auto"/>
        <w:rPr>
          <w:rFonts w:hint="default"/>
          <w:bCs/>
          <w:color w:val="auto"/>
          <w:sz w:val="24"/>
          <w:highlight w:val="none"/>
        </w:rPr>
      </w:pPr>
    </w:p>
    <w:p w14:paraId="5C9876DA">
      <w:pPr>
        <w:snapToGrid w:val="0"/>
        <w:spacing w:before="120" w:beforeLines="50" w:after="50" w:line="360" w:lineRule="auto"/>
        <w:jc w:val="center"/>
        <w:rPr>
          <w:rFonts w:hint="default"/>
          <w:b/>
          <w:bCs/>
          <w:color w:val="auto"/>
          <w:sz w:val="52"/>
          <w:szCs w:val="52"/>
          <w:highlight w:val="none"/>
        </w:rPr>
      </w:pPr>
      <w:r>
        <w:rPr>
          <w:rFonts w:hint="default"/>
          <w:b/>
          <w:bCs/>
          <w:color w:val="auto"/>
          <w:sz w:val="52"/>
          <w:szCs w:val="52"/>
          <w:highlight w:val="none"/>
        </w:rPr>
        <w:t>电子备份投标文件</w:t>
      </w:r>
    </w:p>
    <w:p w14:paraId="0511C7AA">
      <w:pPr>
        <w:snapToGrid w:val="0"/>
        <w:spacing w:before="120" w:beforeLines="50" w:after="50" w:line="360" w:lineRule="auto"/>
        <w:rPr>
          <w:rFonts w:hint="default"/>
          <w:bCs/>
          <w:color w:val="auto"/>
          <w:sz w:val="24"/>
          <w:highlight w:val="none"/>
        </w:rPr>
      </w:pPr>
    </w:p>
    <w:p w14:paraId="6BE63A81">
      <w:pPr>
        <w:snapToGrid w:val="0"/>
        <w:spacing w:before="120" w:beforeLines="50" w:after="50" w:line="360" w:lineRule="auto"/>
        <w:ind w:firstLine="1120" w:firstLineChars="400"/>
        <w:rPr>
          <w:rFonts w:hint="eastAsia" w:eastAsia="宋体"/>
          <w:bCs/>
          <w:color w:val="auto"/>
          <w:sz w:val="28"/>
          <w:szCs w:val="28"/>
          <w:highlight w:val="none"/>
          <w:lang w:eastAsia="zh-CN"/>
        </w:rPr>
      </w:pPr>
      <w:r>
        <w:rPr>
          <w:rFonts w:hint="default"/>
          <w:bCs/>
          <w:color w:val="auto"/>
          <w:sz w:val="28"/>
          <w:szCs w:val="28"/>
          <w:highlight w:val="none"/>
        </w:rPr>
        <w:t>项目名称：</w:t>
      </w:r>
      <w:r>
        <w:rPr>
          <w:rFonts w:hint="eastAsia"/>
          <w:bCs/>
          <w:color w:val="auto"/>
          <w:sz w:val="28"/>
          <w:szCs w:val="28"/>
          <w:highlight w:val="none"/>
          <w:lang w:eastAsia="zh-CN"/>
        </w:rPr>
        <w:t>浙江工业大学制备液相色谱仪等采购</w:t>
      </w:r>
    </w:p>
    <w:p w14:paraId="71318399">
      <w:pPr>
        <w:snapToGrid w:val="0"/>
        <w:spacing w:before="120" w:beforeLines="50" w:after="50" w:line="360" w:lineRule="auto"/>
        <w:ind w:firstLine="1120" w:firstLineChars="400"/>
        <w:rPr>
          <w:rFonts w:hint="default"/>
          <w:bCs/>
          <w:color w:val="auto"/>
          <w:sz w:val="28"/>
          <w:szCs w:val="28"/>
          <w:highlight w:val="none"/>
        </w:rPr>
      </w:pPr>
      <w:r>
        <w:rPr>
          <w:rFonts w:hint="default"/>
          <w:bCs/>
          <w:color w:val="auto"/>
          <w:sz w:val="28"/>
          <w:szCs w:val="28"/>
          <w:highlight w:val="none"/>
        </w:rPr>
        <w:t>项目编号：</w:t>
      </w:r>
    </w:p>
    <w:p w14:paraId="3A7FE632">
      <w:pPr>
        <w:snapToGrid w:val="0"/>
        <w:spacing w:before="120" w:beforeLines="50" w:after="50" w:line="360" w:lineRule="auto"/>
        <w:ind w:firstLine="1260" w:firstLineChars="450"/>
        <w:rPr>
          <w:rFonts w:hint="default"/>
          <w:bCs/>
          <w:color w:val="auto"/>
          <w:sz w:val="28"/>
          <w:szCs w:val="28"/>
          <w:highlight w:val="none"/>
        </w:rPr>
      </w:pPr>
    </w:p>
    <w:p w14:paraId="3DD6E9AF">
      <w:pPr>
        <w:snapToGrid w:val="0"/>
        <w:spacing w:before="120" w:beforeLines="50" w:after="50" w:line="360" w:lineRule="auto"/>
        <w:ind w:firstLine="1260" w:firstLineChars="450"/>
        <w:rPr>
          <w:rFonts w:hint="default"/>
          <w:bCs/>
          <w:color w:val="auto"/>
          <w:sz w:val="28"/>
          <w:szCs w:val="28"/>
          <w:highlight w:val="none"/>
        </w:rPr>
      </w:pPr>
    </w:p>
    <w:p w14:paraId="658B171F">
      <w:pPr>
        <w:snapToGrid w:val="0"/>
        <w:spacing w:before="120" w:beforeLines="50" w:after="50" w:line="360" w:lineRule="auto"/>
        <w:ind w:firstLine="1260" w:firstLineChars="450"/>
        <w:rPr>
          <w:rFonts w:hint="default"/>
          <w:bCs/>
          <w:color w:val="auto"/>
          <w:sz w:val="28"/>
          <w:szCs w:val="28"/>
          <w:highlight w:val="none"/>
        </w:rPr>
      </w:pPr>
    </w:p>
    <w:p w14:paraId="047A517A">
      <w:pPr>
        <w:pStyle w:val="10"/>
        <w:snapToGrid w:val="0"/>
        <w:spacing w:before="50" w:after="50" w:line="360" w:lineRule="auto"/>
        <w:ind w:firstLine="1260" w:firstLineChars="450"/>
        <w:rPr>
          <w:bCs/>
          <w:color w:val="auto"/>
          <w:sz w:val="28"/>
          <w:szCs w:val="28"/>
          <w:highlight w:val="none"/>
        </w:rPr>
      </w:pPr>
    </w:p>
    <w:p w14:paraId="5199019A">
      <w:pPr>
        <w:pStyle w:val="10"/>
        <w:snapToGrid w:val="0"/>
        <w:spacing w:before="50" w:after="50" w:line="360" w:lineRule="auto"/>
        <w:ind w:firstLine="1260" w:firstLineChars="450"/>
        <w:rPr>
          <w:bCs/>
          <w:color w:val="auto"/>
          <w:sz w:val="28"/>
          <w:szCs w:val="28"/>
          <w:highlight w:val="none"/>
        </w:rPr>
      </w:pPr>
    </w:p>
    <w:p w14:paraId="2CACF64B">
      <w:pPr>
        <w:pStyle w:val="10"/>
        <w:snapToGrid w:val="0"/>
        <w:spacing w:before="50" w:after="50" w:line="360" w:lineRule="auto"/>
        <w:ind w:firstLine="1260" w:firstLineChars="450"/>
        <w:rPr>
          <w:bCs/>
          <w:color w:val="auto"/>
          <w:sz w:val="28"/>
          <w:szCs w:val="28"/>
          <w:highlight w:val="none"/>
        </w:rPr>
      </w:pPr>
    </w:p>
    <w:p w14:paraId="50AD836A">
      <w:pPr>
        <w:pStyle w:val="10"/>
        <w:snapToGrid w:val="0"/>
        <w:spacing w:before="50" w:after="50" w:line="360" w:lineRule="auto"/>
        <w:ind w:firstLine="1260" w:firstLineChars="450"/>
        <w:rPr>
          <w:bCs/>
          <w:color w:val="auto"/>
          <w:sz w:val="28"/>
          <w:szCs w:val="28"/>
          <w:highlight w:val="none"/>
        </w:rPr>
      </w:pPr>
      <w:r>
        <w:rPr>
          <w:bCs/>
          <w:color w:val="auto"/>
          <w:sz w:val="28"/>
          <w:szCs w:val="28"/>
          <w:highlight w:val="none"/>
        </w:rPr>
        <w:t>投标人名称：</w:t>
      </w:r>
    </w:p>
    <w:p w14:paraId="1A9A2CCB">
      <w:pPr>
        <w:pStyle w:val="10"/>
        <w:snapToGrid w:val="0"/>
        <w:spacing w:before="50" w:after="50" w:line="360" w:lineRule="auto"/>
        <w:ind w:firstLine="1260" w:firstLineChars="450"/>
        <w:rPr>
          <w:bCs/>
          <w:color w:val="auto"/>
          <w:sz w:val="28"/>
          <w:szCs w:val="28"/>
          <w:highlight w:val="none"/>
        </w:rPr>
      </w:pPr>
      <w:r>
        <w:rPr>
          <w:bCs/>
          <w:color w:val="auto"/>
          <w:sz w:val="28"/>
          <w:szCs w:val="28"/>
          <w:highlight w:val="none"/>
        </w:rPr>
        <w:t>投标人地址：</w:t>
      </w:r>
    </w:p>
    <w:p w14:paraId="79A8867F">
      <w:pPr>
        <w:pStyle w:val="10"/>
        <w:snapToGrid w:val="0"/>
        <w:spacing w:before="50" w:after="50" w:line="360" w:lineRule="auto"/>
        <w:ind w:firstLine="1260" w:firstLineChars="450"/>
        <w:rPr>
          <w:bCs/>
          <w:color w:val="auto"/>
          <w:sz w:val="28"/>
          <w:szCs w:val="28"/>
          <w:highlight w:val="none"/>
        </w:rPr>
      </w:pPr>
      <w:r>
        <w:rPr>
          <w:bCs/>
          <w:color w:val="auto"/>
          <w:sz w:val="28"/>
          <w:szCs w:val="28"/>
          <w:highlight w:val="none"/>
        </w:rPr>
        <w:t>在  年  月  日  时  分之前不得启封</w:t>
      </w:r>
    </w:p>
    <w:p w14:paraId="0C2FA243">
      <w:pPr>
        <w:pStyle w:val="10"/>
        <w:snapToGrid w:val="0"/>
        <w:spacing w:before="50" w:after="50" w:line="360" w:lineRule="auto"/>
        <w:ind w:firstLine="1164" w:firstLineChars="416"/>
        <w:rPr>
          <w:color w:val="auto"/>
          <w:sz w:val="28"/>
          <w:szCs w:val="28"/>
          <w:highlight w:val="none"/>
        </w:rPr>
      </w:pPr>
    </w:p>
    <w:p w14:paraId="0F90D419">
      <w:pPr>
        <w:snapToGrid w:val="0"/>
        <w:spacing w:before="120" w:beforeLines="50" w:after="50" w:line="360" w:lineRule="auto"/>
        <w:ind w:firstLine="645"/>
        <w:rPr>
          <w:rFonts w:hint="default"/>
          <w:color w:val="auto"/>
          <w:sz w:val="28"/>
          <w:szCs w:val="28"/>
          <w:highlight w:val="none"/>
        </w:rPr>
      </w:pPr>
      <w:r>
        <w:rPr>
          <w:rFonts w:hint="default"/>
          <w:color w:val="auto"/>
          <w:sz w:val="28"/>
          <w:szCs w:val="28"/>
          <w:highlight w:val="none"/>
        </w:rPr>
        <w:t xml:space="preserve">                        年  月  日</w:t>
      </w:r>
    </w:p>
    <w:p w14:paraId="1FD4643A">
      <w:pPr>
        <w:snapToGrid w:val="0"/>
        <w:spacing w:before="120" w:beforeLines="50" w:after="50" w:line="360" w:lineRule="auto"/>
        <w:rPr>
          <w:rFonts w:hint="default"/>
          <w:b/>
          <w:color w:val="auto"/>
          <w:sz w:val="24"/>
          <w:highlight w:val="none"/>
        </w:rPr>
      </w:pPr>
      <w:r>
        <w:rPr>
          <w:rFonts w:hint="default"/>
          <w:color w:val="auto"/>
          <w:sz w:val="28"/>
          <w:szCs w:val="28"/>
          <w:highlight w:val="none"/>
        </w:rPr>
        <w:br w:type="page"/>
      </w:r>
      <w:r>
        <w:rPr>
          <w:rFonts w:hint="default"/>
          <w:b/>
          <w:color w:val="auto"/>
          <w:sz w:val="24"/>
          <w:highlight w:val="none"/>
        </w:rPr>
        <w:t>2.资格证明/商务技术/报价</w:t>
      </w:r>
      <w:r>
        <w:rPr>
          <w:rFonts w:hint="default"/>
          <w:b/>
          <w:bCs/>
          <w:color w:val="auto"/>
          <w:sz w:val="24"/>
          <w:highlight w:val="none"/>
        </w:rPr>
        <w:t>文件</w:t>
      </w:r>
      <w:r>
        <w:rPr>
          <w:rFonts w:hint="default"/>
          <w:b/>
          <w:color w:val="auto"/>
          <w:sz w:val="24"/>
          <w:highlight w:val="none"/>
        </w:rPr>
        <w:t xml:space="preserve">封面格式 </w:t>
      </w:r>
    </w:p>
    <w:p w14:paraId="57F04296">
      <w:pPr>
        <w:snapToGrid w:val="0"/>
        <w:spacing w:before="120" w:beforeLines="50" w:after="50" w:line="360" w:lineRule="auto"/>
        <w:rPr>
          <w:rFonts w:hint="default"/>
          <w:color w:val="auto"/>
          <w:sz w:val="24"/>
          <w:highlight w:val="none"/>
        </w:rPr>
      </w:pPr>
    </w:p>
    <w:p w14:paraId="6ACE8CB4">
      <w:pPr>
        <w:snapToGrid w:val="0"/>
        <w:spacing w:before="120" w:beforeLines="50" w:after="50" w:line="360" w:lineRule="auto"/>
        <w:rPr>
          <w:rFonts w:hint="default"/>
          <w:b/>
          <w:bCs/>
          <w:color w:val="auto"/>
          <w:sz w:val="32"/>
          <w:highlight w:val="none"/>
        </w:rPr>
      </w:pPr>
    </w:p>
    <w:p w14:paraId="660A6C18">
      <w:pPr>
        <w:snapToGrid w:val="0"/>
        <w:spacing w:before="120" w:beforeLines="50" w:after="50" w:line="360" w:lineRule="auto"/>
        <w:jc w:val="center"/>
        <w:rPr>
          <w:rFonts w:hint="default"/>
          <w:bCs/>
          <w:color w:val="auto"/>
          <w:sz w:val="24"/>
          <w:highlight w:val="none"/>
        </w:rPr>
      </w:pPr>
    </w:p>
    <w:p w14:paraId="555CB0EA">
      <w:pPr>
        <w:snapToGrid w:val="0"/>
        <w:spacing w:before="120" w:beforeLines="50" w:after="50" w:line="360" w:lineRule="auto"/>
        <w:jc w:val="center"/>
        <w:rPr>
          <w:rFonts w:hint="default"/>
          <w:b/>
          <w:bCs/>
          <w:color w:val="auto"/>
          <w:sz w:val="52"/>
          <w:szCs w:val="52"/>
          <w:highlight w:val="none"/>
        </w:rPr>
      </w:pPr>
      <w:r>
        <w:rPr>
          <w:rFonts w:hint="default"/>
          <w:b/>
          <w:bCs/>
          <w:color w:val="auto"/>
          <w:sz w:val="52"/>
          <w:szCs w:val="52"/>
          <w:highlight w:val="none"/>
        </w:rPr>
        <w:t>资格证明/商务技术/报价文件</w:t>
      </w:r>
    </w:p>
    <w:p w14:paraId="6FBEB6B9">
      <w:pPr>
        <w:snapToGrid w:val="0"/>
        <w:spacing w:before="120" w:beforeLines="50" w:after="50" w:line="360" w:lineRule="auto"/>
        <w:rPr>
          <w:rFonts w:hint="default"/>
          <w:bCs/>
          <w:color w:val="auto"/>
          <w:sz w:val="24"/>
          <w:highlight w:val="none"/>
        </w:rPr>
      </w:pPr>
    </w:p>
    <w:p w14:paraId="384147CD">
      <w:pPr>
        <w:snapToGrid w:val="0"/>
        <w:spacing w:before="120" w:beforeLines="50" w:after="50" w:line="360" w:lineRule="auto"/>
        <w:ind w:firstLine="1120" w:firstLineChars="400"/>
        <w:rPr>
          <w:rFonts w:hint="eastAsia" w:eastAsia="宋体"/>
          <w:bCs/>
          <w:color w:val="auto"/>
          <w:sz w:val="28"/>
          <w:szCs w:val="28"/>
          <w:highlight w:val="none"/>
          <w:lang w:eastAsia="zh-CN"/>
        </w:rPr>
      </w:pPr>
      <w:r>
        <w:rPr>
          <w:rFonts w:hint="default"/>
          <w:bCs/>
          <w:color w:val="auto"/>
          <w:sz w:val="28"/>
          <w:szCs w:val="28"/>
          <w:highlight w:val="none"/>
        </w:rPr>
        <w:t>项目名称：</w:t>
      </w:r>
      <w:r>
        <w:rPr>
          <w:rFonts w:hint="eastAsia"/>
          <w:bCs/>
          <w:color w:val="auto"/>
          <w:sz w:val="28"/>
          <w:szCs w:val="28"/>
          <w:highlight w:val="none"/>
          <w:lang w:eastAsia="zh-CN"/>
        </w:rPr>
        <w:t>浙江工业大学制备液相色谱仪等采购</w:t>
      </w:r>
    </w:p>
    <w:p w14:paraId="14952496">
      <w:pPr>
        <w:snapToGrid w:val="0"/>
        <w:spacing w:before="120" w:beforeLines="50" w:after="50" w:line="360" w:lineRule="auto"/>
        <w:ind w:firstLine="1120" w:firstLineChars="400"/>
        <w:rPr>
          <w:rFonts w:hint="default"/>
          <w:bCs/>
          <w:color w:val="auto"/>
          <w:sz w:val="28"/>
          <w:szCs w:val="28"/>
          <w:highlight w:val="none"/>
        </w:rPr>
      </w:pPr>
      <w:r>
        <w:rPr>
          <w:rFonts w:hint="default"/>
          <w:bCs/>
          <w:color w:val="auto"/>
          <w:sz w:val="28"/>
          <w:szCs w:val="28"/>
          <w:highlight w:val="none"/>
        </w:rPr>
        <w:t>项目编号：</w:t>
      </w:r>
    </w:p>
    <w:p w14:paraId="2F905055">
      <w:pPr>
        <w:snapToGrid w:val="0"/>
        <w:spacing w:before="120" w:beforeLines="50" w:after="50" w:line="360" w:lineRule="auto"/>
        <w:ind w:firstLine="560" w:firstLineChars="200"/>
        <w:rPr>
          <w:rFonts w:hint="default"/>
          <w:bCs/>
          <w:color w:val="auto"/>
          <w:sz w:val="28"/>
          <w:szCs w:val="28"/>
          <w:highlight w:val="none"/>
        </w:rPr>
      </w:pPr>
    </w:p>
    <w:p w14:paraId="216EE3F6">
      <w:pPr>
        <w:snapToGrid w:val="0"/>
        <w:spacing w:before="120" w:beforeLines="50" w:after="50" w:line="360" w:lineRule="auto"/>
        <w:ind w:firstLine="560" w:firstLineChars="200"/>
        <w:rPr>
          <w:rFonts w:hint="default"/>
          <w:bCs/>
          <w:color w:val="auto"/>
          <w:sz w:val="28"/>
          <w:szCs w:val="28"/>
          <w:highlight w:val="none"/>
        </w:rPr>
      </w:pPr>
    </w:p>
    <w:p w14:paraId="5FB507A9">
      <w:pPr>
        <w:pStyle w:val="10"/>
        <w:snapToGrid w:val="0"/>
        <w:spacing w:before="50" w:after="50" w:line="360" w:lineRule="auto"/>
        <w:ind w:firstLine="1260" w:firstLineChars="450"/>
        <w:rPr>
          <w:bCs/>
          <w:color w:val="auto"/>
          <w:sz w:val="28"/>
          <w:szCs w:val="28"/>
          <w:highlight w:val="none"/>
        </w:rPr>
      </w:pPr>
    </w:p>
    <w:p w14:paraId="41D5BF21">
      <w:pPr>
        <w:pStyle w:val="10"/>
        <w:snapToGrid w:val="0"/>
        <w:spacing w:before="50" w:after="50" w:line="360" w:lineRule="auto"/>
        <w:ind w:firstLine="1260" w:firstLineChars="450"/>
        <w:rPr>
          <w:bCs/>
          <w:color w:val="auto"/>
          <w:sz w:val="28"/>
          <w:szCs w:val="28"/>
          <w:highlight w:val="none"/>
        </w:rPr>
      </w:pPr>
    </w:p>
    <w:p w14:paraId="4F161F18">
      <w:pPr>
        <w:pStyle w:val="10"/>
        <w:snapToGrid w:val="0"/>
        <w:spacing w:before="50" w:after="50" w:line="360" w:lineRule="auto"/>
        <w:ind w:firstLine="1260" w:firstLineChars="450"/>
        <w:rPr>
          <w:bCs/>
          <w:color w:val="auto"/>
          <w:sz w:val="28"/>
          <w:szCs w:val="28"/>
          <w:highlight w:val="none"/>
        </w:rPr>
      </w:pPr>
    </w:p>
    <w:p w14:paraId="4D1EE972">
      <w:pPr>
        <w:pStyle w:val="10"/>
        <w:snapToGrid w:val="0"/>
        <w:spacing w:before="50" w:after="50" w:line="360" w:lineRule="auto"/>
        <w:ind w:firstLine="1260" w:firstLineChars="450"/>
        <w:rPr>
          <w:bCs/>
          <w:color w:val="auto"/>
          <w:sz w:val="28"/>
          <w:szCs w:val="28"/>
          <w:highlight w:val="none"/>
        </w:rPr>
      </w:pPr>
    </w:p>
    <w:p w14:paraId="4A54034E">
      <w:pPr>
        <w:pStyle w:val="10"/>
        <w:snapToGrid w:val="0"/>
        <w:spacing w:before="50" w:after="50" w:line="360" w:lineRule="auto"/>
        <w:ind w:firstLine="1260" w:firstLineChars="450"/>
        <w:rPr>
          <w:bCs/>
          <w:color w:val="auto"/>
          <w:sz w:val="28"/>
          <w:szCs w:val="28"/>
          <w:highlight w:val="none"/>
        </w:rPr>
      </w:pPr>
      <w:r>
        <w:rPr>
          <w:bCs/>
          <w:color w:val="auto"/>
          <w:sz w:val="28"/>
          <w:szCs w:val="28"/>
          <w:highlight w:val="none"/>
        </w:rPr>
        <w:t>投标人名称：</w:t>
      </w:r>
    </w:p>
    <w:p w14:paraId="03E6ACA2">
      <w:pPr>
        <w:pStyle w:val="10"/>
        <w:snapToGrid w:val="0"/>
        <w:spacing w:before="50" w:after="50" w:line="360" w:lineRule="auto"/>
        <w:ind w:firstLine="1260" w:firstLineChars="450"/>
        <w:rPr>
          <w:bCs/>
          <w:color w:val="auto"/>
          <w:sz w:val="28"/>
          <w:szCs w:val="28"/>
          <w:highlight w:val="none"/>
        </w:rPr>
      </w:pPr>
      <w:r>
        <w:rPr>
          <w:bCs/>
          <w:color w:val="auto"/>
          <w:sz w:val="28"/>
          <w:szCs w:val="28"/>
          <w:highlight w:val="none"/>
        </w:rPr>
        <w:t>投标人地址：</w:t>
      </w:r>
    </w:p>
    <w:p w14:paraId="5FFBFB02">
      <w:pPr>
        <w:snapToGrid w:val="0"/>
        <w:spacing w:before="120" w:beforeLines="50" w:after="50" w:line="360" w:lineRule="auto"/>
        <w:ind w:firstLine="645"/>
        <w:jc w:val="center"/>
        <w:rPr>
          <w:rFonts w:hint="default"/>
          <w:color w:val="auto"/>
          <w:sz w:val="28"/>
          <w:szCs w:val="28"/>
          <w:highlight w:val="none"/>
        </w:rPr>
      </w:pPr>
    </w:p>
    <w:p w14:paraId="65A226A8">
      <w:pPr>
        <w:snapToGrid w:val="0"/>
        <w:spacing w:before="120" w:beforeLines="50" w:after="50" w:line="360" w:lineRule="auto"/>
        <w:ind w:firstLine="645"/>
        <w:jc w:val="center"/>
        <w:outlineLvl w:val="0"/>
        <w:rPr>
          <w:rFonts w:hint="default"/>
          <w:color w:val="auto"/>
          <w:sz w:val="24"/>
          <w:highlight w:val="none"/>
        </w:rPr>
      </w:pPr>
      <w:bookmarkStart w:id="76" w:name="_Toc32368"/>
      <w:bookmarkStart w:id="77" w:name="_Toc29838"/>
      <w:bookmarkStart w:id="78" w:name="_Toc22374"/>
      <w:bookmarkStart w:id="79" w:name="_Toc25091"/>
      <w:bookmarkStart w:id="80" w:name="_Toc20164"/>
      <w:r>
        <w:rPr>
          <w:rFonts w:hint="default"/>
          <w:color w:val="auto"/>
          <w:sz w:val="28"/>
          <w:szCs w:val="28"/>
          <w:highlight w:val="none"/>
        </w:rPr>
        <w:t>年  月  日</w:t>
      </w:r>
      <w:bookmarkEnd w:id="76"/>
      <w:bookmarkEnd w:id="77"/>
      <w:bookmarkEnd w:id="78"/>
      <w:bookmarkEnd w:id="79"/>
      <w:bookmarkEnd w:id="80"/>
    </w:p>
    <w:p w14:paraId="076AEBAF">
      <w:pPr>
        <w:pageBreakBefore/>
        <w:snapToGrid w:val="0"/>
        <w:spacing w:line="360" w:lineRule="auto"/>
        <w:jc w:val="center"/>
        <w:outlineLvl w:val="1"/>
        <w:rPr>
          <w:rFonts w:hint="default"/>
          <w:b/>
          <w:bCs/>
          <w:color w:val="auto"/>
          <w:kern w:val="0"/>
          <w:sz w:val="36"/>
          <w:szCs w:val="36"/>
          <w:highlight w:val="none"/>
        </w:rPr>
      </w:pPr>
      <w:bookmarkStart w:id="81" w:name="_Toc55237637"/>
      <w:r>
        <w:rPr>
          <w:rFonts w:hint="default"/>
          <w:b/>
          <w:bCs/>
          <w:color w:val="auto"/>
          <w:kern w:val="0"/>
          <w:sz w:val="36"/>
          <w:szCs w:val="36"/>
          <w:highlight w:val="none"/>
        </w:rPr>
        <w:t>资格文件</w:t>
      </w:r>
      <w:bookmarkEnd w:id="81"/>
    </w:p>
    <w:p w14:paraId="66EEE3FF">
      <w:pPr>
        <w:pStyle w:val="40"/>
        <w:rPr>
          <w:rFonts w:hint="default"/>
          <w:color w:val="auto"/>
          <w:highlight w:val="none"/>
        </w:rPr>
      </w:pPr>
    </w:p>
    <w:p w14:paraId="57A808DE">
      <w:pPr>
        <w:snapToGrid w:val="0"/>
        <w:spacing w:line="300" w:lineRule="auto"/>
        <w:jc w:val="center"/>
        <w:rPr>
          <w:rFonts w:hint="default" w:ascii="Arial" w:hAnsi="Arial" w:cs="Arial"/>
          <w:b/>
          <w:color w:val="auto"/>
          <w:kern w:val="0"/>
          <w:sz w:val="28"/>
          <w:szCs w:val="28"/>
          <w:highlight w:val="none"/>
        </w:rPr>
      </w:pPr>
      <w:r>
        <w:rPr>
          <w:rFonts w:ascii="Arial" w:hAnsi="Arial" w:cs="Arial"/>
          <w:b/>
          <w:color w:val="auto"/>
          <w:kern w:val="0"/>
          <w:sz w:val="28"/>
          <w:szCs w:val="28"/>
          <w:highlight w:val="none"/>
        </w:rPr>
        <w:t>一、符合参加政府采购活动应当具备的一般条件的承诺函</w:t>
      </w:r>
    </w:p>
    <w:p w14:paraId="57B6D05E">
      <w:pPr>
        <w:snapToGrid w:val="0"/>
        <w:spacing w:line="360" w:lineRule="auto"/>
        <w:jc w:val="center"/>
        <w:rPr>
          <w:rFonts w:hint="default" w:ascii="Arial" w:hAnsi="Arial" w:cs="Arial"/>
          <w:b/>
          <w:color w:val="auto"/>
          <w:kern w:val="0"/>
          <w:sz w:val="28"/>
          <w:szCs w:val="28"/>
          <w:highlight w:val="none"/>
        </w:rPr>
      </w:pPr>
    </w:p>
    <w:p w14:paraId="6FA6ED1C">
      <w:pPr>
        <w:pStyle w:val="91"/>
        <w:spacing w:line="360" w:lineRule="auto"/>
        <w:rPr>
          <w:rFonts w:hint="default" w:ascii="宋体" w:hAnsi="宋体" w:eastAsia="宋体" w:cs="宋体"/>
          <w:color w:val="auto"/>
          <w:highlight w:val="none"/>
          <w:u w:val="single"/>
        </w:rPr>
      </w:pPr>
      <w:r>
        <w:rPr>
          <w:rFonts w:ascii="宋体" w:hAnsi="宋体" w:eastAsia="宋体" w:cs="宋体"/>
          <w:color w:val="auto"/>
          <w:highlight w:val="none"/>
          <w:u w:val="single"/>
        </w:rPr>
        <w:t>浙江工业大学、浙江豪圣建设项目管理有限公司：</w:t>
      </w:r>
    </w:p>
    <w:p w14:paraId="4A4ECA7A">
      <w:pPr>
        <w:pStyle w:val="91"/>
        <w:spacing w:line="360" w:lineRule="auto"/>
        <w:ind w:firstLine="420" w:firstLineChars="175"/>
        <w:rPr>
          <w:rFonts w:hint="default" w:ascii="宋体" w:hAnsi="宋体" w:eastAsia="宋体" w:cs="宋体"/>
          <w:color w:val="auto"/>
          <w:highlight w:val="none"/>
        </w:rPr>
      </w:pPr>
      <w:r>
        <w:rPr>
          <w:rFonts w:ascii="宋体" w:hAnsi="宋体" w:eastAsia="宋体" w:cs="宋体"/>
          <w:color w:val="auto"/>
          <w:highlight w:val="none"/>
        </w:rPr>
        <w:t>我方参与项目名称【项目编号：】政府采购活动，郑重承诺：</w:t>
      </w:r>
    </w:p>
    <w:p w14:paraId="353916DD">
      <w:pPr>
        <w:pStyle w:val="91"/>
        <w:spacing w:line="360" w:lineRule="auto"/>
        <w:ind w:firstLine="420" w:firstLineChars="175"/>
        <w:rPr>
          <w:rFonts w:hint="default" w:ascii="宋体" w:hAnsi="宋体" w:eastAsia="宋体" w:cs="宋体"/>
          <w:color w:val="auto"/>
          <w:highlight w:val="none"/>
        </w:rPr>
      </w:pPr>
      <w:r>
        <w:rPr>
          <w:rFonts w:ascii="宋体" w:hAnsi="宋体" w:eastAsia="宋体" w:cs="宋体"/>
          <w:color w:val="auto"/>
          <w:highlight w:val="none"/>
        </w:rPr>
        <w:t>（一）具备《中华人民共和国政府采购法》第二十二条第一款规定的条件：</w:t>
      </w:r>
    </w:p>
    <w:p w14:paraId="50100DF0">
      <w:pPr>
        <w:pStyle w:val="91"/>
        <w:spacing w:line="360" w:lineRule="auto"/>
        <w:ind w:firstLine="420" w:firstLineChars="175"/>
        <w:rPr>
          <w:rFonts w:hint="default" w:ascii="宋体" w:hAnsi="宋体" w:eastAsia="宋体" w:cs="宋体"/>
          <w:color w:val="auto"/>
          <w:highlight w:val="none"/>
        </w:rPr>
      </w:pPr>
      <w:r>
        <w:rPr>
          <w:rFonts w:ascii="宋体" w:hAnsi="宋体" w:eastAsia="宋体" w:cs="宋体"/>
          <w:color w:val="auto"/>
          <w:highlight w:val="none"/>
        </w:rPr>
        <w:t>1、具有独立承担民事责任的能力；</w:t>
      </w:r>
    </w:p>
    <w:p w14:paraId="2D4FDB92">
      <w:pPr>
        <w:pStyle w:val="91"/>
        <w:spacing w:line="360" w:lineRule="auto"/>
        <w:ind w:firstLine="420" w:firstLineChars="175"/>
        <w:rPr>
          <w:rFonts w:hint="default" w:ascii="宋体" w:hAnsi="宋体" w:eastAsia="宋体" w:cs="宋体"/>
          <w:color w:val="auto"/>
          <w:highlight w:val="none"/>
        </w:rPr>
      </w:pPr>
      <w:r>
        <w:rPr>
          <w:rFonts w:ascii="宋体" w:hAnsi="宋体" w:eastAsia="宋体" w:cs="宋体"/>
          <w:color w:val="auto"/>
          <w:highlight w:val="none"/>
        </w:rPr>
        <w:t xml:space="preserve">2、具有良好的商业信誉和健全的财务会计制度； </w:t>
      </w:r>
    </w:p>
    <w:p w14:paraId="6ADA5F9E">
      <w:pPr>
        <w:pStyle w:val="91"/>
        <w:spacing w:line="360" w:lineRule="auto"/>
        <w:ind w:firstLine="420" w:firstLineChars="175"/>
        <w:rPr>
          <w:rFonts w:hint="default" w:ascii="宋体" w:hAnsi="宋体" w:eastAsia="宋体" w:cs="宋体"/>
          <w:color w:val="auto"/>
          <w:highlight w:val="none"/>
        </w:rPr>
      </w:pPr>
      <w:r>
        <w:rPr>
          <w:rFonts w:ascii="宋体" w:hAnsi="宋体" w:eastAsia="宋体" w:cs="宋体"/>
          <w:color w:val="auto"/>
          <w:highlight w:val="none"/>
        </w:rPr>
        <w:t>3、具有履行合同所必需的设备和专业技术能力；</w:t>
      </w:r>
    </w:p>
    <w:p w14:paraId="105BAAE8">
      <w:pPr>
        <w:pStyle w:val="91"/>
        <w:spacing w:line="360" w:lineRule="auto"/>
        <w:ind w:firstLine="420" w:firstLineChars="175"/>
        <w:rPr>
          <w:rFonts w:hint="default" w:ascii="宋体" w:hAnsi="宋体" w:eastAsia="宋体" w:cs="宋体"/>
          <w:color w:val="auto"/>
          <w:highlight w:val="none"/>
        </w:rPr>
      </w:pPr>
      <w:r>
        <w:rPr>
          <w:rFonts w:ascii="宋体" w:hAnsi="宋体" w:eastAsia="宋体" w:cs="宋体"/>
          <w:color w:val="auto"/>
          <w:highlight w:val="none"/>
        </w:rPr>
        <w:t>4、有依法缴纳税收和社会保障资金的良好记录；</w:t>
      </w:r>
    </w:p>
    <w:p w14:paraId="65CB7CA6">
      <w:pPr>
        <w:pStyle w:val="91"/>
        <w:spacing w:line="360" w:lineRule="auto"/>
        <w:ind w:firstLine="420" w:firstLineChars="175"/>
        <w:rPr>
          <w:rFonts w:hint="default" w:ascii="宋体" w:hAnsi="宋体" w:eastAsia="宋体" w:cs="宋体"/>
          <w:color w:val="auto"/>
          <w:highlight w:val="none"/>
        </w:rPr>
      </w:pPr>
      <w:r>
        <w:rPr>
          <w:rFonts w:ascii="宋体" w:hAnsi="宋体" w:eastAsia="宋体" w:cs="宋体"/>
          <w:color w:val="auto"/>
          <w:highlight w:val="none"/>
        </w:rPr>
        <w:t>5、参加政府采购活动前三年内，在经营活动中没有重大违法记录；</w:t>
      </w:r>
    </w:p>
    <w:p w14:paraId="207EA0AB">
      <w:pPr>
        <w:pStyle w:val="91"/>
        <w:spacing w:line="360" w:lineRule="auto"/>
        <w:ind w:firstLine="420" w:firstLineChars="175"/>
        <w:rPr>
          <w:rFonts w:hint="default" w:ascii="宋体" w:hAnsi="宋体" w:eastAsia="宋体" w:cs="宋体"/>
          <w:color w:val="auto"/>
          <w:highlight w:val="none"/>
        </w:rPr>
      </w:pPr>
      <w:r>
        <w:rPr>
          <w:rFonts w:ascii="宋体" w:hAnsi="宋体" w:eastAsia="宋体" w:cs="宋体"/>
          <w:color w:val="auto"/>
          <w:highlight w:val="none"/>
        </w:rPr>
        <w:t>6、具有法律、行政法规规定的其他条件。</w:t>
      </w:r>
    </w:p>
    <w:p w14:paraId="439E1D4B">
      <w:pPr>
        <w:pStyle w:val="91"/>
        <w:spacing w:line="360" w:lineRule="auto"/>
        <w:ind w:firstLine="420" w:firstLineChars="175"/>
        <w:rPr>
          <w:rFonts w:hint="default" w:ascii="宋体" w:hAnsi="宋体" w:eastAsia="宋体" w:cs="宋体"/>
          <w:color w:val="auto"/>
          <w:highlight w:val="none"/>
        </w:rPr>
      </w:pPr>
      <w:r>
        <w:rPr>
          <w:rFonts w:ascii="宋体" w:hAnsi="宋体" w:eastAsia="宋体" w:cs="宋体"/>
          <w:color w:val="auto"/>
          <w:highlight w:val="none"/>
        </w:rPr>
        <w:t>（二）未被信用中国（www.creditchina.gov.cn)、中国政府采购网（www.ccgp.gov.cn）列入失信被执行人、重大税收违法失信主体、政府采购严重违法失信行为记录名单。</w:t>
      </w:r>
    </w:p>
    <w:p w14:paraId="7691C350">
      <w:pPr>
        <w:pStyle w:val="91"/>
        <w:spacing w:line="360" w:lineRule="auto"/>
        <w:ind w:firstLine="420" w:firstLineChars="175"/>
        <w:rPr>
          <w:rFonts w:hint="default" w:ascii="宋体" w:hAnsi="宋体" w:eastAsia="宋体" w:cs="宋体"/>
          <w:color w:val="auto"/>
          <w:highlight w:val="none"/>
        </w:rPr>
      </w:pPr>
      <w:r>
        <w:rPr>
          <w:rFonts w:ascii="宋体" w:hAnsi="宋体" w:eastAsia="宋体" w:cs="宋体"/>
          <w:color w:val="auto"/>
          <w:highlight w:val="none"/>
        </w:rPr>
        <w:t>（三）不存在以下情况：</w:t>
      </w:r>
    </w:p>
    <w:p w14:paraId="73CFFC04">
      <w:pPr>
        <w:pStyle w:val="91"/>
        <w:spacing w:line="360" w:lineRule="auto"/>
        <w:ind w:firstLine="420" w:firstLineChars="175"/>
        <w:rPr>
          <w:rFonts w:hint="default" w:ascii="宋体" w:hAnsi="宋体" w:eastAsia="宋体" w:cs="宋体"/>
          <w:color w:val="auto"/>
          <w:highlight w:val="none"/>
        </w:rPr>
      </w:pPr>
      <w:r>
        <w:rPr>
          <w:rFonts w:ascii="宋体" w:hAnsi="宋体" w:eastAsia="宋体" w:cs="宋体"/>
          <w:color w:val="auto"/>
          <w:highlight w:val="none"/>
        </w:rPr>
        <w:t>1、单位负责人为同一人或者存在直接控股、管理关系的不同供应商参加同一合同项下的政府采购活动的；</w:t>
      </w:r>
    </w:p>
    <w:p w14:paraId="315E8359">
      <w:pPr>
        <w:pStyle w:val="91"/>
        <w:spacing w:line="360" w:lineRule="auto"/>
        <w:ind w:firstLine="420" w:firstLineChars="175"/>
        <w:rPr>
          <w:rFonts w:hint="default" w:ascii="宋体" w:hAnsi="宋体" w:eastAsia="宋体" w:cs="宋体"/>
          <w:color w:val="auto"/>
          <w:highlight w:val="none"/>
        </w:rPr>
      </w:pPr>
      <w:r>
        <w:rPr>
          <w:rFonts w:ascii="宋体" w:hAnsi="宋体" w:eastAsia="宋体" w:cs="宋体"/>
          <w:color w:val="auto"/>
          <w:highlight w:val="none"/>
        </w:rPr>
        <w:t>2、为采购项目提供整体设计、规范编制或者项目管理、监理、检测等服务后再参加该采购项目的其他采购活动的。</w:t>
      </w:r>
    </w:p>
    <w:p w14:paraId="04692D33">
      <w:pPr>
        <w:pStyle w:val="26"/>
        <w:tabs>
          <w:tab w:val="right" w:leader="dot" w:pos="9403"/>
        </w:tabs>
        <w:spacing w:line="360" w:lineRule="auto"/>
        <w:rPr>
          <w:rFonts w:hint="default" w:ascii="Arial" w:hAnsi="Arial" w:cs="Arial"/>
          <w:color w:val="auto"/>
          <w:sz w:val="24"/>
          <w:szCs w:val="24"/>
          <w:highlight w:val="none"/>
        </w:rPr>
      </w:pPr>
      <w:bookmarkStart w:id="82" w:name="_Toc10512"/>
      <w:bookmarkStart w:id="83" w:name="_Toc2249"/>
    </w:p>
    <w:p w14:paraId="776FD271">
      <w:pPr>
        <w:spacing w:line="360" w:lineRule="auto"/>
        <w:rPr>
          <w:rFonts w:hint="default"/>
          <w:color w:val="auto"/>
          <w:sz w:val="24"/>
          <w:szCs w:val="24"/>
          <w:highlight w:val="none"/>
        </w:rPr>
      </w:pPr>
    </w:p>
    <w:p w14:paraId="65BCD229">
      <w:pPr>
        <w:pStyle w:val="91"/>
        <w:spacing w:line="360" w:lineRule="auto"/>
        <w:rPr>
          <w:rFonts w:hint="default" w:ascii="Times New Roman" w:eastAsia="宋体" w:cs="Times New Roman"/>
          <w:color w:val="auto"/>
          <w:highlight w:val="none"/>
        </w:rPr>
      </w:pPr>
    </w:p>
    <w:p w14:paraId="1381728D">
      <w:pPr>
        <w:widowControl/>
        <w:spacing w:line="360" w:lineRule="auto"/>
        <w:ind w:firstLine="480" w:firstLineChars="200"/>
        <w:rPr>
          <w:rFonts w:hint="default" w:ascii="Arial" w:hAnsi="Arial" w:cs="Arial"/>
          <w:color w:val="auto"/>
          <w:sz w:val="24"/>
          <w:szCs w:val="24"/>
          <w:highlight w:val="none"/>
        </w:rPr>
      </w:pPr>
      <w:r>
        <w:rPr>
          <w:rFonts w:ascii="宋体" w:hAnsi="宋体" w:cs="宋体"/>
          <w:color w:val="auto"/>
          <w:kern w:val="0"/>
          <w:sz w:val="24"/>
          <w:highlight w:val="none"/>
        </w:rPr>
        <w:t>供应商（</w:t>
      </w:r>
      <w:r>
        <w:rPr>
          <w:rFonts w:ascii="宋体" w:hAnsi="宋体" w:cs="宋体"/>
          <w:color w:val="auto"/>
          <w:kern w:val="0"/>
          <w:sz w:val="24"/>
          <w:highlight w:val="none"/>
          <w:lang w:val="zh-CN"/>
        </w:rPr>
        <w:t>电子签名/公章</w:t>
      </w:r>
      <w:r>
        <w:rPr>
          <w:rFonts w:ascii="宋体" w:hAnsi="宋体" w:cs="宋体"/>
          <w:color w:val="auto"/>
          <w:kern w:val="0"/>
          <w:sz w:val="24"/>
          <w:highlight w:val="none"/>
        </w:rPr>
        <w:t>）</w:t>
      </w:r>
      <w:r>
        <w:rPr>
          <w:rFonts w:ascii="Arial" w:hAnsi="Arial" w:cs="Arial"/>
          <w:color w:val="auto"/>
          <w:sz w:val="24"/>
          <w:szCs w:val="24"/>
          <w:highlight w:val="none"/>
        </w:rPr>
        <w:t>：</w:t>
      </w:r>
    </w:p>
    <w:p w14:paraId="64F8D848">
      <w:pPr>
        <w:widowControl/>
        <w:spacing w:line="360" w:lineRule="auto"/>
        <w:ind w:firstLine="480" w:firstLineChars="200"/>
        <w:rPr>
          <w:rFonts w:hint="default" w:ascii="Arial" w:hAnsi="Arial" w:cs="Arial"/>
          <w:color w:val="auto"/>
          <w:sz w:val="24"/>
          <w:szCs w:val="24"/>
          <w:highlight w:val="none"/>
        </w:rPr>
      </w:pPr>
      <w:r>
        <w:rPr>
          <w:rFonts w:ascii="Arial" w:hAnsi="Arial" w:cs="Arial"/>
          <w:color w:val="auto"/>
          <w:sz w:val="24"/>
          <w:szCs w:val="24"/>
          <w:highlight w:val="none"/>
        </w:rPr>
        <w:t>日期：</w:t>
      </w:r>
    </w:p>
    <w:p w14:paraId="4CBAE95A">
      <w:pPr>
        <w:pStyle w:val="40"/>
        <w:ind w:firstLine="480"/>
        <w:rPr>
          <w:rFonts w:hint="default" w:ascii="宋体" w:hAnsi="宋体" w:cs="宋体"/>
          <w:color w:val="auto"/>
          <w:sz w:val="24"/>
          <w:highlight w:val="none"/>
        </w:rPr>
      </w:pPr>
    </w:p>
    <w:p w14:paraId="19F3602C">
      <w:pPr>
        <w:snapToGrid w:val="0"/>
        <w:spacing w:line="300" w:lineRule="auto"/>
        <w:jc w:val="center"/>
        <w:rPr>
          <w:rFonts w:hint="default" w:ascii="Arial" w:hAnsi="Arial" w:cs="Arial"/>
          <w:b/>
          <w:color w:val="auto"/>
          <w:kern w:val="0"/>
          <w:sz w:val="28"/>
          <w:szCs w:val="28"/>
          <w:highlight w:val="none"/>
          <w:lang w:val="zh-CN"/>
        </w:rPr>
      </w:pPr>
      <w:r>
        <w:rPr>
          <w:rFonts w:ascii="宋体" w:hAnsi="宋体" w:cs="宋体"/>
          <w:b/>
          <w:color w:val="auto"/>
          <w:sz w:val="30"/>
          <w:szCs w:val="30"/>
          <w:highlight w:val="none"/>
        </w:rPr>
        <w:br w:type="page"/>
      </w:r>
      <w:bookmarkStart w:id="84" w:name="_Toc18889"/>
      <w:bookmarkStart w:id="85" w:name="_Toc3172"/>
      <w:bookmarkStart w:id="86" w:name="_Toc19361"/>
      <w:bookmarkStart w:id="87" w:name="_Toc28162"/>
      <w:bookmarkStart w:id="88" w:name="_Toc23989"/>
      <w:r>
        <w:rPr>
          <w:b/>
          <w:color w:val="auto"/>
          <w:sz w:val="32"/>
          <w:szCs w:val="32"/>
          <w:highlight w:val="none"/>
        </w:rPr>
        <w:t>二</w:t>
      </w:r>
      <w:r>
        <w:rPr>
          <w:rFonts w:hint="default"/>
          <w:b/>
          <w:color w:val="auto"/>
          <w:sz w:val="32"/>
          <w:szCs w:val="32"/>
          <w:highlight w:val="none"/>
        </w:rPr>
        <w:t>、</w:t>
      </w:r>
      <w:bookmarkEnd w:id="84"/>
      <w:bookmarkEnd w:id="85"/>
      <w:bookmarkEnd w:id="86"/>
      <w:bookmarkEnd w:id="87"/>
      <w:bookmarkEnd w:id="88"/>
      <w:r>
        <w:rPr>
          <w:rFonts w:ascii="Arial" w:hAnsi="Arial" w:cs="Arial"/>
          <w:b/>
          <w:color w:val="auto"/>
          <w:kern w:val="0"/>
          <w:sz w:val="32"/>
          <w:szCs w:val="32"/>
          <w:highlight w:val="none"/>
          <w:lang w:val="zh-CN"/>
        </w:rPr>
        <w:t xml:space="preserve"> 联合协议</w:t>
      </w:r>
    </w:p>
    <w:p w14:paraId="6B769374">
      <w:pPr>
        <w:pStyle w:val="50"/>
        <w:rPr>
          <w:color w:val="auto"/>
          <w:highlight w:val="none"/>
          <w:lang w:val="zh-CN"/>
        </w:rPr>
      </w:pPr>
    </w:p>
    <w:p w14:paraId="7A10DA9F">
      <w:pPr>
        <w:widowControl/>
        <w:spacing w:line="360" w:lineRule="auto"/>
        <w:ind w:firstLine="482" w:firstLineChars="200"/>
        <w:jc w:val="left"/>
        <w:rPr>
          <w:rFonts w:hint="default" w:ascii="宋体" w:hAnsi="宋体" w:cs="宋体"/>
          <w:b/>
          <w:color w:val="auto"/>
          <w:sz w:val="24"/>
          <w:highlight w:val="none"/>
        </w:rPr>
      </w:pPr>
      <w:r>
        <w:rPr>
          <w:rFonts w:ascii="宋体" w:hAnsi="宋体" w:cs="宋体"/>
          <w:b/>
          <w:color w:val="auto"/>
          <w:sz w:val="24"/>
          <w:highlight w:val="none"/>
        </w:rPr>
        <w:t>（以联合体形式投标的，提供联合协议；本项目不接受联合体投标或者投标人不以联合体形式投标的，则不需要提供）</w:t>
      </w:r>
    </w:p>
    <w:p w14:paraId="2F3163E7">
      <w:pPr>
        <w:snapToGrid w:val="0"/>
        <w:spacing w:line="360" w:lineRule="auto"/>
        <w:ind w:firstLine="576"/>
        <w:rPr>
          <w:rFonts w:hint="default" w:ascii="宋体" w:hAnsi="宋体" w:cs="宋体"/>
          <w:color w:val="auto"/>
          <w:kern w:val="0"/>
          <w:sz w:val="24"/>
          <w:highlight w:val="none"/>
          <w:lang w:val="zh-CN"/>
        </w:rPr>
      </w:pPr>
      <w:r>
        <w:rPr>
          <w:rFonts w:ascii="宋体" w:hAnsi="宋体" w:cs="宋体"/>
          <w:color w:val="auto"/>
          <w:kern w:val="0"/>
          <w:sz w:val="24"/>
          <w:highlight w:val="none"/>
          <w:u w:val="single"/>
        </w:rPr>
        <w:t>（联合体所有成员名称）</w:t>
      </w:r>
      <w:r>
        <w:rPr>
          <w:rFonts w:ascii="宋体" w:hAnsi="宋体" w:cs="宋体"/>
          <w:color w:val="auto"/>
          <w:kern w:val="0"/>
          <w:sz w:val="24"/>
          <w:highlight w:val="none"/>
        </w:rPr>
        <w:t>自愿</w:t>
      </w:r>
      <w:r>
        <w:rPr>
          <w:rFonts w:ascii="宋体" w:hAnsi="宋体" w:cs="宋体"/>
          <w:color w:val="auto"/>
          <w:kern w:val="0"/>
          <w:sz w:val="24"/>
          <w:highlight w:val="none"/>
          <w:lang w:val="zh-CN"/>
        </w:rPr>
        <w:t>组成一个联合体，以一个投标人的身份</w:t>
      </w:r>
      <w:r>
        <w:rPr>
          <w:rFonts w:ascii="宋体" w:hAnsi="宋体" w:cs="宋体"/>
          <w:color w:val="auto"/>
          <w:kern w:val="0"/>
          <w:sz w:val="24"/>
          <w:highlight w:val="none"/>
        </w:rPr>
        <w:t>参加</w:t>
      </w:r>
      <w:r>
        <w:rPr>
          <w:rFonts w:ascii="宋体" w:hAnsi="宋体" w:cs="宋体"/>
          <w:color w:val="auto"/>
          <w:sz w:val="24"/>
          <w:highlight w:val="none"/>
        </w:rPr>
        <w:t>（项目名称）【项目编号：】</w:t>
      </w:r>
      <w:r>
        <w:rPr>
          <w:rFonts w:ascii="宋体" w:hAnsi="宋体" w:cs="宋体"/>
          <w:color w:val="auto"/>
          <w:kern w:val="0"/>
          <w:sz w:val="24"/>
          <w:highlight w:val="none"/>
          <w:lang w:val="zh-CN"/>
        </w:rPr>
        <w:t xml:space="preserve">投标。 </w:t>
      </w:r>
    </w:p>
    <w:p w14:paraId="30ADC62A">
      <w:pPr>
        <w:snapToGrid w:val="0"/>
        <w:spacing w:line="360" w:lineRule="auto"/>
        <w:ind w:firstLine="576"/>
        <w:rPr>
          <w:rFonts w:hint="default" w:ascii="宋体" w:hAnsi="宋体" w:cs="宋体"/>
          <w:color w:val="auto"/>
          <w:kern w:val="0"/>
          <w:sz w:val="24"/>
          <w:highlight w:val="none"/>
          <w:lang w:val="zh-CN"/>
        </w:rPr>
      </w:pPr>
      <w:r>
        <w:rPr>
          <w:rFonts w:ascii="宋体" w:hAnsi="宋体" w:cs="宋体"/>
          <w:color w:val="auto"/>
          <w:kern w:val="0"/>
          <w:sz w:val="24"/>
          <w:highlight w:val="none"/>
          <w:lang w:val="zh-CN"/>
        </w:rPr>
        <w:t>一、各方一致决定，</w:t>
      </w:r>
      <w:r>
        <w:rPr>
          <w:rFonts w:ascii="宋体" w:hAnsi="宋体" w:cs="宋体"/>
          <w:color w:val="auto"/>
          <w:kern w:val="0"/>
          <w:sz w:val="24"/>
          <w:highlight w:val="none"/>
          <w:u w:val="single"/>
        </w:rPr>
        <w:t>（某联合体成员名称）</w:t>
      </w:r>
      <w:r>
        <w:rPr>
          <w:rFonts w:ascii="宋体" w:hAnsi="宋体" w:cs="宋体"/>
          <w:color w:val="auto"/>
          <w:kern w:val="0"/>
          <w:sz w:val="24"/>
          <w:highlight w:val="none"/>
        </w:rPr>
        <w:t>为联合体</w:t>
      </w:r>
      <w:r>
        <w:rPr>
          <w:rFonts w:ascii="宋体" w:hAnsi="宋体" w:cs="宋体"/>
          <w:color w:val="auto"/>
          <w:kern w:val="0"/>
          <w:sz w:val="24"/>
          <w:highlight w:val="none"/>
          <w:lang w:val="zh-CN"/>
        </w:rPr>
        <w:t>牵头人</w:t>
      </w:r>
      <w:r>
        <w:rPr>
          <w:rFonts w:ascii="宋体" w:hAnsi="宋体" w:cs="宋体"/>
          <w:color w:val="auto"/>
          <w:sz w:val="24"/>
          <w:highlight w:val="none"/>
        </w:rPr>
        <w:t>，代表所有联合体成员负责投标和合同实施阶段的主办、协调工作</w:t>
      </w:r>
      <w:r>
        <w:rPr>
          <w:rFonts w:ascii="宋体" w:hAnsi="宋体" w:cs="宋体"/>
          <w:color w:val="auto"/>
          <w:kern w:val="0"/>
          <w:sz w:val="24"/>
          <w:highlight w:val="none"/>
          <w:lang w:val="zh-CN"/>
        </w:rPr>
        <w:t>。</w:t>
      </w:r>
    </w:p>
    <w:p w14:paraId="4A9E592B">
      <w:pPr>
        <w:snapToGrid w:val="0"/>
        <w:spacing w:line="360" w:lineRule="auto"/>
        <w:ind w:firstLine="576"/>
        <w:rPr>
          <w:rFonts w:hint="default" w:ascii="宋体" w:hAnsi="宋体" w:cs="宋体"/>
          <w:color w:val="auto"/>
          <w:kern w:val="0"/>
          <w:sz w:val="24"/>
          <w:highlight w:val="none"/>
          <w:lang w:val="zh-CN"/>
        </w:rPr>
      </w:pPr>
      <w:r>
        <w:rPr>
          <w:rFonts w:ascii="宋体" w:hAnsi="宋体" w:cs="宋体"/>
          <w:color w:val="auto"/>
          <w:kern w:val="0"/>
          <w:sz w:val="24"/>
          <w:highlight w:val="none"/>
          <w:lang w:val="zh-CN"/>
        </w:rPr>
        <w:t>二、</w:t>
      </w:r>
      <w:r>
        <w:rPr>
          <w:rFonts w:ascii="宋体" w:hAnsi="宋体" w:cs="宋体"/>
          <w:color w:val="auto"/>
          <w:sz w:val="24"/>
          <w:highlight w:val="none"/>
        </w:rPr>
        <w:t>所有联合体成员各方签署授权书，授权书载明的</w:t>
      </w:r>
      <w:r>
        <w:rPr>
          <w:rFonts w:ascii="宋体" w:hAnsi="宋体" w:cs="宋体"/>
          <w:color w:val="auto"/>
          <w:kern w:val="0"/>
          <w:sz w:val="24"/>
          <w:highlight w:val="none"/>
          <w:lang w:val="zh-CN"/>
        </w:rPr>
        <w:t>授权代表根据招标文件规定及投标内容而对采购人、采购机构所作的任何合法承诺，包括书面澄清及相应等均对联合投标各方产生约束力。</w:t>
      </w:r>
    </w:p>
    <w:p w14:paraId="1E5FDAC2">
      <w:pPr>
        <w:snapToGrid w:val="0"/>
        <w:spacing w:line="360" w:lineRule="auto"/>
        <w:ind w:firstLine="576"/>
        <w:rPr>
          <w:rFonts w:hint="default" w:ascii="宋体" w:hAnsi="宋体" w:cs="宋体"/>
          <w:color w:val="auto"/>
          <w:kern w:val="0"/>
          <w:sz w:val="24"/>
          <w:highlight w:val="none"/>
          <w:lang w:val="zh-CN"/>
        </w:rPr>
      </w:pPr>
      <w:r>
        <w:rPr>
          <w:rFonts w:ascii="宋体" w:hAnsi="宋体" w:cs="宋体"/>
          <w:color w:val="auto"/>
          <w:kern w:val="0"/>
          <w:sz w:val="24"/>
          <w:highlight w:val="none"/>
          <w:lang w:val="zh-CN"/>
        </w:rPr>
        <w:t>三、本次联合投标中，分工如下：</w:t>
      </w:r>
      <w:r>
        <w:rPr>
          <w:rFonts w:ascii="宋体" w:hAnsi="宋体" w:cs="宋体"/>
          <w:color w:val="auto"/>
          <w:kern w:val="0"/>
          <w:sz w:val="24"/>
          <w:highlight w:val="none"/>
          <w:u w:val="single"/>
        </w:rPr>
        <w:t>（联合体其中一方成员名称）</w:t>
      </w:r>
      <w:r>
        <w:rPr>
          <w:rFonts w:ascii="宋体" w:hAnsi="宋体" w:cs="宋体"/>
          <w:color w:val="auto"/>
          <w:kern w:val="0"/>
          <w:sz w:val="24"/>
          <w:highlight w:val="none"/>
          <w:lang w:val="zh-CN"/>
        </w:rPr>
        <w:t>承担的工作和义务为：；……。</w:t>
      </w:r>
    </w:p>
    <w:p w14:paraId="154D4C14">
      <w:pPr>
        <w:snapToGrid w:val="0"/>
        <w:spacing w:line="360" w:lineRule="auto"/>
        <w:ind w:firstLine="576"/>
        <w:rPr>
          <w:rFonts w:hint="default" w:ascii="宋体" w:hAnsi="宋体" w:cs="宋体"/>
          <w:b/>
          <w:color w:val="auto"/>
          <w:kern w:val="0"/>
          <w:sz w:val="24"/>
          <w:highlight w:val="none"/>
          <w:lang w:val="zh-CN"/>
        </w:rPr>
      </w:pPr>
      <w:r>
        <w:rPr>
          <w:rFonts w:ascii="宋体" w:hAnsi="宋体" w:cs="宋体"/>
          <w:color w:val="auto"/>
          <w:kern w:val="0"/>
          <w:sz w:val="24"/>
          <w:highlight w:val="none"/>
          <w:lang w:val="zh-CN"/>
        </w:rPr>
        <w:t>四、</w:t>
      </w:r>
      <w:r>
        <w:rPr>
          <w:rFonts w:ascii="宋体" w:hAnsi="宋体" w:cs="宋体"/>
          <w:color w:val="auto"/>
          <w:kern w:val="0"/>
          <w:sz w:val="24"/>
          <w:highlight w:val="none"/>
          <w:u w:val="single"/>
        </w:rPr>
        <w:t>（联合体其中一方成员名称）</w:t>
      </w:r>
      <w:r>
        <w:rPr>
          <w:rFonts w:ascii="宋体" w:hAnsi="宋体" w:cs="宋体"/>
          <w:color w:val="auto"/>
          <w:kern w:val="0"/>
          <w:sz w:val="24"/>
          <w:highlight w:val="none"/>
        </w:rPr>
        <w:t>提供的全部货物由小微企业制造，其合同份额占到合同总金额%以上；</w:t>
      </w:r>
      <w:r>
        <w:rPr>
          <w:rFonts w:ascii="宋体" w:hAnsi="宋体" w:cs="宋体"/>
          <w:color w:val="auto"/>
          <w:kern w:val="0"/>
          <w:sz w:val="24"/>
          <w:highlight w:val="none"/>
          <w:lang w:val="zh-CN"/>
        </w:rPr>
        <w:t>……。</w:t>
      </w:r>
    </w:p>
    <w:p w14:paraId="3B8EB7DB">
      <w:pPr>
        <w:snapToGrid w:val="0"/>
        <w:spacing w:line="360" w:lineRule="auto"/>
        <w:ind w:firstLine="576"/>
        <w:rPr>
          <w:rFonts w:hint="default" w:ascii="宋体" w:hAnsi="宋体" w:cs="宋体"/>
          <w:color w:val="auto"/>
          <w:kern w:val="0"/>
          <w:sz w:val="24"/>
          <w:highlight w:val="none"/>
          <w:lang w:val="zh-CN"/>
        </w:rPr>
      </w:pPr>
      <w:r>
        <w:rPr>
          <w:rFonts w:ascii="宋体" w:hAnsi="宋体" w:cs="宋体"/>
          <w:color w:val="auto"/>
          <w:kern w:val="0"/>
          <w:sz w:val="24"/>
          <w:highlight w:val="none"/>
          <w:lang w:val="zh-CN"/>
        </w:rPr>
        <w:t>五、如果中标，</w:t>
      </w:r>
      <w:r>
        <w:rPr>
          <w:rFonts w:ascii="宋体" w:hAnsi="宋体" w:cs="宋体"/>
          <w:color w:val="auto"/>
          <w:sz w:val="24"/>
          <w:highlight w:val="none"/>
        </w:rPr>
        <w:t>联合体各成员方共同与采购人签订合同，并就采购合同约定的事项对采购人承担连带责任。</w:t>
      </w:r>
    </w:p>
    <w:p w14:paraId="36FEF89B">
      <w:pPr>
        <w:snapToGrid w:val="0"/>
        <w:spacing w:line="360" w:lineRule="auto"/>
        <w:ind w:firstLine="576"/>
        <w:rPr>
          <w:rFonts w:hint="default" w:ascii="宋体" w:hAnsi="宋体" w:cs="宋体"/>
          <w:color w:val="auto"/>
          <w:kern w:val="0"/>
          <w:sz w:val="24"/>
          <w:highlight w:val="none"/>
          <w:lang w:val="zh-CN"/>
        </w:rPr>
      </w:pPr>
      <w:r>
        <w:rPr>
          <w:rFonts w:ascii="宋体" w:hAnsi="宋体" w:cs="宋体"/>
          <w:color w:val="auto"/>
          <w:kern w:val="0"/>
          <w:sz w:val="24"/>
          <w:highlight w:val="none"/>
          <w:lang w:val="zh-CN"/>
        </w:rPr>
        <w:t>六、有关本次联合投标的其他事宜：</w:t>
      </w:r>
    </w:p>
    <w:p w14:paraId="33AA1AE4">
      <w:pPr>
        <w:snapToGrid w:val="0"/>
        <w:spacing w:line="360" w:lineRule="auto"/>
        <w:ind w:firstLine="576"/>
        <w:rPr>
          <w:rFonts w:hint="default" w:ascii="宋体" w:hAnsi="宋体" w:cs="宋体"/>
          <w:color w:val="auto"/>
          <w:kern w:val="0"/>
          <w:sz w:val="24"/>
          <w:highlight w:val="none"/>
          <w:lang w:val="zh-CN"/>
        </w:rPr>
      </w:pPr>
      <w:r>
        <w:rPr>
          <w:rFonts w:ascii="宋体" w:hAnsi="宋体" w:cs="宋体"/>
          <w:color w:val="auto"/>
          <w:kern w:val="0"/>
          <w:sz w:val="24"/>
          <w:highlight w:val="none"/>
          <w:lang w:val="zh-CN"/>
        </w:rPr>
        <w:t>1、联合体各方不再单独参加或者与其他供应商另外组成联合体参加同一合同项下的政府采购活动。</w:t>
      </w:r>
    </w:p>
    <w:p w14:paraId="7926794A">
      <w:pPr>
        <w:snapToGrid w:val="0"/>
        <w:spacing w:line="360" w:lineRule="auto"/>
        <w:ind w:firstLine="576"/>
        <w:rPr>
          <w:rFonts w:hint="default" w:ascii="宋体" w:hAnsi="宋体" w:cs="宋体"/>
          <w:color w:val="auto"/>
          <w:kern w:val="0"/>
          <w:sz w:val="24"/>
          <w:highlight w:val="none"/>
          <w:lang w:val="zh-CN"/>
        </w:rPr>
      </w:pPr>
      <w:r>
        <w:rPr>
          <w:rFonts w:ascii="宋体" w:hAnsi="宋体" w:cs="宋体"/>
          <w:color w:val="auto"/>
          <w:kern w:val="0"/>
          <w:sz w:val="24"/>
          <w:highlight w:val="none"/>
          <w:lang w:val="zh-CN"/>
        </w:rPr>
        <w:t>2、联合体中有同类资质的各方按照联合体分工承担相同工作的，按照资质等级较低的供应商确定资质等级。</w:t>
      </w:r>
    </w:p>
    <w:p w14:paraId="253BE476">
      <w:pPr>
        <w:snapToGrid w:val="0"/>
        <w:spacing w:line="360" w:lineRule="auto"/>
        <w:ind w:firstLine="576"/>
        <w:rPr>
          <w:rFonts w:hint="default" w:ascii="宋体" w:hAnsi="宋体" w:cs="宋体"/>
          <w:color w:val="auto"/>
          <w:kern w:val="0"/>
          <w:sz w:val="24"/>
          <w:highlight w:val="none"/>
          <w:lang w:val="zh-CN"/>
        </w:rPr>
      </w:pPr>
      <w:r>
        <w:rPr>
          <w:rFonts w:ascii="宋体" w:hAnsi="宋体" w:cs="宋体"/>
          <w:color w:val="auto"/>
          <w:kern w:val="0"/>
          <w:sz w:val="24"/>
          <w:highlight w:val="none"/>
          <w:lang w:val="zh-CN"/>
        </w:rPr>
        <w:t>3、本协议提交采购人、采购机构后，联合体各方不得以任何形式对上述内容进行修改或撤销。</w:t>
      </w:r>
    </w:p>
    <w:p w14:paraId="071A6ECD">
      <w:pPr>
        <w:snapToGrid w:val="0"/>
        <w:spacing w:line="360" w:lineRule="auto"/>
        <w:ind w:firstLine="4800" w:firstLineChars="2000"/>
        <w:rPr>
          <w:rFonts w:hint="default" w:ascii="宋体" w:hAnsi="宋体" w:cs="宋体"/>
          <w:color w:val="auto"/>
          <w:kern w:val="0"/>
          <w:sz w:val="24"/>
          <w:highlight w:val="none"/>
          <w:lang w:val="zh-CN"/>
        </w:rPr>
      </w:pPr>
      <w:r>
        <w:rPr>
          <w:rFonts w:ascii="宋体" w:hAnsi="宋体" w:cs="宋体"/>
          <w:color w:val="auto"/>
          <w:kern w:val="0"/>
          <w:sz w:val="24"/>
          <w:highlight w:val="none"/>
          <w:lang w:val="zh-CN"/>
        </w:rPr>
        <w:t>联合体成员名称(电子签名/公章)：</w:t>
      </w:r>
    </w:p>
    <w:p w14:paraId="03B15927">
      <w:pPr>
        <w:snapToGrid w:val="0"/>
        <w:spacing w:line="360" w:lineRule="auto"/>
        <w:rPr>
          <w:rFonts w:hint="default" w:ascii="宋体" w:hAnsi="宋体" w:cs="宋体"/>
          <w:color w:val="auto"/>
          <w:kern w:val="0"/>
          <w:sz w:val="24"/>
          <w:highlight w:val="none"/>
          <w:lang w:val="zh-CN"/>
        </w:rPr>
      </w:pPr>
      <w:r>
        <w:rPr>
          <w:rFonts w:ascii="宋体" w:hAnsi="宋体" w:cs="宋体"/>
          <w:color w:val="auto"/>
          <w:kern w:val="0"/>
          <w:sz w:val="24"/>
          <w:highlight w:val="none"/>
          <w:lang w:val="zh-CN"/>
        </w:rPr>
        <w:t xml:space="preserve">                                               日期：  年  月   日</w:t>
      </w:r>
    </w:p>
    <w:p w14:paraId="5E5E92B6">
      <w:pPr>
        <w:pStyle w:val="16"/>
        <w:rPr>
          <w:rFonts w:hint="default" w:ascii="Times New Roman" w:hAnsi="Times New Roman"/>
          <w:color w:val="auto"/>
          <w:highlight w:val="none"/>
        </w:rPr>
      </w:pPr>
      <w:r>
        <w:rPr>
          <w:rFonts w:hAnsi="宋体" w:cs="宋体"/>
          <w:b/>
          <w:color w:val="auto"/>
          <w:sz w:val="30"/>
          <w:szCs w:val="30"/>
          <w:highlight w:val="none"/>
        </w:rPr>
        <w:br w:type="page"/>
      </w:r>
      <w:bookmarkEnd w:id="82"/>
      <w:bookmarkEnd w:id="83"/>
      <w:bookmarkStart w:id="89" w:name="_Toc354996707"/>
      <w:bookmarkStart w:id="90" w:name="_Toc55237638"/>
      <w:bookmarkStart w:id="91" w:name="_Toc233618989"/>
    </w:p>
    <w:p w14:paraId="415BDE94">
      <w:pPr>
        <w:adjustRightInd w:val="0"/>
        <w:snapToGrid w:val="0"/>
        <w:spacing w:line="440" w:lineRule="exact"/>
        <w:ind w:right="420"/>
        <w:rPr>
          <w:rFonts w:hint="default"/>
          <w:color w:val="auto"/>
          <w:highlight w:val="none"/>
        </w:rPr>
      </w:pPr>
    </w:p>
    <w:p w14:paraId="75C419C8">
      <w:pPr>
        <w:pStyle w:val="77"/>
        <w:snapToGrid w:val="0"/>
        <w:spacing w:line="360" w:lineRule="auto"/>
        <w:ind w:firstLine="301" w:firstLineChars="100"/>
        <w:jc w:val="center"/>
        <w:rPr>
          <w:rFonts w:ascii="宋体" w:hAnsi="宋体" w:cs="宋体"/>
          <w:b/>
          <w:color w:val="auto"/>
          <w:sz w:val="30"/>
          <w:szCs w:val="30"/>
          <w:highlight w:val="none"/>
        </w:rPr>
      </w:pPr>
      <w:r>
        <w:rPr>
          <w:rFonts w:hint="eastAsia" w:ascii="宋体" w:hAnsi="宋体" w:cs="宋体"/>
          <w:b/>
          <w:color w:val="auto"/>
          <w:sz w:val="30"/>
          <w:szCs w:val="30"/>
          <w:highlight w:val="none"/>
        </w:rPr>
        <w:t>三</w:t>
      </w:r>
      <w:r>
        <w:rPr>
          <w:rFonts w:ascii="宋体" w:hAnsi="宋体" w:cs="宋体"/>
          <w:b/>
          <w:color w:val="auto"/>
          <w:sz w:val="30"/>
          <w:szCs w:val="30"/>
          <w:highlight w:val="none"/>
        </w:rPr>
        <w:t>、</w:t>
      </w:r>
      <w:r>
        <w:rPr>
          <w:rFonts w:ascii="宋体" w:hAnsi="宋体" w:cs="宋体"/>
          <w:b/>
          <w:color w:val="auto"/>
          <w:sz w:val="30"/>
          <w:szCs w:val="30"/>
          <w:highlight w:val="none"/>
          <w:lang w:val="zh-CN"/>
        </w:rPr>
        <w:t>特定资格条件要求的资质文件（复印件，如有）</w:t>
      </w:r>
    </w:p>
    <w:p w14:paraId="61EA3715">
      <w:pPr>
        <w:pStyle w:val="77"/>
        <w:snapToGrid w:val="0"/>
        <w:spacing w:line="360" w:lineRule="auto"/>
        <w:ind w:firstLine="321" w:firstLineChars="100"/>
        <w:jc w:val="center"/>
        <w:rPr>
          <w:b/>
          <w:bCs/>
          <w:color w:val="auto"/>
          <w:kern w:val="0"/>
          <w:sz w:val="36"/>
          <w:szCs w:val="36"/>
          <w:highlight w:val="none"/>
        </w:rPr>
      </w:pPr>
      <w:r>
        <w:rPr>
          <w:b/>
          <w:bCs/>
          <w:color w:val="auto"/>
          <w:kern w:val="0"/>
          <w:sz w:val="32"/>
          <w:szCs w:val="32"/>
          <w:highlight w:val="none"/>
        </w:rPr>
        <w:br w:type="page"/>
      </w:r>
      <w:r>
        <w:rPr>
          <w:b/>
          <w:bCs/>
          <w:color w:val="auto"/>
          <w:kern w:val="0"/>
          <w:sz w:val="36"/>
          <w:szCs w:val="36"/>
          <w:highlight w:val="none"/>
        </w:rPr>
        <w:t>报价文件</w:t>
      </w:r>
      <w:bookmarkEnd w:id="89"/>
      <w:bookmarkEnd w:id="90"/>
    </w:p>
    <w:p w14:paraId="5392F0B3">
      <w:pPr>
        <w:pStyle w:val="16"/>
        <w:rPr>
          <w:rFonts w:hint="default" w:ascii="Times New Roman" w:hAnsi="Times New Roman"/>
          <w:color w:val="auto"/>
          <w:highlight w:val="none"/>
        </w:rPr>
      </w:pPr>
    </w:p>
    <w:p w14:paraId="260AE3AB">
      <w:pPr>
        <w:snapToGrid w:val="0"/>
        <w:spacing w:line="360" w:lineRule="auto"/>
        <w:ind w:left="570"/>
        <w:jc w:val="center"/>
        <w:outlineLvl w:val="0"/>
        <w:rPr>
          <w:rFonts w:hint="default"/>
          <w:b/>
          <w:color w:val="auto"/>
          <w:sz w:val="32"/>
          <w:szCs w:val="32"/>
          <w:highlight w:val="none"/>
        </w:rPr>
      </w:pPr>
      <w:bookmarkStart w:id="92" w:name="_Toc6431"/>
      <w:bookmarkStart w:id="93" w:name="_Toc12092"/>
      <w:bookmarkStart w:id="94" w:name="_Toc27051"/>
      <w:bookmarkStart w:id="95" w:name="_Toc354859475"/>
      <w:bookmarkStart w:id="96" w:name="_Toc11193"/>
      <w:bookmarkStart w:id="97" w:name="_Toc354859551"/>
      <w:bookmarkStart w:id="98" w:name="_Toc354859632"/>
      <w:bookmarkStart w:id="99" w:name="_Toc233618991"/>
      <w:bookmarkStart w:id="100" w:name="_Toc6304"/>
      <w:r>
        <w:rPr>
          <w:rFonts w:ascii="宋体" w:hAnsi="宋体" w:cs="宋体"/>
          <w:b/>
          <w:color w:val="auto"/>
          <w:sz w:val="30"/>
          <w:szCs w:val="30"/>
          <w:highlight w:val="none"/>
        </w:rPr>
        <w:t>一</w:t>
      </w:r>
      <w:r>
        <w:rPr>
          <w:rFonts w:hint="default" w:ascii="宋体" w:hAnsi="宋体" w:cs="宋体"/>
          <w:b/>
          <w:color w:val="auto"/>
          <w:sz w:val="30"/>
          <w:szCs w:val="30"/>
          <w:highlight w:val="none"/>
        </w:rPr>
        <w:t>、开标一览表</w:t>
      </w:r>
      <w:bookmarkEnd w:id="92"/>
      <w:bookmarkEnd w:id="93"/>
      <w:bookmarkEnd w:id="94"/>
      <w:bookmarkEnd w:id="95"/>
      <w:bookmarkEnd w:id="96"/>
      <w:bookmarkEnd w:id="97"/>
      <w:bookmarkEnd w:id="98"/>
      <w:bookmarkEnd w:id="99"/>
      <w:bookmarkEnd w:id="100"/>
    </w:p>
    <w:p w14:paraId="4BC19200">
      <w:pPr>
        <w:snapToGrid w:val="0"/>
        <w:spacing w:line="360" w:lineRule="auto"/>
        <w:rPr>
          <w:rFonts w:hint="default"/>
          <w:color w:val="auto"/>
          <w:szCs w:val="21"/>
          <w:highlight w:val="none"/>
        </w:rPr>
      </w:pPr>
      <w:r>
        <w:rPr>
          <w:color w:val="auto"/>
          <w:szCs w:val="21"/>
          <w:highlight w:val="none"/>
        </w:rPr>
        <w:t>浙江工业大学</w:t>
      </w:r>
    </w:p>
    <w:p w14:paraId="3C0B9378">
      <w:pPr>
        <w:snapToGrid w:val="0"/>
        <w:spacing w:line="360" w:lineRule="auto"/>
        <w:rPr>
          <w:rFonts w:hint="default"/>
          <w:color w:val="auto"/>
          <w:szCs w:val="21"/>
          <w:highlight w:val="none"/>
        </w:rPr>
      </w:pPr>
      <w:r>
        <w:rPr>
          <w:rFonts w:hint="default"/>
          <w:color w:val="auto"/>
          <w:szCs w:val="21"/>
          <w:highlight w:val="none"/>
        </w:rPr>
        <w:t>浙江豪圣建设项目管理有限公司：</w:t>
      </w:r>
    </w:p>
    <w:p w14:paraId="4A39152B">
      <w:pPr>
        <w:snapToGrid w:val="0"/>
        <w:spacing w:line="360" w:lineRule="auto"/>
        <w:ind w:firstLine="420" w:firstLineChars="200"/>
        <w:rPr>
          <w:rFonts w:hint="default"/>
          <w:color w:val="auto"/>
          <w:kern w:val="0"/>
          <w:szCs w:val="21"/>
          <w:highlight w:val="none"/>
          <w:lang w:val="zh-CN"/>
        </w:rPr>
      </w:pPr>
      <w:r>
        <w:rPr>
          <w:rFonts w:hint="default"/>
          <w:color w:val="auto"/>
          <w:kern w:val="0"/>
          <w:szCs w:val="21"/>
          <w:highlight w:val="none"/>
          <w:lang w:val="zh-CN"/>
        </w:rPr>
        <w:t>按你方采购文件要求，我们，本投标文件签字方，谨此向你方发出要约如下：如你方接受本投标文件，我方承诺按照如下开标一览表的价格完成项目编号为</w:t>
      </w:r>
      <w:r>
        <w:rPr>
          <w:rFonts w:hint="eastAsia"/>
          <w:color w:val="auto"/>
          <w:szCs w:val="21"/>
          <w:highlight w:val="none"/>
          <w:u w:val="single"/>
          <w:lang w:eastAsia="zh-CN"/>
        </w:rPr>
        <w:t>HSZB-2024-972</w:t>
      </w:r>
      <w:r>
        <w:rPr>
          <w:rFonts w:hint="default"/>
          <w:color w:val="auto"/>
          <w:kern w:val="0"/>
          <w:szCs w:val="21"/>
          <w:highlight w:val="none"/>
          <w:lang w:val="zh-CN"/>
        </w:rPr>
        <w:t>的采购文件[项目名称：</w:t>
      </w:r>
      <w:r>
        <w:rPr>
          <w:rFonts w:hint="eastAsia"/>
          <w:color w:val="auto"/>
          <w:szCs w:val="21"/>
          <w:highlight w:val="none"/>
          <w:lang w:eastAsia="zh-CN"/>
        </w:rPr>
        <w:t>浙江工业大学制备液相色谱仪等采购</w:t>
      </w:r>
      <w:r>
        <w:rPr>
          <w:rFonts w:hint="default"/>
          <w:color w:val="auto"/>
          <w:kern w:val="0"/>
          <w:szCs w:val="21"/>
          <w:highlight w:val="none"/>
          <w:lang w:val="zh-CN"/>
        </w:rPr>
        <w:t>]的实施。</w:t>
      </w:r>
    </w:p>
    <w:p w14:paraId="7FE823BA">
      <w:pPr>
        <w:autoSpaceDE w:val="0"/>
        <w:autoSpaceDN w:val="0"/>
        <w:adjustRightInd w:val="0"/>
        <w:spacing w:line="360" w:lineRule="auto"/>
        <w:jc w:val="center"/>
        <w:outlineLvl w:val="0"/>
        <w:rPr>
          <w:rFonts w:hint="default"/>
          <w:b/>
          <w:bCs/>
          <w:color w:val="auto"/>
          <w:kern w:val="0"/>
          <w:sz w:val="24"/>
          <w:highlight w:val="none"/>
          <w:lang w:val="zh-CN"/>
        </w:rPr>
      </w:pPr>
      <w:bookmarkStart w:id="101" w:name="_Toc4652"/>
      <w:bookmarkStart w:id="102" w:name="_Toc18202"/>
      <w:bookmarkStart w:id="103" w:name="_Toc20543"/>
      <w:bookmarkStart w:id="104" w:name="_Toc12944"/>
      <w:bookmarkStart w:id="105" w:name="_Toc14958"/>
      <w:r>
        <w:rPr>
          <w:rFonts w:hint="default"/>
          <w:b/>
          <w:bCs/>
          <w:color w:val="auto"/>
          <w:kern w:val="0"/>
          <w:sz w:val="24"/>
          <w:highlight w:val="none"/>
          <w:lang w:val="zh-CN"/>
        </w:rPr>
        <w:t>投标（开标）一览表（单位均为人民币元）</w:t>
      </w:r>
      <w:bookmarkEnd w:id="101"/>
      <w:bookmarkEnd w:id="102"/>
      <w:bookmarkEnd w:id="103"/>
      <w:bookmarkEnd w:id="104"/>
      <w:bookmarkEnd w:id="105"/>
    </w:p>
    <w:tbl>
      <w:tblPr>
        <w:tblStyle w:val="41"/>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77"/>
        <w:gridCol w:w="2975"/>
        <w:gridCol w:w="1908"/>
        <w:gridCol w:w="2088"/>
        <w:gridCol w:w="1164"/>
      </w:tblGrid>
      <w:tr w14:paraId="0688CB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6" w:hRule="atLeast"/>
        </w:trPr>
        <w:tc>
          <w:tcPr>
            <w:tcW w:w="977" w:type="dxa"/>
            <w:noWrap/>
            <w:vAlign w:val="center"/>
          </w:tcPr>
          <w:p w14:paraId="617DBD17">
            <w:pPr>
              <w:spacing w:line="360" w:lineRule="auto"/>
              <w:jc w:val="center"/>
              <w:rPr>
                <w:rFonts w:hint="default"/>
                <w:b/>
                <w:color w:val="auto"/>
                <w:sz w:val="24"/>
                <w:szCs w:val="24"/>
                <w:highlight w:val="none"/>
              </w:rPr>
            </w:pPr>
            <w:r>
              <w:rPr>
                <w:rFonts w:hint="default"/>
                <w:b/>
                <w:color w:val="auto"/>
                <w:sz w:val="24"/>
                <w:szCs w:val="24"/>
                <w:highlight w:val="none"/>
              </w:rPr>
              <w:t>序号</w:t>
            </w:r>
          </w:p>
        </w:tc>
        <w:tc>
          <w:tcPr>
            <w:tcW w:w="2975" w:type="dxa"/>
            <w:noWrap/>
            <w:vAlign w:val="center"/>
          </w:tcPr>
          <w:p w14:paraId="61F60C66">
            <w:pPr>
              <w:spacing w:line="360" w:lineRule="auto"/>
              <w:jc w:val="center"/>
              <w:rPr>
                <w:rFonts w:hint="default"/>
                <w:b/>
                <w:color w:val="auto"/>
                <w:sz w:val="24"/>
                <w:szCs w:val="24"/>
                <w:highlight w:val="none"/>
              </w:rPr>
            </w:pPr>
            <w:r>
              <w:rPr>
                <w:rFonts w:hint="default"/>
                <w:b/>
                <w:color w:val="auto"/>
                <w:sz w:val="24"/>
                <w:szCs w:val="24"/>
                <w:highlight w:val="none"/>
              </w:rPr>
              <w:t>项目名称</w:t>
            </w:r>
          </w:p>
        </w:tc>
        <w:tc>
          <w:tcPr>
            <w:tcW w:w="1908" w:type="dxa"/>
            <w:noWrap/>
            <w:vAlign w:val="center"/>
          </w:tcPr>
          <w:p w14:paraId="12DBF73D">
            <w:pPr>
              <w:spacing w:line="360" w:lineRule="auto"/>
              <w:jc w:val="center"/>
              <w:rPr>
                <w:rFonts w:hint="default"/>
                <w:b/>
                <w:color w:val="auto"/>
                <w:sz w:val="24"/>
                <w:szCs w:val="24"/>
                <w:highlight w:val="none"/>
              </w:rPr>
            </w:pPr>
            <w:r>
              <w:rPr>
                <w:rFonts w:hint="default"/>
                <w:b/>
                <w:color w:val="auto"/>
                <w:sz w:val="24"/>
                <w:szCs w:val="24"/>
                <w:highlight w:val="none"/>
              </w:rPr>
              <w:t>投标报价（元）</w:t>
            </w:r>
          </w:p>
        </w:tc>
        <w:tc>
          <w:tcPr>
            <w:tcW w:w="2088" w:type="dxa"/>
            <w:noWrap/>
            <w:vAlign w:val="center"/>
          </w:tcPr>
          <w:p w14:paraId="67C39058">
            <w:pPr>
              <w:spacing w:line="360" w:lineRule="auto"/>
              <w:jc w:val="center"/>
              <w:rPr>
                <w:rFonts w:hint="default"/>
                <w:b/>
                <w:color w:val="auto"/>
                <w:sz w:val="24"/>
                <w:szCs w:val="24"/>
                <w:highlight w:val="none"/>
              </w:rPr>
            </w:pPr>
            <w:r>
              <w:rPr>
                <w:b/>
                <w:color w:val="auto"/>
                <w:sz w:val="24"/>
                <w:szCs w:val="24"/>
                <w:highlight w:val="none"/>
              </w:rPr>
              <w:t>供货期</w:t>
            </w:r>
          </w:p>
        </w:tc>
        <w:tc>
          <w:tcPr>
            <w:tcW w:w="1164" w:type="dxa"/>
            <w:noWrap/>
            <w:vAlign w:val="center"/>
          </w:tcPr>
          <w:p w14:paraId="48AAD68A">
            <w:pPr>
              <w:spacing w:line="360" w:lineRule="auto"/>
              <w:jc w:val="center"/>
              <w:rPr>
                <w:rFonts w:hint="default"/>
                <w:b/>
                <w:color w:val="auto"/>
                <w:sz w:val="24"/>
                <w:szCs w:val="24"/>
                <w:highlight w:val="none"/>
              </w:rPr>
            </w:pPr>
            <w:r>
              <w:rPr>
                <w:rFonts w:hint="default"/>
                <w:b/>
                <w:color w:val="auto"/>
                <w:sz w:val="24"/>
                <w:szCs w:val="24"/>
                <w:highlight w:val="none"/>
              </w:rPr>
              <w:t>备注</w:t>
            </w:r>
          </w:p>
        </w:tc>
      </w:tr>
      <w:tr w14:paraId="47CF0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trPr>
        <w:tc>
          <w:tcPr>
            <w:tcW w:w="977" w:type="dxa"/>
            <w:noWrap/>
            <w:vAlign w:val="center"/>
          </w:tcPr>
          <w:p w14:paraId="17E3EC50">
            <w:pPr>
              <w:spacing w:line="360" w:lineRule="auto"/>
              <w:jc w:val="center"/>
              <w:rPr>
                <w:rFonts w:hint="default"/>
                <w:color w:val="auto"/>
                <w:kern w:val="0"/>
                <w:sz w:val="24"/>
                <w:szCs w:val="24"/>
                <w:highlight w:val="none"/>
                <w:lang w:val="zh-CN"/>
              </w:rPr>
            </w:pPr>
            <w:r>
              <w:rPr>
                <w:rFonts w:hint="default"/>
                <w:color w:val="auto"/>
                <w:kern w:val="0"/>
                <w:sz w:val="24"/>
                <w:szCs w:val="24"/>
                <w:highlight w:val="none"/>
                <w:lang w:val="zh-CN"/>
              </w:rPr>
              <w:t>1</w:t>
            </w:r>
          </w:p>
        </w:tc>
        <w:tc>
          <w:tcPr>
            <w:tcW w:w="2975" w:type="dxa"/>
            <w:noWrap/>
            <w:vAlign w:val="center"/>
          </w:tcPr>
          <w:p w14:paraId="6809BFB9">
            <w:pPr>
              <w:jc w:val="center"/>
              <w:rPr>
                <w:rFonts w:hint="eastAsia" w:eastAsia="宋体"/>
                <w:color w:val="auto"/>
                <w:kern w:val="0"/>
                <w:sz w:val="24"/>
                <w:szCs w:val="24"/>
                <w:highlight w:val="none"/>
                <w:lang w:val="zh-CN" w:eastAsia="zh-CN"/>
              </w:rPr>
            </w:pPr>
            <w:r>
              <w:rPr>
                <w:rFonts w:hint="eastAsia"/>
                <w:color w:val="auto"/>
                <w:sz w:val="24"/>
                <w:szCs w:val="24"/>
                <w:highlight w:val="none"/>
                <w:lang w:eastAsia="zh-CN"/>
              </w:rPr>
              <w:t>浙江工业大学制备液相色谱仪等采购</w:t>
            </w:r>
          </w:p>
        </w:tc>
        <w:tc>
          <w:tcPr>
            <w:tcW w:w="1908" w:type="dxa"/>
            <w:noWrap/>
            <w:vAlign w:val="center"/>
          </w:tcPr>
          <w:p w14:paraId="314109C2">
            <w:pPr>
              <w:jc w:val="center"/>
              <w:rPr>
                <w:rFonts w:hint="default"/>
                <w:color w:val="auto"/>
                <w:kern w:val="0"/>
                <w:sz w:val="24"/>
                <w:szCs w:val="24"/>
                <w:highlight w:val="none"/>
                <w:lang w:val="zh-CN"/>
              </w:rPr>
            </w:pPr>
          </w:p>
        </w:tc>
        <w:tc>
          <w:tcPr>
            <w:tcW w:w="2088" w:type="dxa"/>
            <w:noWrap/>
            <w:vAlign w:val="center"/>
          </w:tcPr>
          <w:p w14:paraId="7FFEC532">
            <w:pPr>
              <w:jc w:val="center"/>
              <w:rPr>
                <w:rFonts w:hint="default"/>
                <w:color w:val="auto"/>
                <w:kern w:val="0"/>
                <w:sz w:val="24"/>
                <w:szCs w:val="24"/>
                <w:highlight w:val="none"/>
                <w:lang w:val="zh-CN"/>
              </w:rPr>
            </w:pPr>
          </w:p>
        </w:tc>
        <w:tc>
          <w:tcPr>
            <w:tcW w:w="1164" w:type="dxa"/>
            <w:noWrap/>
            <w:vAlign w:val="center"/>
          </w:tcPr>
          <w:p w14:paraId="3F814CB1">
            <w:pPr>
              <w:jc w:val="center"/>
              <w:rPr>
                <w:rFonts w:hint="default"/>
                <w:color w:val="auto"/>
                <w:kern w:val="0"/>
                <w:sz w:val="24"/>
                <w:szCs w:val="24"/>
                <w:highlight w:val="none"/>
                <w:lang w:val="zh-CN"/>
              </w:rPr>
            </w:pPr>
          </w:p>
        </w:tc>
      </w:tr>
    </w:tbl>
    <w:p w14:paraId="26BCC431">
      <w:pPr>
        <w:tabs>
          <w:tab w:val="left" w:pos="1140"/>
        </w:tabs>
        <w:adjustRightInd w:val="0"/>
        <w:snapToGrid w:val="0"/>
        <w:spacing w:line="360" w:lineRule="auto"/>
        <w:jc w:val="left"/>
        <w:rPr>
          <w:rFonts w:hint="default"/>
          <w:color w:val="auto"/>
          <w:kern w:val="0"/>
          <w:szCs w:val="21"/>
          <w:highlight w:val="none"/>
          <w:lang w:val="zh-CN"/>
        </w:rPr>
      </w:pPr>
      <w:r>
        <w:rPr>
          <w:rFonts w:hint="default"/>
          <w:color w:val="auto"/>
          <w:kern w:val="0"/>
          <w:szCs w:val="21"/>
          <w:highlight w:val="none"/>
          <w:lang w:val="zh-CN"/>
        </w:rPr>
        <w:t>注：</w:t>
      </w:r>
      <w:r>
        <w:rPr>
          <w:rFonts w:hint="default"/>
          <w:color w:val="auto"/>
          <w:szCs w:val="21"/>
          <w:highlight w:val="none"/>
        </w:rPr>
        <w:t>1、投标人需按本表格式填写，</w:t>
      </w:r>
      <w:r>
        <w:rPr>
          <w:rFonts w:hint="default"/>
          <w:bCs/>
          <w:color w:val="auto"/>
          <w:szCs w:val="21"/>
          <w:highlight w:val="none"/>
        </w:rPr>
        <w:t>栏数不够可自加。</w:t>
      </w:r>
    </w:p>
    <w:p w14:paraId="4C601E82">
      <w:pPr>
        <w:tabs>
          <w:tab w:val="left" w:pos="1140"/>
          <w:tab w:val="left" w:pos="5909"/>
        </w:tabs>
        <w:adjustRightInd w:val="0"/>
        <w:snapToGrid w:val="0"/>
        <w:spacing w:line="360" w:lineRule="auto"/>
        <w:ind w:firstLine="420" w:firstLineChars="200"/>
        <w:jc w:val="left"/>
        <w:rPr>
          <w:rFonts w:hint="default"/>
          <w:color w:val="auto"/>
          <w:kern w:val="0"/>
          <w:szCs w:val="21"/>
          <w:highlight w:val="none"/>
          <w:lang w:val="zh-CN"/>
        </w:rPr>
      </w:pPr>
      <w:r>
        <w:rPr>
          <w:rFonts w:hint="default"/>
          <w:color w:val="auto"/>
          <w:kern w:val="0"/>
          <w:szCs w:val="21"/>
          <w:highlight w:val="none"/>
          <w:lang w:val="zh-CN"/>
        </w:rPr>
        <w:t>2、有关本项目实施所涉及的一切费用均计入报价。</w:t>
      </w:r>
      <w:r>
        <w:rPr>
          <w:rFonts w:hint="default"/>
          <w:color w:val="auto"/>
          <w:kern w:val="0"/>
          <w:szCs w:val="21"/>
          <w:highlight w:val="none"/>
          <w:lang w:val="zh-CN"/>
        </w:rPr>
        <w:tab/>
      </w:r>
    </w:p>
    <w:p w14:paraId="546948CA">
      <w:pPr>
        <w:adjustRightInd w:val="0"/>
        <w:snapToGrid w:val="0"/>
        <w:spacing w:line="360" w:lineRule="auto"/>
        <w:ind w:firstLine="480" w:firstLineChars="200"/>
        <w:rPr>
          <w:rFonts w:hint="default" w:ascii="宋体" w:hAnsi="宋体" w:cs="宋体"/>
          <w:color w:val="auto"/>
          <w:kern w:val="0"/>
          <w:sz w:val="24"/>
          <w:highlight w:val="none"/>
        </w:rPr>
      </w:pPr>
      <w:bookmarkStart w:id="106" w:name="_Toc26301"/>
      <w:bookmarkStart w:id="107" w:name="_Toc4011"/>
      <w:bookmarkStart w:id="108" w:name="_Toc24956"/>
      <w:bookmarkStart w:id="109" w:name="_Toc233618992"/>
      <w:bookmarkStart w:id="110" w:name="_Toc18315"/>
      <w:r>
        <w:rPr>
          <w:rFonts w:ascii="宋体" w:hAnsi="宋体" w:cs="宋体"/>
          <w:color w:val="auto"/>
          <w:kern w:val="0"/>
          <w:sz w:val="24"/>
          <w:highlight w:val="none"/>
        </w:rPr>
        <w:t>供应商（</w:t>
      </w:r>
      <w:r>
        <w:rPr>
          <w:rFonts w:ascii="宋体" w:hAnsi="宋体" w:cs="宋体"/>
          <w:color w:val="auto"/>
          <w:kern w:val="0"/>
          <w:sz w:val="24"/>
          <w:highlight w:val="none"/>
          <w:lang w:val="zh-CN"/>
        </w:rPr>
        <w:t>电子签名/公章</w:t>
      </w:r>
      <w:r>
        <w:rPr>
          <w:rFonts w:ascii="宋体" w:hAnsi="宋体" w:cs="宋体"/>
          <w:color w:val="auto"/>
          <w:kern w:val="0"/>
          <w:sz w:val="24"/>
          <w:highlight w:val="none"/>
        </w:rPr>
        <w:t>）：</w:t>
      </w:r>
    </w:p>
    <w:p w14:paraId="5C2F72DE">
      <w:pPr>
        <w:widowControl/>
        <w:adjustRightInd w:val="0"/>
        <w:snapToGrid w:val="0"/>
        <w:spacing w:line="360" w:lineRule="auto"/>
        <w:ind w:firstLine="480" w:firstLineChars="200"/>
        <w:jc w:val="left"/>
        <w:rPr>
          <w:rFonts w:hint="default"/>
          <w:color w:val="auto"/>
          <w:kern w:val="0"/>
          <w:sz w:val="24"/>
          <w:highlight w:val="none"/>
        </w:rPr>
      </w:pPr>
      <w:r>
        <w:rPr>
          <w:rFonts w:hint="default"/>
          <w:color w:val="auto"/>
          <w:kern w:val="0"/>
          <w:sz w:val="24"/>
          <w:highlight w:val="none"/>
        </w:rPr>
        <w:t>法定代表人或其授权代表（签字或盖章）：</w:t>
      </w:r>
    </w:p>
    <w:p w14:paraId="5764B483">
      <w:pPr>
        <w:pStyle w:val="6"/>
        <w:adjustRightInd w:val="0"/>
        <w:snapToGrid w:val="0"/>
        <w:spacing w:beforeLines="0" w:afterLines="0" w:line="360" w:lineRule="auto"/>
        <w:ind w:firstLine="480" w:firstLineChars="200"/>
        <w:outlineLvl w:val="0"/>
        <w:rPr>
          <w:rFonts w:ascii="Times New Roman" w:hAnsi="Times New Roman"/>
          <w:b/>
          <w:color w:val="auto"/>
          <w:sz w:val="32"/>
          <w:szCs w:val="32"/>
          <w:highlight w:val="none"/>
        </w:rPr>
      </w:pPr>
      <w:bookmarkStart w:id="111" w:name="_Toc32170"/>
      <w:r>
        <w:rPr>
          <w:rFonts w:ascii="Times New Roman" w:hAnsi="Times New Roman"/>
          <w:color w:val="auto"/>
          <w:kern w:val="0"/>
          <w:highlight w:val="none"/>
        </w:rPr>
        <w:t>日期：     年  月  日</w:t>
      </w:r>
      <w:bookmarkEnd w:id="111"/>
    </w:p>
    <w:p w14:paraId="0CA57CF0">
      <w:pPr>
        <w:snapToGrid w:val="0"/>
        <w:spacing w:line="360" w:lineRule="auto"/>
        <w:ind w:firstLine="643" w:firstLineChars="200"/>
        <w:jc w:val="center"/>
        <w:outlineLvl w:val="0"/>
        <w:rPr>
          <w:rFonts w:hint="default"/>
          <w:b/>
          <w:color w:val="auto"/>
          <w:sz w:val="32"/>
          <w:szCs w:val="32"/>
          <w:highlight w:val="none"/>
        </w:rPr>
      </w:pPr>
      <w:r>
        <w:rPr>
          <w:rFonts w:hint="default"/>
          <w:b/>
          <w:color w:val="auto"/>
          <w:sz w:val="32"/>
          <w:szCs w:val="32"/>
          <w:highlight w:val="none"/>
        </w:rPr>
        <w:br w:type="page"/>
      </w:r>
      <w:bookmarkStart w:id="112" w:name="_Toc13342"/>
      <w:r>
        <w:rPr>
          <w:b/>
          <w:color w:val="auto"/>
          <w:sz w:val="32"/>
          <w:szCs w:val="32"/>
          <w:highlight w:val="none"/>
        </w:rPr>
        <w:t>二</w:t>
      </w:r>
      <w:r>
        <w:rPr>
          <w:rFonts w:hint="default"/>
          <w:b/>
          <w:color w:val="auto"/>
          <w:sz w:val="32"/>
          <w:szCs w:val="32"/>
          <w:highlight w:val="none"/>
        </w:rPr>
        <w:t>、报价明细清单</w:t>
      </w:r>
      <w:bookmarkEnd w:id="106"/>
      <w:bookmarkEnd w:id="107"/>
      <w:bookmarkEnd w:id="108"/>
      <w:bookmarkEnd w:id="109"/>
      <w:bookmarkEnd w:id="110"/>
      <w:bookmarkEnd w:id="112"/>
    </w:p>
    <w:p w14:paraId="4E7F61FB">
      <w:pPr>
        <w:pStyle w:val="6"/>
        <w:snapToGrid w:val="0"/>
        <w:spacing w:before="120" w:after="120" w:line="360" w:lineRule="auto"/>
        <w:jc w:val="center"/>
        <w:rPr>
          <w:rFonts w:ascii="Times New Roman" w:hAnsi="Times New Roman"/>
          <w:b/>
          <w:color w:val="auto"/>
          <w:sz w:val="30"/>
          <w:szCs w:val="30"/>
          <w:highlight w:val="none"/>
        </w:rPr>
      </w:pPr>
      <w:r>
        <w:rPr>
          <w:rFonts w:ascii="Times New Roman" w:hAnsi="Times New Roman"/>
          <w:b/>
          <w:color w:val="auto"/>
          <w:sz w:val="30"/>
          <w:szCs w:val="30"/>
          <w:highlight w:val="none"/>
        </w:rPr>
        <w:t>投标报价明细表</w:t>
      </w:r>
    </w:p>
    <w:tbl>
      <w:tblPr>
        <w:tblStyle w:val="41"/>
        <w:tblW w:w="972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50"/>
        <w:gridCol w:w="1167"/>
        <w:gridCol w:w="1344"/>
        <w:gridCol w:w="1396"/>
        <w:gridCol w:w="1345"/>
        <w:gridCol w:w="1443"/>
        <w:gridCol w:w="1154"/>
        <w:gridCol w:w="1222"/>
      </w:tblGrid>
      <w:tr w14:paraId="1C4AAF8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37" w:hRule="atLeast"/>
          <w:jc w:val="center"/>
        </w:trPr>
        <w:tc>
          <w:tcPr>
            <w:tcW w:w="650" w:type="dxa"/>
            <w:tcBorders>
              <w:top w:val="single" w:color="auto" w:sz="4" w:space="0"/>
              <w:left w:val="single" w:color="auto" w:sz="4" w:space="0"/>
              <w:bottom w:val="single" w:color="auto" w:sz="4" w:space="0"/>
              <w:right w:val="single" w:color="auto" w:sz="4" w:space="0"/>
            </w:tcBorders>
            <w:noWrap/>
            <w:vAlign w:val="center"/>
          </w:tcPr>
          <w:p w14:paraId="3378E9D4">
            <w:pPr>
              <w:tabs>
                <w:tab w:val="left" w:pos="1418"/>
              </w:tabs>
              <w:snapToGrid w:val="0"/>
              <w:spacing w:before="50" w:after="50" w:line="360" w:lineRule="auto"/>
              <w:jc w:val="center"/>
              <w:rPr>
                <w:rFonts w:hint="default"/>
                <w:color w:val="auto"/>
                <w:spacing w:val="20"/>
                <w:sz w:val="24"/>
                <w:highlight w:val="none"/>
              </w:rPr>
            </w:pPr>
            <w:r>
              <w:rPr>
                <w:rFonts w:hint="default"/>
                <w:color w:val="auto"/>
                <w:sz w:val="24"/>
                <w:szCs w:val="22"/>
                <w:highlight w:val="none"/>
              </w:rPr>
              <w:t>序号</w:t>
            </w:r>
          </w:p>
        </w:tc>
        <w:tc>
          <w:tcPr>
            <w:tcW w:w="1167" w:type="dxa"/>
            <w:tcBorders>
              <w:top w:val="single" w:color="auto" w:sz="4" w:space="0"/>
              <w:left w:val="single" w:color="auto" w:sz="4" w:space="0"/>
              <w:bottom w:val="single" w:color="auto" w:sz="4" w:space="0"/>
              <w:right w:val="single" w:color="auto" w:sz="4" w:space="0"/>
            </w:tcBorders>
            <w:noWrap/>
            <w:vAlign w:val="center"/>
          </w:tcPr>
          <w:p w14:paraId="72AEFB2A">
            <w:pPr>
              <w:tabs>
                <w:tab w:val="left" w:pos="1418"/>
              </w:tabs>
              <w:snapToGrid w:val="0"/>
              <w:spacing w:before="50" w:after="50" w:line="360" w:lineRule="auto"/>
              <w:jc w:val="center"/>
              <w:rPr>
                <w:rFonts w:hint="default"/>
                <w:color w:val="auto"/>
                <w:spacing w:val="20"/>
                <w:sz w:val="24"/>
                <w:highlight w:val="none"/>
              </w:rPr>
            </w:pPr>
            <w:r>
              <w:rPr>
                <w:rFonts w:hint="default"/>
                <w:color w:val="auto"/>
                <w:sz w:val="24"/>
                <w:szCs w:val="22"/>
                <w:highlight w:val="none"/>
              </w:rPr>
              <w:t>名称</w:t>
            </w:r>
          </w:p>
        </w:tc>
        <w:tc>
          <w:tcPr>
            <w:tcW w:w="1344" w:type="dxa"/>
            <w:tcBorders>
              <w:top w:val="single" w:color="auto" w:sz="4" w:space="0"/>
              <w:left w:val="single" w:color="auto" w:sz="4" w:space="0"/>
              <w:bottom w:val="single" w:color="auto" w:sz="4" w:space="0"/>
              <w:right w:val="single" w:color="auto" w:sz="4" w:space="0"/>
            </w:tcBorders>
            <w:noWrap/>
            <w:vAlign w:val="center"/>
          </w:tcPr>
          <w:p w14:paraId="255FA2B3">
            <w:pPr>
              <w:pStyle w:val="103"/>
              <w:snapToGrid w:val="0"/>
              <w:spacing w:before="120" w:after="120"/>
              <w:rPr>
                <w:rFonts w:hint="default" w:ascii="Times New Roman" w:eastAsia="宋体"/>
                <w:color w:val="auto"/>
                <w:szCs w:val="22"/>
                <w:highlight w:val="none"/>
              </w:rPr>
            </w:pPr>
            <w:r>
              <w:rPr>
                <w:rFonts w:hint="default" w:ascii="Times New Roman" w:eastAsia="宋体"/>
                <w:color w:val="auto"/>
                <w:szCs w:val="22"/>
                <w:highlight w:val="none"/>
              </w:rPr>
              <w:t>品牌</w:t>
            </w:r>
          </w:p>
        </w:tc>
        <w:tc>
          <w:tcPr>
            <w:tcW w:w="1396" w:type="dxa"/>
            <w:tcBorders>
              <w:top w:val="single" w:color="auto" w:sz="4" w:space="0"/>
              <w:left w:val="single" w:color="auto" w:sz="4" w:space="0"/>
              <w:bottom w:val="single" w:color="auto" w:sz="4" w:space="0"/>
              <w:right w:val="single" w:color="auto" w:sz="4" w:space="0"/>
            </w:tcBorders>
            <w:noWrap/>
            <w:vAlign w:val="center"/>
          </w:tcPr>
          <w:p w14:paraId="43F19EA4">
            <w:pPr>
              <w:tabs>
                <w:tab w:val="left" w:pos="1418"/>
              </w:tabs>
              <w:snapToGrid w:val="0"/>
              <w:spacing w:before="50" w:after="50" w:line="360" w:lineRule="auto"/>
              <w:jc w:val="center"/>
              <w:rPr>
                <w:rFonts w:hint="default"/>
                <w:color w:val="auto"/>
                <w:spacing w:val="20"/>
                <w:sz w:val="24"/>
                <w:highlight w:val="none"/>
              </w:rPr>
            </w:pPr>
            <w:r>
              <w:rPr>
                <w:rFonts w:hint="default"/>
                <w:color w:val="auto"/>
                <w:sz w:val="24"/>
                <w:szCs w:val="22"/>
                <w:highlight w:val="none"/>
              </w:rPr>
              <w:t>规格型号</w:t>
            </w:r>
          </w:p>
        </w:tc>
        <w:tc>
          <w:tcPr>
            <w:tcW w:w="1345" w:type="dxa"/>
            <w:tcBorders>
              <w:top w:val="single" w:color="auto" w:sz="4" w:space="0"/>
              <w:left w:val="single" w:color="auto" w:sz="4" w:space="0"/>
              <w:bottom w:val="single" w:color="auto" w:sz="4" w:space="0"/>
              <w:right w:val="single" w:color="auto" w:sz="4" w:space="0"/>
            </w:tcBorders>
            <w:noWrap/>
            <w:vAlign w:val="center"/>
          </w:tcPr>
          <w:p w14:paraId="12DDD825">
            <w:pPr>
              <w:tabs>
                <w:tab w:val="left" w:pos="1418"/>
              </w:tabs>
              <w:snapToGrid w:val="0"/>
              <w:spacing w:before="50" w:after="50" w:line="360" w:lineRule="auto"/>
              <w:jc w:val="center"/>
              <w:rPr>
                <w:rFonts w:hint="default"/>
                <w:color w:val="auto"/>
                <w:sz w:val="24"/>
                <w:szCs w:val="22"/>
                <w:highlight w:val="none"/>
              </w:rPr>
            </w:pPr>
            <w:r>
              <w:rPr>
                <w:color w:val="auto"/>
                <w:sz w:val="24"/>
                <w:szCs w:val="22"/>
                <w:highlight w:val="none"/>
              </w:rPr>
              <w:t>产地</w:t>
            </w:r>
          </w:p>
        </w:tc>
        <w:tc>
          <w:tcPr>
            <w:tcW w:w="1443" w:type="dxa"/>
            <w:tcBorders>
              <w:top w:val="single" w:color="auto" w:sz="4" w:space="0"/>
              <w:left w:val="single" w:color="auto" w:sz="4" w:space="0"/>
              <w:bottom w:val="single" w:color="auto" w:sz="4" w:space="0"/>
              <w:right w:val="single" w:color="auto" w:sz="4" w:space="0"/>
            </w:tcBorders>
            <w:noWrap/>
            <w:vAlign w:val="center"/>
          </w:tcPr>
          <w:p w14:paraId="7B2A0F29">
            <w:pPr>
              <w:tabs>
                <w:tab w:val="left" w:pos="1418"/>
              </w:tabs>
              <w:snapToGrid w:val="0"/>
              <w:spacing w:before="50" w:after="50" w:line="360" w:lineRule="auto"/>
              <w:jc w:val="center"/>
              <w:rPr>
                <w:rFonts w:hint="default"/>
                <w:color w:val="auto"/>
                <w:spacing w:val="20"/>
                <w:sz w:val="24"/>
                <w:highlight w:val="none"/>
              </w:rPr>
            </w:pPr>
            <w:r>
              <w:rPr>
                <w:rFonts w:hint="default"/>
                <w:color w:val="auto"/>
                <w:sz w:val="24"/>
                <w:szCs w:val="22"/>
                <w:highlight w:val="none"/>
              </w:rPr>
              <w:t>单位及数量</w:t>
            </w:r>
          </w:p>
        </w:tc>
        <w:tc>
          <w:tcPr>
            <w:tcW w:w="1154" w:type="dxa"/>
            <w:tcBorders>
              <w:top w:val="single" w:color="auto" w:sz="4" w:space="0"/>
              <w:left w:val="single" w:color="auto" w:sz="4" w:space="0"/>
              <w:bottom w:val="single" w:color="auto" w:sz="4" w:space="0"/>
              <w:right w:val="single" w:color="auto" w:sz="4" w:space="0"/>
            </w:tcBorders>
            <w:noWrap/>
            <w:vAlign w:val="center"/>
          </w:tcPr>
          <w:p w14:paraId="7A43C983">
            <w:pPr>
              <w:tabs>
                <w:tab w:val="left" w:pos="1418"/>
              </w:tabs>
              <w:snapToGrid w:val="0"/>
              <w:spacing w:before="50" w:after="50" w:line="360" w:lineRule="auto"/>
              <w:jc w:val="center"/>
              <w:rPr>
                <w:rFonts w:hint="default"/>
                <w:color w:val="auto"/>
                <w:spacing w:val="20"/>
                <w:sz w:val="24"/>
                <w:highlight w:val="none"/>
              </w:rPr>
            </w:pPr>
            <w:r>
              <w:rPr>
                <w:rFonts w:hint="default"/>
                <w:color w:val="auto"/>
                <w:sz w:val="24"/>
                <w:szCs w:val="22"/>
                <w:highlight w:val="none"/>
              </w:rPr>
              <w:t>单价</w:t>
            </w:r>
          </w:p>
        </w:tc>
        <w:tc>
          <w:tcPr>
            <w:tcW w:w="1222" w:type="dxa"/>
            <w:tcBorders>
              <w:top w:val="single" w:color="auto" w:sz="4" w:space="0"/>
              <w:left w:val="single" w:color="auto" w:sz="4" w:space="0"/>
              <w:bottom w:val="single" w:color="auto" w:sz="4" w:space="0"/>
              <w:right w:val="single" w:color="auto" w:sz="4" w:space="0"/>
            </w:tcBorders>
            <w:noWrap/>
            <w:vAlign w:val="center"/>
          </w:tcPr>
          <w:p w14:paraId="7B38DE4C">
            <w:pPr>
              <w:tabs>
                <w:tab w:val="left" w:pos="1418"/>
              </w:tabs>
              <w:snapToGrid w:val="0"/>
              <w:spacing w:before="50" w:after="50" w:line="360" w:lineRule="auto"/>
              <w:jc w:val="center"/>
              <w:rPr>
                <w:rFonts w:hint="default"/>
                <w:color w:val="auto"/>
                <w:spacing w:val="20"/>
                <w:sz w:val="24"/>
                <w:highlight w:val="none"/>
              </w:rPr>
            </w:pPr>
            <w:r>
              <w:rPr>
                <w:rFonts w:hint="default"/>
                <w:color w:val="auto"/>
                <w:sz w:val="24"/>
                <w:szCs w:val="22"/>
                <w:highlight w:val="none"/>
              </w:rPr>
              <w:t>金额</w:t>
            </w:r>
          </w:p>
        </w:tc>
      </w:tr>
      <w:tr w14:paraId="750131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650" w:type="dxa"/>
            <w:tcBorders>
              <w:top w:val="single" w:color="auto" w:sz="4" w:space="0"/>
              <w:left w:val="single" w:color="auto" w:sz="4" w:space="0"/>
              <w:bottom w:val="single" w:color="auto" w:sz="4" w:space="0"/>
              <w:right w:val="single" w:color="auto" w:sz="4" w:space="0"/>
            </w:tcBorders>
            <w:noWrap/>
            <w:vAlign w:val="center"/>
          </w:tcPr>
          <w:p w14:paraId="60A164A0">
            <w:pPr>
              <w:tabs>
                <w:tab w:val="left" w:pos="1418"/>
              </w:tabs>
              <w:snapToGrid w:val="0"/>
              <w:spacing w:before="50" w:after="50" w:line="240" w:lineRule="auto"/>
              <w:jc w:val="center"/>
              <w:rPr>
                <w:rFonts w:hint="eastAsia" w:eastAsia="宋体"/>
                <w:color w:val="auto"/>
                <w:spacing w:val="20"/>
                <w:sz w:val="24"/>
                <w:highlight w:val="none"/>
                <w:lang w:val="en-US" w:eastAsia="zh-CN"/>
              </w:rPr>
            </w:pPr>
            <w:r>
              <w:rPr>
                <w:rFonts w:hint="eastAsia"/>
                <w:color w:val="auto"/>
                <w:spacing w:val="20"/>
                <w:sz w:val="24"/>
                <w:highlight w:val="none"/>
                <w:lang w:val="en-US" w:eastAsia="zh-CN"/>
              </w:rPr>
              <w:t>1</w:t>
            </w:r>
          </w:p>
        </w:tc>
        <w:tc>
          <w:tcPr>
            <w:tcW w:w="1167" w:type="dxa"/>
            <w:tcBorders>
              <w:top w:val="single" w:color="auto" w:sz="4" w:space="0"/>
              <w:left w:val="single" w:color="auto" w:sz="4" w:space="0"/>
              <w:bottom w:val="single" w:color="auto" w:sz="4" w:space="0"/>
              <w:right w:val="single" w:color="auto" w:sz="4" w:space="0"/>
            </w:tcBorders>
            <w:noWrap/>
            <w:vAlign w:val="center"/>
          </w:tcPr>
          <w:p w14:paraId="43B29AEE">
            <w:pPr>
              <w:tabs>
                <w:tab w:val="left" w:pos="1418"/>
              </w:tabs>
              <w:snapToGrid w:val="0"/>
              <w:spacing w:before="50" w:after="50" w:line="240" w:lineRule="auto"/>
              <w:jc w:val="center"/>
              <w:rPr>
                <w:rFonts w:hint="default"/>
                <w:color w:val="auto"/>
                <w:spacing w:val="20"/>
                <w:sz w:val="24"/>
                <w:highlight w:val="none"/>
              </w:rPr>
            </w:pPr>
            <w:r>
              <w:rPr>
                <w:rFonts w:hint="default"/>
                <w:color w:val="auto"/>
                <w:spacing w:val="20"/>
                <w:sz w:val="24"/>
                <w:highlight w:val="none"/>
              </w:rPr>
              <w:t>气相色谱仪</w:t>
            </w:r>
          </w:p>
        </w:tc>
        <w:tc>
          <w:tcPr>
            <w:tcW w:w="1344" w:type="dxa"/>
            <w:tcBorders>
              <w:top w:val="single" w:color="auto" w:sz="4" w:space="0"/>
              <w:left w:val="single" w:color="auto" w:sz="4" w:space="0"/>
              <w:bottom w:val="single" w:color="auto" w:sz="4" w:space="0"/>
              <w:right w:val="single" w:color="auto" w:sz="4" w:space="0"/>
            </w:tcBorders>
            <w:noWrap/>
            <w:vAlign w:val="center"/>
          </w:tcPr>
          <w:p w14:paraId="3B9CB18E">
            <w:pPr>
              <w:tabs>
                <w:tab w:val="left" w:pos="1418"/>
              </w:tabs>
              <w:snapToGrid w:val="0"/>
              <w:spacing w:before="50" w:after="50" w:line="240" w:lineRule="auto"/>
              <w:jc w:val="center"/>
              <w:rPr>
                <w:rFonts w:hint="default"/>
                <w:color w:val="auto"/>
                <w:spacing w:val="20"/>
                <w:sz w:val="24"/>
                <w:highlight w:val="none"/>
              </w:rPr>
            </w:pPr>
          </w:p>
        </w:tc>
        <w:tc>
          <w:tcPr>
            <w:tcW w:w="1396" w:type="dxa"/>
            <w:tcBorders>
              <w:top w:val="single" w:color="auto" w:sz="4" w:space="0"/>
              <w:left w:val="single" w:color="auto" w:sz="4" w:space="0"/>
              <w:bottom w:val="single" w:color="auto" w:sz="4" w:space="0"/>
              <w:right w:val="single" w:color="auto" w:sz="4" w:space="0"/>
            </w:tcBorders>
            <w:noWrap/>
            <w:vAlign w:val="center"/>
          </w:tcPr>
          <w:p w14:paraId="5A56BCAF">
            <w:pPr>
              <w:tabs>
                <w:tab w:val="left" w:pos="1418"/>
              </w:tabs>
              <w:snapToGrid w:val="0"/>
              <w:spacing w:before="50" w:after="50" w:line="240" w:lineRule="auto"/>
              <w:jc w:val="center"/>
              <w:rPr>
                <w:rFonts w:hint="default"/>
                <w:color w:val="auto"/>
                <w:spacing w:val="20"/>
                <w:sz w:val="24"/>
                <w:highlight w:val="none"/>
              </w:rPr>
            </w:pPr>
          </w:p>
        </w:tc>
        <w:tc>
          <w:tcPr>
            <w:tcW w:w="1345" w:type="dxa"/>
            <w:tcBorders>
              <w:top w:val="single" w:color="auto" w:sz="4" w:space="0"/>
              <w:left w:val="single" w:color="auto" w:sz="4" w:space="0"/>
              <w:bottom w:val="single" w:color="auto" w:sz="4" w:space="0"/>
              <w:right w:val="single" w:color="auto" w:sz="4" w:space="0"/>
            </w:tcBorders>
            <w:noWrap/>
            <w:vAlign w:val="center"/>
          </w:tcPr>
          <w:p w14:paraId="5A770655">
            <w:pPr>
              <w:tabs>
                <w:tab w:val="left" w:pos="1418"/>
              </w:tabs>
              <w:snapToGrid w:val="0"/>
              <w:spacing w:before="50" w:after="50" w:line="240" w:lineRule="auto"/>
              <w:jc w:val="center"/>
              <w:rPr>
                <w:rFonts w:hint="default"/>
                <w:color w:val="auto"/>
                <w:spacing w:val="20"/>
                <w:sz w:val="24"/>
                <w:highlight w:val="none"/>
              </w:rPr>
            </w:pPr>
          </w:p>
        </w:tc>
        <w:tc>
          <w:tcPr>
            <w:tcW w:w="1443" w:type="dxa"/>
            <w:tcBorders>
              <w:top w:val="single" w:color="auto" w:sz="4" w:space="0"/>
              <w:left w:val="single" w:color="auto" w:sz="4" w:space="0"/>
              <w:bottom w:val="single" w:color="auto" w:sz="4" w:space="0"/>
              <w:right w:val="single" w:color="auto" w:sz="4" w:space="0"/>
            </w:tcBorders>
            <w:noWrap/>
            <w:vAlign w:val="center"/>
          </w:tcPr>
          <w:p w14:paraId="44AB01E9">
            <w:pPr>
              <w:tabs>
                <w:tab w:val="left" w:pos="1418"/>
              </w:tabs>
              <w:snapToGrid w:val="0"/>
              <w:spacing w:before="50" w:after="50" w:line="240" w:lineRule="auto"/>
              <w:jc w:val="center"/>
              <w:rPr>
                <w:rFonts w:hint="default" w:eastAsia="宋体"/>
                <w:color w:val="auto"/>
                <w:spacing w:val="20"/>
                <w:sz w:val="24"/>
                <w:highlight w:val="none"/>
                <w:lang w:val="en-US" w:eastAsia="zh-CN"/>
              </w:rPr>
            </w:pPr>
            <w:r>
              <w:rPr>
                <w:rFonts w:hint="eastAsia"/>
                <w:color w:val="auto"/>
                <w:spacing w:val="20"/>
                <w:sz w:val="24"/>
                <w:highlight w:val="none"/>
                <w:lang w:val="en-US" w:eastAsia="zh-CN"/>
              </w:rPr>
              <w:t>1套</w:t>
            </w:r>
          </w:p>
        </w:tc>
        <w:tc>
          <w:tcPr>
            <w:tcW w:w="1154" w:type="dxa"/>
            <w:tcBorders>
              <w:top w:val="single" w:color="auto" w:sz="4" w:space="0"/>
              <w:left w:val="single" w:color="auto" w:sz="4" w:space="0"/>
              <w:bottom w:val="single" w:color="auto" w:sz="4" w:space="0"/>
              <w:right w:val="single" w:color="auto" w:sz="4" w:space="0"/>
            </w:tcBorders>
            <w:noWrap/>
            <w:vAlign w:val="center"/>
          </w:tcPr>
          <w:p w14:paraId="4E80C924">
            <w:pPr>
              <w:tabs>
                <w:tab w:val="left" w:pos="1418"/>
              </w:tabs>
              <w:snapToGrid w:val="0"/>
              <w:spacing w:before="50" w:after="50" w:line="240" w:lineRule="auto"/>
              <w:jc w:val="center"/>
              <w:rPr>
                <w:rFonts w:hint="default"/>
                <w:color w:val="auto"/>
                <w:spacing w:val="20"/>
                <w:sz w:val="24"/>
                <w:highlight w:val="none"/>
              </w:rPr>
            </w:pPr>
          </w:p>
        </w:tc>
        <w:tc>
          <w:tcPr>
            <w:tcW w:w="1222" w:type="dxa"/>
            <w:tcBorders>
              <w:top w:val="single" w:color="auto" w:sz="4" w:space="0"/>
              <w:left w:val="single" w:color="auto" w:sz="4" w:space="0"/>
              <w:bottom w:val="single" w:color="auto" w:sz="4" w:space="0"/>
              <w:right w:val="single" w:color="auto" w:sz="4" w:space="0"/>
            </w:tcBorders>
            <w:noWrap/>
            <w:vAlign w:val="center"/>
          </w:tcPr>
          <w:p w14:paraId="71560AC9">
            <w:pPr>
              <w:tabs>
                <w:tab w:val="left" w:pos="1418"/>
              </w:tabs>
              <w:snapToGrid w:val="0"/>
              <w:spacing w:before="50" w:after="50" w:line="240" w:lineRule="auto"/>
              <w:jc w:val="center"/>
              <w:rPr>
                <w:rFonts w:hint="default"/>
                <w:color w:val="auto"/>
                <w:spacing w:val="20"/>
                <w:sz w:val="24"/>
                <w:highlight w:val="none"/>
              </w:rPr>
            </w:pPr>
          </w:p>
        </w:tc>
      </w:tr>
      <w:tr w14:paraId="406101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650" w:type="dxa"/>
            <w:tcBorders>
              <w:top w:val="single" w:color="auto" w:sz="4" w:space="0"/>
              <w:left w:val="single" w:color="auto" w:sz="4" w:space="0"/>
              <w:bottom w:val="single" w:color="auto" w:sz="4" w:space="0"/>
              <w:right w:val="single" w:color="auto" w:sz="4" w:space="0"/>
            </w:tcBorders>
            <w:noWrap/>
            <w:vAlign w:val="center"/>
          </w:tcPr>
          <w:p w14:paraId="70385FBF">
            <w:pPr>
              <w:tabs>
                <w:tab w:val="left" w:pos="1418"/>
              </w:tabs>
              <w:snapToGrid w:val="0"/>
              <w:spacing w:before="50" w:after="50" w:line="240" w:lineRule="auto"/>
              <w:jc w:val="center"/>
              <w:rPr>
                <w:rFonts w:hint="eastAsia" w:eastAsia="宋体"/>
                <w:color w:val="auto"/>
                <w:spacing w:val="20"/>
                <w:sz w:val="24"/>
                <w:highlight w:val="none"/>
                <w:lang w:val="en-US" w:eastAsia="zh-CN"/>
              </w:rPr>
            </w:pPr>
            <w:r>
              <w:rPr>
                <w:rFonts w:hint="eastAsia"/>
                <w:color w:val="auto"/>
                <w:spacing w:val="20"/>
                <w:sz w:val="24"/>
                <w:highlight w:val="none"/>
                <w:lang w:val="en-US" w:eastAsia="zh-CN"/>
              </w:rPr>
              <w:t>2</w:t>
            </w:r>
          </w:p>
        </w:tc>
        <w:tc>
          <w:tcPr>
            <w:tcW w:w="1167" w:type="dxa"/>
            <w:tcBorders>
              <w:top w:val="single" w:color="auto" w:sz="4" w:space="0"/>
              <w:left w:val="single" w:color="auto" w:sz="4" w:space="0"/>
              <w:bottom w:val="single" w:color="auto" w:sz="4" w:space="0"/>
              <w:right w:val="single" w:color="auto" w:sz="4" w:space="0"/>
            </w:tcBorders>
            <w:noWrap/>
            <w:vAlign w:val="center"/>
          </w:tcPr>
          <w:p w14:paraId="5F750082">
            <w:pPr>
              <w:tabs>
                <w:tab w:val="left" w:pos="1418"/>
              </w:tabs>
              <w:snapToGrid w:val="0"/>
              <w:spacing w:before="50" w:after="50" w:line="240" w:lineRule="auto"/>
              <w:jc w:val="center"/>
              <w:rPr>
                <w:rFonts w:hint="default"/>
                <w:color w:val="auto"/>
                <w:spacing w:val="20"/>
                <w:sz w:val="24"/>
                <w:highlight w:val="none"/>
              </w:rPr>
            </w:pPr>
            <w:r>
              <w:rPr>
                <w:rFonts w:hint="default"/>
                <w:color w:val="auto"/>
                <w:spacing w:val="20"/>
                <w:sz w:val="24"/>
                <w:highlight w:val="none"/>
              </w:rPr>
              <w:t>制备液相色谱仪</w:t>
            </w:r>
          </w:p>
        </w:tc>
        <w:tc>
          <w:tcPr>
            <w:tcW w:w="1344" w:type="dxa"/>
            <w:tcBorders>
              <w:top w:val="single" w:color="auto" w:sz="4" w:space="0"/>
              <w:left w:val="single" w:color="auto" w:sz="4" w:space="0"/>
              <w:bottom w:val="single" w:color="auto" w:sz="4" w:space="0"/>
              <w:right w:val="single" w:color="auto" w:sz="4" w:space="0"/>
            </w:tcBorders>
            <w:noWrap/>
            <w:vAlign w:val="center"/>
          </w:tcPr>
          <w:p w14:paraId="793F4099">
            <w:pPr>
              <w:tabs>
                <w:tab w:val="left" w:pos="1418"/>
              </w:tabs>
              <w:snapToGrid w:val="0"/>
              <w:spacing w:before="50" w:after="50" w:line="240" w:lineRule="auto"/>
              <w:jc w:val="center"/>
              <w:rPr>
                <w:rFonts w:hint="default"/>
                <w:color w:val="auto"/>
                <w:spacing w:val="20"/>
                <w:sz w:val="24"/>
                <w:highlight w:val="none"/>
              </w:rPr>
            </w:pPr>
          </w:p>
        </w:tc>
        <w:tc>
          <w:tcPr>
            <w:tcW w:w="1396" w:type="dxa"/>
            <w:tcBorders>
              <w:top w:val="single" w:color="auto" w:sz="4" w:space="0"/>
              <w:left w:val="single" w:color="auto" w:sz="4" w:space="0"/>
              <w:bottom w:val="single" w:color="auto" w:sz="4" w:space="0"/>
              <w:right w:val="single" w:color="auto" w:sz="4" w:space="0"/>
            </w:tcBorders>
            <w:noWrap/>
            <w:vAlign w:val="center"/>
          </w:tcPr>
          <w:p w14:paraId="0338583B">
            <w:pPr>
              <w:tabs>
                <w:tab w:val="left" w:pos="1418"/>
              </w:tabs>
              <w:snapToGrid w:val="0"/>
              <w:spacing w:before="50" w:after="50" w:line="240" w:lineRule="auto"/>
              <w:jc w:val="center"/>
              <w:rPr>
                <w:rFonts w:hint="default"/>
                <w:color w:val="auto"/>
                <w:spacing w:val="20"/>
                <w:sz w:val="24"/>
                <w:highlight w:val="none"/>
              </w:rPr>
            </w:pPr>
          </w:p>
        </w:tc>
        <w:tc>
          <w:tcPr>
            <w:tcW w:w="1345" w:type="dxa"/>
            <w:tcBorders>
              <w:top w:val="single" w:color="auto" w:sz="4" w:space="0"/>
              <w:left w:val="single" w:color="auto" w:sz="4" w:space="0"/>
              <w:bottom w:val="single" w:color="auto" w:sz="4" w:space="0"/>
              <w:right w:val="single" w:color="auto" w:sz="4" w:space="0"/>
            </w:tcBorders>
            <w:noWrap/>
            <w:vAlign w:val="center"/>
          </w:tcPr>
          <w:p w14:paraId="34547DDB">
            <w:pPr>
              <w:tabs>
                <w:tab w:val="left" w:pos="1418"/>
              </w:tabs>
              <w:snapToGrid w:val="0"/>
              <w:spacing w:before="50" w:after="50" w:line="240" w:lineRule="auto"/>
              <w:jc w:val="center"/>
              <w:rPr>
                <w:rFonts w:hint="default"/>
                <w:color w:val="auto"/>
                <w:spacing w:val="20"/>
                <w:sz w:val="24"/>
                <w:highlight w:val="none"/>
              </w:rPr>
            </w:pPr>
          </w:p>
        </w:tc>
        <w:tc>
          <w:tcPr>
            <w:tcW w:w="1443" w:type="dxa"/>
            <w:tcBorders>
              <w:top w:val="single" w:color="auto" w:sz="4" w:space="0"/>
              <w:left w:val="single" w:color="auto" w:sz="4" w:space="0"/>
              <w:bottom w:val="single" w:color="auto" w:sz="4" w:space="0"/>
              <w:right w:val="single" w:color="auto" w:sz="4" w:space="0"/>
            </w:tcBorders>
            <w:noWrap/>
            <w:vAlign w:val="center"/>
          </w:tcPr>
          <w:p w14:paraId="4A6A0B4B">
            <w:pPr>
              <w:tabs>
                <w:tab w:val="left" w:pos="1418"/>
              </w:tabs>
              <w:snapToGrid w:val="0"/>
              <w:spacing w:before="50" w:after="50" w:line="240" w:lineRule="auto"/>
              <w:jc w:val="center"/>
              <w:rPr>
                <w:rFonts w:hint="default"/>
                <w:color w:val="auto"/>
                <w:spacing w:val="20"/>
                <w:sz w:val="24"/>
                <w:highlight w:val="none"/>
              </w:rPr>
            </w:pPr>
            <w:r>
              <w:rPr>
                <w:rFonts w:hint="eastAsia"/>
                <w:color w:val="auto"/>
                <w:spacing w:val="20"/>
                <w:sz w:val="24"/>
                <w:highlight w:val="none"/>
                <w:lang w:val="en-US" w:eastAsia="zh-CN"/>
              </w:rPr>
              <w:t>1套</w:t>
            </w:r>
          </w:p>
        </w:tc>
        <w:tc>
          <w:tcPr>
            <w:tcW w:w="1154" w:type="dxa"/>
            <w:tcBorders>
              <w:top w:val="single" w:color="auto" w:sz="4" w:space="0"/>
              <w:left w:val="single" w:color="auto" w:sz="4" w:space="0"/>
              <w:bottom w:val="single" w:color="auto" w:sz="4" w:space="0"/>
              <w:right w:val="single" w:color="auto" w:sz="4" w:space="0"/>
            </w:tcBorders>
            <w:noWrap/>
            <w:vAlign w:val="center"/>
          </w:tcPr>
          <w:p w14:paraId="4AC9CEE8">
            <w:pPr>
              <w:tabs>
                <w:tab w:val="left" w:pos="1418"/>
              </w:tabs>
              <w:snapToGrid w:val="0"/>
              <w:spacing w:before="50" w:after="50" w:line="240" w:lineRule="auto"/>
              <w:jc w:val="center"/>
              <w:rPr>
                <w:rFonts w:hint="default"/>
                <w:color w:val="auto"/>
                <w:spacing w:val="20"/>
                <w:sz w:val="24"/>
                <w:highlight w:val="none"/>
              </w:rPr>
            </w:pPr>
          </w:p>
        </w:tc>
        <w:tc>
          <w:tcPr>
            <w:tcW w:w="1222" w:type="dxa"/>
            <w:tcBorders>
              <w:top w:val="single" w:color="auto" w:sz="4" w:space="0"/>
              <w:left w:val="single" w:color="auto" w:sz="4" w:space="0"/>
              <w:bottom w:val="single" w:color="auto" w:sz="4" w:space="0"/>
              <w:right w:val="single" w:color="auto" w:sz="4" w:space="0"/>
            </w:tcBorders>
            <w:noWrap/>
            <w:vAlign w:val="center"/>
          </w:tcPr>
          <w:p w14:paraId="4ED5A7B5">
            <w:pPr>
              <w:tabs>
                <w:tab w:val="left" w:pos="1418"/>
              </w:tabs>
              <w:snapToGrid w:val="0"/>
              <w:spacing w:before="50" w:after="50" w:line="240" w:lineRule="auto"/>
              <w:jc w:val="center"/>
              <w:rPr>
                <w:rFonts w:hint="default"/>
                <w:color w:val="auto"/>
                <w:spacing w:val="20"/>
                <w:sz w:val="24"/>
                <w:highlight w:val="none"/>
              </w:rPr>
            </w:pPr>
          </w:p>
        </w:tc>
      </w:tr>
      <w:tr w14:paraId="5D4E363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650" w:type="dxa"/>
            <w:tcBorders>
              <w:top w:val="single" w:color="auto" w:sz="4" w:space="0"/>
              <w:left w:val="single" w:color="auto" w:sz="4" w:space="0"/>
              <w:bottom w:val="single" w:color="auto" w:sz="4" w:space="0"/>
              <w:right w:val="single" w:color="auto" w:sz="4" w:space="0"/>
            </w:tcBorders>
            <w:noWrap/>
            <w:vAlign w:val="center"/>
          </w:tcPr>
          <w:p w14:paraId="11E40B0C">
            <w:pPr>
              <w:tabs>
                <w:tab w:val="left" w:pos="1418"/>
              </w:tabs>
              <w:snapToGrid w:val="0"/>
              <w:spacing w:before="50" w:after="50" w:line="360" w:lineRule="auto"/>
              <w:jc w:val="center"/>
              <w:rPr>
                <w:rFonts w:hint="default"/>
                <w:color w:val="auto"/>
                <w:spacing w:val="20"/>
                <w:sz w:val="24"/>
                <w:highlight w:val="none"/>
              </w:rPr>
            </w:pPr>
          </w:p>
        </w:tc>
        <w:tc>
          <w:tcPr>
            <w:tcW w:w="1167" w:type="dxa"/>
            <w:tcBorders>
              <w:top w:val="single" w:color="auto" w:sz="4" w:space="0"/>
              <w:left w:val="single" w:color="auto" w:sz="4" w:space="0"/>
              <w:bottom w:val="single" w:color="auto" w:sz="4" w:space="0"/>
              <w:right w:val="single" w:color="auto" w:sz="4" w:space="0"/>
            </w:tcBorders>
            <w:noWrap/>
            <w:vAlign w:val="center"/>
          </w:tcPr>
          <w:p w14:paraId="075CD358">
            <w:pPr>
              <w:tabs>
                <w:tab w:val="left" w:pos="1418"/>
              </w:tabs>
              <w:snapToGrid w:val="0"/>
              <w:spacing w:before="50" w:after="50" w:line="360" w:lineRule="auto"/>
              <w:jc w:val="center"/>
              <w:rPr>
                <w:rFonts w:hint="default"/>
                <w:color w:val="auto"/>
                <w:spacing w:val="20"/>
                <w:sz w:val="24"/>
                <w:highlight w:val="none"/>
              </w:rPr>
            </w:pPr>
          </w:p>
        </w:tc>
        <w:tc>
          <w:tcPr>
            <w:tcW w:w="1344" w:type="dxa"/>
            <w:tcBorders>
              <w:top w:val="single" w:color="auto" w:sz="4" w:space="0"/>
              <w:left w:val="single" w:color="auto" w:sz="4" w:space="0"/>
              <w:bottom w:val="single" w:color="auto" w:sz="4" w:space="0"/>
              <w:right w:val="single" w:color="auto" w:sz="4" w:space="0"/>
            </w:tcBorders>
            <w:noWrap/>
            <w:vAlign w:val="center"/>
          </w:tcPr>
          <w:p w14:paraId="3C12AA60">
            <w:pPr>
              <w:tabs>
                <w:tab w:val="left" w:pos="1418"/>
              </w:tabs>
              <w:snapToGrid w:val="0"/>
              <w:spacing w:before="50" w:after="50" w:line="360" w:lineRule="auto"/>
              <w:jc w:val="center"/>
              <w:rPr>
                <w:rFonts w:hint="default"/>
                <w:color w:val="auto"/>
                <w:spacing w:val="20"/>
                <w:sz w:val="24"/>
                <w:highlight w:val="none"/>
              </w:rPr>
            </w:pPr>
          </w:p>
        </w:tc>
        <w:tc>
          <w:tcPr>
            <w:tcW w:w="1396" w:type="dxa"/>
            <w:tcBorders>
              <w:top w:val="single" w:color="auto" w:sz="4" w:space="0"/>
              <w:left w:val="single" w:color="auto" w:sz="4" w:space="0"/>
              <w:bottom w:val="single" w:color="auto" w:sz="4" w:space="0"/>
              <w:right w:val="single" w:color="auto" w:sz="4" w:space="0"/>
            </w:tcBorders>
            <w:noWrap/>
            <w:vAlign w:val="center"/>
          </w:tcPr>
          <w:p w14:paraId="1E8011DF">
            <w:pPr>
              <w:tabs>
                <w:tab w:val="left" w:pos="1418"/>
              </w:tabs>
              <w:snapToGrid w:val="0"/>
              <w:spacing w:before="50" w:after="50" w:line="360" w:lineRule="auto"/>
              <w:jc w:val="center"/>
              <w:rPr>
                <w:rFonts w:hint="default"/>
                <w:color w:val="auto"/>
                <w:spacing w:val="20"/>
                <w:sz w:val="24"/>
                <w:highlight w:val="none"/>
              </w:rPr>
            </w:pPr>
          </w:p>
        </w:tc>
        <w:tc>
          <w:tcPr>
            <w:tcW w:w="1345" w:type="dxa"/>
            <w:tcBorders>
              <w:top w:val="single" w:color="auto" w:sz="4" w:space="0"/>
              <w:left w:val="single" w:color="auto" w:sz="4" w:space="0"/>
              <w:bottom w:val="single" w:color="auto" w:sz="4" w:space="0"/>
              <w:right w:val="single" w:color="auto" w:sz="4" w:space="0"/>
            </w:tcBorders>
            <w:noWrap/>
            <w:vAlign w:val="center"/>
          </w:tcPr>
          <w:p w14:paraId="06E1B88D">
            <w:pPr>
              <w:tabs>
                <w:tab w:val="left" w:pos="1418"/>
              </w:tabs>
              <w:snapToGrid w:val="0"/>
              <w:spacing w:before="50" w:after="50" w:line="360" w:lineRule="auto"/>
              <w:jc w:val="center"/>
              <w:rPr>
                <w:rFonts w:hint="default"/>
                <w:color w:val="auto"/>
                <w:spacing w:val="20"/>
                <w:sz w:val="24"/>
                <w:highlight w:val="none"/>
              </w:rPr>
            </w:pPr>
          </w:p>
        </w:tc>
        <w:tc>
          <w:tcPr>
            <w:tcW w:w="1443" w:type="dxa"/>
            <w:tcBorders>
              <w:top w:val="single" w:color="auto" w:sz="4" w:space="0"/>
              <w:left w:val="single" w:color="auto" w:sz="4" w:space="0"/>
              <w:bottom w:val="single" w:color="auto" w:sz="4" w:space="0"/>
              <w:right w:val="single" w:color="auto" w:sz="4" w:space="0"/>
            </w:tcBorders>
            <w:noWrap/>
            <w:vAlign w:val="center"/>
          </w:tcPr>
          <w:p w14:paraId="295E7F06">
            <w:pPr>
              <w:tabs>
                <w:tab w:val="left" w:pos="1418"/>
              </w:tabs>
              <w:snapToGrid w:val="0"/>
              <w:spacing w:before="50" w:after="50" w:line="360" w:lineRule="auto"/>
              <w:jc w:val="center"/>
              <w:rPr>
                <w:rFonts w:hint="default"/>
                <w:color w:val="auto"/>
                <w:spacing w:val="20"/>
                <w:sz w:val="24"/>
                <w:highlight w:val="none"/>
              </w:rPr>
            </w:pPr>
          </w:p>
        </w:tc>
        <w:tc>
          <w:tcPr>
            <w:tcW w:w="1154" w:type="dxa"/>
            <w:tcBorders>
              <w:top w:val="single" w:color="auto" w:sz="4" w:space="0"/>
              <w:left w:val="single" w:color="auto" w:sz="4" w:space="0"/>
              <w:bottom w:val="single" w:color="auto" w:sz="4" w:space="0"/>
              <w:right w:val="single" w:color="auto" w:sz="4" w:space="0"/>
            </w:tcBorders>
            <w:noWrap/>
            <w:vAlign w:val="center"/>
          </w:tcPr>
          <w:p w14:paraId="676C863A">
            <w:pPr>
              <w:tabs>
                <w:tab w:val="left" w:pos="1418"/>
              </w:tabs>
              <w:snapToGrid w:val="0"/>
              <w:spacing w:before="50" w:after="50" w:line="360" w:lineRule="auto"/>
              <w:jc w:val="center"/>
              <w:rPr>
                <w:rFonts w:hint="default"/>
                <w:color w:val="auto"/>
                <w:spacing w:val="20"/>
                <w:sz w:val="24"/>
                <w:highlight w:val="none"/>
              </w:rPr>
            </w:pPr>
          </w:p>
        </w:tc>
        <w:tc>
          <w:tcPr>
            <w:tcW w:w="1222" w:type="dxa"/>
            <w:tcBorders>
              <w:top w:val="single" w:color="auto" w:sz="4" w:space="0"/>
              <w:left w:val="single" w:color="auto" w:sz="4" w:space="0"/>
              <w:bottom w:val="single" w:color="auto" w:sz="4" w:space="0"/>
              <w:right w:val="single" w:color="auto" w:sz="4" w:space="0"/>
            </w:tcBorders>
            <w:noWrap/>
            <w:vAlign w:val="center"/>
          </w:tcPr>
          <w:p w14:paraId="211D90E4">
            <w:pPr>
              <w:tabs>
                <w:tab w:val="left" w:pos="1418"/>
              </w:tabs>
              <w:snapToGrid w:val="0"/>
              <w:spacing w:before="50" w:after="50" w:line="360" w:lineRule="auto"/>
              <w:jc w:val="center"/>
              <w:rPr>
                <w:rFonts w:hint="default"/>
                <w:color w:val="auto"/>
                <w:spacing w:val="20"/>
                <w:sz w:val="24"/>
                <w:highlight w:val="none"/>
              </w:rPr>
            </w:pPr>
          </w:p>
        </w:tc>
      </w:tr>
      <w:tr w14:paraId="774E93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650" w:type="dxa"/>
            <w:tcBorders>
              <w:top w:val="single" w:color="auto" w:sz="4" w:space="0"/>
              <w:left w:val="single" w:color="auto" w:sz="4" w:space="0"/>
              <w:bottom w:val="single" w:color="auto" w:sz="4" w:space="0"/>
              <w:right w:val="single" w:color="auto" w:sz="4" w:space="0"/>
            </w:tcBorders>
            <w:noWrap/>
            <w:vAlign w:val="center"/>
          </w:tcPr>
          <w:p w14:paraId="075CAA5A">
            <w:pPr>
              <w:tabs>
                <w:tab w:val="left" w:pos="1418"/>
              </w:tabs>
              <w:snapToGrid w:val="0"/>
              <w:spacing w:before="50" w:after="50" w:line="360" w:lineRule="auto"/>
              <w:jc w:val="center"/>
              <w:rPr>
                <w:rFonts w:hint="default"/>
                <w:color w:val="auto"/>
                <w:spacing w:val="20"/>
                <w:sz w:val="24"/>
                <w:highlight w:val="none"/>
              </w:rPr>
            </w:pPr>
          </w:p>
        </w:tc>
        <w:tc>
          <w:tcPr>
            <w:tcW w:w="1167" w:type="dxa"/>
            <w:tcBorders>
              <w:top w:val="single" w:color="auto" w:sz="4" w:space="0"/>
              <w:left w:val="single" w:color="auto" w:sz="4" w:space="0"/>
              <w:bottom w:val="single" w:color="auto" w:sz="4" w:space="0"/>
              <w:right w:val="single" w:color="auto" w:sz="4" w:space="0"/>
            </w:tcBorders>
            <w:noWrap/>
            <w:vAlign w:val="center"/>
          </w:tcPr>
          <w:p w14:paraId="3C25D91A">
            <w:pPr>
              <w:tabs>
                <w:tab w:val="left" w:pos="1418"/>
              </w:tabs>
              <w:snapToGrid w:val="0"/>
              <w:spacing w:before="50" w:after="50" w:line="360" w:lineRule="auto"/>
              <w:jc w:val="center"/>
              <w:rPr>
                <w:rFonts w:hint="default"/>
                <w:color w:val="auto"/>
                <w:spacing w:val="20"/>
                <w:sz w:val="24"/>
                <w:highlight w:val="none"/>
              </w:rPr>
            </w:pPr>
          </w:p>
        </w:tc>
        <w:tc>
          <w:tcPr>
            <w:tcW w:w="1344" w:type="dxa"/>
            <w:tcBorders>
              <w:top w:val="single" w:color="auto" w:sz="4" w:space="0"/>
              <w:left w:val="single" w:color="auto" w:sz="4" w:space="0"/>
              <w:bottom w:val="single" w:color="auto" w:sz="4" w:space="0"/>
              <w:right w:val="single" w:color="auto" w:sz="4" w:space="0"/>
            </w:tcBorders>
            <w:noWrap/>
            <w:vAlign w:val="center"/>
          </w:tcPr>
          <w:p w14:paraId="72741A37">
            <w:pPr>
              <w:tabs>
                <w:tab w:val="left" w:pos="1418"/>
              </w:tabs>
              <w:snapToGrid w:val="0"/>
              <w:spacing w:before="50" w:after="50" w:line="360" w:lineRule="auto"/>
              <w:jc w:val="center"/>
              <w:rPr>
                <w:rFonts w:hint="default"/>
                <w:color w:val="auto"/>
                <w:spacing w:val="20"/>
                <w:sz w:val="24"/>
                <w:highlight w:val="none"/>
              </w:rPr>
            </w:pPr>
          </w:p>
        </w:tc>
        <w:tc>
          <w:tcPr>
            <w:tcW w:w="1396" w:type="dxa"/>
            <w:tcBorders>
              <w:top w:val="single" w:color="auto" w:sz="4" w:space="0"/>
              <w:left w:val="single" w:color="auto" w:sz="4" w:space="0"/>
              <w:bottom w:val="single" w:color="auto" w:sz="4" w:space="0"/>
              <w:right w:val="single" w:color="auto" w:sz="4" w:space="0"/>
            </w:tcBorders>
            <w:noWrap/>
            <w:vAlign w:val="center"/>
          </w:tcPr>
          <w:p w14:paraId="736A28ED">
            <w:pPr>
              <w:tabs>
                <w:tab w:val="left" w:pos="1418"/>
              </w:tabs>
              <w:snapToGrid w:val="0"/>
              <w:spacing w:before="50" w:after="50" w:line="360" w:lineRule="auto"/>
              <w:jc w:val="center"/>
              <w:rPr>
                <w:rFonts w:hint="default"/>
                <w:color w:val="auto"/>
                <w:spacing w:val="20"/>
                <w:sz w:val="24"/>
                <w:highlight w:val="none"/>
              </w:rPr>
            </w:pPr>
          </w:p>
        </w:tc>
        <w:tc>
          <w:tcPr>
            <w:tcW w:w="1345" w:type="dxa"/>
            <w:tcBorders>
              <w:top w:val="single" w:color="auto" w:sz="4" w:space="0"/>
              <w:left w:val="single" w:color="auto" w:sz="4" w:space="0"/>
              <w:bottom w:val="single" w:color="auto" w:sz="4" w:space="0"/>
              <w:right w:val="single" w:color="auto" w:sz="4" w:space="0"/>
            </w:tcBorders>
            <w:noWrap/>
            <w:vAlign w:val="center"/>
          </w:tcPr>
          <w:p w14:paraId="18E82075">
            <w:pPr>
              <w:tabs>
                <w:tab w:val="left" w:pos="1418"/>
              </w:tabs>
              <w:snapToGrid w:val="0"/>
              <w:spacing w:before="50" w:after="50" w:line="360" w:lineRule="auto"/>
              <w:jc w:val="center"/>
              <w:rPr>
                <w:rFonts w:hint="default"/>
                <w:color w:val="auto"/>
                <w:spacing w:val="20"/>
                <w:sz w:val="24"/>
                <w:highlight w:val="none"/>
              </w:rPr>
            </w:pPr>
          </w:p>
        </w:tc>
        <w:tc>
          <w:tcPr>
            <w:tcW w:w="1443" w:type="dxa"/>
            <w:tcBorders>
              <w:top w:val="single" w:color="auto" w:sz="4" w:space="0"/>
              <w:left w:val="single" w:color="auto" w:sz="4" w:space="0"/>
              <w:bottom w:val="single" w:color="auto" w:sz="4" w:space="0"/>
              <w:right w:val="single" w:color="auto" w:sz="4" w:space="0"/>
            </w:tcBorders>
            <w:noWrap/>
            <w:vAlign w:val="center"/>
          </w:tcPr>
          <w:p w14:paraId="063DC8D4">
            <w:pPr>
              <w:tabs>
                <w:tab w:val="left" w:pos="1418"/>
              </w:tabs>
              <w:snapToGrid w:val="0"/>
              <w:spacing w:before="50" w:after="50" w:line="360" w:lineRule="auto"/>
              <w:jc w:val="center"/>
              <w:rPr>
                <w:rFonts w:hint="default"/>
                <w:color w:val="auto"/>
                <w:spacing w:val="20"/>
                <w:sz w:val="24"/>
                <w:highlight w:val="none"/>
              </w:rPr>
            </w:pPr>
          </w:p>
        </w:tc>
        <w:tc>
          <w:tcPr>
            <w:tcW w:w="1154" w:type="dxa"/>
            <w:tcBorders>
              <w:top w:val="single" w:color="auto" w:sz="4" w:space="0"/>
              <w:left w:val="single" w:color="auto" w:sz="4" w:space="0"/>
              <w:bottom w:val="single" w:color="auto" w:sz="4" w:space="0"/>
              <w:right w:val="single" w:color="auto" w:sz="4" w:space="0"/>
            </w:tcBorders>
            <w:noWrap/>
            <w:vAlign w:val="center"/>
          </w:tcPr>
          <w:p w14:paraId="448AAAC7">
            <w:pPr>
              <w:tabs>
                <w:tab w:val="left" w:pos="1418"/>
              </w:tabs>
              <w:snapToGrid w:val="0"/>
              <w:spacing w:before="50" w:after="50" w:line="360" w:lineRule="auto"/>
              <w:jc w:val="center"/>
              <w:rPr>
                <w:rFonts w:hint="default"/>
                <w:color w:val="auto"/>
                <w:spacing w:val="20"/>
                <w:sz w:val="24"/>
                <w:highlight w:val="none"/>
              </w:rPr>
            </w:pPr>
          </w:p>
        </w:tc>
        <w:tc>
          <w:tcPr>
            <w:tcW w:w="1222" w:type="dxa"/>
            <w:tcBorders>
              <w:top w:val="single" w:color="auto" w:sz="4" w:space="0"/>
              <w:left w:val="single" w:color="auto" w:sz="4" w:space="0"/>
              <w:bottom w:val="single" w:color="auto" w:sz="4" w:space="0"/>
              <w:right w:val="single" w:color="auto" w:sz="4" w:space="0"/>
            </w:tcBorders>
            <w:noWrap/>
            <w:vAlign w:val="center"/>
          </w:tcPr>
          <w:p w14:paraId="0163F65E">
            <w:pPr>
              <w:tabs>
                <w:tab w:val="left" w:pos="1418"/>
              </w:tabs>
              <w:snapToGrid w:val="0"/>
              <w:spacing w:before="50" w:after="50" w:line="360" w:lineRule="auto"/>
              <w:jc w:val="center"/>
              <w:rPr>
                <w:rFonts w:hint="default"/>
                <w:color w:val="auto"/>
                <w:spacing w:val="20"/>
                <w:sz w:val="24"/>
                <w:highlight w:val="none"/>
              </w:rPr>
            </w:pPr>
          </w:p>
        </w:tc>
      </w:tr>
      <w:tr w14:paraId="0E5117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650" w:type="dxa"/>
            <w:tcBorders>
              <w:top w:val="single" w:color="auto" w:sz="4" w:space="0"/>
              <w:left w:val="single" w:color="auto" w:sz="4" w:space="0"/>
              <w:bottom w:val="single" w:color="auto" w:sz="4" w:space="0"/>
              <w:right w:val="single" w:color="auto" w:sz="4" w:space="0"/>
            </w:tcBorders>
            <w:noWrap/>
            <w:vAlign w:val="center"/>
          </w:tcPr>
          <w:p w14:paraId="02572598">
            <w:pPr>
              <w:tabs>
                <w:tab w:val="left" w:pos="1418"/>
              </w:tabs>
              <w:snapToGrid w:val="0"/>
              <w:spacing w:before="50" w:after="50" w:line="360" w:lineRule="auto"/>
              <w:jc w:val="center"/>
              <w:rPr>
                <w:rFonts w:hint="default"/>
                <w:color w:val="auto"/>
                <w:spacing w:val="20"/>
                <w:sz w:val="24"/>
                <w:highlight w:val="none"/>
              </w:rPr>
            </w:pPr>
          </w:p>
        </w:tc>
        <w:tc>
          <w:tcPr>
            <w:tcW w:w="1167" w:type="dxa"/>
            <w:tcBorders>
              <w:top w:val="single" w:color="auto" w:sz="4" w:space="0"/>
              <w:left w:val="single" w:color="auto" w:sz="4" w:space="0"/>
              <w:bottom w:val="single" w:color="auto" w:sz="4" w:space="0"/>
              <w:right w:val="single" w:color="auto" w:sz="4" w:space="0"/>
            </w:tcBorders>
            <w:noWrap/>
            <w:vAlign w:val="center"/>
          </w:tcPr>
          <w:p w14:paraId="58910902">
            <w:pPr>
              <w:tabs>
                <w:tab w:val="left" w:pos="1418"/>
              </w:tabs>
              <w:snapToGrid w:val="0"/>
              <w:spacing w:before="50" w:after="50" w:line="360" w:lineRule="auto"/>
              <w:jc w:val="center"/>
              <w:rPr>
                <w:rFonts w:hint="default"/>
                <w:color w:val="auto"/>
                <w:spacing w:val="20"/>
                <w:sz w:val="24"/>
                <w:highlight w:val="none"/>
              </w:rPr>
            </w:pPr>
          </w:p>
        </w:tc>
        <w:tc>
          <w:tcPr>
            <w:tcW w:w="1344" w:type="dxa"/>
            <w:tcBorders>
              <w:top w:val="single" w:color="auto" w:sz="4" w:space="0"/>
              <w:left w:val="single" w:color="auto" w:sz="4" w:space="0"/>
              <w:bottom w:val="single" w:color="auto" w:sz="4" w:space="0"/>
              <w:right w:val="single" w:color="auto" w:sz="4" w:space="0"/>
            </w:tcBorders>
            <w:noWrap/>
            <w:vAlign w:val="center"/>
          </w:tcPr>
          <w:p w14:paraId="78952811">
            <w:pPr>
              <w:tabs>
                <w:tab w:val="left" w:pos="1418"/>
              </w:tabs>
              <w:snapToGrid w:val="0"/>
              <w:spacing w:before="50" w:after="50" w:line="360" w:lineRule="auto"/>
              <w:jc w:val="center"/>
              <w:rPr>
                <w:rFonts w:hint="default"/>
                <w:color w:val="auto"/>
                <w:spacing w:val="20"/>
                <w:sz w:val="24"/>
                <w:highlight w:val="none"/>
              </w:rPr>
            </w:pPr>
          </w:p>
        </w:tc>
        <w:tc>
          <w:tcPr>
            <w:tcW w:w="1396" w:type="dxa"/>
            <w:tcBorders>
              <w:top w:val="single" w:color="auto" w:sz="4" w:space="0"/>
              <w:left w:val="single" w:color="auto" w:sz="4" w:space="0"/>
              <w:bottom w:val="single" w:color="auto" w:sz="4" w:space="0"/>
              <w:right w:val="single" w:color="auto" w:sz="4" w:space="0"/>
            </w:tcBorders>
            <w:noWrap/>
            <w:vAlign w:val="center"/>
          </w:tcPr>
          <w:p w14:paraId="1915124D">
            <w:pPr>
              <w:tabs>
                <w:tab w:val="left" w:pos="1418"/>
              </w:tabs>
              <w:snapToGrid w:val="0"/>
              <w:spacing w:before="50" w:after="50" w:line="360" w:lineRule="auto"/>
              <w:jc w:val="center"/>
              <w:rPr>
                <w:rFonts w:hint="default"/>
                <w:color w:val="auto"/>
                <w:spacing w:val="20"/>
                <w:sz w:val="24"/>
                <w:highlight w:val="none"/>
              </w:rPr>
            </w:pPr>
          </w:p>
        </w:tc>
        <w:tc>
          <w:tcPr>
            <w:tcW w:w="1345" w:type="dxa"/>
            <w:tcBorders>
              <w:top w:val="single" w:color="auto" w:sz="4" w:space="0"/>
              <w:left w:val="single" w:color="auto" w:sz="4" w:space="0"/>
              <w:bottom w:val="single" w:color="auto" w:sz="4" w:space="0"/>
              <w:right w:val="single" w:color="auto" w:sz="4" w:space="0"/>
            </w:tcBorders>
            <w:noWrap/>
            <w:vAlign w:val="center"/>
          </w:tcPr>
          <w:p w14:paraId="15024058">
            <w:pPr>
              <w:tabs>
                <w:tab w:val="left" w:pos="1418"/>
              </w:tabs>
              <w:snapToGrid w:val="0"/>
              <w:spacing w:before="50" w:after="50" w:line="360" w:lineRule="auto"/>
              <w:jc w:val="center"/>
              <w:rPr>
                <w:rFonts w:hint="default"/>
                <w:color w:val="auto"/>
                <w:spacing w:val="20"/>
                <w:sz w:val="24"/>
                <w:highlight w:val="none"/>
              </w:rPr>
            </w:pPr>
          </w:p>
        </w:tc>
        <w:tc>
          <w:tcPr>
            <w:tcW w:w="1443" w:type="dxa"/>
            <w:tcBorders>
              <w:top w:val="single" w:color="auto" w:sz="4" w:space="0"/>
              <w:left w:val="single" w:color="auto" w:sz="4" w:space="0"/>
              <w:bottom w:val="single" w:color="auto" w:sz="4" w:space="0"/>
              <w:right w:val="single" w:color="auto" w:sz="4" w:space="0"/>
            </w:tcBorders>
            <w:noWrap/>
            <w:vAlign w:val="center"/>
          </w:tcPr>
          <w:p w14:paraId="025D8511">
            <w:pPr>
              <w:tabs>
                <w:tab w:val="left" w:pos="1418"/>
              </w:tabs>
              <w:snapToGrid w:val="0"/>
              <w:spacing w:before="50" w:after="50" w:line="360" w:lineRule="auto"/>
              <w:jc w:val="center"/>
              <w:rPr>
                <w:rFonts w:hint="default"/>
                <w:color w:val="auto"/>
                <w:spacing w:val="20"/>
                <w:sz w:val="24"/>
                <w:highlight w:val="none"/>
              </w:rPr>
            </w:pPr>
          </w:p>
        </w:tc>
        <w:tc>
          <w:tcPr>
            <w:tcW w:w="1154" w:type="dxa"/>
            <w:tcBorders>
              <w:top w:val="single" w:color="auto" w:sz="4" w:space="0"/>
              <w:left w:val="single" w:color="auto" w:sz="4" w:space="0"/>
              <w:bottom w:val="single" w:color="auto" w:sz="4" w:space="0"/>
              <w:right w:val="single" w:color="auto" w:sz="4" w:space="0"/>
            </w:tcBorders>
            <w:noWrap/>
            <w:vAlign w:val="center"/>
          </w:tcPr>
          <w:p w14:paraId="5735336A">
            <w:pPr>
              <w:tabs>
                <w:tab w:val="left" w:pos="1418"/>
              </w:tabs>
              <w:snapToGrid w:val="0"/>
              <w:spacing w:before="50" w:after="50" w:line="360" w:lineRule="auto"/>
              <w:jc w:val="center"/>
              <w:rPr>
                <w:rFonts w:hint="default"/>
                <w:color w:val="auto"/>
                <w:spacing w:val="20"/>
                <w:sz w:val="24"/>
                <w:highlight w:val="none"/>
              </w:rPr>
            </w:pPr>
          </w:p>
        </w:tc>
        <w:tc>
          <w:tcPr>
            <w:tcW w:w="1222" w:type="dxa"/>
            <w:tcBorders>
              <w:top w:val="single" w:color="auto" w:sz="4" w:space="0"/>
              <w:left w:val="single" w:color="auto" w:sz="4" w:space="0"/>
              <w:bottom w:val="single" w:color="auto" w:sz="4" w:space="0"/>
              <w:right w:val="single" w:color="auto" w:sz="4" w:space="0"/>
            </w:tcBorders>
            <w:noWrap/>
            <w:vAlign w:val="center"/>
          </w:tcPr>
          <w:p w14:paraId="721D215E">
            <w:pPr>
              <w:tabs>
                <w:tab w:val="left" w:pos="1418"/>
              </w:tabs>
              <w:snapToGrid w:val="0"/>
              <w:spacing w:before="50" w:after="50" w:line="360" w:lineRule="auto"/>
              <w:jc w:val="center"/>
              <w:rPr>
                <w:rFonts w:hint="default"/>
                <w:color w:val="auto"/>
                <w:spacing w:val="20"/>
                <w:sz w:val="24"/>
                <w:highlight w:val="none"/>
              </w:rPr>
            </w:pPr>
          </w:p>
        </w:tc>
      </w:tr>
      <w:tr w14:paraId="5B1CB6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650" w:type="dxa"/>
            <w:tcBorders>
              <w:top w:val="single" w:color="auto" w:sz="4" w:space="0"/>
              <w:left w:val="single" w:color="auto" w:sz="4" w:space="0"/>
              <w:bottom w:val="single" w:color="auto" w:sz="4" w:space="0"/>
              <w:right w:val="single" w:color="auto" w:sz="4" w:space="0"/>
            </w:tcBorders>
            <w:noWrap/>
            <w:vAlign w:val="center"/>
          </w:tcPr>
          <w:p w14:paraId="7A8E0D80">
            <w:pPr>
              <w:tabs>
                <w:tab w:val="left" w:pos="1418"/>
              </w:tabs>
              <w:snapToGrid w:val="0"/>
              <w:spacing w:before="50" w:after="50" w:line="360" w:lineRule="auto"/>
              <w:jc w:val="center"/>
              <w:rPr>
                <w:rFonts w:hint="default"/>
                <w:color w:val="auto"/>
                <w:spacing w:val="20"/>
                <w:sz w:val="24"/>
                <w:highlight w:val="none"/>
              </w:rPr>
            </w:pPr>
          </w:p>
        </w:tc>
        <w:tc>
          <w:tcPr>
            <w:tcW w:w="1167" w:type="dxa"/>
            <w:tcBorders>
              <w:top w:val="single" w:color="auto" w:sz="4" w:space="0"/>
              <w:left w:val="single" w:color="auto" w:sz="4" w:space="0"/>
              <w:bottom w:val="single" w:color="auto" w:sz="4" w:space="0"/>
              <w:right w:val="single" w:color="auto" w:sz="4" w:space="0"/>
            </w:tcBorders>
            <w:noWrap/>
            <w:vAlign w:val="center"/>
          </w:tcPr>
          <w:p w14:paraId="21E6EBD5">
            <w:pPr>
              <w:tabs>
                <w:tab w:val="left" w:pos="1418"/>
              </w:tabs>
              <w:snapToGrid w:val="0"/>
              <w:spacing w:before="50" w:after="50" w:line="360" w:lineRule="auto"/>
              <w:jc w:val="center"/>
              <w:rPr>
                <w:rFonts w:hint="default"/>
                <w:color w:val="auto"/>
                <w:spacing w:val="20"/>
                <w:sz w:val="24"/>
                <w:highlight w:val="none"/>
              </w:rPr>
            </w:pPr>
          </w:p>
        </w:tc>
        <w:tc>
          <w:tcPr>
            <w:tcW w:w="1344" w:type="dxa"/>
            <w:tcBorders>
              <w:top w:val="single" w:color="auto" w:sz="4" w:space="0"/>
              <w:left w:val="single" w:color="auto" w:sz="4" w:space="0"/>
              <w:bottom w:val="single" w:color="auto" w:sz="4" w:space="0"/>
              <w:right w:val="single" w:color="auto" w:sz="4" w:space="0"/>
            </w:tcBorders>
            <w:noWrap/>
            <w:vAlign w:val="center"/>
          </w:tcPr>
          <w:p w14:paraId="20DF2095">
            <w:pPr>
              <w:tabs>
                <w:tab w:val="left" w:pos="1418"/>
              </w:tabs>
              <w:snapToGrid w:val="0"/>
              <w:spacing w:before="50" w:after="50" w:line="360" w:lineRule="auto"/>
              <w:jc w:val="center"/>
              <w:rPr>
                <w:rFonts w:hint="default"/>
                <w:color w:val="auto"/>
                <w:spacing w:val="20"/>
                <w:sz w:val="24"/>
                <w:highlight w:val="none"/>
              </w:rPr>
            </w:pPr>
          </w:p>
        </w:tc>
        <w:tc>
          <w:tcPr>
            <w:tcW w:w="1396" w:type="dxa"/>
            <w:tcBorders>
              <w:top w:val="single" w:color="auto" w:sz="4" w:space="0"/>
              <w:left w:val="single" w:color="auto" w:sz="4" w:space="0"/>
              <w:bottom w:val="single" w:color="auto" w:sz="4" w:space="0"/>
              <w:right w:val="single" w:color="auto" w:sz="4" w:space="0"/>
            </w:tcBorders>
            <w:noWrap/>
            <w:vAlign w:val="center"/>
          </w:tcPr>
          <w:p w14:paraId="3DA10CD9">
            <w:pPr>
              <w:tabs>
                <w:tab w:val="left" w:pos="1418"/>
              </w:tabs>
              <w:snapToGrid w:val="0"/>
              <w:spacing w:before="50" w:after="50" w:line="360" w:lineRule="auto"/>
              <w:jc w:val="center"/>
              <w:rPr>
                <w:rFonts w:hint="default"/>
                <w:color w:val="auto"/>
                <w:spacing w:val="20"/>
                <w:sz w:val="24"/>
                <w:highlight w:val="none"/>
              </w:rPr>
            </w:pPr>
          </w:p>
        </w:tc>
        <w:tc>
          <w:tcPr>
            <w:tcW w:w="1345" w:type="dxa"/>
            <w:tcBorders>
              <w:top w:val="single" w:color="auto" w:sz="4" w:space="0"/>
              <w:left w:val="single" w:color="auto" w:sz="4" w:space="0"/>
              <w:bottom w:val="single" w:color="auto" w:sz="4" w:space="0"/>
              <w:right w:val="single" w:color="auto" w:sz="4" w:space="0"/>
            </w:tcBorders>
            <w:noWrap/>
            <w:vAlign w:val="center"/>
          </w:tcPr>
          <w:p w14:paraId="49EDD3AE">
            <w:pPr>
              <w:tabs>
                <w:tab w:val="left" w:pos="1418"/>
              </w:tabs>
              <w:snapToGrid w:val="0"/>
              <w:spacing w:before="50" w:after="50" w:line="360" w:lineRule="auto"/>
              <w:jc w:val="center"/>
              <w:rPr>
                <w:rFonts w:hint="default"/>
                <w:color w:val="auto"/>
                <w:spacing w:val="20"/>
                <w:sz w:val="24"/>
                <w:highlight w:val="none"/>
              </w:rPr>
            </w:pPr>
          </w:p>
        </w:tc>
        <w:tc>
          <w:tcPr>
            <w:tcW w:w="1443" w:type="dxa"/>
            <w:tcBorders>
              <w:top w:val="single" w:color="auto" w:sz="4" w:space="0"/>
              <w:left w:val="single" w:color="auto" w:sz="4" w:space="0"/>
              <w:bottom w:val="single" w:color="auto" w:sz="4" w:space="0"/>
              <w:right w:val="single" w:color="auto" w:sz="4" w:space="0"/>
            </w:tcBorders>
            <w:noWrap/>
            <w:vAlign w:val="center"/>
          </w:tcPr>
          <w:p w14:paraId="56F6863E">
            <w:pPr>
              <w:tabs>
                <w:tab w:val="left" w:pos="1418"/>
              </w:tabs>
              <w:snapToGrid w:val="0"/>
              <w:spacing w:before="50" w:after="50" w:line="360" w:lineRule="auto"/>
              <w:jc w:val="center"/>
              <w:rPr>
                <w:rFonts w:hint="default"/>
                <w:color w:val="auto"/>
                <w:spacing w:val="20"/>
                <w:sz w:val="24"/>
                <w:highlight w:val="none"/>
              </w:rPr>
            </w:pPr>
          </w:p>
        </w:tc>
        <w:tc>
          <w:tcPr>
            <w:tcW w:w="1154" w:type="dxa"/>
            <w:tcBorders>
              <w:top w:val="single" w:color="auto" w:sz="4" w:space="0"/>
              <w:left w:val="single" w:color="auto" w:sz="4" w:space="0"/>
              <w:bottom w:val="single" w:color="auto" w:sz="4" w:space="0"/>
              <w:right w:val="single" w:color="auto" w:sz="4" w:space="0"/>
            </w:tcBorders>
            <w:noWrap/>
            <w:vAlign w:val="center"/>
          </w:tcPr>
          <w:p w14:paraId="5F107F45">
            <w:pPr>
              <w:tabs>
                <w:tab w:val="left" w:pos="1418"/>
              </w:tabs>
              <w:snapToGrid w:val="0"/>
              <w:spacing w:before="50" w:after="50" w:line="360" w:lineRule="auto"/>
              <w:jc w:val="center"/>
              <w:rPr>
                <w:rFonts w:hint="default"/>
                <w:color w:val="auto"/>
                <w:spacing w:val="20"/>
                <w:sz w:val="24"/>
                <w:highlight w:val="none"/>
              </w:rPr>
            </w:pPr>
          </w:p>
        </w:tc>
        <w:tc>
          <w:tcPr>
            <w:tcW w:w="1222" w:type="dxa"/>
            <w:tcBorders>
              <w:top w:val="single" w:color="auto" w:sz="4" w:space="0"/>
              <w:left w:val="single" w:color="auto" w:sz="4" w:space="0"/>
              <w:bottom w:val="single" w:color="auto" w:sz="4" w:space="0"/>
              <w:right w:val="single" w:color="auto" w:sz="4" w:space="0"/>
            </w:tcBorders>
            <w:noWrap/>
            <w:vAlign w:val="center"/>
          </w:tcPr>
          <w:p w14:paraId="5A5F1818">
            <w:pPr>
              <w:tabs>
                <w:tab w:val="left" w:pos="1418"/>
              </w:tabs>
              <w:snapToGrid w:val="0"/>
              <w:spacing w:before="50" w:after="50" w:line="360" w:lineRule="auto"/>
              <w:jc w:val="center"/>
              <w:rPr>
                <w:rFonts w:hint="default"/>
                <w:color w:val="auto"/>
                <w:spacing w:val="20"/>
                <w:sz w:val="24"/>
                <w:highlight w:val="none"/>
              </w:rPr>
            </w:pPr>
          </w:p>
        </w:tc>
      </w:tr>
      <w:tr w14:paraId="0C6CCF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9" w:hRule="atLeast"/>
          <w:jc w:val="center"/>
        </w:trPr>
        <w:tc>
          <w:tcPr>
            <w:tcW w:w="650" w:type="dxa"/>
            <w:tcBorders>
              <w:top w:val="single" w:color="auto" w:sz="4" w:space="0"/>
              <w:left w:val="single" w:color="auto" w:sz="4" w:space="0"/>
              <w:bottom w:val="single" w:color="auto" w:sz="4" w:space="0"/>
              <w:right w:val="single" w:color="auto" w:sz="4" w:space="0"/>
            </w:tcBorders>
            <w:noWrap/>
            <w:vAlign w:val="center"/>
          </w:tcPr>
          <w:p w14:paraId="7708CD26">
            <w:pPr>
              <w:tabs>
                <w:tab w:val="left" w:pos="1418"/>
              </w:tabs>
              <w:snapToGrid w:val="0"/>
              <w:spacing w:before="50" w:after="50" w:line="360" w:lineRule="auto"/>
              <w:jc w:val="center"/>
              <w:rPr>
                <w:rFonts w:hint="default"/>
                <w:color w:val="auto"/>
                <w:spacing w:val="20"/>
                <w:sz w:val="24"/>
                <w:highlight w:val="none"/>
              </w:rPr>
            </w:pPr>
          </w:p>
        </w:tc>
        <w:tc>
          <w:tcPr>
            <w:tcW w:w="1167" w:type="dxa"/>
            <w:tcBorders>
              <w:top w:val="single" w:color="auto" w:sz="4" w:space="0"/>
              <w:left w:val="single" w:color="auto" w:sz="4" w:space="0"/>
              <w:bottom w:val="single" w:color="auto" w:sz="4" w:space="0"/>
              <w:right w:val="single" w:color="auto" w:sz="4" w:space="0"/>
            </w:tcBorders>
            <w:noWrap/>
            <w:vAlign w:val="center"/>
          </w:tcPr>
          <w:p w14:paraId="68D83296">
            <w:pPr>
              <w:tabs>
                <w:tab w:val="left" w:pos="1418"/>
              </w:tabs>
              <w:snapToGrid w:val="0"/>
              <w:spacing w:before="50" w:after="50" w:line="360" w:lineRule="auto"/>
              <w:jc w:val="center"/>
              <w:rPr>
                <w:rFonts w:hint="default"/>
                <w:color w:val="auto"/>
                <w:spacing w:val="20"/>
                <w:sz w:val="24"/>
                <w:highlight w:val="none"/>
              </w:rPr>
            </w:pPr>
          </w:p>
        </w:tc>
        <w:tc>
          <w:tcPr>
            <w:tcW w:w="1344" w:type="dxa"/>
            <w:tcBorders>
              <w:top w:val="single" w:color="auto" w:sz="4" w:space="0"/>
              <w:left w:val="single" w:color="auto" w:sz="4" w:space="0"/>
              <w:bottom w:val="single" w:color="auto" w:sz="4" w:space="0"/>
              <w:right w:val="single" w:color="auto" w:sz="4" w:space="0"/>
            </w:tcBorders>
            <w:noWrap/>
            <w:vAlign w:val="center"/>
          </w:tcPr>
          <w:p w14:paraId="1AC3AE69">
            <w:pPr>
              <w:tabs>
                <w:tab w:val="left" w:pos="1418"/>
              </w:tabs>
              <w:snapToGrid w:val="0"/>
              <w:spacing w:before="50" w:after="50" w:line="360" w:lineRule="auto"/>
              <w:jc w:val="center"/>
              <w:rPr>
                <w:rFonts w:hint="default"/>
                <w:color w:val="auto"/>
                <w:spacing w:val="20"/>
                <w:sz w:val="24"/>
                <w:highlight w:val="none"/>
              </w:rPr>
            </w:pPr>
          </w:p>
        </w:tc>
        <w:tc>
          <w:tcPr>
            <w:tcW w:w="1396" w:type="dxa"/>
            <w:tcBorders>
              <w:top w:val="single" w:color="auto" w:sz="4" w:space="0"/>
              <w:left w:val="single" w:color="auto" w:sz="4" w:space="0"/>
              <w:bottom w:val="single" w:color="auto" w:sz="4" w:space="0"/>
              <w:right w:val="single" w:color="auto" w:sz="4" w:space="0"/>
            </w:tcBorders>
            <w:noWrap/>
            <w:vAlign w:val="center"/>
          </w:tcPr>
          <w:p w14:paraId="30981A12">
            <w:pPr>
              <w:tabs>
                <w:tab w:val="left" w:pos="1418"/>
              </w:tabs>
              <w:snapToGrid w:val="0"/>
              <w:spacing w:before="50" w:after="50" w:line="360" w:lineRule="auto"/>
              <w:jc w:val="center"/>
              <w:rPr>
                <w:rFonts w:hint="default"/>
                <w:color w:val="auto"/>
                <w:spacing w:val="20"/>
                <w:sz w:val="24"/>
                <w:highlight w:val="none"/>
              </w:rPr>
            </w:pPr>
          </w:p>
        </w:tc>
        <w:tc>
          <w:tcPr>
            <w:tcW w:w="1345" w:type="dxa"/>
            <w:tcBorders>
              <w:top w:val="single" w:color="auto" w:sz="4" w:space="0"/>
              <w:left w:val="single" w:color="auto" w:sz="4" w:space="0"/>
              <w:bottom w:val="single" w:color="auto" w:sz="4" w:space="0"/>
              <w:right w:val="single" w:color="auto" w:sz="4" w:space="0"/>
            </w:tcBorders>
            <w:noWrap/>
            <w:vAlign w:val="center"/>
          </w:tcPr>
          <w:p w14:paraId="21EEC00E">
            <w:pPr>
              <w:tabs>
                <w:tab w:val="left" w:pos="1418"/>
              </w:tabs>
              <w:snapToGrid w:val="0"/>
              <w:spacing w:before="50" w:after="50" w:line="360" w:lineRule="auto"/>
              <w:jc w:val="center"/>
              <w:rPr>
                <w:rFonts w:hint="default"/>
                <w:color w:val="auto"/>
                <w:spacing w:val="20"/>
                <w:sz w:val="24"/>
                <w:highlight w:val="none"/>
              </w:rPr>
            </w:pPr>
          </w:p>
        </w:tc>
        <w:tc>
          <w:tcPr>
            <w:tcW w:w="1443" w:type="dxa"/>
            <w:tcBorders>
              <w:top w:val="single" w:color="auto" w:sz="4" w:space="0"/>
              <w:left w:val="single" w:color="auto" w:sz="4" w:space="0"/>
              <w:bottom w:val="single" w:color="auto" w:sz="4" w:space="0"/>
              <w:right w:val="single" w:color="auto" w:sz="4" w:space="0"/>
            </w:tcBorders>
            <w:noWrap/>
            <w:vAlign w:val="center"/>
          </w:tcPr>
          <w:p w14:paraId="76BD4B20">
            <w:pPr>
              <w:tabs>
                <w:tab w:val="left" w:pos="1418"/>
              </w:tabs>
              <w:snapToGrid w:val="0"/>
              <w:spacing w:before="50" w:after="50" w:line="360" w:lineRule="auto"/>
              <w:jc w:val="center"/>
              <w:rPr>
                <w:rFonts w:hint="default"/>
                <w:color w:val="auto"/>
                <w:spacing w:val="20"/>
                <w:sz w:val="24"/>
                <w:highlight w:val="none"/>
              </w:rPr>
            </w:pPr>
          </w:p>
        </w:tc>
        <w:tc>
          <w:tcPr>
            <w:tcW w:w="1154" w:type="dxa"/>
            <w:tcBorders>
              <w:top w:val="single" w:color="auto" w:sz="4" w:space="0"/>
              <w:left w:val="single" w:color="auto" w:sz="4" w:space="0"/>
              <w:bottom w:val="single" w:color="auto" w:sz="4" w:space="0"/>
              <w:right w:val="single" w:color="auto" w:sz="4" w:space="0"/>
            </w:tcBorders>
            <w:noWrap/>
            <w:vAlign w:val="center"/>
          </w:tcPr>
          <w:p w14:paraId="3196F870">
            <w:pPr>
              <w:tabs>
                <w:tab w:val="left" w:pos="1418"/>
              </w:tabs>
              <w:snapToGrid w:val="0"/>
              <w:spacing w:before="50" w:after="50" w:line="360" w:lineRule="auto"/>
              <w:jc w:val="center"/>
              <w:rPr>
                <w:rFonts w:hint="default"/>
                <w:color w:val="auto"/>
                <w:spacing w:val="20"/>
                <w:sz w:val="24"/>
                <w:highlight w:val="none"/>
              </w:rPr>
            </w:pPr>
          </w:p>
        </w:tc>
        <w:tc>
          <w:tcPr>
            <w:tcW w:w="1222" w:type="dxa"/>
            <w:tcBorders>
              <w:top w:val="single" w:color="auto" w:sz="4" w:space="0"/>
              <w:left w:val="single" w:color="auto" w:sz="4" w:space="0"/>
              <w:bottom w:val="single" w:color="auto" w:sz="4" w:space="0"/>
              <w:right w:val="single" w:color="auto" w:sz="4" w:space="0"/>
            </w:tcBorders>
            <w:noWrap/>
            <w:vAlign w:val="center"/>
          </w:tcPr>
          <w:p w14:paraId="701693C4">
            <w:pPr>
              <w:tabs>
                <w:tab w:val="left" w:pos="1418"/>
              </w:tabs>
              <w:snapToGrid w:val="0"/>
              <w:spacing w:before="50" w:after="50" w:line="360" w:lineRule="auto"/>
              <w:jc w:val="center"/>
              <w:rPr>
                <w:rFonts w:hint="default"/>
                <w:color w:val="auto"/>
                <w:spacing w:val="20"/>
                <w:sz w:val="24"/>
                <w:highlight w:val="none"/>
              </w:rPr>
            </w:pPr>
          </w:p>
        </w:tc>
      </w:tr>
      <w:tr w14:paraId="76B6152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7" w:hRule="atLeast"/>
          <w:jc w:val="center"/>
        </w:trPr>
        <w:tc>
          <w:tcPr>
            <w:tcW w:w="3161" w:type="dxa"/>
            <w:gridSpan w:val="3"/>
            <w:tcBorders>
              <w:top w:val="single" w:color="auto" w:sz="4" w:space="0"/>
              <w:left w:val="single" w:color="auto" w:sz="4" w:space="0"/>
              <w:bottom w:val="single" w:color="auto" w:sz="4" w:space="0"/>
              <w:right w:val="single" w:color="auto" w:sz="4" w:space="0"/>
            </w:tcBorders>
            <w:noWrap/>
            <w:vAlign w:val="center"/>
          </w:tcPr>
          <w:p w14:paraId="15DB0391">
            <w:pPr>
              <w:tabs>
                <w:tab w:val="left" w:pos="1418"/>
              </w:tabs>
              <w:snapToGrid w:val="0"/>
              <w:spacing w:before="50" w:after="50" w:line="360" w:lineRule="auto"/>
              <w:jc w:val="center"/>
              <w:rPr>
                <w:rFonts w:hint="default" w:ascii="宋体" w:hAnsi="宋体" w:cs="宋体"/>
                <w:color w:val="auto"/>
                <w:spacing w:val="20"/>
                <w:sz w:val="24"/>
                <w:highlight w:val="none"/>
              </w:rPr>
            </w:pPr>
            <w:r>
              <w:rPr>
                <w:rFonts w:ascii="宋体" w:hAnsi="宋体" w:cs="宋体"/>
                <w:color w:val="auto"/>
                <w:spacing w:val="20"/>
                <w:sz w:val="24"/>
                <w:szCs w:val="22"/>
                <w:highlight w:val="none"/>
              </w:rPr>
              <w:t>投 标 总 价</w:t>
            </w:r>
          </w:p>
        </w:tc>
        <w:tc>
          <w:tcPr>
            <w:tcW w:w="6560" w:type="dxa"/>
            <w:gridSpan w:val="5"/>
            <w:tcBorders>
              <w:top w:val="single" w:color="auto" w:sz="4" w:space="0"/>
              <w:left w:val="single" w:color="auto" w:sz="4" w:space="0"/>
              <w:bottom w:val="single" w:color="auto" w:sz="4" w:space="0"/>
              <w:right w:val="single" w:color="auto" w:sz="4" w:space="0"/>
            </w:tcBorders>
            <w:noWrap/>
            <w:vAlign w:val="center"/>
          </w:tcPr>
          <w:p w14:paraId="33999453">
            <w:pPr>
              <w:tabs>
                <w:tab w:val="left" w:pos="1418"/>
              </w:tabs>
              <w:snapToGrid w:val="0"/>
              <w:spacing w:before="50" w:after="50" w:line="360" w:lineRule="auto"/>
              <w:rPr>
                <w:rFonts w:hint="default" w:ascii="宋体" w:hAnsi="宋体" w:cs="宋体"/>
                <w:color w:val="auto"/>
                <w:spacing w:val="20"/>
                <w:sz w:val="24"/>
                <w:szCs w:val="22"/>
                <w:highlight w:val="none"/>
              </w:rPr>
            </w:pPr>
            <w:r>
              <w:rPr>
                <w:rFonts w:ascii="宋体" w:hAnsi="宋体" w:cs="宋体"/>
                <w:color w:val="auto"/>
                <w:spacing w:val="20"/>
                <w:sz w:val="24"/>
                <w:szCs w:val="22"/>
                <w:highlight w:val="none"/>
              </w:rPr>
              <w:t>小写：</w:t>
            </w:r>
          </w:p>
          <w:p w14:paraId="3358D212">
            <w:pPr>
              <w:pStyle w:val="149"/>
              <w:spacing w:line="360" w:lineRule="auto"/>
              <w:ind w:firstLine="0" w:firstLineChars="0"/>
              <w:rPr>
                <w:rFonts w:ascii="宋体" w:hAnsi="宋体" w:eastAsia="宋体" w:cs="宋体"/>
                <w:color w:val="auto"/>
                <w:highlight w:val="none"/>
                <w:lang w:val="en-US"/>
              </w:rPr>
            </w:pPr>
            <w:r>
              <w:rPr>
                <w:rFonts w:hint="eastAsia" w:ascii="宋体" w:hAnsi="宋体" w:eastAsia="宋体" w:cs="宋体"/>
                <w:color w:val="auto"/>
                <w:spacing w:val="20"/>
                <w:sz w:val="24"/>
                <w:szCs w:val="22"/>
                <w:highlight w:val="none"/>
                <w:lang w:val="en-US"/>
              </w:rPr>
              <w:t>大写：</w:t>
            </w:r>
          </w:p>
        </w:tc>
      </w:tr>
    </w:tbl>
    <w:p w14:paraId="626735C7">
      <w:pPr>
        <w:pStyle w:val="6"/>
        <w:snapToGrid w:val="0"/>
        <w:spacing w:before="120" w:after="120" w:line="360" w:lineRule="auto"/>
        <w:rPr>
          <w:rFonts w:ascii="Times New Roman" w:hAnsi="Times New Roman"/>
          <w:color w:val="auto"/>
          <w:highlight w:val="none"/>
        </w:rPr>
      </w:pPr>
      <w:r>
        <w:rPr>
          <w:rFonts w:ascii="Times New Roman" w:hAnsi="Times New Roman"/>
          <w:color w:val="auto"/>
          <w:kern w:val="0"/>
          <w:highlight w:val="none"/>
          <w:lang w:val="zh-CN"/>
        </w:rPr>
        <w:t>注：</w:t>
      </w:r>
      <w:r>
        <w:rPr>
          <w:rFonts w:ascii="Times New Roman" w:hAnsi="Times New Roman"/>
          <w:color w:val="auto"/>
          <w:kern w:val="0"/>
          <w:highlight w:val="none"/>
        </w:rPr>
        <w:t>1、</w:t>
      </w:r>
      <w:r>
        <w:rPr>
          <w:rFonts w:ascii="Times New Roman" w:hAnsi="Times New Roman"/>
          <w:color w:val="auto"/>
          <w:highlight w:val="none"/>
        </w:rPr>
        <w:t>可根据具体情况调整报价明细清单格式，但应包括项目涉及的一切相关税、费等费用。</w:t>
      </w:r>
    </w:p>
    <w:p w14:paraId="1C5F0474">
      <w:pPr>
        <w:spacing w:line="360" w:lineRule="auto"/>
        <w:ind w:firstLine="482" w:firstLineChars="200"/>
        <w:rPr>
          <w:rFonts w:hint="default" w:ascii="仿宋_GB2312" w:hAnsi="仿宋" w:eastAsia="仿宋_GB2312" w:cs="仿宋_GB2312"/>
          <w:color w:val="auto"/>
          <w:kern w:val="0"/>
          <w:sz w:val="24"/>
          <w:highlight w:val="none"/>
          <w:lang w:val="zh-CN"/>
        </w:rPr>
      </w:pPr>
      <w:r>
        <w:rPr>
          <w:b/>
          <w:bCs/>
          <w:color w:val="auto"/>
          <w:sz w:val="24"/>
          <w:highlight w:val="none"/>
        </w:rPr>
        <w:t>2、</w:t>
      </w:r>
      <w:r>
        <w:rPr>
          <w:b/>
          <w:bCs/>
          <w:color w:val="auto"/>
          <w:sz w:val="24"/>
          <w:highlight w:val="none"/>
          <w:lang w:val="zh-CN"/>
        </w:rPr>
        <w:t>有关本项目实施所涉及的一切费用均计入报价。</w:t>
      </w:r>
      <w:r>
        <w:rPr>
          <w:b/>
          <w:bCs/>
          <w:color w:val="auto"/>
          <w:sz w:val="24"/>
          <w:highlight w:val="none"/>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报价明细表中部分产品、服务单价为零的，视作已包含在总价中。</w:t>
      </w:r>
      <w:r>
        <w:rPr>
          <w:b/>
          <w:bCs/>
          <w:color w:val="auto"/>
          <w:sz w:val="24"/>
          <w:highlight w:val="none"/>
          <w:lang w:val="zh-CN"/>
        </w:rPr>
        <w:t>采购内容未包含在《投标报价明细表》名称栏中，投标人不能作出合理解释的，</w:t>
      </w:r>
      <w:r>
        <w:rPr>
          <w:b/>
          <w:bCs/>
          <w:color w:val="auto"/>
          <w:sz w:val="24"/>
          <w:highlight w:val="none"/>
        </w:rPr>
        <w:t>视为投标文件含有采购人不能接受的附加条件的，投标无效。</w:t>
      </w:r>
    </w:p>
    <w:p w14:paraId="62C219E4">
      <w:pPr>
        <w:adjustRightInd w:val="0"/>
        <w:snapToGrid w:val="0"/>
        <w:spacing w:line="360" w:lineRule="auto"/>
        <w:ind w:firstLine="480" w:firstLineChars="200"/>
        <w:rPr>
          <w:rFonts w:hint="default" w:ascii="宋体" w:hAnsi="宋体" w:cs="宋体"/>
          <w:color w:val="auto"/>
          <w:kern w:val="0"/>
          <w:sz w:val="24"/>
          <w:highlight w:val="none"/>
        </w:rPr>
      </w:pPr>
    </w:p>
    <w:p w14:paraId="033A451A">
      <w:pPr>
        <w:adjustRightInd w:val="0"/>
        <w:snapToGrid w:val="0"/>
        <w:spacing w:line="360" w:lineRule="auto"/>
        <w:ind w:firstLine="480" w:firstLineChars="200"/>
        <w:rPr>
          <w:rFonts w:hint="default" w:ascii="宋体" w:hAnsi="宋体" w:cs="宋体"/>
          <w:color w:val="auto"/>
          <w:kern w:val="0"/>
          <w:sz w:val="24"/>
          <w:highlight w:val="none"/>
        </w:rPr>
      </w:pPr>
      <w:r>
        <w:rPr>
          <w:rFonts w:ascii="宋体" w:hAnsi="宋体" w:cs="宋体"/>
          <w:color w:val="auto"/>
          <w:kern w:val="0"/>
          <w:sz w:val="24"/>
          <w:highlight w:val="none"/>
        </w:rPr>
        <w:t>供应商（</w:t>
      </w:r>
      <w:r>
        <w:rPr>
          <w:rFonts w:ascii="宋体" w:hAnsi="宋体" w:cs="宋体"/>
          <w:color w:val="auto"/>
          <w:kern w:val="0"/>
          <w:sz w:val="24"/>
          <w:highlight w:val="none"/>
          <w:lang w:val="zh-CN"/>
        </w:rPr>
        <w:t>电子签名/公章</w:t>
      </w:r>
      <w:r>
        <w:rPr>
          <w:rFonts w:ascii="宋体" w:hAnsi="宋体" w:cs="宋体"/>
          <w:color w:val="auto"/>
          <w:kern w:val="0"/>
          <w:sz w:val="24"/>
          <w:highlight w:val="none"/>
        </w:rPr>
        <w:t>）：</w:t>
      </w:r>
    </w:p>
    <w:p w14:paraId="6112438B">
      <w:pPr>
        <w:widowControl/>
        <w:adjustRightInd w:val="0"/>
        <w:snapToGrid w:val="0"/>
        <w:spacing w:line="360" w:lineRule="auto"/>
        <w:ind w:firstLine="480" w:firstLineChars="200"/>
        <w:jc w:val="left"/>
        <w:rPr>
          <w:rFonts w:hint="default"/>
          <w:color w:val="auto"/>
          <w:kern w:val="0"/>
          <w:sz w:val="24"/>
          <w:highlight w:val="none"/>
        </w:rPr>
      </w:pPr>
      <w:r>
        <w:rPr>
          <w:rFonts w:hint="default"/>
          <w:color w:val="auto"/>
          <w:kern w:val="0"/>
          <w:sz w:val="24"/>
          <w:highlight w:val="none"/>
        </w:rPr>
        <w:t>法定代表人或其授权代表（签字或盖章）：</w:t>
      </w:r>
    </w:p>
    <w:p w14:paraId="5ECB6B3E">
      <w:pPr>
        <w:pStyle w:val="6"/>
        <w:adjustRightInd w:val="0"/>
        <w:snapToGrid w:val="0"/>
        <w:spacing w:beforeLines="0" w:afterLines="0" w:line="360" w:lineRule="auto"/>
        <w:ind w:firstLine="480" w:firstLineChars="200"/>
        <w:outlineLvl w:val="0"/>
        <w:rPr>
          <w:rFonts w:ascii="Times New Roman" w:hAnsi="Times New Roman"/>
          <w:color w:val="auto"/>
          <w:kern w:val="0"/>
          <w:highlight w:val="none"/>
        </w:rPr>
      </w:pPr>
      <w:bookmarkStart w:id="113" w:name="_Toc26027"/>
      <w:r>
        <w:rPr>
          <w:rFonts w:ascii="Times New Roman" w:hAnsi="Times New Roman"/>
          <w:color w:val="auto"/>
          <w:kern w:val="0"/>
          <w:highlight w:val="none"/>
        </w:rPr>
        <w:t>日期：     年  月  日</w:t>
      </w:r>
      <w:bookmarkEnd w:id="113"/>
    </w:p>
    <w:p w14:paraId="0D6B0DBF">
      <w:pPr>
        <w:adjustRightInd w:val="0"/>
        <w:snapToGrid w:val="0"/>
        <w:spacing w:line="440" w:lineRule="exact"/>
        <w:ind w:right="420"/>
        <w:rPr>
          <w:rFonts w:hint="default"/>
          <w:b/>
          <w:color w:val="auto"/>
          <w:sz w:val="32"/>
          <w:szCs w:val="32"/>
          <w:highlight w:val="none"/>
        </w:rPr>
      </w:pPr>
      <w:r>
        <w:rPr>
          <w:rFonts w:hint="default"/>
          <w:color w:val="auto"/>
          <w:kern w:val="0"/>
          <w:highlight w:val="none"/>
        </w:rPr>
        <w:br w:type="page"/>
      </w:r>
    </w:p>
    <w:p w14:paraId="1D5B17A8">
      <w:pPr>
        <w:snapToGrid w:val="0"/>
        <w:spacing w:line="360" w:lineRule="auto"/>
        <w:ind w:left="570"/>
        <w:jc w:val="center"/>
        <w:outlineLvl w:val="0"/>
        <w:rPr>
          <w:rFonts w:hint="default"/>
          <w:b/>
          <w:color w:val="auto"/>
          <w:sz w:val="32"/>
          <w:szCs w:val="32"/>
          <w:highlight w:val="none"/>
        </w:rPr>
      </w:pPr>
      <w:r>
        <w:rPr>
          <w:rFonts w:ascii="宋体" w:hAnsi="宋体"/>
          <w:b/>
          <w:color w:val="auto"/>
          <w:sz w:val="32"/>
          <w:szCs w:val="32"/>
          <w:highlight w:val="none"/>
        </w:rPr>
        <w:t>三、</w:t>
      </w:r>
      <w:r>
        <w:rPr>
          <w:rFonts w:hint="default"/>
          <w:b/>
          <w:color w:val="auto"/>
          <w:sz w:val="32"/>
          <w:szCs w:val="32"/>
          <w:highlight w:val="none"/>
        </w:rPr>
        <w:t>中小企业声明函、残疾人福利性单位声明函、属于监狱企业的证明文件（由省级以上监狱管理局、戒毒管理局（含新疆生产建设兵团）出具的属于监狱企业的证明文件</w:t>
      </w:r>
    </w:p>
    <w:p w14:paraId="48BDDAEF">
      <w:pPr>
        <w:widowControl/>
        <w:snapToGrid w:val="0"/>
        <w:spacing w:line="360" w:lineRule="auto"/>
        <w:ind w:firstLine="602" w:firstLineChars="200"/>
        <w:jc w:val="center"/>
        <w:rPr>
          <w:rFonts w:hint="default"/>
          <w:b/>
          <w:color w:val="auto"/>
          <w:kern w:val="0"/>
          <w:sz w:val="30"/>
          <w:szCs w:val="30"/>
          <w:highlight w:val="none"/>
        </w:rPr>
      </w:pPr>
      <w:r>
        <w:rPr>
          <w:b/>
          <w:color w:val="auto"/>
          <w:kern w:val="0"/>
          <w:sz w:val="30"/>
          <w:szCs w:val="30"/>
          <w:highlight w:val="none"/>
        </w:rPr>
        <w:t>3</w:t>
      </w:r>
      <w:r>
        <w:rPr>
          <w:rFonts w:hint="default"/>
          <w:b/>
          <w:color w:val="auto"/>
          <w:kern w:val="0"/>
          <w:sz w:val="30"/>
          <w:szCs w:val="30"/>
          <w:highlight w:val="none"/>
        </w:rPr>
        <w:t>.1中小企业声明函及其相关的充分的证明材料</w:t>
      </w:r>
      <w:r>
        <w:rPr>
          <w:b/>
          <w:color w:val="auto"/>
          <w:kern w:val="0"/>
          <w:sz w:val="30"/>
          <w:szCs w:val="30"/>
          <w:highlight w:val="none"/>
        </w:rPr>
        <w:t>（如有）</w:t>
      </w:r>
    </w:p>
    <w:p w14:paraId="1150079D">
      <w:pPr>
        <w:autoSpaceDE w:val="0"/>
        <w:autoSpaceDN w:val="0"/>
        <w:adjustRightInd w:val="0"/>
        <w:spacing w:before="240" w:beforeLines="100" w:after="240" w:afterLines="100" w:line="360" w:lineRule="auto"/>
        <w:jc w:val="center"/>
        <w:rPr>
          <w:rFonts w:hint="default"/>
          <w:color w:val="auto"/>
          <w:kern w:val="0"/>
          <w:sz w:val="24"/>
          <w:highlight w:val="none"/>
        </w:rPr>
      </w:pPr>
      <w:r>
        <w:rPr>
          <w:rFonts w:hint="default"/>
          <w:b/>
          <w:color w:val="auto"/>
          <w:kern w:val="0"/>
          <w:sz w:val="24"/>
          <w:highlight w:val="none"/>
        </w:rPr>
        <w:t>中小企业声明函（货物</w:t>
      </w:r>
      <w:r>
        <w:rPr>
          <w:rFonts w:hint="default"/>
          <w:color w:val="auto"/>
          <w:kern w:val="0"/>
          <w:sz w:val="24"/>
          <w:highlight w:val="none"/>
        </w:rPr>
        <w:t>）</w:t>
      </w:r>
    </w:p>
    <w:p w14:paraId="74B4E165">
      <w:pPr>
        <w:autoSpaceDE w:val="0"/>
        <w:autoSpaceDN w:val="0"/>
        <w:adjustRightInd w:val="0"/>
        <w:spacing w:line="360" w:lineRule="auto"/>
        <w:ind w:right="157" w:firstLine="642"/>
        <w:jc w:val="left"/>
        <w:rPr>
          <w:rFonts w:hint="default"/>
          <w:color w:val="auto"/>
          <w:kern w:val="0"/>
          <w:sz w:val="24"/>
          <w:highlight w:val="none"/>
        </w:rPr>
      </w:pPr>
      <w:r>
        <w:rPr>
          <w:rFonts w:hint="default"/>
          <w:color w:val="auto"/>
          <w:kern w:val="0"/>
          <w:sz w:val="24"/>
          <w:highlight w:val="none"/>
        </w:rPr>
        <w:t>本公司（联合体）郑重声明，根据《政府采购促进中小企业发展管理办法》（财库 ﹝2020﹞46号）的规定，本公司参加</w:t>
      </w:r>
      <w:r>
        <w:rPr>
          <w:rFonts w:hint="default"/>
          <w:color w:val="auto"/>
          <w:kern w:val="0"/>
          <w:sz w:val="24"/>
          <w:highlight w:val="none"/>
          <w:u w:val="single"/>
        </w:rPr>
        <w:t>（单位名称）</w:t>
      </w:r>
      <w:r>
        <w:rPr>
          <w:rFonts w:hint="default"/>
          <w:color w:val="auto"/>
          <w:kern w:val="0"/>
          <w:sz w:val="24"/>
          <w:highlight w:val="none"/>
        </w:rPr>
        <w:t>的</w:t>
      </w:r>
      <w:r>
        <w:rPr>
          <w:rFonts w:hint="default"/>
          <w:color w:val="auto"/>
          <w:kern w:val="0"/>
          <w:sz w:val="24"/>
          <w:highlight w:val="none"/>
          <w:u w:val="single"/>
        </w:rPr>
        <w:t>（项目名称）</w:t>
      </w:r>
      <w:r>
        <w:rPr>
          <w:rFonts w:hint="default"/>
          <w:color w:val="auto"/>
          <w:kern w:val="0"/>
          <w:sz w:val="24"/>
          <w:highlight w:val="none"/>
        </w:rPr>
        <w:t xml:space="preserve">采购活动，提供的货物全部由符合政策要求的中小企业制造。相关企业（含联合体中的中小企业、签订分包意向协议的中小企业）的具体情况如下： </w:t>
      </w:r>
    </w:p>
    <w:p w14:paraId="37AAA55F">
      <w:pPr>
        <w:numPr>
          <w:ilvl w:val="0"/>
          <w:numId w:val="5"/>
        </w:numPr>
        <w:autoSpaceDE w:val="0"/>
        <w:autoSpaceDN w:val="0"/>
        <w:adjustRightInd w:val="0"/>
        <w:spacing w:line="360" w:lineRule="auto"/>
        <w:ind w:firstLine="480" w:firstLineChars="200"/>
        <w:jc w:val="left"/>
        <w:rPr>
          <w:rFonts w:hint="default"/>
          <w:color w:val="auto"/>
          <w:kern w:val="0"/>
          <w:sz w:val="24"/>
          <w:highlight w:val="none"/>
        </w:rPr>
      </w:pPr>
      <w:r>
        <w:rPr>
          <w:color w:val="auto"/>
          <w:kern w:val="0"/>
          <w:sz w:val="24"/>
          <w:highlight w:val="none"/>
          <w:u w:val="single"/>
        </w:rPr>
        <w:t xml:space="preserve"> 气相色谱仪 </w:t>
      </w:r>
      <w:r>
        <w:rPr>
          <w:rFonts w:hint="default"/>
          <w:color w:val="auto"/>
          <w:kern w:val="0"/>
          <w:sz w:val="24"/>
          <w:highlight w:val="none"/>
        </w:rPr>
        <w:t xml:space="preserve">，属于 </w:t>
      </w:r>
      <w:r>
        <w:rPr>
          <w:rFonts w:hint="default"/>
          <w:color w:val="auto"/>
          <w:kern w:val="0"/>
          <w:sz w:val="24"/>
          <w:highlight w:val="none"/>
          <w:u w:val="single"/>
        </w:rPr>
        <w:t xml:space="preserve"> </w:t>
      </w:r>
      <w:r>
        <w:rPr>
          <w:color w:val="auto"/>
          <w:kern w:val="0"/>
          <w:sz w:val="24"/>
          <w:highlight w:val="none"/>
          <w:u w:val="single"/>
        </w:rPr>
        <w:t>工业</w:t>
      </w:r>
      <w:r>
        <w:rPr>
          <w:rFonts w:hint="default"/>
          <w:color w:val="auto"/>
          <w:kern w:val="0"/>
          <w:sz w:val="24"/>
          <w:highlight w:val="none"/>
          <w:u w:val="single"/>
        </w:rPr>
        <w:t xml:space="preserve"> 行业</w:t>
      </w:r>
      <w:r>
        <w:rPr>
          <w:rFonts w:hint="default"/>
          <w:color w:val="auto"/>
          <w:kern w:val="0"/>
          <w:sz w:val="24"/>
          <w:highlight w:val="none"/>
        </w:rPr>
        <w:t>；制造商为</w:t>
      </w:r>
      <w:r>
        <w:rPr>
          <w:rFonts w:hint="default"/>
          <w:color w:val="auto"/>
          <w:kern w:val="0"/>
          <w:sz w:val="24"/>
          <w:highlight w:val="none"/>
          <w:u w:val="single"/>
        </w:rPr>
        <w:t>（企业名称）</w:t>
      </w:r>
      <w:r>
        <w:rPr>
          <w:rFonts w:hint="default"/>
          <w:color w:val="auto"/>
          <w:kern w:val="0"/>
          <w:sz w:val="24"/>
          <w:highlight w:val="none"/>
        </w:rPr>
        <w:t>，从业人员</w:t>
      </w:r>
      <w:r>
        <w:rPr>
          <w:color w:val="auto"/>
          <w:kern w:val="0"/>
          <w:sz w:val="24"/>
          <w:highlight w:val="none"/>
          <w:u w:val="single"/>
        </w:rPr>
        <w:t xml:space="preserve">    </w:t>
      </w:r>
      <w:r>
        <w:rPr>
          <w:rFonts w:hint="default"/>
          <w:color w:val="auto"/>
          <w:kern w:val="0"/>
          <w:sz w:val="24"/>
          <w:highlight w:val="none"/>
        </w:rPr>
        <w:t>人，营业收入为</w:t>
      </w:r>
      <w:r>
        <w:rPr>
          <w:color w:val="auto"/>
          <w:kern w:val="0"/>
          <w:sz w:val="24"/>
          <w:highlight w:val="none"/>
          <w:u w:val="single"/>
        </w:rPr>
        <w:t xml:space="preserve">   </w:t>
      </w:r>
      <w:r>
        <w:rPr>
          <w:rFonts w:hint="default"/>
          <w:color w:val="auto"/>
          <w:kern w:val="0"/>
          <w:sz w:val="24"/>
          <w:highlight w:val="none"/>
        </w:rPr>
        <w:t>万元，资产总额为</w:t>
      </w:r>
      <w:r>
        <w:rPr>
          <w:color w:val="auto"/>
          <w:kern w:val="0"/>
          <w:sz w:val="24"/>
          <w:highlight w:val="none"/>
          <w:u w:val="single"/>
        </w:rPr>
        <w:t xml:space="preserve">    </w:t>
      </w:r>
      <w:r>
        <w:rPr>
          <w:rFonts w:hint="default"/>
          <w:color w:val="auto"/>
          <w:kern w:val="0"/>
          <w:sz w:val="24"/>
          <w:highlight w:val="none"/>
        </w:rPr>
        <w:t>万元</w:t>
      </w:r>
      <w:r>
        <w:rPr>
          <w:rFonts w:hint="default"/>
          <w:color w:val="auto"/>
          <w:kern w:val="0"/>
          <w:sz w:val="24"/>
          <w:highlight w:val="none"/>
          <w:vertAlign w:val="superscript"/>
        </w:rPr>
        <w:footnoteReference w:id="0"/>
      </w:r>
      <w:r>
        <w:rPr>
          <w:rFonts w:hint="default"/>
          <w:color w:val="auto"/>
          <w:kern w:val="0"/>
          <w:sz w:val="24"/>
          <w:highlight w:val="none"/>
        </w:rPr>
        <w:t>，属于</w:t>
      </w:r>
      <w:r>
        <w:rPr>
          <w:rFonts w:hint="eastAsia"/>
          <w:color w:val="auto"/>
          <w:kern w:val="0"/>
          <w:sz w:val="24"/>
          <w:highlight w:val="none"/>
          <w:u w:val="single"/>
          <w:lang w:val="en-US" w:eastAsia="zh-CN"/>
        </w:rPr>
        <w:t xml:space="preserve">   </w:t>
      </w:r>
      <w:r>
        <w:rPr>
          <w:rFonts w:hint="default"/>
          <w:color w:val="auto"/>
          <w:kern w:val="0"/>
          <w:sz w:val="24"/>
          <w:highlight w:val="none"/>
          <w:u w:val="single"/>
        </w:rPr>
        <w:t>（中型企业、小型企业、微型企业）</w:t>
      </w:r>
      <w:r>
        <w:rPr>
          <w:color w:val="auto"/>
          <w:kern w:val="0"/>
          <w:sz w:val="24"/>
          <w:highlight w:val="none"/>
          <w:u w:val="single"/>
        </w:rPr>
        <w:t xml:space="preserve">。 </w:t>
      </w:r>
    </w:p>
    <w:p w14:paraId="03BEE313">
      <w:pPr>
        <w:numPr>
          <w:ilvl w:val="0"/>
          <w:numId w:val="5"/>
        </w:numPr>
        <w:autoSpaceDE w:val="0"/>
        <w:autoSpaceDN w:val="0"/>
        <w:adjustRightInd w:val="0"/>
        <w:spacing w:line="360" w:lineRule="auto"/>
        <w:ind w:firstLine="480" w:firstLineChars="200"/>
        <w:jc w:val="left"/>
        <w:rPr>
          <w:rFonts w:hint="default"/>
          <w:color w:val="auto"/>
          <w:kern w:val="0"/>
          <w:sz w:val="24"/>
          <w:highlight w:val="none"/>
        </w:rPr>
      </w:pPr>
      <w:r>
        <w:rPr>
          <w:color w:val="auto"/>
          <w:kern w:val="0"/>
          <w:sz w:val="24"/>
          <w:highlight w:val="none"/>
          <w:u w:val="single"/>
        </w:rPr>
        <w:t xml:space="preserve">制备液相色谱仪 </w:t>
      </w:r>
      <w:r>
        <w:rPr>
          <w:rFonts w:hint="default"/>
          <w:color w:val="auto"/>
          <w:kern w:val="0"/>
          <w:sz w:val="24"/>
          <w:highlight w:val="none"/>
        </w:rPr>
        <w:t xml:space="preserve">，属于 </w:t>
      </w:r>
      <w:r>
        <w:rPr>
          <w:rFonts w:hint="default"/>
          <w:color w:val="auto"/>
          <w:kern w:val="0"/>
          <w:sz w:val="24"/>
          <w:highlight w:val="none"/>
          <w:u w:val="single"/>
        </w:rPr>
        <w:t xml:space="preserve"> </w:t>
      </w:r>
      <w:r>
        <w:rPr>
          <w:color w:val="auto"/>
          <w:kern w:val="0"/>
          <w:sz w:val="24"/>
          <w:highlight w:val="none"/>
          <w:u w:val="single"/>
        </w:rPr>
        <w:t>工业</w:t>
      </w:r>
      <w:r>
        <w:rPr>
          <w:rFonts w:hint="default"/>
          <w:color w:val="auto"/>
          <w:kern w:val="0"/>
          <w:sz w:val="24"/>
          <w:highlight w:val="none"/>
          <w:u w:val="single"/>
        </w:rPr>
        <w:t xml:space="preserve"> 行业</w:t>
      </w:r>
      <w:r>
        <w:rPr>
          <w:rFonts w:hint="default"/>
          <w:color w:val="auto"/>
          <w:kern w:val="0"/>
          <w:sz w:val="24"/>
          <w:highlight w:val="none"/>
        </w:rPr>
        <w:t>；制造商为</w:t>
      </w:r>
      <w:r>
        <w:rPr>
          <w:rFonts w:hint="default"/>
          <w:color w:val="auto"/>
          <w:kern w:val="0"/>
          <w:sz w:val="24"/>
          <w:highlight w:val="none"/>
          <w:u w:val="single"/>
        </w:rPr>
        <w:t>（企业名称）</w:t>
      </w:r>
      <w:r>
        <w:rPr>
          <w:rFonts w:hint="default"/>
          <w:color w:val="auto"/>
          <w:kern w:val="0"/>
          <w:sz w:val="24"/>
          <w:highlight w:val="none"/>
        </w:rPr>
        <w:t>，从业人员</w:t>
      </w:r>
      <w:r>
        <w:rPr>
          <w:color w:val="auto"/>
          <w:kern w:val="0"/>
          <w:sz w:val="24"/>
          <w:highlight w:val="none"/>
          <w:u w:val="single"/>
        </w:rPr>
        <w:t xml:space="preserve">    </w:t>
      </w:r>
      <w:r>
        <w:rPr>
          <w:rFonts w:hint="default"/>
          <w:color w:val="auto"/>
          <w:kern w:val="0"/>
          <w:sz w:val="24"/>
          <w:highlight w:val="none"/>
        </w:rPr>
        <w:t>人，营业收入为</w:t>
      </w:r>
      <w:r>
        <w:rPr>
          <w:color w:val="auto"/>
          <w:kern w:val="0"/>
          <w:sz w:val="24"/>
          <w:highlight w:val="none"/>
          <w:u w:val="single"/>
        </w:rPr>
        <w:t xml:space="preserve">   </w:t>
      </w:r>
      <w:r>
        <w:rPr>
          <w:rFonts w:hint="default"/>
          <w:color w:val="auto"/>
          <w:kern w:val="0"/>
          <w:sz w:val="24"/>
          <w:highlight w:val="none"/>
        </w:rPr>
        <w:t>万元，资产总额为</w:t>
      </w:r>
      <w:r>
        <w:rPr>
          <w:color w:val="auto"/>
          <w:kern w:val="0"/>
          <w:sz w:val="24"/>
          <w:highlight w:val="none"/>
          <w:u w:val="single"/>
        </w:rPr>
        <w:t xml:space="preserve">    </w:t>
      </w:r>
      <w:r>
        <w:rPr>
          <w:rFonts w:hint="default"/>
          <w:color w:val="auto"/>
          <w:kern w:val="0"/>
          <w:sz w:val="24"/>
          <w:highlight w:val="none"/>
        </w:rPr>
        <w:t>万元</w:t>
      </w:r>
      <w:r>
        <w:rPr>
          <w:rFonts w:hint="default"/>
          <w:color w:val="auto"/>
          <w:kern w:val="0"/>
          <w:sz w:val="24"/>
          <w:highlight w:val="none"/>
          <w:vertAlign w:val="superscript"/>
        </w:rPr>
        <w:footnoteReference w:id="1"/>
      </w:r>
      <w:r>
        <w:rPr>
          <w:rFonts w:hint="default"/>
          <w:color w:val="auto"/>
          <w:kern w:val="0"/>
          <w:sz w:val="24"/>
          <w:highlight w:val="none"/>
        </w:rPr>
        <w:t>，属于</w:t>
      </w:r>
      <w:r>
        <w:rPr>
          <w:rFonts w:hint="eastAsia"/>
          <w:color w:val="auto"/>
          <w:kern w:val="0"/>
          <w:sz w:val="24"/>
          <w:highlight w:val="none"/>
          <w:u w:val="single"/>
          <w:lang w:val="en-US" w:eastAsia="zh-CN"/>
        </w:rPr>
        <w:t xml:space="preserve">   </w:t>
      </w:r>
      <w:r>
        <w:rPr>
          <w:rFonts w:hint="default"/>
          <w:color w:val="auto"/>
          <w:kern w:val="0"/>
          <w:sz w:val="24"/>
          <w:highlight w:val="none"/>
          <w:u w:val="single"/>
        </w:rPr>
        <w:t>（中型企业、小型企业、微型企业）</w:t>
      </w:r>
      <w:r>
        <w:rPr>
          <w:color w:val="auto"/>
          <w:kern w:val="0"/>
          <w:sz w:val="24"/>
          <w:highlight w:val="none"/>
          <w:u w:val="single"/>
        </w:rPr>
        <w:t>。</w:t>
      </w:r>
      <w:r>
        <w:rPr>
          <w:rFonts w:hint="default"/>
          <w:color w:val="auto"/>
          <w:kern w:val="0"/>
          <w:sz w:val="24"/>
          <w:highlight w:val="none"/>
        </w:rPr>
        <w:t>以上企业，不属于大企业的分支机构，不存在控股股东为大企业的情形，也不存在与大企业的负责人为同一人的情形。</w:t>
      </w:r>
    </w:p>
    <w:p w14:paraId="42C2BA6C">
      <w:pPr>
        <w:autoSpaceDE w:val="0"/>
        <w:autoSpaceDN w:val="0"/>
        <w:adjustRightInd w:val="0"/>
        <w:spacing w:line="360" w:lineRule="auto"/>
        <w:ind w:firstLine="480" w:firstLineChars="200"/>
        <w:jc w:val="left"/>
        <w:rPr>
          <w:rFonts w:hint="default"/>
          <w:color w:val="auto"/>
          <w:kern w:val="0"/>
          <w:sz w:val="24"/>
          <w:highlight w:val="none"/>
        </w:rPr>
      </w:pPr>
      <w:r>
        <w:rPr>
          <w:rFonts w:hint="default"/>
          <w:color w:val="auto"/>
          <w:kern w:val="0"/>
          <w:sz w:val="24"/>
          <w:highlight w:val="none"/>
        </w:rPr>
        <w:t>本企业对上述声明内容的真实性负责。如有虚假，将依法承担相应责任。</w:t>
      </w:r>
    </w:p>
    <w:p w14:paraId="6F3366D8">
      <w:pPr>
        <w:autoSpaceDE w:val="0"/>
        <w:autoSpaceDN w:val="0"/>
        <w:adjustRightInd w:val="0"/>
        <w:spacing w:line="360" w:lineRule="auto"/>
        <w:ind w:left="3200" w:firstLine="720"/>
        <w:jc w:val="left"/>
        <w:rPr>
          <w:rFonts w:hint="default"/>
          <w:color w:val="auto"/>
          <w:kern w:val="0"/>
          <w:sz w:val="24"/>
          <w:highlight w:val="none"/>
        </w:rPr>
      </w:pPr>
    </w:p>
    <w:p w14:paraId="436C008C">
      <w:pPr>
        <w:autoSpaceDE w:val="0"/>
        <w:autoSpaceDN w:val="0"/>
        <w:adjustRightInd w:val="0"/>
        <w:spacing w:line="360" w:lineRule="auto"/>
        <w:ind w:left="3200" w:firstLine="720"/>
        <w:jc w:val="left"/>
        <w:rPr>
          <w:rFonts w:hint="default"/>
          <w:color w:val="auto"/>
          <w:kern w:val="0"/>
          <w:sz w:val="24"/>
          <w:highlight w:val="none"/>
        </w:rPr>
      </w:pPr>
    </w:p>
    <w:p w14:paraId="5DC01233">
      <w:pPr>
        <w:autoSpaceDE w:val="0"/>
        <w:autoSpaceDN w:val="0"/>
        <w:adjustRightInd w:val="0"/>
        <w:spacing w:line="360" w:lineRule="auto"/>
        <w:ind w:left="3200" w:firstLine="720"/>
        <w:jc w:val="left"/>
        <w:rPr>
          <w:rFonts w:hint="default"/>
          <w:color w:val="auto"/>
          <w:kern w:val="0"/>
          <w:sz w:val="24"/>
          <w:highlight w:val="none"/>
        </w:rPr>
      </w:pPr>
      <w:r>
        <w:rPr>
          <w:color w:val="auto"/>
          <w:kern w:val="0"/>
          <w:sz w:val="24"/>
          <w:highlight w:val="none"/>
        </w:rPr>
        <w:t>供应商（</w:t>
      </w:r>
      <w:r>
        <w:rPr>
          <w:color w:val="auto"/>
          <w:kern w:val="0"/>
          <w:sz w:val="24"/>
          <w:highlight w:val="none"/>
          <w:lang w:val="zh-CN"/>
        </w:rPr>
        <w:t>电子签名/公章</w:t>
      </w:r>
      <w:r>
        <w:rPr>
          <w:color w:val="auto"/>
          <w:kern w:val="0"/>
          <w:sz w:val="24"/>
          <w:highlight w:val="none"/>
        </w:rPr>
        <w:t>）：</w:t>
      </w:r>
    </w:p>
    <w:p w14:paraId="5BEEE7D1">
      <w:pPr>
        <w:autoSpaceDE w:val="0"/>
        <w:autoSpaceDN w:val="0"/>
        <w:adjustRightInd w:val="0"/>
        <w:spacing w:line="360" w:lineRule="auto"/>
        <w:ind w:left="3200" w:firstLine="720"/>
        <w:jc w:val="left"/>
        <w:rPr>
          <w:rFonts w:hint="default"/>
          <w:b/>
          <w:color w:val="auto"/>
          <w:sz w:val="24"/>
          <w:highlight w:val="none"/>
        </w:rPr>
      </w:pPr>
      <w:r>
        <w:rPr>
          <w:rFonts w:hint="default"/>
          <w:color w:val="auto"/>
          <w:kern w:val="0"/>
          <w:sz w:val="24"/>
          <w:highlight w:val="none"/>
        </w:rPr>
        <w:t>日期：</w:t>
      </w:r>
    </w:p>
    <w:p w14:paraId="7E69F592">
      <w:pPr>
        <w:widowControl/>
        <w:snapToGrid w:val="0"/>
        <w:spacing w:line="360" w:lineRule="auto"/>
        <w:ind w:firstLine="480" w:firstLineChars="200"/>
        <w:jc w:val="center"/>
        <w:rPr>
          <w:rFonts w:hint="default"/>
          <w:color w:val="auto"/>
          <w:kern w:val="0"/>
          <w:sz w:val="24"/>
          <w:highlight w:val="none"/>
        </w:rPr>
      </w:pPr>
    </w:p>
    <w:p w14:paraId="23A05023">
      <w:pPr>
        <w:spacing w:line="360" w:lineRule="auto"/>
        <w:ind w:firstLine="482" w:firstLineChars="200"/>
        <w:rPr>
          <w:rFonts w:hint="default"/>
          <w:b/>
          <w:color w:val="auto"/>
          <w:sz w:val="24"/>
          <w:szCs w:val="24"/>
          <w:highlight w:val="none"/>
        </w:rPr>
      </w:pPr>
    </w:p>
    <w:p w14:paraId="62DCB52D">
      <w:pPr>
        <w:widowControl/>
        <w:snapToGrid w:val="0"/>
        <w:spacing w:line="360" w:lineRule="auto"/>
        <w:jc w:val="left"/>
        <w:rPr>
          <w:rFonts w:hint="default"/>
          <w:b/>
          <w:color w:val="auto"/>
          <w:sz w:val="24"/>
          <w:szCs w:val="24"/>
          <w:highlight w:val="none"/>
        </w:rPr>
        <w:sectPr>
          <w:pgSz w:w="11906" w:h="16838"/>
          <w:pgMar w:top="1134" w:right="1247" w:bottom="1247" w:left="1304" w:header="794" w:footer="794" w:gutter="0"/>
          <w:cols w:space="720" w:num="1"/>
          <w:docGrid w:linePitch="312" w:charSpace="0"/>
        </w:sectPr>
      </w:pPr>
      <w:r>
        <w:rPr>
          <w:rFonts w:ascii="宋体" w:hAnsi="宋体" w:cs="宋体"/>
          <w:color w:val="auto"/>
          <w:sz w:val="24"/>
          <w:highlight w:val="none"/>
        </w:rPr>
        <w:t>1、填写要求：①“标的名称”、“采购文件中明确的所属行业”依据招标文件第二章投标人须知前附表中“采购标的对应的中小企业划分标准所属行业”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5937255A">
      <w:pPr>
        <w:widowControl/>
        <w:snapToGrid w:val="0"/>
        <w:spacing w:line="360" w:lineRule="auto"/>
        <w:ind w:firstLine="602" w:firstLineChars="200"/>
        <w:jc w:val="center"/>
        <w:rPr>
          <w:rFonts w:hint="default" w:ascii="宋体" w:hAnsi="宋体" w:cs="宋体"/>
          <w:b/>
          <w:color w:val="auto"/>
          <w:kern w:val="0"/>
          <w:sz w:val="30"/>
          <w:szCs w:val="30"/>
          <w:highlight w:val="none"/>
        </w:rPr>
      </w:pPr>
      <w:r>
        <w:rPr>
          <w:rFonts w:ascii="宋体" w:hAnsi="宋体" w:cs="宋体"/>
          <w:b/>
          <w:color w:val="auto"/>
          <w:kern w:val="0"/>
          <w:sz w:val="30"/>
          <w:szCs w:val="30"/>
          <w:highlight w:val="none"/>
        </w:rPr>
        <w:t>3.2残疾人福利性单位声明函及其相关的充分的证明材料</w:t>
      </w:r>
    </w:p>
    <w:p w14:paraId="4C019FB5">
      <w:pPr>
        <w:spacing w:line="360" w:lineRule="auto"/>
        <w:jc w:val="center"/>
        <w:rPr>
          <w:rFonts w:hint="default" w:ascii="宋体" w:hAnsi="宋体" w:cs="宋体"/>
          <w:b/>
          <w:color w:val="auto"/>
          <w:spacing w:val="6"/>
          <w:sz w:val="32"/>
          <w:szCs w:val="32"/>
          <w:highlight w:val="none"/>
        </w:rPr>
      </w:pPr>
      <w:r>
        <w:rPr>
          <w:rFonts w:ascii="宋体" w:hAnsi="宋体" w:cs="宋体"/>
          <w:b/>
          <w:color w:val="auto"/>
          <w:kern w:val="0"/>
          <w:sz w:val="30"/>
          <w:szCs w:val="30"/>
          <w:highlight w:val="none"/>
        </w:rPr>
        <w:t>残疾人福利性单位声明函</w:t>
      </w:r>
    </w:p>
    <w:p w14:paraId="631A53B5">
      <w:pPr>
        <w:spacing w:line="360" w:lineRule="auto"/>
        <w:rPr>
          <w:rFonts w:hint="default" w:ascii="宋体" w:hAnsi="宋体" w:cs="宋体"/>
          <w:b/>
          <w:color w:val="auto"/>
          <w:spacing w:val="6"/>
          <w:sz w:val="30"/>
          <w:szCs w:val="30"/>
          <w:highlight w:val="none"/>
        </w:rPr>
      </w:pPr>
    </w:p>
    <w:p w14:paraId="57FE6C1C">
      <w:pPr>
        <w:spacing w:line="360" w:lineRule="auto"/>
        <w:ind w:firstLine="480" w:firstLineChars="200"/>
        <w:rPr>
          <w:rFonts w:hint="default" w:ascii="宋体" w:hAnsi="宋体" w:cs="宋体"/>
          <w:color w:val="auto"/>
          <w:sz w:val="24"/>
          <w:highlight w:val="none"/>
        </w:rPr>
      </w:pPr>
      <w:r>
        <w:rPr>
          <w:rFonts w:ascii="宋体" w:hAnsi="宋体" w:cs="宋体"/>
          <w:color w:val="auto"/>
          <w:sz w:val="24"/>
          <w:highlight w:val="none"/>
        </w:rPr>
        <w:t>本单位郑重声明，根据《财政部 民政部中国残疾人联合会关于促进残疾人就业政府采购政策的通知》（财库〔2017〕 141号）的规定，本单位为符合条件的残疾人福利性单位，且本单位参加______单位的______项目采购活动提供本单位制造的货物，或者提供其他残疾人福利性单位制造的货物（不包括使用非残疾人福利性单位注册商标的货物）。</w:t>
      </w:r>
    </w:p>
    <w:p w14:paraId="1F534A4A">
      <w:pPr>
        <w:spacing w:line="360" w:lineRule="auto"/>
        <w:ind w:firstLine="480" w:firstLineChars="200"/>
        <w:rPr>
          <w:rFonts w:hint="default" w:ascii="宋体" w:hAnsi="宋体" w:cs="宋体"/>
          <w:color w:val="auto"/>
          <w:sz w:val="24"/>
          <w:highlight w:val="none"/>
        </w:rPr>
      </w:pPr>
      <w:r>
        <w:rPr>
          <w:rFonts w:ascii="宋体" w:hAnsi="宋体" w:cs="宋体"/>
          <w:color w:val="auto"/>
          <w:sz w:val="24"/>
          <w:highlight w:val="none"/>
        </w:rPr>
        <w:t>本单位对上述声明的真实性负责。如有虚假，将依法承担相应责任。</w:t>
      </w:r>
    </w:p>
    <w:p w14:paraId="55FCF881">
      <w:pPr>
        <w:widowControl/>
        <w:snapToGrid w:val="0"/>
        <w:spacing w:line="360" w:lineRule="auto"/>
        <w:ind w:firstLine="480" w:firstLineChars="200"/>
        <w:jc w:val="left"/>
        <w:rPr>
          <w:rFonts w:hint="default" w:ascii="宋体" w:hAnsi="宋体" w:cs="宋体"/>
          <w:color w:val="auto"/>
          <w:kern w:val="0"/>
          <w:sz w:val="24"/>
          <w:highlight w:val="none"/>
        </w:rPr>
      </w:pPr>
    </w:p>
    <w:p w14:paraId="29AD2DA0">
      <w:pPr>
        <w:autoSpaceDE w:val="0"/>
        <w:autoSpaceDN w:val="0"/>
        <w:adjustRightInd w:val="0"/>
        <w:spacing w:line="360" w:lineRule="auto"/>
        <w:ind w:left="3200" w:firstLine="720"/>
        <w:jc w:val="left"/>
        <w:rPr>
          <w:rFonts w:hint="default"/>
          <w:color w:val="auto"/>
          <w:kern w:val="0"/>
          <w:sz w:val="24"/>
          <w:highlight w:val="none"/>
        </w:rPr>
      </w:pPr>
      <w:r>
        <w:rPr>
          <w:color w:val="auto"/>
          <w:kern w:val="0"/>
          <w:sz w:val="24"/>
          <w:highlight w:val="none"/>
        </w:rPr>
        <w:t>供应商（</w:t>
      </w:r>
      <w:r>
        <w:rPr>
          <w:color w:val="auto"/>
          <w:kern w:val="0"/>
          <w:sz w:val="24"/>
          <w:highlight w:val="none"/>
          <w:lang w:val="zh-CN"/>
        </w:rPr>
        <w:t>电子签名/公章</w:t>
      </w:r>
      <w:r>
        <w:rPr>
          <w:color w:val="auto"/>
          <w:kern w:val="0"/>
          <w:sz w:val="24"/>
          <w:highlight w:val="none"/>
        </w:rPr>
        <w:t>）：</w:t>
      </w:r>
    </w:p>
    <w:p w14:paraId="2B7F2298">
      <w:pPr>
        <w:autoSpaceDE w:val="0"/>
        <w:autoSpaceDN w:val="0"/>
        <w:adjustRightInd w:val="0"/>
        <w:spacing w:line="360" w:lineRule="auto"/>
        <w:ind w:left="3200" w:firstLine="720"/>
        <w:jc w:val="left"/>
        <w:rPr>
          <w:rFonts w:hint="default"/>
          <w:b/>
          <w:color w:val="auto"/>
          <w:sz w:val="24"/>
          <w:highlight w:val="none"/>
        </w:rPr>
      </w:pPr>
      <w:r>
        <w:rPr>
          <w:rFonts w:hint="default"/>
          <w:color w:val="auto"/>
          <w:kern w:val="0"/>
          <w:sz w:val="24"/>
          <w:highlight w:val="none"/>
        </w:rPr>
        <w:t>日期：</w:t>
      </w:r>
    </w:p>
    <w:p w14:paraId="1396CA49">
      <w:pPr>
        <w:widowControl/>
        <w:snapToGrid w:val="0"/>
        <w:spacing w:line="360" w:lineRule="auto"/>
        <w:ind w:firstLine="480" w:firstLineChars="200"/>
        <w:jc w:val="left"/>
        <w:rPr>
          <w:rFonts w:hint="default" w:ascii="宋体" w:hAnsi="宋体" w:cs="宋体"/>
          <w:color w:val="auto"/>
          <w:kern w:val="0"/>
          <w:sz w:val="24"/>
          <w:highlight w:val="none"/>
        </w:rPr>
      </w:pPr>
    </w:p>
    <w:p w14:paraId="79CD30F9">
      <w:pPr>
        <w:pStyle w:val="77"/>
        <w:snapToGrid w:val="0"/>
        <w:spacing w:line="360" w:lineRule="auto"/>
        <w:ind w:firstLine="240" w:firstLineChars="100"/>
        <w:jc w:val="center"/>
        <w:rPr>
          <w:rFonts w:ascii="宋体" w:hAnsi="宋体"/>
          <w:b/>
          <w:color w:val="auto"/>
          <w:sz w:val="32"/>
          <w:szCs w:val="32"/>
          <w:highlight w:val="none"/>
        </w:rPr>
      </w:pPr>
      <w:r>
        <w:rPr>
          <w:rFonts w:ascii="宋体" w:hAnsi="宋体" w:cs="宋体"/>
          <w:color w:val="auto"/>
          <w:kern w:val="0"/>
          <w:sz w:val="24"/>
          <w:highlight w:val="none"/>
        </w:rPr>
        <w:t xml:space="preserve"> 注：根据《关于政府采购支持监狱企业发展有关问题的通知》（财库[2014]68号）的规定，投标人提供由省级以上监狱管理局、戒毒管理局（含新疆生产建设兵团）出具的属于监狱企业证明文件的，视同为小型和微型企业。</w:t>
      </w:r>
    </w:p>
    <w:p w14:paraId="5F26021A">
      <w:pPr>
        <w:pStyle w:val="77"/>
        <w:snapToGrid w:val="0"/>
        <w:spacing w:line="360" w:lineRule="auto"/>
        <w:ind w:firstLine="321" w:firstLineChars="100"/>
        <w:jc w:val="center"/>
        <w:rPr>
          <w:rFonts w:ascii="宋体" w:hAnsi="宋体"/>
          <w:b/>
          <w:color w:val="auto"/>
          <w:sz w:val="32"/>
          <w:szCs w:val="32"/>
          <w:highlight w:val="none"/>
        </w:rPr>
        <w:sectPr>
          <w:headerReference r:id="rId8" w:type="default"/>
          <w:footerReference r:id="rId9" w:type="default"/>
          <w:pgSz w:w="11906" w:h="16838"/>
          <w:pgMar w:top="1134" w:right="1247" w:bottom="1247" w:left="1304" w:header="794" w:footer="794" w:gutter="0"/>
          <w:cols w:space="720" w:num="1"/>
          <w:docGrid w:type="lines" w:linePitch="312" w:charSpace="0"/>
        </w:sectPr>
      </w:pPr>
    </w:p>
    <w:p w14:paraId="07FC790A">
      <w:pPr>
        <w:ind w:left="600"/>
        <w:jc w:val="center"/>
        <w:rPr>
          <w:rFonts w:hint="default"/>
          <w:b/>
          <w:color w:val="auto"/>
          <w:sz w:val="32"/>
          <w:szCs w:val="32"/>
          <w:highlight w:val="none"/>
        </w:rPr>
      </w:pPr>
      <w:r>
        <w:rPr>
          <w:b/>
          <w:color w:val="auto"/>
          <w:sz w:val="32"/>
          <w:szCs w:val="32"/>
          <w:highlight w:val="none"/>
        </w:rPr>
        <w:t>四、</w:t>
      </w:r>
      <w:r>
        <w:rPr>
          <w:rFonts w:hint="default"/>
          <w:b/>
          <w:color w:val="auto"/>
          <w:sz w:val="32"/>
          <w:szCs w:val="32"/>
          <w:highlight w:val="none"/>
        </w:rPr>
        <w:t>报价情况说明（如果有）</w:t>
      </w:r>
    </w:p>
    <w:p w14:paraId="6EE53BC4">
      <w:pPr>
        <w:spacing w:line="360" w:lineRule="auto"/>
        <w:ind w:left="600"/>
        <w:rPr>
          <w:rFonts w:hint="default"/>
          <w:bCs/>
          <w:color w:val="auto"/>
          <w:sz w:val="24"/>
          <w:szCs w:val="24"/>
          <w:highlight w:val="none"/>
        </w:rPr>
      </w:pPr>
    </w:p>
    <w:p w14:paraId="1A7558B8">
      <w:pPr>
        <w:pStyle w:val="77"/>
        <w:snapToGrid w:val="0"/>
        <w:spacing w:line="360" w:lineRule="auto"/>
        <w:ind w:firstLine="240" w:firstLineChars="100"/>
        <w:jc w:val="center"/>
        <w:rPr>
          <w:rFonts w:ascii="宋体" w:hAnsi="宋体"/>
          <w:b/>
          <w:color w:val="auto"/>
          <w:sz w:val="32"/>
          <w:szCs w:val="32"/>
          <w:highlight w:val="none"/>
        </w:rPr>
        <w:sectPr>
          <w:pgSz w:w="11906" w:h="16838"/>
          <w:pgMar w:top="1134" w:right="1247" w:bottom="1247" w:left="1304" w:header="794" w:footer="794" w:gutter="0"/>
          <w:cols w:space="720" w:num="1"/>
          <w:docGrid w:type="lines" w:linePitch="312" w:charSpace="0"/>
        </w:sectPr>
      </w:pPr>
      <w:r>
        <w:rPr>
          <w:bCs/>
          <w:color w:val="auto"/>
          <w:sz w:val="24"/>
          <w:highlight w:val="none"/>
        </w:rPr>
        <w:t>（如</w:t>
      </w:r>
      <w:r>
        <w:rPr>
          <w:rFonts w:hint="eastAsia"/>
          <w:bCs/>
          <w:color w:val="auto"/>
          <w:sz w:val="24"/>
          <w:highlight w:val="none"/>
        </w:rPr>
        <w:t>投标人</w:t>
      </w:r>
      <w:r>
        <w:rPr>
          <w:bCs/>
          <w:color w:val="auto"/>
          <w:sz w:val="24"/>
          <w:highlight w:val="none"/>
        </w:rPr>
        <w:t>报价低于项目预算50%的，应当提交本文档，详细阐述不影响产品质量或者诚信履约的具体原因。）</w:t>
      </w:r>
    </w:p>
    <w:p w14:paraId="78166E1F">
      <w:pPr>
        <w:pStyle w:val="77"/>
        <w:snapToGrid w:val="0"/>
        <w:spacing w:line="360" w:lineRule="auto"/>
        <w:ind w:firstLine="321" w:firstLineChars="100"/>
        <w:jc w:val="center"/>
        <w:rPr>
          <w:b/>
          <w:color w:val="auto"/>
          <w:sz w:val="30"/>
          <w:szCs w:val="30"/>
          <w:highlight w:val="none"/>
        </w:rPr>
      </w:pPr>
      <w:r>
        <w:rPr>
          <w:rFonts w:hint="eastAsia" w:ascii="宋体" w:hAnsi="宋体"/>
          <w:b/>
          <w:color w:val="auto"/>
          <w:sz w:val="32"/>
          <w:szCs w:val="32"/>
          <w:highlight w:val="none"/>
        </w:rPr>
        <w:t>五、</w:t>
      </w:r>
      <w:r>
        <w:rPr>
          <w:b/>
          <w:color w:val="auto"/>
          <w:sz w:val="30"/>
          <w:szCs w:val="30"/>
          <w:highlight w:val="none"/>
        </w:rPr>
        <w:t>代理服务费支付承诺书格式</w:t>
      </w:r>
    </w:p>
    <w:p w14:paraId="23992EFE">
      <w:pPr>
        <w:snapToGrid w:val="0"/>
        <w:spacing w:before="50" w:after="50" w:line="360" w:lineRule="auto"/>
        <w:rPr>
          <w:rFonts w:hint="default"/>
          <w:b/>
          <w:color w:val="auto"/>
          <w:sz w:val="24"/>
          <w:highlight w:val="none"/>
        </w:rPr>
      </w:pPr>
    </w:p>
    <w:p w14:paraId="7054E4FC">
      <w:pPr>
        <w:snapToGrid w:val="0"/>
        <w:spacing w:before="50" w:after="156" w:afterLines="50" w:line="360" w:lineRule="auto"/>
        <w:jc w:val="center"/>
        <w:rPr>
          <w:rFonts w:hint="default"/>
          <w:b/>
          <w:color w:val="auto"/>
          <w:sz w:val="30"/>
          <w:szCs w:val="30"/>
          <w:highlight w:val="none"/>
        </w:rPr>
      </w:pPr>
      <w:r>
        <w:rPr>
          <w:rFonts w:hint="default"/>
          <w:b/>
          <w:color w:val="auto"/>
          <w:sz w:val="30"/>
          <w:szCs w:val="30"/>
          <w:highlight w:val="none"/>
        </w:rPr>
        <w:t>代理服务费支付承诺书</w:t>
      </w:r>
    </w:p>
    <w:p w14:paraId="48F71185">
      <w:pPr>
        <w:snapToGrid w:val="0"/>
        <w:spacing w:before="50" w:after="156" w:afterLines="50" w:line="360" w:lineRule="auto"/>
        <w:jc w:val="center"/>
        <w:rPr>
          <w:rFonts w:hint="default"/>
          <w:b/>
          <w:color w:val="auto"/>
          <w:sz w:val="30"/>
          <w:szCs w:val="30"/>
          <w:highlight w:val="none"/>
        </w:rPr>
      </w:pPr>
    </w:p>
    <w:p w14:paraId="3FAC438B">
      <w:pPr>
        <w:snapToGrid w:val="0"/>
        <w:spacing w:before="50" w:after="50" w:line="360" w:lineRule="auto"/>
        <w:rPr>
          <w:rFonts w:hint="default"/>
          <w:snapToGrid w:val="0"/>
          <w:color w:val="auto"/>
          <w:kern w:val="0"/>
          <w:sz w:val="24"/>
          <w:highlight w:val="none"/>
        </w:rPr>
      </w:pPr>
      <w:r>
        <w:rPr>
          <w:rFonts w:hint="default"/>
          <w:snapToGrid w:val="0"/>
          <w:color w:val="auto"/>
          <w:kern w:val="0"/>
          <w:sz w:val="24"/>
          <w:highlight w:val="none"/>
        </w:rPr>
        <w:t>致：</w:t>
      </w:r>
      <w:r>
        <w:rPr>
          <w:snapToGrid w:val="0"/>
          <w:color w:val="auto"/>
          <w:kern w:val="0"/>
          <w:sz w:val="24"/>
          <w:highlight w:val="none"/>
        </w:rPr>
        <w:t>浙江豪圣建设项目管理有限公司</w:t>
      </w:r>
      <w:r>
        <w:rPr>
          <w:rFonts w:hint="default"/>
          <w:snapToGrid w:val="0"/>
          <w:color w:val="auto"/>
          <w:kern w:val="0"/>
          <w:sz w:val="24"/>
          <w:highlight w:val="none"/>
        </w:rPr>
        <w:t>：</w:t>
      </w:r>
    </w:p>
    <w:p w14:paraId="25A3B1FD">
      <w:pPr>
        <w:snapToGrid w:val="0"/>
        <w:spacing w:before="50" w:after="50" w:line="360" w:lineRule="auto"/>
        <w:rPr>
          <w:rFonts w:hint="default"/>
          <w:snapToGrid w:val="0"/>
          <w:color w:val="auto"/>
          <w:kern w:val="0"/>
          <w:sz w:val="24"/>
          <w:highlight w:val="none"/>
        </w:rPr>
      </w:pPr>
    </w:p>
    <w:p w14:paraId="17D68F2A">
      <w:pPr>
        <w:snapToGrid w:val="0"/>
        <w:spacing w:before="50" w:after="50" w:line="360" w:lineRule="auto"/>
        <w:ind w:firstLine="630"/>
        <w:rPr>
          <w:rFonts w:hint="default"/>
          <w:snapToGrid w:val="0"/>
          <w:color w:val="auto"/>
          <w:kern w:val="0"/>
          <w:sz w:val="24"/>
          <w:highlight w:val="none"/>
        </w:rPr>
      </w:pPr>
      <w:r>
        <w:rPr>
          <w:rFonts w:hint="default"/>
          <w:snapToGrid w:val="0"/>
          <w:color w:val="auto"/>
          <w:kern w:val="0"/>
          <w:sz w:val="24"/>
          <w:highlight w:val="none"/>
        </w:rPr>
        <w:t>我公司已认真阅读了招标文件（项目编号：）并在此承诺：</w:t>
      </w:r>
    </w:p>
    <w:p w14:paraId="7E069ABF">
      <w:pPr>
        <w:snapToGrid w:val="0"/>
        <w:spacing w:before="50" w:after="50" w:line="360" w:lineRule="auto"/>
        <w:ind w:firstLine="630"/>
        <w:rPr>
          <w:rFonts w:hint="default"/>
          <w:snapToGrid w:val="0"/>
          <w:color w:val="auto"/>
          <w:kern w:val="0"/>
          <w:sz w:val="24"/>
          <w:highlight w:val="none"/>
        </w:rPr>
      </w:pPr>
      <w:r>
        <w:rPr>
          <w:rFonts w:hint="default"/>
          <w:snapToGrid w:val="0"/>
          <w:color w:val="auto"/>
          <w:kern w:val="0"/>
          <w:sz w:val="24"/>
          <w:highlight w:val="none"/>
        </w:rPr>
        <w:t>如中标，我公司将自中标公告发布之日起5个工作日内按招标文件规定的标准（金额）一次性向采购代理机构支付代理服务费。</w:t>
      </w:r>
    </w:p>
    <w:p w14:paraId="3C06683F">
      <w:pPr>
        <w:snapToGrid w:val="0"/>
        <w:spacing w:before="50" w:after="50" w:line="360" w:lineRule="auto"/>
        <w:ind w:firstLine="630"/>
        <w:rPr>
          <w:rFonts w:hint="default"/>
          <w:snapToGrid w:val="0"/>
          <w:color w:val="auto"/>
          <w:kern w:val="0"/>
          <w:sz w:val="24"/>
          <w:highlight w:val="none"/>
        </w:rPr>
      </w:pPr>
    </w:p>
    <w:p w14:paraId="6F6160EE">
      <w:pPr>
        <w:snapToGrid w:val="0"/>
        <w:spacing w:before="50" w:after="50" w:line="360" w:lineRule="auto"/>
        <w:ind w:firstLine="630"/>
        <w:rPr>
          <w:rFonts w:hint="default"/>
          <w:snapToGrid w:val="0"/>
          <w:color w:val="auto"/>
          <w:kern w:val="0"/>
          <w:sz w:val="24"/>
          <w:highlight w:val="none"/>
        </w:rPr>
      </w:pPr>
    </w:p>
    <w:p w14:paraId="52A36AEC">
      <w:pPr>
        <w:snapToGrid w:val="0"/>
        <w:spacing w:before="50" w:after="50" w:line="360" w:lineRule="auto"/>
        <w:ind w:firstLine="630"/>
        <w:rPr>
          <w:rFonts w:hint="default"/>
          <w:snapToGrid w:val="0"/>
          <w:color w:val="auto"/>
          <w:kern w:val="0"/>
          <w:sz w:val="24"/>
          <w:highlight w:val="none"/>
        </w:rPr>
      </w:pPr>
    </w:p>
    <w:p w14:paraId="21ABF458">
      <w:pPr>
        <w:snapToGrid w:val="0"/>
        <w:spacing w:before="50" w:after="50" w:line="360" w:lineRule="auto"/>
        <w:ind w:firstLine="630"/>
        <w:rPr>
          <w:rFonts w:hint="default"/>
          <w:snapToGrid w:val="0"/>
          <w:color w:val="auto"/>
          <w:kern w:val="0"/>
          <w:sz w:val="24"/>
          <w:highlight w:val="none"/>
        </w:rPr>
      </w:pPr>
    </w:p>
    <w:p w14:paraId="16CC96F9">
      <w:pPr>
        <w:adjustRightInd w:val="0"/>
        <w:snapToGrid w:val="0"/>
        <w:spacing w:line="360" w:lineRule="auto"/>
        <w:ind w:firstLine="480" w:firstLineChars="200"/>
        <w:rPr>
          <w:rFonts w:hint="default" w:ascii="宋体" w:hAnsi="宋体" w:cs="宋体"/>
          <w:color w:val="auto"/>
          <w:kern w:val="0"/>
          <w:sz w:val="24"/>
          <w:highlight w:val="none"/>
        </w:rPr>
      </w:pPr>
      <w:r>
        <w:rPr>
          <w:rFonts w:ascii="宋体" w:hAnsi="宋体" w:cs="宋体"/>
          <w:color w:val="auto"/>
          <w:kern w:val="0"/>
          <w:sz w:val="24"/>
          <w:highlight w:val="none"/>
        </w:rPr>
        <w:t>供应商（</w:t>
      </w:r>
      <w:r>
        <w:rPr>
          <w:rFonts w:ascii="宋体" w:hAnsi="宋体" w:cs="宋体"/>
          <w:color w:val="auto"/>
          <w:kern w:val="0"/>
          <w:sz w:val="24"/>
          <w:highlight w:val="none"/>
          <w:lang w:val="zh-CN"/>
        </w:rPr>
        <w:t>电子签名/公章</w:t>
      </w:r>
      <w:r>
        <w:rPr>
          <w:rFonts w:ascii="宋体" w:hAnsi="宋体" w:cs="宋体"/>
          <w:color w:val="auto"/>
          <w:kern w:val="0"/>
          <w:sz w:val="24"/>
          <w:highlight w:val="none"/>
        </w:rPr>
        <w:t>）：</w:t>
      </w:r>
    </w:p>
    <w:p w14:paraId="60C462A8">
      <w:pPr>
        <w:widowControl/>
        <w:adjustRightInd w:val="0"/>
        <w:snapToGrid w:val="0"/>
        <w:spacing w:line="360" w:lineRule="auto"/>
        <w:ind w:firstLine="480" w:firstLineChars="200"/>
        <w:jc w:val="left"/>
        <w:rPr>
          <w:rFonts w:hint="default"/>
          <w:color w:val="auto"/>
          <w:kern w:val="0"/>
          <w:sz w:val="24"/>
          <w:highlight w:val="none"/>
        </w:rPr>
      </w:pPr>
      <w:r>
        <w:rPr>
          <w:rFonts w:hint="default"/>
          <w:color w:val="auto"/>
          <w:kern w:val="0"/>
          <w:sz w:val="24"/>
          <w:highlight w:val="none"/>
        </w:rPr>
        <w:t>法定代表人或其授权代表（签字或盖章）：</w:t>
      </w:r>
    </w:p>
    <w:p w14:paraId="72565DA7">
      <w:pPr>
        <w:pStyle w:val="6"/>
        <w:adjustRightInd w:val="0"/>
        <w:snapToGrid w:val="0"/>
        <w:spacing w:beforeLines="0" w:afterLines="0" w:line="360" w:lineRule="auto"/>
        <w:ind w:firstLine="480" w:firstLineChars="200"/>
        <w:outlineLvl w:val="0"/>
        <w:rPr>
          <w:rFonts w:ascii="Times New Roman" w:hAnsi="Times New Roman"/>
          <w:b/>
          <w:color w:val="auto"/>
          <w:sz w:val="32"/>
          <w:szCs w:val="32"/>
          <w:highlight w:val="none"/>
        </w:rPr>
      </w:pPr>
      <w:bookmarkStart w:id="114" w:name="_Toc21299"/>
      <w:r>
        <w:rPr>
          <w:rFonts w:ascii="Times New Roman" w:hAnsi="Times New Roman"/>
          <w:color w:val="auto"/>
          <w:kern w:val="0"/>
          <w:highlight w:val="none"/>
        </w:rPr>
        <w:t>日期：     年  月  日</w:t>
      </w:r>
      <w:bookmarkEnd w:id="114"/>
    </w:p>
    <w:p w14:paraId="10FF5D1D">
      <w:pPr>
        <w:pStyle w:val="77"/>
        <w:snapToGrid w:val="0"/>
        <w:spacing w:line="360" w:lineRule="auto"/>
        <w:ind w:left="360" w:firstLine="240" w:firstLineChars="100"/>
        <w:jc w:val="center"/>
        <w:rPr>
          <w:color w:val="auto"/>
          <w:sz w:val="24"/>
          <w:highlight w:val="none"/>
        </w:rPr>
      </w:pPr>
    </w:p>
    <w:p w14:paraId="6CFFADB3">
      <w:pPr>
        <w:snapToGrid w:val="0"/>
        <w:spacing w:line="360" w:lineRule="auto"/>
        <w:ind w:firstLine="411" w:firstLineChars="196"/>
        <w:jc w:val="center"/>
        <w:rPr>
          <w:rFonts w:hint="default"/>
          <w:b/>
          <w:bCs/>
          <w:color w:val="auto"/>
          <w:kern w:val="0"/>
          <w:sz w:val="36"/>
          <w:szCs w:val="36"/>
          <w:highlight w:val="none"/>
        </w:rPr>
      </w:pPr>
      <w:r>
        <w:rPr>
          <w:rFonts w:hint="default"/>
          <w:color w:val="auto"/>
          <w:kern w:val="0"/>
          <w:highlight w:val="none"/>
        </w:rPr>
        <w:br w:type="page"/>
      </w:r>
      <w:bookmarkStart w:id="115" w:name="_Toc10672"/>
      <w:bookmarkStart w:id="116" w:name="_Toc24661"/>
      <w:r>
        <w:rPr>
          <w:rFonts w:hint="default"/>
          <w:b/>
          <w:bCs/>
          <w:color w:val="auto"/>
          <w:kern w:val="0"/>
          <w:sz w:val="36"/>
          <w:szCs w:val="36"/>
          <w:highlight w:val="none"/>
        </w:rPr>
        <w:t>商务技术文件</w:t>
      </w:r>
    </w:p>
    <w:p w14:paraId="4EF9A471">
      <w:pPr>
        <w:snapToGrid w:val="0"/>
        <w:spacing w:line="360" w:lineRule="auto"/>
        <w:ind w:left="570"/>
        <w:jc w:val="center"/>
        <w:outlineLvl w:val="0"/>
        <w:rPr>
          <w:rFonts w:hint="default" w:ascii="宋体" w:hAnsi="宋体" w:cs="宋体"/>
          <w:b/>
          <w:color w:val="auto"/>
          <w:sz w:val="30"/>
          <w:szCs w:val="30"/>
          <w:highlight w:val="none"/>
        </w:rPr>
      </w:pPr>
      <w:r>
        <w:rPr>
          <w:rFonts w:hint="default"/>
          <w:b/>
          <w:color w:val="auto"/>
          <w:sz w:val="30"/>
          <w:szCs w:val="30"/>
          <w:highlight w:val="none"/>
          <w:lang w:val="zh-CN"/>
        </w:rPr>
        <w:t>一、</w:t>
      </w:r>
      <w:bookmarkStart w:id="117" w:name="_Toc29285"/>
      <w:bookmarkStart w:id="118" w:name="_Toc233618990"/>
      <w:bookmarkStart w:id="119" w:name="_Toc5518"/>
      <w:bookmarkStart w:id="120" w:name="_Toc11307"/>
      <w:bookmarkStart w:id="121" w:name="_Toc31139"/>
      <w:bookmarkStart w:id="122" w:name="_Toc21925"/>
      <w:r>
        <w:rPr>
          <w:rFonts w:hint="default" w:ascii="宋体" w:hAnsi="宋体" w:cs="宋体"/>
          <w:b/>
          <w:color w:val="auto"/>
          <w:sz w:val="30"/>
          <w:szCs w:val="30"/>
          <w:highlight w:val="none"/>
        </w:rPr>
        <w:t>投标响应函</w:t>
      </w:r>
      <w:bookmarkEnd w:id="117"/>
      <w:bookmarkEnd w:id="118"/>
      <w:bookmarkEnd w:id="119"/>
      <w:bookmarkEnd w:id="120"/>
      <w:bookmarkEnd w:id="121"/>
      <w:bookmarkEnd w:id="122"/>
    </w:p>
    <w:p w14:paraId="39BDA4B1">
      <w:pPr>
        <w:snapToGrid w:val="0"/>
        <w:spacing w:line="360" w:lineRule="auto"/>
        <w:rPr>
          <w:rFonts w:hint="default"/>
          <w:color w:val="auto"/>
          <w:sz w:val="24"/>
          <w:highlight w:val="none"/>
        </w:rPr>
      </w:pPr>
      <w:r>
        <w:rPr>
          <w:color w:val="auto"/>
          <w:sz w:val="24"/>
          <w:highlight w:val="none"/>
        </w:rPr>
        <w:t>浙江工业大学</w:t>
      </w:r>
    </w:p>
    <w:p w14:paraId="284C7C78">
      <w:pPr>
        <w:snapToGrid w:val="0"/>
        <w:spacing w:line="360" w:lineRule="auto"/>
        <w:rPr>
          <w:rFonts w:hint="default"/>
          <w:color w:val="auto"/>
          <w:sz w:val="24"/>
          <w:highlight w:val="none"/>
        </w:rPr>
      </w:pPr>
      <w:r>
        <w:rPr>
          <w:rFonts w:hint="default"/>
          <w:color w:val="auto"/>
          <w:sz w:val="24"/>
          <w:highlight w:val="none"/>
        </w:rPr>
        <w:t>浙江豪圣建设项目管理有限公司：</w:t>
      </w:r>
    </w:p>
    <w:p w14:paraId="43A90A3A">
      <w:pPr>
        <w:snapToGrid w:val="0"/>
        <w:spacing w:line="360" w:lineRule="auto"/>
        <w:rPr>
          <w:rFonts w:hint="default"/>
          <w:color w:val="auto"/>
          <w:sz w:val="24"/>
          <w:highlight w:val="none"/>
        </w:rPr>
      </w:pPr>
      <w:r>
        <w:rPr>
          <w:rFonts w:hint="default"/>
          <w:color w:val="auto"/>
          <w:sz w:val="24"/>
          <w:highlight w:val="none"/>
        </w:rPr>
        <w:t>(投标人全称)授权(全权代表姓名)(职务、职称)为全权代表，参加贵方组织的</w:t>
      </w:r>
      <w:r>
        <w:rPr>
          <w:rFonts w:hint="eastAsia"/>
          <w:color w:val="auto"/>
          <w:sz w:val="24"/>
          <w:highlight w:val="none"/>
          <w:u w:val="single"/>
          <w:lang w:eastAsia="zh-CN"/>
        </w:rPr>
        <w:t>浙江工业大学制备液相色谱仪等采购</w:t>
      </w:r>
      <w:r>
        <w:rPr>
          <w:rFonts w:hint="default"/>
          <w:color w:val="auto"/>
          <w:sz w:val="24"/>
          <w:highlight w:val="none"/>
        </w:rPr>
        <w:t>(</w:t>
      </w:r>
      <w:r>
        <w:rPr>
          <w:color w:val="auto"/>
          <w:sz w:val="24"/>
          <w:highlight w:val="none"/>
        </w:rPr>
        <w:t>项目编号</w:t>
      </w:r>
      <w:r>
        <w:rPr>
          <w:rFonts w:hint="default"/>
          <w:color w:val="auto"/>
          <w:sz w:val="24"/>
          <w:highlight w:val="none"/>
        </w:rPr>
        <w:t>：</w:t>
      </w:r>
      <w:r>
        <w:rPr>
          <w:rFonts w:hint="eastAsia"/>
          <w:color w:val="auto"/>
          <w:sz w:val="24"/>
          <w:highlight w:val="none"/>
          <w:lang w:eastAsia="zh-CN"/>
        </w:rPr>
        <w:t>HSZB-2024-972</w:t>
      </w:r>
      <w:r>
        <w:rPr>
          <w:rFonts w:hint="default"/>
          <w:color w:val="auto"/>
          <w:kern w:val="0"/>
          <w:sz w:val="24"/>
          <w:highlight w:val="none"/>
          <w:lang w:val="zh-CN"/>
        </w:rPr>
        <w:t>)</w:t>
      </w:r>
      <w:r>
        <w:rPr>
          <w:rFonts w:hint="default"/>
          <w:color w:val="auto"/>
          <w:sz w:val="24"/>
          <w:highlight w:val="none"/>
        </w:rPr>
        <w:t>招标的有关活动，并对此项目进行投标。为此：</w:t>
      </w:r>
    </w:p>
    <w:p w14:paraId="7799DF23">
      <w:pPr>
        <w:snapToGrid w:val="0"/>
        <w:spacing w:line="360" w:lineRule="auto"/>
        <w:ind w:firstLine="480" w:firstLineChars="200"/>
        <w:rPr>
          <w:rFonts w:hint="default"/>
          <w:color w:val="auto"/>
          <w:sz w:val="24"/>
          <w:highlight w:val="none"/>
        </w:rPr>
      </w:pPr>
      <w:r>
        <w:rPr>
          <w:rFonts w:hint="default"/>
          <w:color w:val="auto"/>
          <w:sz w:val="24"/>
          <w:highlight w:val="none"/>
        </w:rPr>
        <w:t>1、我方同意在投标人</w:t>
      </w:r>
      <w:r>
        <w:rPr>
          <w:rFonts w:hint="default"/>
          <w:color w:val="auto"/>
          <w:kern w:val="44"/>
          <w:sz w:val="24"/>
          <w:highlight w:val="none"/>
        </w:rPr>
        <w:t>编制和提交投标文件须知</w:t>
      </w:r>
      <w:r>
        <w:rPr>
          <w:rFonts w:hint="default"/>
          <w:color w:val="auto"/>
          <w:sz w:val="24"/>
          <w:highlight w:val="none"/>
        </w:rPr>
        <w:t>规定的开标日期起遵守本投标书中的承诺且在投标有效期满之前均具有约束力。</w:t>
      </w:r>
    </w:p>
    <w:p w14:paraId="4F8ECA32">
      <w:pPr>
        <w:snapToGrid w:val="0"/>
        <w:spacing w:line="360" w:lineRule="auto"/>
        <w:ind w:firstLine="480" w:firstLineChars="200"/>
        <w:rPr>
          <w:rFonts w:hint="default"/>
          <w:color w:val="auto"/>
          <w:sz w:val="24"/>
          <w:highlight w:val="none"/>
        </w:rPr>
      </w:pPr>
      <w:r>
        <w:rPr>
          <w:rFonts w:hint="default"/>
          <w:color w:val="auto"/>
          <w:sz w:val="24"/>
          <w:highlight w:val="none"/>
        </w:rPr>
        <w:t>2、我方承诺已经具备《中华人民共和国政府采购法》中规定的参加政府采购活动的供应商应当具备的条件：</w:t>
      </w:r>
    </w:p>
    <w:p w14:paraId="4DC6D56E">
      <w:pPr>
        <w:snapToGrid w:val="0"/>
        <w:spacing w:line="360" w:lineRule="auto"/>
        <w:ind w:firstLine="480" w:firstLineChars="200"/>
        <w:rPr>
          <w:rFonts w:hint="default"/>
          <w:color w:val="auto"/>
          <w:sz w:val="24"/>
          <w:highlight w:val="none"/>
        </w:rPr>
      </w:pPr>
      <w:r>
        <w:rPr>
          <w:rFonts w:hint="default"/>
          <w:color w:val="auto"/>
          <w:sz w:val="24"/>
          <w:highlight w:val="none"/>
        </w:rPr>
        <w:t>(1)具有独立承担民事责任的能力；</w:t>
      </w:r>
    </w:p>
    <w:p w14:paraId="652C93F7">
      <w:pPr>
        <w:snapToGrid w:val="0"/>
        <w:spacing w:line="360" w:lineRule="auto"/>
        <w:ind w:firstLine="480" w:firstLineChars="200"/>
        <w:rPr>
          <w:rFonts w:hint="default"/>
          <w:color w:val="auto"/>
          <w:sz w:val="24"/>
          <w:highlight w:val="none"/>
        </w:rPr>
      </w:pPr>
      <w:r>
        <w:rPr>
          <w:rFonts w:hint="default"/>
          <w:color w:val="auto"/>
          <w:sz w:val="24"/>
          <w:highlight w:val="none"/>
        </w:rPr>
        <w:t>(2)遵守国家法律、行政法规，具有良好的信誉和商业道德；</w:t>
      </w:r>
    </w:p>
    <w:p w14:paraId="45825F43">
      <w:pPr>
        <w:snapToGrid w:val="0"/>
        <w:spacing w:line="360" w:lineRule="auto"/>
        <w:ind w:firstLine="480" w:firstLineChars="200"/>
        <w:rPr>
          <w:rFonts w:hint="default"/>
          <w:color w:val="auto"/>
          <w:sz w:val="24"/>
          <w:highlight w:val="none"/>
        </w:rPr>
      </w:pPr>
      <w:r>
        <w:rPr>
          <w:rFonts w:hint="default"/>
          <w:color w:val="auto"/>
          <w:sz w:val="24"/>
          <w:highlight w:val="none"/>
        </w:rPr>
        <w:t>(3)具有履行合同的能力和良好的履行合同记录；</w:t>
      </w:r>
    </w:p>
    <w:p w14:paraId="20E12AEE">
      <w:pPr>
        <w:snapToGrid w:val="0"/>
        <w:spacing w:line="360" w:lineRule="auto"/>
        <w:ind w:firstLine="480" w:firstLineChars="200"/>
        <w:rPr>
          <w:rFonts w:hint="default"/>
          <w:color w:val="auto"/>
          <w:sz w:val="24"/>
          <w:highlight w:val="none"/>
        </w:rPr>
      </w:pPr>
      <w:r>
        <w:rPr>
          <w:rFonts w:hint="default"/>
          <w:color w:val="auto"/>
          <w:sz w:val="24"/>
          <w:highlight w:val="none"/>
        </w:rPr>
        <w:t>(4)良好的资金、财务状况；</w:t>
      </w:r>
    </w:p>
    <w:p w14:paraId="73E1E47B">
      <w:pPr>
        <w:snapToGrid w:val="0"/>
        <w:spacing w:line="360" w:lineRule="auto"/>
        <w:ind w:firstLine="480" w:firstLineChars="200"/>
        <w:rPr>
          <w:rFonts w:hint="default"/>
          <w:color w:val="auto"/>
          <w:sz w:val="24"/>
          <w:highlight w:val="none"/>
        </w:rPr>
      </w:pPr>
      <w:r>
        <w:rPr>
          <w:rFonts w:hint="default"/>
          <w:color w:val="auto"/>
          <w:sz w:val="24"/>
          <w:highlight w:val="none"/>
        </w:rPr>
        <w:t>(5)提供的产品和服务符合中国政府规定的相应标准和环保标准；</w:t>
      </w:r>
    </w:p>
    <w:p w14:paraId="27F298F7">
      <w:pPr>
        <w:snapToGrid w:val="0"/>
        <w:spacing w:line="360" w:lineRule="auto"/>
        <w:ind w:firstLine="480" w:firstLineChars="200"/>
        <w:rPr>
          <w:rFonts w:hint="default"/>
          <w:color w:val="auto"/>
          <w:sz w:val="24"/>
          <w:highlight w:val="none"/>
        </w:rPr>
      </w:pPr>
      <w:r>
        <w:rPr>
          <w:rFonts w:hint="default"/>
          <w:color w:val="auto"/>
          <w:sz w:val="24"/>
          <w:highlight w:val="none"/>
        </w:rPr>
        <w:t>(6)没有违反政府采购法规、政策的记录；</w:t>
      </w:r>
    </w:p>
    <w:p w14:paraId="4524AC80">
      <w:pPr>
        <w:snapToGrid w:val="0"/>
        <w:spacing w:line="360" w:lineRule="auto"/>
        <w:ind w:firstLine="480" w:firstLineChars="200"/>
        <w:rPr>
          <w:rFonts w:hint="default"/>
          <w:color w:val="auto"/>
          <w:sz w:val="24"/>
          <w:highlight w:val="none"/>
        </w:rPr>
      </w:pPr>
      <w:r>
        <w:rPr>
          <w:rFonts w:hint="default"/>
          <w:color w:val="auto"/>
          <w:sz w:val="24"/>
          <w:highlight w:val="none"/>
        </w:rPr>
        <w:t>(7)没有发生重大经济纠纷和走私犯罪记录。</w:t>
      </w:r>
    </w:p>
    <w:p w14:paraId="5A4216CF">
      <w:pPr>
        <w:snapToGrid w:val="0"/>
        <w:spacing w:line="360" w:lineRule="auto"/>
        <w:ind w:firstLine="480" w:firstLineChars="200"/>
        <w:rPr>
          <w:rFonts w:hint="default"/>
          <w:color w:val="auto"/>
          <w:sz w:val="24"/>
          <w:highlight w:val="none"/>
        </w:rPr>
      </w:pPr>
      <w:r>
        <w:rPr>
          <w:rFonts w:hint="default"/>
          <w:color w:val="auto"/>
          <w:sz w:val="24"/>
          <w:highlight w:val="none"/>
        </w:rPr>
        <w:t>3、提供</w:t>
      </w:r>
      <w:r>
        <w:rPr>
          <w:rFonts w:hint="default"/>
          <w:color w:val="auto"/>
          <w:kern w:val="44"/>
          <w:sz w:val="24"/>
          <w:highlight w:val="none"/>
        </w:rPr>
        <w:t>编制和提交投标文件须知</w:t>
      </w:r>
      <w:r>
        <w:rPr>
          <w:rFonts w:hint="default"/>
          <w:color w:val="auto"/>
          <w:sz w:val="24"/>
          <w:highlight w:val="none"/>
        </w:rPr>
        <w:t>规定的全部投标文件，包括资格文件、报价文件、商务技术文件。具体内容为：</w:t>
      </w:r>
    </w:p>
    <w:p w14:paraId="07AE709E">
      <w:pPr>
        <w:snapToGrid w:val="0"/>
        <w:spacing w:line="360" w:lineRule="auto"/>
        <w:ind w:firstLine="480" w:firstLineChars="200"/>
        <w:rPr>
          <w:rFonts w:hint="default"/>
          <w:color w:val="auto"/>
          <w:sz w:val="24"/>
          <w:highlight w:val="none"/>
        </w:rPr>
      </w:pPr>
      <w:r>
        <w:rPr>
          <w:rFonts w:hint="default"/>
          <w:color w:val="auto"/>
          <w:sz w:val="24"/>
          <w:highlight w:val="none"/>
        </w:rPr>
        <w:t>(1)资格文件</w:t>
      </w:r>
    </w:p>
    <w:p w14:paraId="3D3FF275">
      <w:pPr>
        <w:snapToGrid w:val="0"/>
        <w:spacing w:line="360" w:lineRule="auto"/>
        <w:ind w:firstLine="480" w:firstLineChars="200"/>
        <w:rPr>
          <w:rFonts w:hint="default"/>
          <w:color w:val="auto"/>
          <w:sz w:val="24"/>
          <w:highlight w:val="none"/>
        </w:rPr>
      </w:pPr>
      <w:r>
        <w:rPr>
          <w:rFonts w:hint="default"/>
          <w:color w:val="auto"/>
          <w:sz w:val="24"/>
          <w:highlight w:val="none"/>
        </w:rPr>
        <w:t>(2)报价文件；</w:t>
      </w:r>
    </w:p>
    <w:p w14:paraId="01791A26">
      <w:pPr>
        <w:snapToGrid w:val="0"/>
        <w:spacing w:line="360" w:lineRule="auto"/>
        <w:ind w:firstLine="480" w:firstLineChars="200"/>
        <w:rPr>
          <w:rFonts w:hint="default"/>
          <w:color w:val="auto"/>
          <w:sz w:val="24"/>
          <w:highlight w:val="none"/>
        </w:rPr>
      </w:pPr>
      <w:r>
        <w:rPr>
          <w:rFonts w:hint="default"/>
          <w:color w:val="auto"/>
          <w:sz w:val="24"/>
          <w:highlight w:val="none"/>
        </w:rPr>
        <w:t>(3)</w:t>
      </w:r>
      <w:r>
        <w:rPr>
          <w:rFonts w:hint="default"/>
          <w:color w:val="auto"/>
          <w:sz w:val="24"/>
          <w:highlight w:val="none"/>
          <w:lang w:val="zh-CN"/>
        </w:rPr>
        <w:t>商务</w:t>
      </w:r>
      <w:r>
        <w:rPr>
          <w:rFonts w:hint="default"/>
          <w:color w:val="auto"/>
          <w:kern w:val="0"/>
          <w:sz w:val="24"/>
          <w:highlight w:val="none"/>
          <w:lang w:val="zh-CN"/>
        </w:rPr>
        <w:t>技术文件</w:t>
      </w:r>
      <w:r>
        <w:rPr>
          <w:rFonts w:hint="default"/>
          <w:color w:val="auto"/>
          <w:sz w:val="24"/>
          <w:highlight w:val="none"/>
        </w:rPr>
        <w:t>；</w:t>
      </w:r>
    </w:p>
    <w:p w14:paraId="4036ABAC">
      <w:pPr>
        <w:snapToGrid w:val="0"/>
        <w:spacing w:line="360" w:lineRule="auto"/>
        <w:ind w:firstLine="480" w:firstLineChars="200"/>
        <w:rPr>
          <w:rFonts w:hint="default"/>
          <w:color w:val="auto"/>
          <w:sz w:val="24"/>
          <w:highlight w:val="none"/>
        </w:rPr>
      </w:pPr>
      <w:r>
        <w:rPr>
          <w:rFonts w:hint="default"/>
          <w:color w:val="auto"/>
          <w:sz w:val="24"/>
          <w:highlight w:val="none"/>
        </w:rPr>
        <w:t>(4)</w:t>
      </w:r>
      <w:r>
        <w:rPr>
          <w:rFonts w:hint="default"/>
          <w:color w:val="auto"/>
          <w:kern w:val="44"/>
          <w:sz w:val="24"/>
          <w:highlight w:val="none"/>
        </w:rPr>
        <w:t>编制和提交投标文件须知</w:t>
      </w:r>
      <w:r>
        <w:rPr>
          <w:rFonts w:hint="default"/>
          <w:color w:val="auto"/>
          <w:sz w:val="24"/>
          <w:highlight w:val="none"/>
        </w:rPr>
        <w:t>要求投标人提交的全部文件；</w:t>
      </w:r>
    </w:p>
    <w:p w14:paraId="09159DC9">
      <w:pPr>
        <w:snapToGrid w:val="0"/>
        <w:spacing w:line="360" w:lineRule="auto"/>
        <w:ind w:firstLine="480" w:firstLineChars="200"/>
        <w:rPr>
          <w:rFonts w:hint="default"/>
          <w:color w:val="auto"/>
          <w:sz w:val="24"/>
          <w:highlight w:val="none"/>
        </w:rPr>
      </w:pPr>
      <w:r>
        <w:rPr>
          <w:rFonts w:hint="default"/>
          <w:color w:val="auto"/>
          <w:sz w:val="24"/>
          <w:highlight w:val="none"/>
        </w:rPr>
        <w:t>(5)按采购文件</w:t>
      </w:r>
      <w:r>
        <w:rPr>
          <w:rFonts w:hint="default"/>
          <w:color w:val="auto"/>
          <w:sz w:val="24"/>
          <w:highlight w:val="none"/>
        </w:rPr>
        <w:tab/>
      </w:r>
      <w:r>
        <w:rPr>
          <w:rFonts w:hint="default"/>
          <w:color w:val="auto"/>
          <w:sz w:val="24"/>
          <w:highlight w:val="none"/>
        </w:rPr>
        <w:t>要求提供和交付的货物和服务的投标报价详见开标一览表；</w:t>
      </w:r>
    </w:p>
    <w:p w14:paraId="266140C4">
      <w:pPr>
        <w:snapToGrid w:val="0"/>
        <w:spacing w:line="360" w:lineRule="auto"/>
        <w:ind w:firstLine="480" w:firstLineChars="200"/>
        <w:rPr>
          <w:rFonts w:hint="default"/>
          <w:color w:val="auto"/>
          <w:sz w:val="24"/>
          <w:highlight w:val="none"/>
        </w:rPr>
      </w:pPr>
      <w:r>
        <w:rPr>
          <w:rFonts w:hint="default"/>
          <w:color w:val="auto"/>
          <w:sz w:val="24"/>
          <w:highlight w:val="none"/>
        </w:rPr>
        <w:t>(6)保证忠实地执行双方所签订的合同，并承担合同规定的责任和义务；</w:t>
      </w:r>
    </w:p>
    <w:p w14:paraId="5CE04872">
      <w:pPr>
        <w:snapToGrid w:val="0"/>
        <w:spacing w:line="360" w:lineRule="auto"/>
        <w:ind w:firstLine="480" w:firstLineChars="200"/>
        <w:rPr>
          <w:rFonts w:hint="default"/>
          <w:color w:val="auto"/>
          <w:sz w:val="24"/>
          <w:highlight w:val="none"/>
        </w:rPr>
      </w:pPr>
      <w:r>
        <w:rPr>
          <w:rFonts w:hint="default"/>
          <w:color w:val="auto"/>
          <w:sz w:val="24"/>
          <w:highlight w:val="none"/>
        </w:rPr>
        <w:t>(7)保证遵守采购文件中的其他有关规定。</w:t>
      </w:r>
    </w:p>
    <w:p w14:paraId="695A1168">
      <w:pPr>
        <w:snapToGrid w:val="0"/>
        <w:spacing w:line="360" w:lineRule="auto"/>
        <w:ind w:firstLine="480" w:firstLineChars="200"/>
        <w:rPr>
          <w:rFonts w:hint="default"/>
          <w:color w:val="auto"/>
          <w:sz w:val="24"/>
          <w:highlight w:val="none"/>
        </w:rPr>
      </w:pPr>
      <w:r>
        <w:rPr>
          <w:rFonts w:hint="default"/>
          <w:color w:val="auto"/>
          <w:sz w:val="24"/>
          <w:highlight w:val="none"/>
        </w:rPr>
        <w:t>4、投标有效期内不撤销投标文件；强行撤销的，承诺按本项目预算金额的2%赔偿对采购代理机构造成的损失。</w:t>
      </w:r>
    </w:p>
    <w:p w14:paraId="6A1FDAD6">
      <w:pPr>
        <w:snapToGrid w:val="0"/>
        <w:spacing w:line="360" w:lineRule="auto"/>
        <w:ind w:firstLine="480" w:firstLineChars="200"/>
        <w:rPr>
          <w:rFonts w:hint="default"/>
          <w:color w:val="auto"/>
          <w:sz w:val="24"/>
          <w:highlight w:val="none"/>
        </w:rPr>
      </w:pPr>
      <w:r>
        <w:rPr>
          <w:rFonts w:hint="default"/>
          <w:color w:val="auto"/>
          <w:sz w:val="24"/>
          <w:highlight w:val="none"/>
        </w:rPr>
        <w:t>5、我方完全理解贵方不一定要接受最低价的投标。</w:t>
      </w:r>
    </w:p>
    <w:p w14:paraId="062A8AB6">
      <w:pPr>
        <w:snapToGrid w:val="0"/>
        <w:spacing w:line="360" w:lineRule="auto"/>
        <w:ind w:firstLine="480" w:firstLineChars="200"/>
        <w:rPr>
          <w:rFonts w:hint="default"/>
          <w:color w:val="auto"/>
          <w:sz w:val="24"/>
          <w:highlight w:val="none"/>
        </w:rPr>
      </w:pPr>
      <w:r>
        <w:rPr>
          <w:rFonts w:hint="default"/>
          <w:color w:val="auto"/>
          <w:sz w:val="24"/>
          <w:highlight w:val="none"/>
        </w:rPr>
        <w:t>6、如中标，按采购文件规定与采购人签订合同。如拒绝签订合同，承诺按本项目预算金额的2%对采购人进行赔偿；赔偿金额不足以弥补采购人损失的，承诺继续承担超过部分的损失。</w:t>
      </w:r>
    </w:p>
    <w:p w14:paraId="1DDC4E74">
      <w:pPr>
        <w:snapToGrid w:val="0"/>
        <w:spacing w:line="360" w:lineRule="auto"/>
        <w:ind w:firstLine="480" w:firstLineChars="200"/>
        <w:rPr>
          <w:rFonts w:hint="default"/>
          <w:color w:val="auto"/>
          <w:sz w:val="24"/>
          <w:highlight w:val="none"/>
        </w:rPr>
      </w:pPr>
      <w:r>
        <w:rPr>
          <w:rFonts w:hint="default"/>
          <w:color w:val="auto"/>
          <w:sz w:val="24"/>
          <w:highlight w:val="none"/>
        </w:rPr>
        <w:t>7、如中标，按采购文件规定的招标代理服务费标准，承诺在签订合同前向采购代理机构支付招标代理服务费。</w:t>
      </w:r>
    </w:p>
    <w:p w14:paraId="3D1DBCC2">
      <w:pPr>
        <w:snapToGrid w:val="0"/>
        <w:spacing w:line="360" w:lineRule="auto"/>
        <w:ind w:firstLine="480" w:firstLineChars="200"/>
        <w:rPr>
          <w:rFonts w:hint="default"/>
          <w:color w:val="auto"/>
          <w:sz w:val="24"/>
          <w:highlight w:val="none"/>
        </w:rPr>
      </w:pPr>
      <w:r>
        <w:rPr>
          <w:rFonts w:hint="default"/>
          <w:color w:val="auto"/>
          <w:sz w:val="24"/>
          <w:highlight w:val="none"/>
        </w:rPr>
        <w:t>8、我方愿意向贵方提供任何与该项投标有关的数据、情况和服务资料。若贵方需要，我方愿意提供我方作出的一切承诺的证明材料。</w:t>
      </w:r>
    </w:p>
    <w:p w14:paraId="5C4FB194">
      <w:pPr>
        <w:snapToGrid w:val="0"/>
        <w:spacing w:line="360" w:lineRule="auto"/>
        <w:ind w:firstLine="480" w:firstLineChars="200"/>
        <w:rPr>
          <w:rFonts w:hint="default"/>
          <w:color w:val="auto"/>
          <w:sz w:val="24"/>
          <w:highlight w:val="none"/>
        </w:rPr>
      </w:pPr>
      <w:r>
        <w:rPr>
          <w:rFonts w:hint="default"/>
          <w:color w:val="auto"/>
          <w:sz w:val="24"/>
          <w:highlight w:val="none"/>
        </w:rPr>
        <w:t>9、我方已详细审核全部采购文件，包括采购文件修改书（如有的话）、参考资料及有关附件，确认无误。我方完全理解并接受采购文件的各项规定和要求，对采购文件</w:t>
      </w:r>
      <w:r>
        <w:rPr>
          <w:rFonts w:hint="default"/>
          <w:color w:val="auto"/>
          <w:sz w:val="24"/>
          <w:highlight w:val="none"/>
        </w:rPr>
        <w:tab/>
      </w:r>
      <w:r>
        <w:rPr>
          <w:rFonts w:hint="default"/>
          <w:color w:val="auto"/>
          <w:sz w:val="24"/>
          <w:highlight w:val="none"/>
        </w:rPr>
        <w:t>的合理性、合法性不再有异议。</w:t>
      </w:r>
    </w:p>
    <w:p w14:paraId="5930AB74">
      <w:pPr>
        <w:snapToGrid w:val="0"/>
        <w:spacing w:line="360" w:lineRule="auto"/>
        <w:ind w:firstLine="480" w:firstLineChars="200"/>
        <w:rPr>
          <w:rFonts w:hint="default"/>
          <w:color w:val="auto"/>
          <w:sz w:val="24"/>
          <w:highlight w:val="none"/>
        </w:rPr>
      </w:pPr>
      <w:r>
        <w:rPr>
          <w:rFonts w:hint="default"/>
          <w:color w:val="auto"/>
          <w:sz w:val="24"/>
          <w:highlight w:val="none"/>
        </w:rPr>
        <w:t>10、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54DD2403">
      <w:pPr>
        <w:snapToGrid w:val="0"/>
        <w:spacing w:line="360" w:lineRule="auto"/>
        <w:ind w:firstLine="480" w:firstLineChars="200"/>
        <w:rPr>
          <w:rFonts w:hint="default"/>
          <w:color w:val="auto"/>
          <w:sz w:val="24"/>
          <w:highlight w:val="none"/>
        </w:rPr>
      </w:pPr>
      <w:r>
        <w:rPr>
          <w:rFonts w:hint="default"/>
          <w:color w:val="auto"/>
          <w:sz w:val="24"/>
          <w:highlight w:val="none"/>
        </w:rPr>
        <w:t>(1)提供虚假材料谋取中标、成交的；</w:t>
      </w:r>
    </w:p>
    <w:p w14:paraId="57C526A8">
      <w:pPr>
        <w:snapToGrid w:val="0"/>
        <w:spacing w:line="360" w:lineRule="auto"/>
        <w:ind w:firstLine="480" w:firstLineChars="200"/>
        <w:rPr>
          <w:rFonts w:hint="default"/>
          <w:color w:val="auto"/>
          <w:sz w:val="24"/>
          <w:highlight w:val="none"/>
        </w:rPr>
      </w:pPr>
      <w:r>
        <w:rPr>
          <w:rFonts w:hint="default"/>
          <w:color w:val="auto"/>
          <w:sz w:val="24"/>
          <w:highlight w:val="none"/>
        </w:rPr>
        <w:t>(2)采取不正当手段诋毁、排挤其他供应商的；</w:t>
      </w:r>
    </w:p>
    <w:p w14:paraId="0B5A457C">
      <w:pPr>
        <w:snapToGrid w:val="0"/>
        <w:spacing w:line="360" w:lineRule="auto"/>
        <w:ind w:firstLine="480" w:firstLineChars="200"/>
        <w:rPr>
          <w:rFonts w:hint="default"/>
          <w:color w:val="auto"/>
          <w:sz w:val="24"/>
          <w:highlight w:val="none"/>
        </w:rPr>
      </w:pPr>
      <w:r>
        <w:rPr>
          <w:rFonts w:hint="default"/>
          <w:color w:val="auto"/>
          <w:sz w:val="24"/>
          <w:highlight w:val="none"/>
        </w:rPr>
        <w:t>(3)与采购人、其它供应商或者采购代理机构恶意串通的；</w:t>
      </w:r>
    </w:p>
    <w:p w14:paraId="333CBD13">
      <w:pPr>
        <w:snapToGrid w:val="0"/>
        <w:spacing w:line="360" w:lineRule="auto"/>
        <w:ind w:firstLine="480" w:firstLineChars="200"/>
        <w:rPr>
          <w:rFonts w:hint="default"/>
          <w:color w:val="auto"/>
          <w:sz w:val="24"/>
          <w:highlight w:val="none"/>
        </w:rPr>
      </w:pPr>
      <w:r>
        <w:rPr>
          <w:rFonts w:hint="default"/>
          <w:color w:val="auto"/>
          <w:sz w:val="24"/>
          <w:highlight w:val="none"/>
        </w:rPr>
        <w:t>(4)向采购人、采购代理机构行贿或者提供其他不正当利益的；</w:t>
      </w:r>
    </w:p>
    <w:p w14:paraId="106A0BFD">
      <w:pPr>
        <w:snapToGrid w:val="0"/>
        <w:spacing w:line="360" w:lineRule="auto"/>
        <w:ind w:firstLine="480" w:firstLineChars="200"/>
        <w:rPr>
          <w:rFonts w:hint="default"/>
          <w:color w:val="auto"/>
          <w:sz w:val="24"/>
          <w:highlight w:val="none"/>
        </w:rPr>
      </w:pPr>
      <w:r>
        <w:rPr>
          <w:rFonts w:hint="default"/>
          <w:color w:val="auto"/>
          <w:sz w:val="24"/>
          <w:highlight w:val="none"/>
        </w:rPr>
        <w:t>(5)在采购过程中与采购人进行协商谈判的；</w:t>
      </w:r>
    </w:p>
    <w:p w14:paraId="770ED694">
      <w:pPr>
        <w:snapToGrid w:val="0"/>
        <w:spacing w:line="360" w:lineRule="auto"/>
        <w:ind w:firstLine="480" w:firstLineChars="200"/>
        <w:rPr>
          <w:rFonts w:hint="default"/>
          <w:color w:val="auto"/>
          <w:sz w:val="24"/>
          <w:highlight w:val="none"/>
        </w:rPr>
      </w:pPr>
      <w:r>
        <w:rPr>
          <w:rFonts w:hint="default"/>
          <w:color w:val="auto"/>
          <w:sz w:val="24"/>
          <w:highlight w:val="none"/>
        </w:rPr>
        <w:t>(6)拒绝有关部门监督检查或提供虚假情况的。</w:t>
      </w:r>
    </w:p>
    <w:p w14:paraId="473BED10">
      <w:pPr>
        <w:snapToGrid w:val="0"/>
        <w:spacing w:line="360" w:lineRule="auto"/>
        <w:ind w:firstLine="480" w:firstLineChars="200"/>
        <w:rPr>
          <w:rFonts w:hint="default"/>
          <w:color w:val="auto"/>
          <w:sz w:val="24"/>
          <w:highlight w:val="none"/>
        </w:rPr>
      </w:pPr>
      <w:r>
        <w:rPr>
          <w:rFonts w:hint="default"/>
          <w:color w:val="auto"/>
          <w:sz w:val="24"/>
          <w:highlight w:val="none"/>
        </w:rPr>
        <w:t>供应商有前款第(1)至(5)项情形之一的，中标、成交无效。</w:t>
      </w:r>
    </w:p>
    <w:p w14:paraId="23624125">
      <w:pPr>
        <w:snapToGrid w:val="0"/>
        <w:spacing w:line="360" w:lineRule="auto"/>
        <w:ind w:firstLine="480" w:firstLineChars="200"/>
        <w:rPr>
          <w:rFonts w:hint="default"/>
          <w:color w:val="auto"/>
          <w:kern w:val="0"/>
          <w:sz w:val="24"/>
          <w:highlight w:val="none"/>
        </w:rPr>
      </w:pPr>
      <w:r>
        <w:rPr>
          <w:rFonts w:hint="default"/>
          <w:color w:val="auto"/>
          <w:kern w:val="0"/>
          <w:sz w:val="24"/>
          <w:highlight w:val="none"/>
          <w:lang w:val="zh-CN"/>
        </w:rPr>
        <w:t>法定（授权）代表人（签字</w:t>
      </w:r>
      <w:r>
        <w:rPr>
          <w:rFonts w:hint="default"/>
          <w:color w:val="auto"/>
          <w:kern w:val="0"/>
          <w:sz w:val="24"/>
          <w:highlight w:val="none"/>
        </w:rPr>
        <w:t>或盖章</w:t>
      </w:r>
      <w:r>
        <w:rPr>
          <w:rFonts w:hint="default"/>
          <w:color w:val="auto"/>
          <w:kern w:val="0"/>
          <w:sz w:val="24"/>
          <w:highlight w:val="none"/>
          <w:lang w:val="zh-CN"/>
        </w:rPr>
        <w:t>）：</w:t>
      </w:r>
      <w:r>
        <w:rPr>
          <w:rFonts w:hint="default"/>
          <w:color w:val="auto"/>
          <w:kern w:val="0"/>
          <w:sz w:val="24"/>
          <w:highlight w:val="none"/>
        </w:rPr>
        <w:tab/>
      </w:r>
    </w:p>
    <w:p w14:paraId="2DF42908">
      <w:pPr>
        <w:snapToGrid w:val="0"/>
        <w:spacing w:line="360" w:lineRule="auto"/>
        <w:ind w:firstLine="480" w:firstLineChars="200"/>
        <w:rPr>
          <w:rFonts w:hint="default"/>
          <w:color w:val="auto"/>
          <w:kern w:val="0"/>
          <w:sz w:val="24"/>
          <w:highlight w:val="none"/>
          <w:u w:val="single"/>
          <w:lang w:val="zh-CN"/>
        </w:rPr>
      </w:pPr>
      <w:r>
        <w:rPr>
          <w:rFonts w:ascii="宋体" w:hAnsi="宋体" w:cs="宋体"/>
          <w:color w:val="auto"/>
          <w:kern w:val="0"/>
          <w:sz w:val="24"/>
          <w:highlight w:val="none"/>
        </w:rPr>
        <w:t>供应商（</w:t>
      </w:r>
      <w:r>
        <w:rPr>
          <w:rFonts w:ascii="宋体" w:hAnsi="宋体" w:cs="宋体"/>
          <w:color w:val="auto"/>
          <w:kern w:val="0"/>
          <w:sz w:val="24"/>
          <w:highlight w:val="none"/>
          <w:lang w:val="zh-CN"/>
        </w:rPr>
        <w:t>电子签名/公章</w:t>
      </w:r>
      <w:r>
        <w:rPr>
          <w:rFonts w:ascii="宋体" w:hAnsi="宋体" w:cs="宋体"/>
          <w:color w:val="auto"/>
          <w:kern w:val="0"/>
          <w:sz w:val="24"/>
          <w:highlight w:val="none"/>
        </w:rPr>
        <w:t>）</w:t>
      </w:r>
      <w:r>
        <w:rPr>
          <w:rFonts w:hint="default"/>
          <w:color w:val="auto"/>
          <w:kern w:val="0"/>
          <w:sz w:val="24"/>
          <w:highlight w:val="none"/>
          <w:lang w:val="zh-CN"/>
        </w:rPr>
        <w:t>：</w:t>
      </w:r>
    </w:p>
    <w:p w14:paraId="033D9028">
      <w:pPr>
        <w:snapToGrid w:val="0"/>
        <w:spacing w:line="360" w:lineRule="auto"/>
        <w:ind w:firstLine="480" w:firstLineChars="200"/>
        <w:rPr>
          <w:rFonts w:hint="default"/>
          <w:color w:val="auto"/>
          <w:kern w:val="0"/>
          <w:sz w:val="24"/>
          <w:highlight w:val="none"/>
        </w:rPr>
      </w:pPr>
      <w:r>
        <w:rPr>
          <w:rFonts w:hint="default"/>
          <w:color w:val="auto"/>
          <w:kern w:val="0"/>
          <w:sz w:val="24"/>
          <w:highlight w:val="none"/>
          <w:lang w:val="zh-CN"/>
        </w:rPr>
        <w:t xml:space="preserve">联系电话： 传真：  电子邮件：  </w:t>
      </w:r>
    </w:p>
    <w:p w14:paraId="6B8CD9DD">
      <w:pPr>
        <w:snapToGrid w:val="0"/>
        <w:spacing w:line="360" w:lineRule="auto"/>
        <w:ind w:firstLine="480" w:firstLineChars="200"/>
        <w:rPr>
          <w:rFonts w:hint="default"/>
          <w:color w:val="auto"/>
          <w:kern w:val="0"/>
          <w:sz w:val="24"/>
          <w:highlight w:val="none"/>
        </w:rPr>
      </w:pPr>
      <w:r>
        <w:rPr>
          <w:rFonts w:hint="default"/>
          <w:color w:val="auto"/>
          <w:kern w:val="0"/>
          <w:sz w:val="24"/>
          <w:highlight w:val="none"/>
          <w:lang w:val="zh-CN"/>
        </w:rPr>
        <w:t>联系地址：</w:t>
      </w:r>
      <w:r>
        <w:rPr>
          <w:rFonts w:hint="default"/>
          <w:color w:val="auto"/>
          <w:kern w:val="0"/>
          <w:sz w:val="24"/>
          <w:highlight w:val="none"/>
        </w:rPr>
        <w:tab/>
      </w:r>
    </w:p>
    <w:p w14:paraId="449943E9">
      <w:pPr>
        <w:snapToGrid w:val="0"/>
        <w:spacing w:line="360" w:lineRule="auto"/>
        <w:ind w:firstLine="480" w:firstLineChars="200"/>
        <w:rPr>
          <w:rFonts w:hint="default"/>
          <w:color w:val="auto"/>
          <w:kern w:val="0"/>
          <w:sz w:val="24"/>
          <w:highlight w:val="none"/>
        </w:rPr>
      </w:pPr>
      <w:r>
        <w:rPr>
          <w:rFonts w:hint="default"/>
          <w:color w:val="auto"/>
          <w:kern w:val="0"/>
          <w:sz w:val="24"/>
          <w:highlight w:val="none"/>
          <w:lang w:val="zh-CN"/>
        </w:rPr>
        <w:t>邮政编码：传真号码：</w:t>
      </w:r>
    </w:p>
    <w:p w14:paraId="090D37CE">
      <w:pPr>
        <w:snapToGrid w:val="0"/>
        <w:spacing w:line="360" w:lineRule="auto"/>
        <w:ind w:firstLine="480" w:firstLineChars="200"/>
        <w:rPr>
          <w:rFonts w:hint="default"/>
          <w:color w:val="auto"/>
          <w:kern w:val="0"/>
          <w:sz w:val="24"/>
          <w:highlight w:val="none"/>
          <w:u w:val="single"/>
        </w:rPr>
      </w:pPr>
      <w:r>
        <w:rPr>
          <w:rFonts w:hint="default"/>
          <w:color w:val="auto"/>
          <w:kern w:val="0"/>
          <w:sz w:val="24"/>
          <w:highlight w:val="none"/>
          <w:lang w:val="zh-CN"/>
        </w:rPr>
        <w:t>日期</w:t>
      </w:r>
      <w:r>
        <w:rPr>
          <w:rFonts w:hint="default"/>
          <w:color w:val="auto"/>
          <w:kern w:val="0"/>
          <w:sz w:val="24"/>
          <w:highlight w:val="none"/>
        </w:rPr>
        <w:t xml:space="preserve">： </w:t>
      </w:r>
      <w:r>
        <w:rPr>
          <w:rFonts w:hint="default"/>
          <w:color w:val="auto"/>
          <w:kern w:val="0"/>
          <w:sz w:val="24"/>
          <w:highlight w:val="none"/>
          <w:lang w:val="zh-CN"/>
        </w:rPr>
        <w:t>年</w:t>
      </w:r>
      <w:r>
        <w:rPr>
          <w:rFonts w:hint="default"/>
          <w:color w:val="auto"/>
          <w:kern w:val="0"/>
          <w:sz w:val="24"/>
          <w:highlight w:val="none"/>
          <w:u w:val="single"/>
        </w:rPr>
        <w:tab/>
      </w:r>
      <w:r>
        <w:rPr>
          <w:rFonts w:hint="default"/>
          <w:color w:val="auto"/>
          <w:kern w:val="0"/>
          <w:sz w:val="24"/>
          <w:highlight w:val="none"/>
          <w:lang w:val="zh-CN"/>
        </w:rPr>
        <w:t>月日</w:t>
      </w:r>
    </w:p>
    <w:p w14:paraId="0FF1E2E3">
      <w:pPr>
        <w:snapToGrid w:val="0"/>
        <w:spacing w:line="360" w:lineRule="auto"/>
        <w:rPr>
          <w:rFonts w:hint="default"/>
          <w:b/>
          <w:bCs/>
          <w:color w:val="auto"/>
          <w:kern w:val="0"/>
          <w:sz w:val="24"/>
          <w:highlight w:val="none"/>
          <w:lang w:val="zh-CN"/>
        </w:rPr>
      </w:pPr>
      <w:r>
        <w:rPr>
          <w:rFonts w:hint="default"/>
          <w:b/>
          <w:bCs/>
          <w:color w:val="auto"/>
          <w:kern w:val="0"/>
          <w:sz w:val="24"/>
          <w:highlight w:val="none"/>
          <w:lang w:val="zh-CN"/>
        </w:rPr>
        <w:t>注：未按照本投标响应函要求填报的将被视为非实质性响应，从而可能导致该投标文件被拒绝。</w:t>
      </w:r>
    </w:p>
    <w:p w14:paraId="631B974C">
      <w:pPr>
        <w:snapToGrid w:val="0"/>
        <w:spacing w:before="50" w:after="156" w:afterLines="50" w:line="360" w:lineRule="auto"/>
        <w:jc w:val="center"/>
        <w:rPr>
          <w:rFonts w:hint="default"/>
          <w:b/>
          <w:color w:val="auto"/>
          <w:sz w:val="30"/>
          <w:szCs w:val="30"/>
          <w:highlight w:val="none"/>
          <w:lang w:val="zh-CN"/>
        </w:rPr>
        <w:sectPr>
          <w:pgSz w:w="11906" w:h="16838"/>
          <w:pgMar w:top="1134" w:right="1247" w:bottom="1247" w:left="1304" w:header="794" w:footer="794" w:gutter="0"/>
          <w:cols w:space="720" w:num="1"/>
          <w:docGrid w:type="lines" w:linePitch="312" w:charSpace="0"/>
        </w:sectPr>
      </w:pPr>
    </w:p>
    <w:p w14:paraId="77982561">
      <w:pPr>
        <w:snapToGrid w:val="0"/>
        <w:spacing w:before="50" w:after="156" w:afterLines="50" w:line="360" w:lineRule="auto"/>
        <w:jc w:val="center"/>
        <w:rPr>
          <w:rFonts w:hint="default"/>
          <w:b/>
          <w:color w:val="auto"/>
          <w:sz w:val="30"/>
          <w:szCs w:val="30"/>
          <w:highlight w:val="none"/>
          <w:lang w:val="zh-CN"/>
        </w:rPr>
      </w:pPr>
      <w:r>
        <w:rPr>
          <w:b/>
          <w:color w:val="auto"/>
          <w:sz w:val="30"/>
          <w:szCs w:val="30"/>
          <w:highlight w:val="none"/>
        </w:rPr>
        <w:t>二、</w:t>
      </w:r>
      <w:r>
        <w:rPr>
          <w:rFonts w:hint="default"/>
          <w:b/>
          <w:color w:val="auto"/>
          <w:sz w:val="30"/>
          <w:szCs w:val="30"/>
          <w:highlight w:val="none"/>
          <w:lang w:val="zh-CN"/>
        </w:rPr>
        <w:t>法定代表人授权委托书</w:t>
      </w:r>
      <w:bookmarkEnd w:id="115"/>
      <w:bookmarkEnd w:id="116"/>
    </w:p>
    <w:p w14:paraId="074818EF">
      <w:pPr>
        <w:snapToGrid w:val="0"/>
        <w:spacing w:line="360" w:lineRule="auto"/>
        <w:rPr>
          <w:rFonts w:hint="default"/>
          <w:color w:val="auto"/>
          <w:sz w:val="24"/>
          <w:highlight w:val="none"/>
        </w:rPr>
      </w:pPr>
      <w:r>
        <w:rPr>
          <w:color w:val="auto"/>
          <w:sz w:val="24"/>
          <w:highlight w:val="none"/>
        </w:rPr>
        <w:t>浙江工业大学</w:t>
      </w:r>
    </w:p>
    <w:p w14:paraId="10F77CDC">
      <w:pPr>
        <w:snapToGrid w:val="0"/>
        <w:spacing w:line="360" w:lineRule="auto"/>
        <w:rPr>
          <w:rFonts w:hint="default"/>
          <w:color w:val="auto"/>
          <w:sz w:val="24"/>
          <w:highlight w:val="none"/>
        </w:rPr>
      </w:pPr>
      <w:r>
        <w:rPr>
          <w:rFonts w:hint="default"/>
          <w:color w:val="auto"/>
          <w:sz w:val="24"/>
          <w:highlight w:val="none"/>
        </w:rPr>
        <w:t>浙江豪圣建设项目管理有限公司：</w:t>
      </w:r>
    </w:p>
    <w:p w14:paraId="52EC173B">
      <w:pPr>
        <w:snapToGrid w:val="0"/>
        <w:spacing w:line="360" w:lineRule="auto"/>
        <w:ind w:firstLine="480" w:firstLineChars="200"/>
        <w:rPr>
          <w:rFonts w:hint="default"/>
          <w:color w:val="auto"/>
          <w:sz w:val="24"/>
          <w:highlight w:val="none"/>
        </w:rPr>
      </w:pPr>
      <w:r>
        <w:rPr>
          <w:rFonts w:hint="default"/>
          <w:color w:val="auto"/>
          <w:kern w:val="0"/>
          <w:sz w:val="24"/>
          <w:highlight w:val="none"/>
          <w:lang w:val="zh-CN"/>
        </w:rPr>
        <w:t>兹委派我公司先生/女士(其在本公司的职务是：，联系电话：手机：传真：)，代表我公司全权处理</w:t>
      </w:r>
      <w:r>
        <w:rPr>
          <w:rFonts w:hint="eastAsia"/>
          <w:color w:val="auto"/>
          <w:sz w:val="24"/>
          <w:highlight w:val="none"/>
          <w:u w:val="single"/>
          <w:lang w:eastAsia="zh-CN"/>
        </w:rPr>
        <w:t>浙江工业大学制备液相色谱仪等采购</w:t>
      </w:r>
      <w:r>
        <w:rPr>
          <w:rFonts w:hint="default"/>
          <w:color w:val="auto"/>
          <w:sz w:val="24"/>
          <w:highlight w:val="none"/>
        </w:rPr>
        <w:t>(项目编号：</w:t>
      </w:r>
      <w:r>
        <w:rPr>
          <w:rFonts w:hint="eastAsia"/>
          <w:color w:val="auto"/>
          <w:sz w:val="24"/>
          <w:highlight w:val="none"/>
          <w:u w:val="single"/>
          <w:lang w:eastAsia="zh-CN"/>
        </w:rPr>
        <w:t>HSZB-2024-972</w:t>
      </w:r>
      <w:r>
        <w:rPr>
          <w:rFonts w:hint="default"/>
          <w:color w:val="auto"/>
          <w:sz w:val="24"/>
          <w:highlight w:val="none"/>
        </w:rPr>
        <w:t>)政府采购投标的一切事项，若中标则全权代表本公司签订相关合同，</w:t>
      </w:r>
      <w:r>
        <w:rPr>
          <w:rFonts w:hint="default"/>
          <w:color w:val="auto"/>
          <w:kern w:val="0"/>
          <w:sz w:val="24"/>
          <w:highlight w:val="none"/>
          <w:lang w:val="zh-CN"/>
        </w:rPr>
        <w:t>并负责处理合同履行等事宜。</w:t>
      </w:r>
    </w:p>
    <w:p w14:paraId="4F1EB485">
      <w:pPr>
        <w:snapToGrid w:val="0"/>
        <w:spacing w:line="360" w:lineRule="auto"/>
        <w:rPr>
          <w:rFonts w:hint="default"/>
          <w:color w:val="auto"/>
          <w:kern w:val="0"/>
          <w:sz w:val="24"/>
          <w:highlight w:val="none"/>
        </w:rPr>
      </w:pPr>
      <w:r>
        <w:rPr>
          <w:rFonts w:hint="default"/>
          <w:color w:val="auto"/>
          <w:kern w:val="0"/>
          <w:sz w:val="24"/>
          <w:highlight w:val="none"/>
          <w:lang w:val="zh-CN"/>
        </w:rPr>
        <w:t xml:space="preserve">    特此告知。</w:t>
      </w:r>
    </w:p>
    <w:p w14:paraId="1604CC4A">
      <w:pPr>
        <w:snapToGrid w:val="0"/>
        <w:spacing w:line="360" w:lineRule="auto"/>
        <w:jc w:val="left"/>
        <w:rPr>
          <w:rFonts w:hint="default"/>
          <w:color w:val="auto"/>
          <w:kern w:val="0"/>
          <w:sz w:val="24"/>
          <w:highlight w:val="none"/>
        </w:rPr>
      </w:pPr>
    </w:p>
    <w:p w14:paraId="7FC50444">
      <w:pPr>
        <w:adjustRightInd w:val="0"/>
        <w:snapToGrid w:val="0"/>
        <w:spacing w:line="360" w:lineRule="auto"/>
        <w:ind w:firstLine="480" w:firstLineChars="200"/>
        <w:rPr>
          <w:rFonts w:hint="default" w:ascii="宋体" w:hAnsi="宋体" w:cs="宋体"/>
          <w:color w:val="auto"/>
          <w:kern w:val="0"/>
          <w:sz w:val="24"/>
          <w:highlight w:val="none"/>
        </w:rPr>
      </w:pPr>
      <w:r>
        <w:rPr>
          <w:rFonts w:ascii="宋体" w:hAnsi="宋体" w:cs="宋体"/>
          <w:color w:val="auto"/>
          <w:kern w:val="0"/>
          <w:sz w:val="24"/>
          <w:highlight w:val="none"/>
        </w:rPr>
        <w:t>供应商（</w:t>
      </w:r>
      <w:r>
        <w:rPr>
          <w:rFonts w:ascii="宋体" w:hAnsi="宋体" w:cs="宋体"/>
          <w:color w:val="auto"/>
          <w:kern w:val="0"/>
          <w:sz w:val="24"/>
          <w:highlight w:val="none"/>
          <w:lang w:val="zh-CN"/>
        </w:rPr>
        <w:t>电子签名/公章</w:t>
      </w:r>
      <w:r>
        <w:rPr>
          <w:rFonts w:ascii="宋体" w:hAnsi="宋体" w:cs="宋体"/>
          <w:color w:val="auto"/>
          <w:kern w:val="0"/>
          <w:sz w:val="24"/>
          <w:highlight w:val="none"/>
        </w:rPr>
        <w:t>）：</w:t>
      </w:r>
    </w:p>
    <w:p w14:paraId="11F1C9A6">
      <w:pPr>
        <w:widowControl/>
        <w:adjustRightInd w:val="0"/>
        <w:snapToGrid w:val="0"/>
        <w:spacing w:line="360" w:lineRule="auto"/>
        <w:ind w:firstLine="480" w:firstLineChars="200"/>
        <w:jc w:val="left"/>
        <w:rPr>
          <w:rFonts w:hint="default"/>
          <w:color w:val="auto"/>
          <w:kern w:val="0"/>
          <w:sz w:val="24"/>
          <w:highlight w:val="none"/>
        </w:rPr>
      </w:pPr>
      <w:r>
        <w:rPr>
          <w:rFonts w:hint="default"/>
          <w:color w:val="auto"/>
          <w:kern w:val="0"/>
          <w:sz w:val="24"/>
          <w:highlight w:val="none"/>
        </w:rPr>
        <w:t>法定代表人（签字或盖章）：</w:t>
      </w:r>
    </w:p>
    <w:p w14:paraId="19125FBF">
      <w:pPr>
        <w:pStyle w:val="6"/>
        <w:adjustRightInd w:val="0"/>
        <w:snapToGrid w:val="0"/>
        <w:spacing w:beforeLines="0" w:afterLines="0" w:line="360" w:lineRule="auto"/>
        <w:ind w:firstLine="480" w:firstLineChars="200"/>
        <w:outlineLvl w:val="0"/>
        <w:rPr>
          <w:rFonts w:ascii="Times New Roman" w:hAnsi="Times New Roman"/>
          <w:b/>
          <w:color w:val="auto"/>
          <w:sz w:val="32"/>
          <w:szCs w:val="32"/>
          <w:highlight w:val="none"/>
        </w:rPr>
      </w:pPr>
      <w:bookmarkStart w:id="123" w:name="_Toc16708"/>
      <w:r>
        <w:rPr>
          <w:rFonts w:ascii="Times New Roman" w:hAnsi="Times New Roman"/>
          <w:color w:val="auto"/>
          <w:kern w:val="0"/>
          <w:highlight w:val="none"/>
        </w:rPr>
        <w:t>日期：     年  月  日</w:t>
      </w:r>
      <w:bookmarkEnd w:id="123"/>
    </w:p>
    <w:p w14:paraId="16F5A5D3">
      <w:pPr>
        <w:snapToGrid w:val="0"/>
        <w:spacing w:line="360" w:lineRule="auto"/>
        <w:ind w:right="480"/>
        <w:jc w:val="center"/>
        <w:rPr>
          <w:rFonts w:hint="default"/>
          <w:b/>
          <w:bCs/>
          <w:color w:val="auto"/>
          <w:kern w:val="0"/>
          <w:sz w:val="24"/>
          <w:highlight w:val="none"/>
          <w:lang w:val="zh-CN"/>
        </w:rPr>
      </w:pPr>
    </w:p>
    <w:p w14:paraId="6DFAE426">
      <w:pPr>
        <w:snapToGrid w:val="0"/>
        <w:spacing w:line="360" w:lineRule="auto"/>
        <w:ind w:firstLine="482" w:firstLineChars="200"/>
        <w:rPr>
          <w:rFonts w:hint="default"/>
          <w:b/>
          <w:bCs/>
          <w:color w:val="auto"/>
          <w:kern w:val="0"/>
          <w:sz w:val="24"/>
          <w:highlight w:val="none"/>
          <w:lang w:val="zh-CN"/>
        </w:rPr>
      </w:pPr>
    </w:p>
    <w:p w14:paraId="3EB89B12">
      <w:pPr>
        <w:pStyle w:val="6"/>
        <w:snapToGrid w:val="0"/>
        <w:spacing w:before="156" w:after="156" w:line="360" w:lineRule="auto"/>
        <w:ind w:firstLine="643" w:firstLineChars="200"/>
        <w:jc w:val="center"/>
        <w:outlineLvl w:val="0"/>
        <w:rPr>
          <w:rFonts w:ascii="Times New Roman" w:hAnsi="Times New Roman"/>
          <w:b/>
          <w:color w:val="auto"/>
          <w:sz w:val="32"/>
          <w:szCs w:val="32"/>
          <w:highlight w:val="none"/>
          <w:lang w:val="zh-CN"/>
        </w:rPr>
        <w:sectPr>
          <w:pgSz w:w="11906" w:h="16838"/>
          <w:pgMar w:top="1134" w:right="1247" w:bottom="1247" w:left="1304" w:header="794" w:footer="794" w:gutter="0"/>
          <w:cols w:space="720" w:num="1"/>
          <w:docGrid w:type="lines" w:linePitch="312" w:charSpace="0"/>
        </w:sectPr>
      </w:pPr>
      <w:bookmarkStart w:id="124" w:name="_Toc14452"/>
    </w:p>
    <w:p w14:paraId="22A07881">
      <w:pPr>
        <w:pStyle w:val="6"/>
        <w:snapToGrid w:val="0"/>
        <w:spacing w:before="156" w:after="156" w:line="360" w:lineRule="auto"/>
        <w:ind w:firstLine="643" w:firstLineChars="200"/>
        <w:jc w:val="center"/>
        <w:outlineLvl w:val="0"/>
        <w:rPr>
          <w:rFonts w:ascii="Times New Roman" w:hAnsi="Times New Roman"/>
          <w:b/>
          <w:color w:val="auto"/>
          <w:sz w:val="32"/>
          <w:szCs w:val="32"/>
          <w:highlight w:val="none"/>
          <w:lang w:val="zh-CN"/>
        </w:rPr>
      </w:pPr>
      <w:bookmarkStart w:id="125" w:name="_Toc15275"/>
      <w:bookmarkStart w:id="126" w:name="_Toc719"/>
      <w:bookmarkStart w:id="127" w:name="_Toc23434"/>
      <w:bookmarkStart w:id="128" w:name="_Toc21551"/>
      <w:r>
        <w:rPr>
          <w:rFonts w:hint="eastAsia" w:ascii="Times New Roman" w:hAnsi="Times New Roman"/>
          <w:b/>
          <w:color w:val="auto"/>
          <w:sz w:val="32"/>
          <w:szCs w:val="32"/>
          <w:highlight w:val="none"/>
        </w:rPr>
        <w:t>三</w:t>
      </w:r>
      <w:r>
        <w:rPr>
          <w:rFonts w:ascii="Times New Roman" w:hAnsi="Times New Roman"/>
          <w:b/>
          <w:color w:val="auto"/>
          <w:sz w:val="32"/>
          <w:szCs w:val="32"/>
          <w:highlight w:val="none"/>
          <w:lang w:val="zh-CN"/>
        </w:rPr>
        <w:t>、法定代表人及授权代表人的身份证 (复印件加盖公章)</w:t>
      </w:r>
      <w:bookmarkEnd w:id="124"/>
      <w:bookmarkEnd w:id="125"/>
      <w:bookmarkEnd w:id="126"/>
      <w:bookmarkEnd w:id="127"/>
      <w:bookmarkEnd w:id="128"/>
    </w:p>
    <w:p w14:paraId="6BFBF713">
      <w:pPr>
        <w:snapToGrid w:val="0"/>
        <w:spacing w:line="360" w:lineRule="auto"/>
        <w:ind w:right="480"/>
        <w:jc w:val="center"/>
        <w:rPr>
          <w:rFonts w:hint="default"/>
          <w:b/>
          <w:bCs/>
          <w:color w:val="auto"/>
          <w:kern w:val="0"/>
          <w:sz w:val="24"/>
          <w:highlight w:val="none"/>
          <w:lang w:val="zh-CN"/>
        </w:rPr>
      </w:pPr>
    </w:p>
    <w:p w14:paraId="7D419720">
      <w:pPr>
        <w:snapToGrid w:val="0"/>
        <w:spacing w:line="360" w:lineRule="auto"/>
        <w:ind w:right="480"/>
        <w:rPr>
          <w:rFonts w:hint="default"/>
          <w:b/>
          <w:bCs/>
          <w:color w:val="auto"/>
          <w:kern w:val="0"/>
          <w:sz w:val="24"/>
          <w:highlight w:val="none"/>
          <w:lang w:val="zh-CN"/>
        </w:rPr>
      </w:pPr>
    </w:p>
    <w:p w14:paraId="24877D1F">
      <w:pPr>
        <w:pStyle w:val="6"/>
        <w:snapToGrid w:val="0"/>
        <w:spacing w:before="156" w:after="156" w:line="360" w:lineRule="auto"/>
        <w:ind w:firstLine="643" w:firstLineChars="200"/>
        <w:jc w:val="center"/>
        <w:outlineLvl w:val="0"/>
        <w:rPr>
          <w:rFonts w:ascii="Times New Roman" w:hAnsi="Times New Roman"/>
          <w:b/>
          <w:color w:val="auto"/>
          <w:sz w:val="32"/>
          <w:szCs w:val="32"/>
          <w:highlight w:val="none"/>
          <w:lang w:val="zh-CN"/>
        </w:rPr>
        <w:sectPr>
          <w:pgSz w:w="11906" w:h="16838"/>
          <w:pgMar w:top="1134" w:right="1247" w:bottom="1247" w:left="1304" w:header="794" w:footer="794" w:gutter="0"/>
          <w:cols w:space="720" w:num="1"/>
          <w:docGrid w:type="lines" w:linePitch="312" w:charSpace="0"/>
        </w:sectPr>
      </w:pPr>
      <w:bookmarkStart w:id="129" w:name="_Toc17748"/>
    </w:p>
    <w:bookmarkEnd w:id="129"/>
    <w:p w14:paraId="746ABCD5">
      <w:pPr>
        <w:pStyle w:val="6"/>
        <w:snapToGrid w:val="0"/>
        <w:spacing w:before="156" w:after="156" w:line="360" w:lineRule="auto"/>
        <w:ind w:firstLine="643" w:firstLineChars="200"/>
        <w:jc w:val="center"/>
        <w:outlineLvl w:val="0"/>
        <w:rPr>
          <w:rFonts w:ascii="Times New Roman" w:hAnsi="Times New Roman"/>
          <w:b/>
          <w:color w:val="auto"/>
          <w:sz w:val="32"/>
          <w:szCs w:val="32"/>
          <w:highlight w:val="none"/>
          <w:lang w:val="zh-CN"/>
        </w:rPr>
      </w:pPr>
      <w:bookmarkStart w:id="130" w:name="_Toc6649"/>
      <w:bookmarkStart w:id="131" w:name="_Toc1529"/>
      <w:bookmarkStart w:id="132" w:name="_Toc31020"/>
      <w:bookmarkStart w:id="133" w:name="_Toc23712"/>
      <w:bookmarkStart w:id="134" w:name="_Toc7478"/>
      <w:r>
        <w:rPr>
          <w:rFonts w:hint="eastAsia" w:ascii="Times New Roman" w:hAnsi="Times New Roman"/>
          <w:b/>
          <w:color w:val="auto"/>
          <w:sz w:val="32"/>
          <w:szCs w:val="32"/>
          <w:highlight w:val="none"/>
        </w:rPr>
        <w:t>四</w:t>
      </w:r>
      <w:r>
        <w:rPr>
          <w:rFonts w:ascii="Times New Roman" w:hAnsi="Times New Roman"/>
          <w:b/>
          <w:color w:val="auto"/>
          <w:sz w:val="32"/>
          <w:szCs w:val="32"/>
          <w:highlight w:val="none"/>
          <w:lang w:val="zh-CN"/>
        </w:rPr>
        <w:t>、公司介绍及同类项目经验</w:t>
      </w:r>
      <w:bookmarkEnd w:id="130"/>
      <w:bookmarkEnd w:id="131"/>
      <w:bookmarkEnd w:id="132"/>
      <w:bookmarkEnd w:id="133"/>
      <w:bookmarkEnd w:id="134"/>
    </w:p>
    <w:p w14:paraId="37C9E1F0">
      <w:pPr>
        <w:autoSpaceDE w:val="0"/>
        <w:autoSpaceDN w:val="0"/>
        <w:snapToGrid w:val="0"/>
        <w:spacing w:line="360" w:lineRule="auto"/>
        <w:ind w:firstLine="5160" w:firstLineChars="2150"/>
        <w:rPr>
          <w:rFonts w:hint="default"/>
          <w:color w:val="auto"/>
          <w:kern w:val="0"/>
          <w:sz w:val="24"/>
          <w:highlight w:val="none"/>
          <w:lang w:val="zh-CN"/>
        </w:rPr>
      </w:pPr>
    </w:p>
    <w:p w14:paraId="2538F5A0">
      <w:pPr>
        <w:snapToGrid w:val="0"/>
        <w:spacing w:line="360" w:lineRule="auto"/>
        <w:jc w:val="left"/>
        <w:rPr>
          <w:rFonts w:hint="default"/>
          <w:color w:val="auto"/>
          <w:sz w:val="24"/>
          <w:highlight w:val="none"/>
          <w:u w:val="single"/>
        </w:rPr>
      </w:pPr>
      <w:r>
        <w:rPr>
          <w:rFonts w:hint="default"/>
          <w:color w:val="auto"/>
          <w:sz w:val="24"/>
          <w:highlight w:val="none"/>
        </w:rPr>
        <w:t>项目名称：                           项目编号：</w:t>
      </w:r>
    </w:p>
    <w:tbl>
      <w:tblPr>
        <w:tblStyle w:val="41"/>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58"/>
        <w:gridCol w:w="2163"/>
        <w:gridCol w:w="1865"/>
        <w:gridCol w:w="2275"/>
        <w:gridCol w:w="1676"/>
      </w:tblGrid>
      <w:tr w14:paraId="3D1F3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jc w:val="center"/>
        </w:trPr>
        <w:tc>
          <w:tcPr>
            <w:tcW w:w="1058" w:type="dxa"/>
            <w:noWrap/>
            <w:vAlign w:val="center"/>
          </w:tcPr>
          <w:p w14:paraId="7F481CED">
            <w:pPr>
              <w:jc w:val="center"/>
              <w:rPr>
                <w:rFonts w:hint="default"/>
                <w:color w:val="auto"/>
                <w:sz w:val="24"/>
                <w:szCs w:val="22"/>
                <w:highlight w:val="none"/>
              </w:rPr>
            </w:pPr>
            <w:r>
              <w:rPr>
                <w:rFonts w:hint="default"/>
                <w:color w:val="auto"/>
                <w:sz w:val="24"/>
                <w:szCs w:val="22"/>
                <w:highlight w:val="none"/>
              </w:rPr>
              <w:t>序号</w:t>
            </w:r>
          </w:p>
        </w:tc>
        <w:tc>
          <w:tcPr>
            <w:tcW w:w="2163" w:type="dxa"/>
            <w:noWrap/>
            <w:vAlign w:val="center"/>
          </w:tcPr>
          <w:p w14:paraId="468B15F3">
            <w:pPr>
              <w:jc w:val="center"/>
              <w:rPr>
                <w:rFonts w:hint="default"/>
                <w:color w:val="auto"/>
                <w:sz w:val="24"/>
                <w:szCs w:val="22"/>
                <w:highlight w:val="none"/>
              </w:rPr>
            </w:pPr>
            <w:r>
              <w:rPr>
                <w:rFonts w:hint="default"/>
                <w:color w:val="auto"/>
                <w:sz w:val="24"/>
                <w:szCs w:val="22"/>
                <w:highlight w:val="none"/>
              </w:rPr>
              <w:t>项目名称</w:t>
            </w:r>
          </w:p>
        </w:tc>
        <w:tc>
          <w:tcPr>
            <w:tcW w:w="1865" w:type="dxa"/>
            <w:noWrap/>
            <w:vAlign w:val="center"/>
          </w:tcPr>
          <w:p w14:paraId="1A5A33DD">
            <w:pPr>
              <w:jc w:val="center"/>
              <w:rPr>
                <w:rFonts w:hint="default"/>
                <w:color w:val="auto"/>
                <w:sz w:val="24"/>
                <w:szCs w:val="22"/>
                <w:highlight w:val="none"/>
              </w:rPr>
            </w:pPr>
            <w:r>
              <w:rPr>
                <w:color w:val="auto"/>
                <w:sz w:val="24"/>
                <w:szCs w:val="22"/>
                <w:highlight w:val="none"/>
              </w:rPr>
              <w:t>采购</w:t>
            </w:r>
            <w:r>
              <w:rPr>
                <w:rFonts w:hint="default"/>
                <w:color w:val="auto"/>
                <w:sz w:val="24"/>
                <w:szCs w:val="22"/>
                <w:highlight w:val="none"/>
              </w:rPr>
              <w:t>单位</w:t>
            </w:r>
          </w:p>
        </w:tc>
        <w:tc>
          <w:tcPr>
            <w:tcW w:w="2275" w:type="dxa"/>
            <w:noWrap/>
            <w:vAlign w:val="center"/>
          </w:tcPr>
          <w:p w14:paraId="2528ABB6">
            <w:pPr>
              <w:jc w:val="center"/>
              <w:rPr>
                <w:rFonts w:hint="default"/>
                <w:color w:val="auto"/>
                <w:sz w:val="24"/>
                <w:szCs w:val="22"/>
                <w:highlight w:val="none"/>
              </w:rPr>
            </w:pPr>
            <w:r>
              <w:rPr>
                <w:rFonts w:hint="default"/>
                <w:color w:val="auto"/>
                <w:sz w:val="24"/>
                <w:szCs w:val="22"/>
                <w:highlight w:val="none"/>
              </w:rPr>
              <w:t>合同签订时间</w:t>
            </w:r>
          </w:p>
        </w:tc>
        <w:tc>
          <w:tcPr>
            <w:tcW w:w="1676" w:type="dxa"/>
            <w:noWrap/>
            <w:vAlign w:val="center"/>
          </w:tcPr>
          <w:p w14:paraId="1A4C8159">
            <w:pPr>
              <w:jc w:val="center"/>
              <w:rPr>
                <w:rFonts w:hint="default"/>
                <w:color w:val="auto"/>
                <w:sz w:val="24"/>
                <w:szCs w:val="22"/>
                <w:highlight w:val="none"/>
              </w:rPr>
            </w:pPr>
            <w:r>
              <w:rPr>
                <w:rFonts w:hint="default"/>
                <w:color w:val="auto"/>
                <w:sz w:val="24"/>
                <w:szCs w:val="22"/>
                <w:highlight w:val="none"/>
              </w:rPr>
              <w:t>合同金额</w:t>
            </w:r>
          </w:p>
        </w:tc>
      </w:tr>
      <w:tr w14:paraId="55C4A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1058" w:type="dxa"/>
            <w:noWrap/>
            <w:vAlign w:val="center"/>
          </w:tcPr>
          <w:p w14:paraId="57948B8E">
            <w:pPr>
              <w:jc w:val="center"/>
              <w:rPr>
                <w:rFonts w:hint="default"/>
                <w:color w:val="auto"/>
                <w:sz w:val="24"/>
                <w:szCs w:val="22"/>
                <w:highlight w:val="none"/>
              </w:rPr>
            </w:pPr>
            <w:r>
              <w:rPr>
                <w:rFonts w:hint="default"/>
                <w:color w:val="auto"/>
                <w:sz w:val="24"/>
                <w:szCs w:val="22"/>
                <w:highlight w:val="none"/>
              </w:rPr>
              <w:t>1</w:t>
            </w:r>
          </w:p>
        </w:tc>
        <w:tc>
          <w:tcPr>
            <w:tcW w:w="2163" w:type="dxa"/>
            <w:noWrap/>
            <w:vAlign w:val="center"/>
          </w:tcPr>
          <w:p w14:paraId="09B0DC0C">
            <w:pPr>
              <w:rPr>
                <w:rFonts w:hint="default"/>
                <w:color w:val="auto"/>
                <w:sz w:val="24"/>
                <w:szCs w:val="22"/>
                <w:highlight w:val="none"/>
              </w:rPr>
            </w:pPr>
          </w:p>
        </w:tc>
        <w:tc>
          <w:tcPr>
            <w:tcW w:w="1865" w:type="dxa"/>
            <w:noWrap/>
            <w:vAlign w:val="center"/>
          </w:tcPr>
          <w:p w14:paraId="42E132A7">
            <w:pPr>
              <w:rPr>
                <w:rFonts w:hint="default"/>
                <w:color w:val="auto"/>
                <w:sz w:val="24"/>
                <w:szCs w:val="22"/>
                <w:highlight w:val="none"/>
              </w:rPr>
            </w:pPr>
          </w:p>
        </w:tc>
        <w:tc>
          <w:tcPr>
            <w:tcW w:w="2275" w:type="dxa"/>
            <w:noWrap/>
            <w:vAlign w:val="center"/>
          </w:tcPr>
          <w:p w14:paraId="1BCBDE64">
            <w:pPr>
              <w:rPr>
                <w:rFonts w:hint="default"/>
                <w:color w:val="auto"/>
                <w:sz w:val="24"/>
                <w:szCs w:val="22"/>
                <w:highlight w:val="none"/>
              </w:rPr>
            </w:pPr>
          </w:p>
        </w:tc>
        <w:tc>
          <w:tcPr>
            <w:tcW w:w="1676" w:type="dxa"/>
            <w:noWrap/>
            <w:vAlign w:val="center"/>
          </w:tcPr>
          <w:p w14:paraId="4F118011">
            <w:pPr>
              <w:rPr>
                <w:rFonts w:hint="default"/>
                <w:color w:val="auto"/>
                <w:sz w:val="24"/>
                <w:szCs w:val="22"/>
                <w:highlight w:val="none"/>
              </w:rPr>
            </w:pPr>
          </w:p>
        </w:tc>
      </w:tr>
      <w:tr w14:paraId="7006C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1058" w:type="dxa"/>
            <w:noWrap/>
            <w:vAlign w:val="center"/>
          </w:tcPr>
          <w:p w14:paraId="058FDCDE">
            <w:pPr>
              <w:jc w:val="center"/>
              <w:rPr>
                <w:rFonts w:hint="default"/>
                <w:color w:val="auto"/>
                <w:sz w:val="24"/>
                <w:szCs w:val="22"/>
                <w:highlight w:val="none"/>
              </w:rPr>
            </w:pPr>
            <w:r>
              <w:rPr>
                <w:rFonts w:hint="default"/>
                <w:color w:val="auto"/>
                <w:sz w:val="24"/>
                <w:szCs w:val="22"/>
                <w:highlight w:val="none"/>
              </w:rPr>
              <w:t>2</w:t>
            </w:r>
          </w:p>
        </w:tc>
        <w:tc>
          <w:tcPr>
            <w:tcW w:w="2163" w:type="dxa"/>
            <w:noWrap/>
            <w:vAlign w:val="center"/>
          </w:tcPr>
          <w:p w14:paraId="171D764D">
            <w:pPr>
              <w:rPr>
                <w:rFonts w:hint="default"/>
                <w:color w:val="auto"/>
                <w:sz w:val="24"/>
                <w:szCs w:val="22"/>
                <w:highlight w:val="none"/>
              </w:rPr>
            </w:pPr>
          </w:p>
        </w:tc>
        <w:tc>
          <w:tcPr>
            <w:tcW w:w="1865" w:type="dxa"/>
            <w:noWrap/>
            <w:vAlign w:val="center"/>
          </w:tcPr>
          <w:p w14:paraId="2DB84722">
            <w:pPr>
              <w:rPr>
                <w:rFonts w:hint="default"/>
                <w:color w:val="auto"/>
                <w:sz w:val="24"/>
                <w:szCs w:val="22"/>
                <w:highlight w:val="none"/>
              </w:rPr>
            </w:pPr>
          </w:p>
        </w:tc>
        <w:tc>
          <w:tcPr>
            <w:tcW w:w="2275" w:type="dxa"/>
            <w:noWrap/>
            <w:vAlign w:val="center"/>
          </w:tcPr>
          <w:p w14:paraId="22031111">
            <w:pPr>
              <w:rPr>
                <w:rFonts w:hint="default"/>
                <w:color w:val="auto"/>
                <w:sz w:val="24"/>
                <w:szCs w:val="22"/>
                <w:highlight w:val="none"/>
              </w:rPr>
            </w:pPr>
          </w:p>
        </w:tc>
        <w:tc>
          <w:tcPr>
            <w:tcW w:w="1676" w:type="dxa"/>
            <w:noWrap/>
            <w:vAlign w:val="center"/>
          </w:tcPr>
          <w:p w14:paraId="0F574B9A">
            <w:pPr>
              <w:rPr>
                <w:rFonts w:hint="default"/>
                <w:color w:val="auto"/>
                <w:sz w:val="24"/>
                <w:szCs w:val="22"/>
                <w:highlight w:val="none"/>
              </w:rPr>
            </w:pPr>
          </w:p>
        </w:tc>
      </w:tr>
      <w:tr w14:paraId="3F7ED0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1058" w:type="dxa"/>
            <w:noWrap/>
            <w:vAlign w:val="center"/>
          </w:tcPr>
          <w:p w14:paraId="010356DC">
            <w:pPr>
              <w:jc w:val="center"/>
              <w:rPr>
                <w:rFonts w:hint="default"/>
                <w:color w:val="auto"/>
                <w:sz w:val="24"/>
                <w:szCs w:val="22"/>
                <w:highlight w:val="none"/>
              </w:rPr>
            </w:pPr>
            <w:r>
              <w:rPr>
                <w:rFonts w:hint="default"/>
                <w:color w:val="auto"/>
                <w:sz w:val="24"/>
                <w:szCs w:val="22"/>
                <w:highlight w:val="none"/>
              </w:rPr>
              <w:t>3</w:t>
            </w:r>
          </w:p>
        </w:tc>
        <w:tc>
          <w:tcPr>
            <w:tcW w:w="2163" w:type="dxa"/>
            <w:noWrap/>
            <w:vAlign w:val="center"/>
          </w:tcPr>
          <w:p w14:paraId="791AAA9B">
            <w:pPr>
              <w:rPr>
                <w:rFonts w:hint="default"/>
                <w:color w:val="auto"/>
                <w:sz w:val="24"/>
                <w:szCs w:val="22"/>
                <w:highlight w:val="none"/>
              </w:rPr>
            </w:pPr>
          </w:p>
        </w:tc>
        <w:tc>
          <w:tcPr>
            <w:tcW w:w="1865" w:type="dxa"/>
            <w:noWrap/>
            <w:vAlign w:val="center"/>
          </w:tcPr>
          <w:p w14:paraId="1990213C">
            <w:pPr>
              <w:rPr>
                <w:rFonts w:hint="default"/>
                <w:color w:val="auto"/>
                <w:sz w:val="24"/>
                <w:szCs w:val="22"/>
                <w:highlight w:val="none"/>
              </w:rPr>
            </w:pPr>
          </w:p>
        </w:tc>
        <w:tc>
          <w:tcPr>
            <w:tcW w:w="2275" w:type="dxa"/>
            <w:noWrap/>
            <w:vAlign w:val="center"/>
          </w:tcPr>
          <w:p w14:paraId="76D7733D">
            <w:pPr>
              <w:rPr>
                <w:rFonts w:hint="default"/>
                <w:color w:val="auto"/>
                <w:sz w:val="24"/>
                <w:szCs w:val="22"/>
                <w:highlight w:val="none"/>
              </w:rPr>
            </w:pPr>
          </w:p>
        </w:tc>
        <w:tc>
          <w:tcPr>
            <w:tcW w:w="1676" w:type="dxa"/>
            <w:noWrap/>
            <w:vAlign w:val="center"/>
          </w:tcPr>
          <w:p w14:paraId="6B851E50">
            <w:pPr>
              <w:rPr>
                <w:rFonts w:hint="default"/>
                <w:color w:val="auto"/>
                <w:sz w:val="24"/>
                <w:szCs w:val="22"/>
                <w:highlight w:val="none"/>
              </w:rPr>
            </w:pPr>
          </w:p>
        </w:tc>
      </w:tr>
      <w:tr w14:paraId="20F49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1058" w:type="dxa"/>
            <w:noWrap/>
            <w:vAlign w:val="center"/>
          </w:tcPr>
          <w:p w14:paraId="0E29F38C">
            <w:pPr>
              <w:jc w:val="center"/>
              <w:rPr>
                <w:rFonts w:hint="default"/>
                <w:color w:val="auto"/>
                <w:sz w:val="24"/>
                <w:szCs w:val="22"/>
                <w:highlight w:val="none"/>
              </w:rPr>
            </w:pPr>
            <w:r>
              <w:rPr>
                <w:rFonts w:hint="default"/>
                <w:color w:val="auto"/>
                <w:sz w:val="24"/>
                <w:szCs w:val="22"/>
                <w:highlight w:val="none"/>
              </w:rPr>
              <w:t>4</w:t>
            </w:r>
          </w:p>
        </w:tc>
        <w:tc>
          <w:tcPr>
            <w:tcW w:w="2163" w:type="dxa"/>
            <w:noWrap/>
            <w:vAlign w:val="center"/>
          </w:tcPr>
          <w:p w14:paraId="675FA96E">
            <w:pPr>
              <w:rPr>
                <w:rFonts w:hint="default"/>
                <w:color w:val="auto"/>
                <w:sz w:val="24"/>
                <w:szCs w:val="22"/>
                <w:highlight w:val="none"/>
              </w:rPr>
            </w:pPr>
          </w:p>
        </w:tc>
        <w:tc>
          <w:tcPr>
            <w:tcW w:w="1865" w:type="dxa"/>
            <w:noWrap/>
            <w:vAlign w:val="center"/>
          </w:tcPr>
          <w:p w14:paraId="1A681B30">
            <w:pPr>
              <w:rPr>
                <w:rFonts w:hint="default"/>
                <w:color w:val="auto"/>
                <w:sz w:val="24"/>
                <w:szCs w:val="22"/>
                <w:highlight w:val="none"/>
              </w:rPr>
            </w:pPr>
          </w:p>
        </w:tc>
        <w:tc>
          <w:tcPr>
            <w:tcW w:w="2275" w:type="dxa"/>
            <w:noWrap/>
            <w:vAlign w:val="center"/>
          </w:tcPr>
          <w:p w14:paraId="4FC5791D">
            <w:pPr>
              <w:rPr>
                <w:rFonts w:hint="default"/>
                <w:color w:val="auto"/>
                <w:sz w:val="24"/>
                <w:szCs w:val="22"/>
                <w:highlight w:val="none"/>
              </w:rPr>
            </w:pPr>
          </w:p>
        </w:tc>
        <w:tc>
          <w:tcPr>
            <w:tcW w:w="1676" w:type="dxa"/>
            <w:noWrap/>
            <w:vAlign w:val="center"/>
          </w:tcPr>
          <w:p w14:paraId="7DB600BD">
            <w:pPr>
              <w:rPr>
                <w:rFonts w:hint="default"/>
                <w:color w:val="auto"/>
                <w:sz w:val="24"/>
                <w:szCs w:val="22"/>
                <w:highlight w:val="none"/>
              </w:rPr>
            </w:pPr>
          </w:p>
        </w:tc>
      </w:tr>
      <w:tr w14:paraId="278FA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1058" w:type="dxa"/>
            <w:noWrap/>
            <w:vAlign w:val="center"/>
          </w:tcPr>
          <w:p w14:paraId="0B0E384C">
            <w:pPr>
              <w:jc w:val="center"/>
              <w:rPr>
                <w:rFonts w:hint="default"/>
                <w:color w:val="auto"/>
                <w:sz w:val="24"/>
                <w:szCs w:val="22"/>
                <w:highlight w:val="none"/>
              </w:rPr>
            </w:pPr>
            <w:r>
              <w:rPr>
                <w:rFonts w:hint="default"/>
                <w:color w:val="auto"/>
                <w:sz w:val="24"/>
                <w:szCs w:val="22"/>
                <w:highlight w:val="none"/>
              </w:rPr>
              <w:t>5</w:t>
            </w:r>
          </w:p>
        </w:tc>
        <w:tc>
          <w:tcPr>
            <w:tcW w:w="2163" w:type="dxa"/>
            <w:noWrap/>
            <w:vAlign w:val="center"/>
          </w:tcPr>
          <w:p w14:paraId="5B9086B9">
            <w:pPr>
              <w:rPr>
                <w:rFonts w:hint="default"/>
                <w:color w:val="auto"/>
                <w:sz w:val="24"/>
                <w:szCs w:val="22"/>
                <w:highlight w:val="none"/>
              </w:rPr>
            </w:pPr>
          </w:p>
        </w:tc>
        <w:tc>
          <w:tcPr>
            <w:tcW w:w="1865" w:type="dxa"/>
            <w:noWrap/>
            <w:vAlign w:val="center"/>
          </w:tcPr>
          <w:p w14:paraId="41E5FF00">
            <w:pPr>
              <w:rPr>
                <w:rFonts w:hint="default"/>
                <w:color w:val="auto"/>
                <w:sz w:val="24"/>
                <w:szCs w:val="22"/>
                <w:highlight w:val="none"/>
              </w:rPr>
            </w:pPr>
          </w:p>
        </w:tc>
        <w:tc>
          <w:tcPr>
            <w:tcW w:w="2275" w:type="dxa"/>
            <w:noWrap/>
            <w:vAlign w:val="center"/>
          </w:tcPr>
          <w:p w14:paraId="4318D91B">
            <w:pPr>
              <w:rPr>
                <w:rFonts w:hint="default"/>
                <w:color w:val="auto"/>
                <w:sz w:val="24"/>
                <w:szCs w:val="22"/>
                <w:highlight w:val="none"/>
              </w:rPr>
            </w:pPr>
          </w:p>
        </w:tc>
        <w:tc>
          <w:tcPr>
            <w:tcW w:w="1676" w:type="dxa"/>
            <w:noWrap/>
            <w:vAlign w:val="center"/>
          </w:tcPr>
          <w:p w14:paraId="15F5E169">
            <w:pPr>
              <w:rPr>
                <w:rFonts w:hint="default"/>
                <w:color w:val="auto"/>
                <w:sz w:val="24"/>
                <w:szCs w:val="22"/>
                <w:highlight w:val="none"/>
              </w:rPr>
            </w:pPr>
          </w:p>
        </w:tc>
      </w:tr>
      <w:tr w14:paraId="5C7BC4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1058" w:type="dxa"/>
            <w:noWrap/>
            <w:vAlign w:val="center"/>
          </w:tcPr>
          <w:p w14:paraId="791BD2C3">
            <w:pPr>
              <w:jc w:val="center"/>
              <w:rPr>
                <w:rFonts w:hint="default"/>
                <w:color w:val="auto"/>
                <w:sz w:val="24"/>
                <w:szCs w:val="22"/>
                <w:highlight w:val="none"/>
              </w:rPr>
            </w:pPr>
            <w:r>
              <w:rPr>
                <w:rFonts w:hint="default"/>
                <w:color w:val="auto"/>
                <w:sz w:val="24"/>
                <w:szCs w:val="22"/>
                <w:highlight w:val="none"/>
              </w:rPr>
              <w:t>6</w:t>
            </w:r>
          </w:p>
        </w:tc>
        <w:tc>
          <w:tcPr>
            <w:tcW w:w="2163" w:type="dxa"/>
            <w:noWrap/>
            <w:vAlign w:val="center"/>
          </w:tcPr>
          <w:p w14:paraId="2C2EB002">
            <w:pPr>
              <w:rPr>
                <w:rFonts w:hint="default"/>
                <w:color w:val="auto"/>
                <w:sz w:val="24"/>
                <w:szCs w:val="22"/>
                <w:highlight w:val="none"/>
              </w:rPr>
            </w:pPr>
          </w:p>
        </w:tc>
        <w:tc>
          <w:tcPr>
            <w:tcW w:w="1865" w:type="dxa"/>
            <w:noWrap/>
            <w:vAlign w:val="center"/>
          </w:tcPr>
          <w:p w14:paraId="2E1F92B2">
            <w:pPr>
              <w:rPr>
                <w:rFonts w:hint="default"/>
                <w:color w:val="auto"/>
                <w:sz w:val="24"/>
                <w:szCs w:val="22"/>
                <w:highlight w:val="none"/>
              </w:rPr>
            </w:pPr>
          </w:p>
        </w:tc>
        <w:tc>
          <w:tcPr>
            <w:tcW w:w="2275" w:type="dxa"/>
            <w:noWrap/>
            <w:vAlign w:val="center"/>
          </w:tcPr>
          <w:p w14:paraId="25F03474">
            <w:pPr>
              <w:rPr>
                <w:rFonts w:hint="default"/>
                <w:color w:val="auto"/>
                <w:sz w:val="24"/>
                <w:szCs w:val="22"/>
                <w:highlight w:val="none"/>
              </w:rPr>
            </w:pPr>
          </w:p>
        </w:tc>
        <w:tc>
          <w:tcPr>
            <w:tcW w:w="1676" w:type="dxa"/>
            <w:noWrap/>
            <w:vAlign w:val="center"/>
          </w:tcPr>
          <w:p w14:paraId="7AC0EE2D">
            <w:pPr>
              <w:rPr>
                <w:rFonts w:hint="default"/>
                <w:color w:val="auto"/>
                <w:sz w:val="24"/>
                <w:szCs w:val="22"/>
                <w:highlight w:val="none"/>
              </w:rPr>
            </w:pPr>
          </w:p>
        </w:tc>
      </w:tr>
      <w:tr w14:paraId="726F40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1058" w:type="dxa"/>
            <w:noWrap/>
            <w:vAlign w:val="center"/>
          </w:tcPr>
          <w:p w14:paraId="6172488B">
            <w:pPr>
              <w:jc w:val="center"/>
              <w:rPr>
                <w:rFonts w:hint="default"/>
                <w:color w:val="auto"/>
                <w:sz w:val="24"/>
                <w:szCs w:val="22"/>
                <w:highlight w:val="none"/>
              </w:rPr>
            </w:pPr>
            <w:r>
              <w:rPr>
                <w:rFonts w:hint="default"/>
                <w:color w:val="auto"/>
                <w:sz w:val="24"/>
                <w:szCs w:val="22"/>
                <w:highlight w:val="none"/>
              </w:rPr>
              <w:t>7</w:t>
            </w:r>
          </w:p>
        </w:tc>
        <w:tc>
          <w:tcPr>
            <w:tcW w:w="2163" w:type="dxa"/>
            <w:noWrap/>
            <w:vAlign w:val="center"/>
          </w:tcPr>
          <w:p w14:paraId="09B84D9E">
            <w:pPr>
              <w:rPr>
                <w:rFonts w:hint="default"/>
                <w:color w:val="auto"/>
                <w:sz w:val="24"/>
                <w:szCs w:val="22"/>
                <w:highlight w:val="none"/>
              </w:rPr>
            </w:pPr>
          </w:p>
        </w:tc>
        <w:tc>
          <w:tcPr>
            <w:tcW w:w="1865" w:type="dxa"/>
            <w:noWrap/>
            <w:vAlign w:val="center"/>
          </w:tcPr>
          <w:p w14:paraId="4718FAEB">
            <w:pPr>
              <w:rPr>
                <w:rFonts w:hint="default"/>
                <w:color w:val="auto"/>
                <w:sz w:val="24"/>
                <w:szCs w:val="22"/>
                <w:highlight w:val="none"/>
              </w:rPr>
            </w:pPr>
          </w:p>
        </w:tc>
        <w:tc>
          <w:tcPr>
            <w:tcW w:w="2275" w:type="dxa"/>
            <w:noWrap/>
            <w:vAlign w:val="center"/>
          </w:tcPr>
          <w:p w14:paraId="6A79311C">
            <w:pPr>
              <w:rPr>
                <w:rFonts w:hint="default"/>
                <w:color w:val="auto"/>
                <w:sz w:val="24"/>
                <w:szCs w:val="22"/>
                <w:highlight w:val="none"/>
              </w:rPr>
            </w:pPr>
          </w:p>
        </w:tc>
        <w:tc>
          <w:tcPr>
            <w:tcW w:w="1676" w:type="dxa"/>
            <w:noWrap/>
            <w:vAlign w:val="center"/>
          </w:tcPr>
          <w:p w14:paraId="4C7D80A3">
            <w:pPr>
              <w:rPr>
                <w:rFonts w:hint="default"/>
                <w:color w:val="auto"/>
                <w:sz w:val="24"/>
                <w:szCs w:val="22"/>
                <w:highlight w:val="none"/>
              </w:rPr>
            </w:pPr>
          </w:p>
        </w:tc>
      </w:tr>
      <w:tr w14:paraId="31536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1058" w:type="dxa"/>
            <w:noWrap/>
            <w:vAlign w:val="center"/>
          </w:tcPr>
          <w:p w14:paraId="6C88AA1F">
            <w:pPr>
              <w:jc w:val="center"/>
              <w:rPr>
                <w:rFonts w:hint="default"/>
                <w:color w:val="auto"/>
                <w:sz w:val="24"/>
                <w:szCs w:val="22"/>
                <w:highlight w:val="none"/>
              </w:rPr>
            </w:pPr>
            <w:r>
              <w:rPr>
                <w:rFonts w:hint="default"/>
                <w:color w:val="auto"/>
                <w:sz w:val="24"/>
                <w:szCs w:val="22"/>
                <w:highlight w:val="none"/>
              </w:rPr>
              <w:t>8</w:t>
            </w:r>
          </w:p>
        </w:tc>
        <w:tc>
          <w:tcPr>
            <w:tcW w:w="2163" w:type="dxa"/>
            <w:noWrap/>
            <w:vAlign w:val="center"/>
          </w:tcPr>
          <w:p w14:paraId="53668CD4">
            <w:pPr>
              <w:rPr>
                <w:rFonts w:hint="default"/>
                <w:color w:val="auto"/>
                <w:sz w:val="24"/>
                <w:szCs w:val="22"/>
                <w:highlight w:val="none"/>
              </w:rPr>
            </w:pPr>
          </w:p>
        </w:tc>
        <w:tc>
          <w:tcPr>
            <w:tcW w:w="1865" w:type="dxa"/>
            <w:noWrap/>
            <w:vAlign w:val="center"/>
          </w:tcPr>
          <w:p w14:paraId="04635A1B">
            <w:pPr>
              <w:rPr>
                <w:rFonts w:hint="default"/>
                <w:color w:val="auto"/>
                <w:sz w:val="24"/>
                <w:szCs w:val="22"/>
                <w:highlight w:val="none"/>
              </w:rPr>
            </w:pPr>
          </w:p>
        </w:tc>
        <w:tc>
          <w:tcPr>
            <w:tcW w:w="2275" w:type="dxa"/>
            <w:noWrap/>
            <w:vAlign w:val="center"/>
          </w:tcPr>
          <w:p w14:paraId="161ABC8D">
            <w:pPr>
              <w:rPr>
                <w:rFonts w:hint="default"/>
                <w:color w:val="auto"/>
                <w:sz w:val="24"/>
                <w:szCs w:val="22"/>
                <w:highlight w:val="none"/>
              </w:rPr>
            </w:pPr>
          </w:p>
        </w:tc>
        <w:tc>
          <w:tcPr>
            <w:tcW w:w="1676" w:type="dxa"/>
            <w:noWrap/>
            <w:vAlign w:val="center"/>
          </w:tcPr>
          <w:p w14:paraId="1CD2BAAD">
            <w:pPr>
              <w:rPr>
                <w:rFonts w:hint="default"/>
                <w:color w:val="auto"/>
                <w:sz w:val="24"/>
                <w:szCs w:val="22"/>
                <w:highlight w:val="none"/>
              </w:rPr>
            </w:pPr>
          </w:p>
        </w:tc>
      </w:tr>
      <w:tr w14:paraId="39506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1058" w:type="dxa"/>
            <w:noWrap/>
            <w:vAlign w:val="center"/>
          </w:tcPr>
          <w:p w14:paraId="45E9C166">
            <w:pPr>
              <w:jc w:val="center"/>
              <w:rPr>
                <w:rFonts w:hint="default"/>
                <w:color w:val="auto"/>
                <w:sz w:val="24"/>
                <w:szCs w:val="22"/>
                <w:highlight w:val="none"/>
              </w:rPr>
            </w:pPr>
            <w:r>
              <w:rPr>
                <w:rFonts w:hint="default"/>
                <w:color w:val="auto"/>
                <w:sz w:val="24"/>
                <w:szCs w:val="22"/>
                <w:highlight w:val="none"/>
              </w:rPr>
              <w:t>9</w:t>
            </w:r>
          </w:p>
        </w:tc>
        <w:tc>
          <w:tcPr>
            <w:tcW w:w="2163" w:type="dxa"/>
            <w:noWrap/>
            <w:vAlign w:val="center"/>
          </w:tcPr>
          <w:p w14:paraId="5392AC96">
            <w:pPr>
              <w:rPr>
                <w:rFonts w:hint="default"/>
                <w:color w:val="auto"/>
                <w:sz w:val="24"/>
                <w:szCs w:val="22"/>
                <w:highlight w:val="none"/>
              </w:rPr>
            </w:pPr>
          </w:p>
        </w:tc>
        <w:tc>
          <w:tcPr>
            <w:tcW w:w="1865" w:type="dxa"/>
            <w:noWrap/>
            <w:vAlign w:val="center"/>
          </w:tcPr>
          <w:p w14:paraId="727B27C3">
            <w:pPr>
              <w:rPr>
                <w:rFonts w:hint="default"/>
                <w:color w:val="auto"/>
                <w:sz w:val="24"/>
                <w:szCs w:val="22"/>
                <w:highlight w:val="none"/>
              </w:rPr>
            </w:pPr>
          </w:p>
        </w:tc>
        <w:tc>
          <w:tcPr>
            <w:tcW w:w="2275" w:type="dxa"/>
            <w:noWrap/>
            <w:vAlign w:val="center"/>
          </w:tcPr>
          <w:p w14:paraId="66F93A11">
            <w:pPr>
              <w:rPr>
                <w:rFonts w:hint="default"/>
                <w:color w:val="auto"/>
                <w:sz w:val="24"/>
                <w:szCs w:val="22"/>
                <w:highlight w:val="none"/>
              </w:rPr>
            </w:pPr>
          </w:p>
        </w:tc>
        <w:tc>
          <w:tcPr>
            <w:tcW w:w="1676" w:type="dxa"/>
            <w:noWrap/>
            <w:vAlign w:val="center"/>
          </w:tcPr>
          <w:p w14:paraId="0BA734AC">
            <w:pPr>
              <w:rPr>
                <w:rFonts w:hint="default"/>
                <w:color w:val="auto"/>
                <w:sz w:val="24"/>
                <w:szCs w:val="22"/>
                <w:highlight w:val="none"/>
              </w:rPr>
            </w:pPr>
          </w:p>
        </w:tc>
      </w:tr>
      <w:tr w14:paraId="1F435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1" w:hRule="atLeast"/>
          <w:jc w:val="center"/>
        </w:trPr>
        <w:tc>
          <w:tcPr>
            <w:tcW w:w="1058" w:type="dxa"/>
            <w:noWrap/>
            <w:vAlign w:val="center"/>
          </w:tcPr>
          <w:p w14:paraId="218E3E52">
            <w:pPr>
              <w:jc w:val="center"/>
              <w:rPr>
                <w:rFonts w:hint="default"/>
                <w:color w:val="auto"/>
                <w:sz w:val="24"/>
                <w:szCs w:val="22"/>
                <w:highlight w:val="none"/>
              </w:rPr>
            </w:pPr>
            <w:r>
              <w:rPr>
                <w:rFonts w:hint="default"/>
                <w:color w:val="auto"/>
                <w:sz w:val="24"/>
                <w:szCs w:val="22"/>
                <w:highlight w:val="none"/>
              </w:rPr>
              <w:t>10</w:t>
            </w:r>
          </w:p>
        </w:tc>
        <w:tc>
          <w:tcPr>
            <w:tcW w:w="2163" w:type="dxa"/>
            <w:noWrap/>
            <w:vAlign w:val="center"/>
          </w:tcPr>
          <w:p w14:paraId="0A17D2A4">
            <w:pPr>
              <w:rPr>
                <w:rFonts w:hint="default"/>
                <w:color w:val="auto"/>
                <w:sz w:val="24"/>
                <w:szCs w:val="22"/>
                <w:highlight w:val="none"/>
              </w:rPr>
            </w:pPr>
          </w:p>
        </w:tc>
        <w:tc>
          <w:tcPr>
            <w:tcW w:w="1865" w:type="dxa"/>
            <w:noWrap/>
            <w:vAlign w:val="center"/>
          </w:tcPr>
          <w:p w14:paraId="469BB86F">
            <w:pPr>
              <w:rPr>
                <w:rFonts w:hint="default"/>
                <w:color w:val="auto"/>
                <w:sz w:val="24"/>
                <w:szCs w:val="22"/>
                <w:highlight w:val="none"/>
              </w:rPr>
            </w:pPr>
          </w:p>
        </w:tc>
        <w:tc>
          <w:tcPr>
            <w:tcW w:w="2275" w:type="dxa"/>
            <w:noWrap/>
            <w:vAlign w:val="center"/>
          </w:tcPr>
          <w:p w14:paraId="03233313">
            <w:pPr>
              <w:rPr>
                <w:rFonts w:hint="default"/>
                <w:color w:val="auto"/>
                <w:sz w:val="24"/>
                <w:szCs w:val="22"/>
                <w:highlight w:val="none"/>
              </w:rPr>
            </w:pPr>
          </w:p>
        </w:tc>
        <w:tc>
          <w:tcPr>
            <w:tcW w:w="1676" w:type="dxa"/>
            <w:noWrap/>
            <w:vAlign w:val="center"/>
          </w:tcPr>
          <w:p w14:paraId="553A97DE">
            <w:pPr>
              <w:rPr>
                <w:rFonts w:hint="default"/>
                <w:color w:val="auto"/>
                <w:sz w:val="24"/>
                <w:szCs w:val="22"/>
                <w:highlight w:val="none"/>
              </w:rPr>
            </w:pPr>
          </w:p>
        </w:tc>
      </w:tr>
    </w:tbl>
    <w:p w14:paraId="6001D574">
      <w:pPr>
        <w:pStyle w:val="6"/>
        <w:spacing w:beforeLines="0" w:afterLines="0" w:line="360" w:lineRule="auto"/>
        <w:rPr>
          <w:rFonts w:ascii="Times New Roman" w:hAnsi="Times New Roman"/>
          <w:b/>
          <w:bCs/>
          <w:color w:val="auto"/>
          <w:highlight w:val="none"/>
        </w:rPr>
      </w:pPr>
      <w:r>
        <w:rPr>
          <w:rFonts w:ascii="Times New Roman" w:hAnsi="Times New Roman"/>
          <w:b/>
          <w:color w:val="auto"/>
          <w:highlight w:val="none"/>
        </w:rPr>
        <w:t>注：表中所列的业绩，按评标办法提供证明材料</w:t>
      </w:r>
      <w:r>
        <w:rPr>
          <w:rFonts w:ascii="Times New Roman" w:hAnsi="Times New Roman"/>
          <w:b/>
          <w:bCs/>
          <w:color w:val="auto"/>
          <w:highlight w:val="none"/>
        </w:rPr>
        <w:t>。</w:t>
      </w:r>
    </w:p>
    <w:p w14:paraId="2E7DBAF8">
      <w:pPr>
        <w:pStyle w:val="16"/>
        <w:snapToGrid w:val="0"/>
        <w:spacing w:line="360" w:lineRule="auto"/>
        <w:rPr>
          <w:rFonts w:hint="default" w:ascii="Times New Roman" w:hAnsi="Times New Roman"/>
          <w:color w:val="auto"/>
          <w:highlight w:val="none"/>
          <w:lang w:val="zh-CN"/>
        </w:rPr>
      </w:pPr>
    </w:p>
    <w:p w14:paraId="707769B8">
      <w:pPr>
        <w:pStyle w:val="16"/>
        <w:snapToGrid w:val="0"/>
        <w:spacing w:line="360" w:lineRule="auto"/>
        <w:rPr>
          <w:rFonts w:hint="default" w:ascii="Times New Roman" w:hAnsi="Times New Roman"/>
          <w:color w:val="auto"/>
          <w:highlight w:val="none"/>
          <w:lang w:val="zh-CN"/>
        </w:rPr>
      </w:pPr>
    </w:p>
    <w:p w14:paraId="39CD8A18">
      <w:pPr>
        <w:pStyle w:val="16"/>
        <w:snapToGrid w:val="0"/>
        <w:spacing w:line="360" w:lineRule="auto"/>
        <w:rPr>
          <w:rFonts w:hint="default" w:ascii="Times New Roman" w:hAnsi="Times New Roman"/>
          <w:color w:val="auto"/>
          <w:highlight w:val="none"/>
          <w:lang w:val="zh-CN"/>
        </w:rPr>
      </w:pPr>
    </w:p>
    <w:p w14:paraId="51850DD2">
      <w:pPr>
        <w:adjustRightInd w:val="0"/>
        <w:snapToGrid w:val="0"/>
        <w:spacing w:line="360" w:lineRule="auto"/>
        <w:ind w:firstLine="480" w:firstLineChars="200"/>
        <w:rPr>
          <w:rFonts w:hint="default" w:ascii="宋体" w:hAnsi="宋体" w:cs="宋体"/>
          <w:color w:val="auto"/>
          <w:kern w:val="0"/>
          <w:sz w:val="24"/>
          <w:highlight w:val="none"/>
        </w:rPr>
      </w:pPr>
      <w:bookmarkStart w:id="135" w:name="_Toc16760"/>
      <w:r>
        <w:rPr>
          <w:rFonts w:ascii="宋体" w:hAnsi="宋体" w:cs="宋体"/>
          <w:color w:val="auto"/>
          <w:kern w:val="0"/>
          <w:sz w:val="24"/>
          <w:highlight w:val="none"/>
        </w:rPr>
        <w:t>供应商（</w:t>
      </w:r>
      <w:r>
        <w:rPr>
          <w:rFonts w:ascii="宋体" w:hAnsi="宋体" w:cs="宋体"/>
          <w:color w:val="auto"/>
          <w:kern w:val="0"/>
          <w:sz w:val="24"/>
          <w:highlight w:val="none"/>
          <w:lang w:val="zh-CN"/>
        </w:rPr>
        <w:t>电子签名/公章</w:t>
      </w:r>
      <w:r>
        <w:rPr>
          <w:rFonts w:ascii="宋体" w:hAnsi="宋体" w:cs="宋体"/>
          <w:color w:val="auto"/>
          <w:kern w:val="0"/>
          <w:sz w:val="24"/>
          <w:highlight w:val="none"/>
        </w:rPr>
        <w:t>）：</w:t>
      </w:r>
    </w:p>
    <w:p w14:paraId="24E53967">
      <w:pPr>
        <w:widowControl/>
        <w:adjustRightInd w:val="0"/>
        <w:snapToGrid w:val="0"/>
        <w:spacing w:line="360" w:lineRule="auto"/>
        <w:ind w:firstLine="480" w:firstLineChars="200"/>
        <w:jc w:val="left"/>
        <w:rPr>
          <w:rFonts w:hint="default"/>
          <w:color w:val="auto"/>
          <w:kern w:val="0"/>
          <w:sz w:val="24"/>
          <w:highlight w:val="none"/>
        </w:rPr>
      </w:pPr>
      <w:r>
        <w:rPr>
          <w:rFonts w:hint="default"/>
          <w:color w:val="auto"/>
          <w:kern w:val="0"/>
          <w:sz w:val="24"/>
          <w:highlight w:val="none"/>
        </w:rPr>
        <w:t>法定代表人或其授权代表（签字或盖章）：</w:t>
      </w:r>
    </w:p>
    <w:p w14:paraId="2936220C">
      <w:pPr>
        <w:pStyle w:val="6"/>
        <w:adjustRightInd w:val="0"/>
        <w:snapToGrid w:val="0"/>
        <w:spacing w:beforeLines="0" w:afterLines="0" w:line="360" w:lineRule="auto"/>
        <w:ind w:firstLine="480" w:firstLineChars="200"/>
        <w:outlineLvl w:val="0"/>
        <w:rPr>
          <w:rFonts w:ascii="Times New Roman" w:hAnsi="Times New Roman"/>
          <w:b/>
          <w:color w:val="auto"/>
          <w:sz w:val="32"/>
          <w:szCs w:val="32"/>
          <w:highlight w:val="none"/>
        </w:rPr>
      </w:pPr>
      <w:bookmarkStart w:id="136" w:name="_Toc26327"/>
      <w:r>
        <w:rPr>
          <w:rFonts w:ascii="Times New Roman" w:hAnsi="Times New Roman"/>
          <w:color w:val="auto"/>
          <w:kern w:val="0"/>
          <w:highlight w:val="none"/>
        </w:rPr>
        <w:t>日期：     年  月  日</w:t>
      </w:r>
      <w:bookmarkEnd w:id="136"/>
    </w:p>
    <w:p w14:paraId="545A79C4">
      <w:pPr>
        <w:snapToGrid w:val="0"/>
        <w:spacing w:line="360" w:lineRule="auto"/>
        <w:ind w:left="570"/>
        <w:jc w:val="center"/>
        <w:outlineLvl w:val="0"/>
        <w:rPr>
          <w:rFonts w:hint="default"/>
          <w:b/>
          <w:color w:val="auto"/>
          <w:sz w:val="32"/>
          <w:szCs w:val="32"/>
          <w:highlight w:val="none"/>
        </w:rPr>
        <w:sectPr>
          <w:pgSz w:w="11906" w:h="16838"/>
          <w:pgMar w:top="1134" w:right="1247" w:bottom="1247" w:left="1304" w:header="794" w:footer="794" w:gutter="0"/>
          <w:cols w:space="720" w:num="1"/>
          <w:docGrid w:type="lines" w:linePitch="312" w:charSpace="0"/>
        </w:sectPr>
      </w:pPr>
      <w:bookmarkStart w:id="137" w:name="_Toc31280"/>
      <w:bookmarkStart w:id="138" w:name="_Toc20407"/>
      <w:bookmarkStart w:id="139" w:name="_Toc5229"/>
    </w:p>
    <w:p w14:paraId="0ECE80C6">
      <w:pPr>
        <w:pStyle w:val="6"/>
        <w:adjustRightInd w:val="0"/>
        <w:snapToGrid w:val="0"/>
        <w:spacing w:beforeLines="0" w:afterLines="0" w:line="360" w:lineRule="auto"/>
        <w:ind w:firstLine="643" w:firstLineChars="200"/>
        <w:jc w:val="center"/>
        <w:outlineLvl w:val="0"/>
        <w:rPr>
          <w:rFonts w:ascii="Times New Roman" w:hAnsi="Times New Roman"/>
          <w:b/>
          <w:color w:val="auto"/>
          <w:sz w:val="32"/>
          <w:szCs w:val="32"/>
          <w:highlight w:val="none"/>
        </w:rPr>
      </w:pPr>
      <w:bookmarkStart w:id="140" w:name="_Toc32753"/>
      <w:r>
        <w:rPr>
          <w:rFonts w:hint="eastAsia" w:ascii="Times New Roman" w:hAnsi="Times New Roman"/>
          <w:b/>
          <w:color w:val="auto"/>
          <w:sz w:val="32"/>
          <w:szCs w:val="32"/>
          <w:highlight w:val="none"/>
        </w:rPr>
        <w:t>五</w:t>
      </w:r>
      <w:r>
        <w:rPr>
          <w:rFonts w:ascii="Times New Roman" w:hAnsi="Times New Roman"/>
          <w:b/>
          <w:color w:val="auto"/>
          <w:sz w:val="32"/>
          <w:szCs w:val="32"/>
          <w:highlight w:val="none"/>
        </w:rPr>
        <w:t>、分包意向协议</w:t>
      </w:r>
      <w:bookmarkEnd w:id="140"/>
    </w:p>
    <w:p w14:paraId="7CA18A73">
      <w:pPr>
        <w:widowControl/>
        <w:adjustRightInd w:val="0"/>
        <w:snapToGrid w:val="0"/>
        <w:spacing w:line="360" w:lineRule="auto"/>
        <w:ind w:firstLine="120" w:firstLineChars="50"/>
        <w:jc w:val="left"/>
        <w:rPr>
          <w:rFonts w:hint="default" w:ascii="宋体" w:hAnsi="宋体" w:cs="宋体"/>
          <w:color w:val="auto"/>
          <w:sz w:val="24"/>
          <w:highlight w:val="none"/>
        </w:rPr>
      </w:pPr>
      <w:r>
        <w:rPr>
          <w:rFonts w:ascii="宋体" w:hAnsi="宋体" w:cs="宋体"/>
          <w:color w:val="auto"/>
          <w:sz w:val="24"/>
          <w:highlight w:val="none"/>
        </w:rPr>
        <w:t>（</w:t>
      </w:r>
      <w:r>
        <w:rPr>
          <w:rFonts w:ascii="宋体" w:hAnsi="宋体" w:cs="宋体"/>
          <w:b/>
          <w:color w:val="auto"/>
          <w:sz w:val="24"/>
          <w:highlight w:val="none"/>
        </w:rPr>
        <w:t>中标后以分包方式履行合同的，提供分包意向协议；采购人不同意分包或者投标人中标后不以分包方式履行合同的，则不需要提供。</w:t>
      </w:r>
      <w:r>
        <w:rPr>
          <w:rFonts w:ascii="宋体" w:hAnsi="宋体" w:cs="宋体"/>
          <w:color w:val="auto"/>
          <w:sz w:val="24"/>
          <w:highlight w:val="none"/>
        </w:rPr>
        <w:t>）</w:t>
      </w:r>
    </w:p>
    <w:p w14:paraId="12DCC286">
      <w:pPr>
        <w:pStyle w:val="5"/>
        <w:adjustRightInd w:val="0"/>
        <w:snapToGrid w:val="0"/>
        <w:spacing w:before="0" w:after="0" w:line="360" w:lineRule="auto"/>
        <w:rPr>
          <w:rFonts w:hint="default"/>
          <w:color w:val="auto"/>
          <w:highlight w:val="none"/>
        </w:rPr>
      </w:pPr>
    </w:p>
    <w:p w14:paraId="2AC87063">
      <w:pPr>
        <w:adjustRightInd w:val="0"/>
        <w:snapToGrid w:val="0"/>
        <w:spacing w:line="360" w:lineRule="auto"/>
        <w:ind w:firstLine="576"/>
        <w:rPr>
          <w:rFonts w:hint="default" w:ascii="宋体" w:hAnsi="宋体" w:cs="宋体"/>
          <w:color w:val="auto"/>
          <w:kern w:val="0"/>
          <w:sz w:val="24"/>
          <w:highlight w:val="none"/>
          <w:lang w:val="zh-CN"/>
        </w:rPr>
      </w:pPr>
      <w:r>
        <w:rPr>
          <w:rFonts w:ascii="宋体" w:hAnsi="宋体" w:cs="宋体"/>
          <w:color w:val="auto"/>
          <w:kern w:val="0"/>
          <w:sz w:val="24"/>
          <w:highlight w:val="none"/>
          <w:u w:val="single"/>
        </w:rPr>
        <w:t>（投标人名称）</w:t>
      </w:r>
      <w:r>
        <w:rPr>
          <w:rFonts w:ascii="宋体" w:hAnsi="宋体" w:cs="宋体"/>
          <w:color w:val="auto"/>
          <w:kern w:val="0"/>
          <w:sz w:val="24"/>
          <w:highlight w:val="none"/>
          <w:lang w:val="zh-CN"/>
        </w:rPr>
        <w:t>若成为</w:t>
      </w:r>
      <w:r>
        <w:rPr>
          <w:rFonts w:ascii="宋体" w:hAnsi="宋体" w:cs="宋体"/>
          <w:color w:val="auto"/>
          <w:sz w:val="24"/>
          <w:highlight w:val="none"/>
        </w:rPr>
        <w:t>（项目名称）【项目编号：】</w:t>
      </w:r>
      <w:r>
        <w:rPr>
          <w:rFonts w:ascii="宋体" w:hAnsi="宋体" w:cs="宋体"/>
          <w:color w:val="auto"/>
          <w:kern w:val="0"/>
          <w:sz w:val="24"/>
          <w:highlight w:val="none"/>
          <w:lang w:val="zh-CN"/>
        </w:rPr>
        <w:t>的成交供应商，将依法采取分包方式履行合同。</w:t>
      </w:r>
      <w:r>
        <w:rPr>
          <w:rFonts w:ascii="宋体" w:hAnsi="宋体" w:cs="宋体"/>
          <w:color w:val="auto"/>
          <w:kern w:val="0"/>
          <w:sz w:val="24"/>
          <w:highlight w:val="none"/>
          <w:u w:val="single"/>
        </w:rPr>
        <w:t>（投标人名称）</w:t>
      </w:r>
      <w:r>
        <w:rPr>
          <w:rFonts w:ascii="宋体" w:hAnsi="宋体" w:cs="宋体"/>
          <w:color w:val="auto"/>
          <w:kern w:val="0"/>
          <w:sz w:val="24"/>
          <w:highlight w:val="none"/>
        </w:rPr>
        <w:t>与</w:t>
      </w:r>
      <w:r>
        <w:rPr>
          <w:rFonts w:ascii="宋体" w:hAnsi="宋体" w:cs="宋体"/>
          <w:color w:val="auto"/>
          <w:kern w:val="0"/>
          <w:sz w:val="24"/>
          <w:highlight w:val="none"/>
          <w:u w:val="single"/>
        </w:rPr>
        <w:t>（所有分包供应商名称）</w:t>
      </w:r>
      <w:r>
        <w:rPr>
          <w:rFonts w:ascii="宋体" w:hAnsi="宋体" w:cs="宋体"/>
          <w:color w:val="auto"/>
          <w:kern w:val="0"/>
          <w:sz w:val="24"/>
          <w:highlight w:val="none"/>
        </w:rPr>
        <w:t>达成分包意向协议</w:t>
      </w:r>
      <w:r>
        <w:rPr>
          <w:rFonts w:ascii="宋体" w:hAnsi="宋体" w:cs="宋体"/>
          <w:color w:val="auto"/>
          <w:kern w:val="0"/>
          <w:sz w:val="24"/>
          <w:highlight w:val="none"/>
          <w:lang w:val="zh-CN"/>
        </w:rPr>
        <w:t xml:space="preserve">。 </w:t>
      </w:r>
    </w:p>
    <w:p w14:paraId="563D9AF5">
      <w:pPr>
        <w:adjustRightInd w:val="0"/>
        <w:snapToGrid w:val="0"/>
        <w:spacing w:line="360" w:lineRule="auto"/>
        <w:ind w:firstLine="576"/>
        <w:rPr>
          <w:rFonts w:hint="default" w:ascii="宋体" w:hAnsi="宋体" w:cs="宋体"/>
          <w:color w:val="auto"/>
          <w:kern w:val="0"/>
          <w:sz w:val="24"/>
          <w:highlight w:val="none"/>
          <w:lang w:val="zh-CN"/>
        </w:rPr>
      </w:pPr>
      <w:r>
        <w:rPr>
          <w:rFonts w:ascii="宋体" w:hAnsi="宋体" w:cs="宋体"/>
          <w:color w:val="auto"/>
          <w:kern w:val="0"/>
          <w:sz w:val="24"/>
          <w:highlight w:val="none"/>
          <w:lang w:val="zh-CN"/>
        </w:rPr>
        <w:t>一、分包标的及数量</w:t>
      </w:r>
    </w:p>
    <w:p w14:paraId="307A1B34">
      <w:pPr>
        <w:adjustRightInd w:val="0"/>
        <w:snapToGrid w:val="0"/>
        <w:spacing w:line="360" w:lineRule="auto"/>
        <w:ind w:firstLine="576"/>
        <w:rPr>
          <w:rFonts w:hint="default" w:ascii="宋体" w:hAnsi="宋体" w:cs="宋体"/>
          <w:color w:val="auto"/>
          <w:kern w:val="0"/>
          <w:sz w:val="24"/>
          <w:highlight w:val="none"/>
          <w:lang w:val="zh-CN"/>
        </w:rPr>
      </w:pPr>
      <w:r>
        <w:rPr>
          <w:rFonts w:ascii="宋体" w:hAnsi="宋体" w:cs="宋体"/>
          <w:color w:val="auto"/>
          <w:kern w:val="0"/>
          <w:sz w:val="24"/>
          <w:highlight w:val="none"/>
          <w:u w:val="single"/>
        </w:rPr>
        <w:t>（投标人名称）</w:t>
      </w:r>
      <w:r>
        <w:rPr>
          <w:rFonts w:ascii="宋体" w:hAnsi="宋体" w:cs="宋体"/>
          <w:color w:val="auto"/>
          <w:kern w:val="0"/>
          <w:sz w:val="24"/>
          <w:highlight w:val="none"/>
          <w:lang w:val="zh-CN"/>
        </w:rPr>
        <w:t>将</w:t>
      </w:r>
      <w:r>
        <w:rPr>
          <w:rFonts w:ascii="宋体" w:hAnsi="宋体" w:cs="宋体"/>
          <w:color w:val="auto"/>
          <w:highlight w:val="none"/>
          <w:u w:val="single"/>
        </w:rPr>
        <w:t xml:space="preserve">   XX工作内容   </w:t>
      </w:r>
      <w:r>
        <w:rPr>
          <w:rFonts w:ascii="宋体" w:hAnsi="宋体" w:cs="宋体"/>
          <w:color w:val="auto"/>
          <w:sz w:val="24"/>
          <w:highlight w:val="none"/>
        </w:rPr>
        <w:t>分包给</w:t>
      </w:r>
      <w:r>
        <w:rPr>
          <w:rFonts w:ascii="宋体" w:hAnsi="宋体" w:cs="宋体"/>
          <w:color w:val="auto"/>
          <w:kern w:val="0"/>
          <w:sz w:val="24"/>
          <w:highlight w:val="none"/>
          <w:u w:val="single"/>
        </w:rPr>
        <w:t>（某分包供应商名称）</w:t>
      </w:r>
      <w:r>
        <w:rPr>
          <w:rFonts w:ascii="宋体" w:hAnsi="宋体" w:cs="宋体"/>
          <w:color w:val="auto"/>
          <w:kern w:val="0"/>
          <w:sz w:val="24"/>
          <w:highlight w:val="none"/>
          <w:lang w:val="zh-CN"/>
        </w:rPr>
        <w:t>，</w:t>
      </w:r>
      <w:r>
        <w:rPr>
          <w:rFonts w:ascii="宋体" w:hAnsi="宋体" w:cs="宋体"/>
          <w:color w:val="auto"/>
          <w:kern w:val="0"/>
          <w:sz w:val="24"/>
          <w:highlight w:val="none"/>
          <w:u w:val="single"/>
        </w:rPr>
        <w:t>（某分包供应商名称），</w:t>
      </w:r>
      <w:r>
        <w:rPr>
          <w:rFonts w:ascii="宋体" w:hAnsi="宋体" w:cs="宋体"/>
          <w:color w:val="auto"/>
          <w:kern w:val="0"/>
          <w:sz w:val="24"/>
          <w:highlight w:val="none"/>
          <w:lang w:val="zh-CN"/>
        </w:rPr>
        <w:t>具备承</w:t>
      </w:r>
      <w:r>
        <w:rPr>
          <w:rFonts w:ascii="宋体" w:hAnsi="宋体" w:cs="宋体"/>
          <w:color w:val="auto"/>
          <w:kern w:val="0"/>
          <w:sz w:val="24"/>
          <w:highlight w:val="none"/>
        </w:rPr>
        <w:t>担</w:t>
      </w:r>
      <w:r>
        <w:rPr>
          <w:rFonts w:ascii="宋体" w:hAnsi="宋体" w:cs="宋体"/>
          <w:color w:val="auto"/>
          <w:kern w:val="0"/>
          <w:sz w:val="24"/>
          <w:highlight w:val="none"/>
          <w:u w:val="single"/>
          <w:lang w:val="zh-CN"/>
        </w:rPr>
        <w:t>XX工作内容</w:t>
      </w:r>
      <w:r>
        <w:rPr>
          <w:rFonts w:ascii="宋体" w:hAnsi="宋体" w:cs="宋体"/>
          <w:color w:val="auto"/>
          <w:kern w:val="0"/>
          <w:sz w:val="24"/>
          <w:highlight w:val="none"/>
          <w:lang w:val="zh-CN"/>
        </w:rPr>
        <w:t>相应资质条件且不得再次分包；</w:t>
      </w:r>
    </w:p>
    <w:p w14:paraId="78E54B0E">
      <w:pPr>
        <w:pStyle w:val="3"/>
        <w:tabs>
          <w:tab w:val="left" w:pos="432"/>
        </w:tabs>
        <w:adjustRightInd w:val="0"/>
        <w:snapToGrid w:val="0"/>
        <w:spacing w:before="0" w:after="0" w:line="360" w:lineRule="auto"/>
        <w:ind w:left="664" w:leftChars="316" w:firstLine="229" w:firstLineChars="95"/>
        <w:rPr>
          <w:rFonts w:ascii="宋体" w:hAnsi="宋体" w:eastAsia="宋体" w:cs="宋体"/>
          <w:color w:val="auto"/>
          <w:highlight w:val="none"/>
        </w:rPr>
      </w:pPr>
      <w:r>
        <w:rPr>
          <w:rFonts w:ascii="宋体" w:hAnsi="宋体" w:eastAsia="宋体" w:cs="宋体"/>
          <w:color w:val="auto"/>
          <w:kern w:val="0"/>
          <w:sz w:val="24"/>
          <w:szCs w:val="24"/>
          <w:highlight w:val="none"/>
        </w:rPr>
        <w:t>……</w:t>
      </w:r>
    </w:p>
    <w:p w14:paraId="78E753BC">
      <w:pPr>
        <w:adjustRightInd w:val="0"/>
        <w:snapToGrid w:val="0"/>
        <w:spacing w:line="360" w:lineRule="auto"/>
        <w:ind w:firstLine="576"/>
        <w:rPr>
          <w:rFonts w:hint="default" w:ascii="宋体" w:hAnsi="宋体" w:cs="宋体"/>
          <w:color w:val="auto"/>
          <w:kern w:val="0"/>
          <w:sz w:val="24"/>
          <w:highlight w:val="none"/>
          <w:lang w:val="zh-CN"/>
        </w:rPr>
      </w:pPr>
      <w:r>
        <w:rPr>
          <w:rFonts w:ascii="宋体" w:hAnsi="宋体" w:cs="宋体"/>
          <w:color w:val="auto"/>
          <w:kern w:val="0"/>
          <w:sz w:val="24"/>
          <w:highlight w:val="none"/>
          <w:lang w:val="zh-CN"/>
        </w:rPr>
        <w:t>二、分包工作履行期限、地点、方式</w:t>
      </w:r>
    </w:p>
    <w:p w14:paraId="51B07494">
      <w:pPr>
        <w:adjustRightInd w:val="0"/>
        <w:snapToGrid w:val="0"/>
        <w:spacing w:line="360" w:lineRule="auto"/>
        <w:ind w:firstLine="576"/>
        <w:rPr>
          <w:rFonts w:hint="default" w:ascii="宋体" w:hAnsi="宋体" w:cs="宋体"/>
          <w:color w:val="auto"/>
          <w:highlight w:val="none"/>
          <w:u w:val="single"/>
        </w:rPr>
      </w:pPr>
    </w:p>
    <w:p w14:paraId="6B6A84A9">
      <w:pPr>
        <w:adjustRightInd w:val="0"/>
        <w:snapToGrid w:val="0"/>
        <w:spacing w:line="360" w:lineRule="auto"/>
        <w:ind w:firstLine="576"/>
        <w:rPr>
          <w:rFonts w:hint="default" w:ascii="宋体" w:hAnsi="宋体" w:cs="宋体"/>
          <w:color w:val="auto"/>
          <w:kern w:val="0"/>
          <w:sz w:val="24"/>
          <w:highlight w:val="none"/>
          <w:lang w:val="zh-CN"/>
        </w:rPr>
      </w:pPr>
      <w:r>
        <w:rPr>
          <w:rFonts w:ascii="宋体" w:hAnsi="宋体" w:cs="宋体"/>
          <w:color w:val="auto"/>
          <w:kern w:val="0"/>
          <w:sz w:val="24"/>
          <w:highlight w:val="none"/>
          <w:lang w:val="zh-CN"/>
        </w:rPr>
        <w:t>三、质量</w:t>
      </w:r>
    </w:p>
    <w:p w14:paraId="74BF6152">
      <w:pPr>
        <w:adjustRightInd w:val="0"/>
        <w:snapToGrid w:val="0"/>
        <w:spacing w:line="360" w:lineRule="auto"/>
        <w:ind w:firstLine="576"/>
        <w:rPr>
          <w:rFonts w:hint="default" w:ascii="宋体" w:hAnsi="宋体" w:cs="宋体"/>
          <w:color w:val="auto"/>
          <w:kern w:val="0"/>
          <w:sz w:val="24"/>
          <w:highlight w:val="none"/>
          <w:lang w:val="zh-CN"/>
        </w:rPr>
      </w:pPr>
    </w:p>
    <w:p w14:paraId="79F4C1BF">
      <w:pPr>
        <w:adjustRightInd w:val="0"/>
        <w:snapToGrid w:val="0"/>
        <w:spacing w:line="360" w:lineRule="auto"/>
        <w:ind w:firstLine="576"/>
        <w:rPr>
          <w:rFonts w:hint="default" w:ascii="宋体" w:hAnsi="宋体" w:cs="宋体"/>
          <w:color w:val="auto"/>
          <w:kern w:val="0"/>
          <w:sz w:val="24"/>
          <w:highlight w:val="none"/>
          <w:lang w:val="zh-CN"/>
        </w:rPr>
      </w:pPr>
      <w:r>
        <w:rPr>
          <w:rFonts w:ascii="宋体" w:hAnsi="宋体" w:cs="宋体"/>
          <w:color w:val="auto"/>
          <w:kern w:val="0"/>
          <w:sz w:val="24"/>
          <w:highlight w:val="none"/>
          <w:lang w:val="zh-CN"/>
        </w:rPr>
        <w:t>四、价款或者报酬</w:t>
      </w:r>
    </w:p>
    <w:p w14:paraId="2FD183FF">
      <w:pPr>
        <w:adjustRightInd w:val="0"/>
        <w:snapToGrid w:val="0"/>
        <w:spacing w:line="360" w:lineRule="auto"/>
        <w:ind w:left="573" w:leftChars="273"/>
        <w:rPr>
          <w:rFonts w:hint="default" w:ascii="宋体" w:hAnsi="宋体" w:cs="宋体"/>
          <w:color w:val="auto"/>
          <w:kern w:val="0"/>
          <w:sz w:val="24"/>
          <w:highlight w:val="none"/>
          <w:lang w:val="zh-CN"/>
        </w:rPr>
      </w:pPr>
    </w:p>
    <w:p w14:paraId="0ACF5F24">
      <w:pPr>
        <w:adjustRightInd w:val="0"/>
        <w:snapToGrid w:val="0"/>
        <w:spacing w:line="360" w:lineRule="auto"/>
        <w:ind w:left="573" w:leftChars="273"/>
        <w:rPr>
          <w:rFonts w:hint="default" w:ascii="宋体" w:hAnsi="宋体" w:cs="宋体"/>
          <w:color w:val="auto"/>
          <w:kern w:val="0"/>
          <w:sz w:val="24"/>
          <w:highlight w:val="none"/>
          <w:lang w:val="zh-CN"/>
        </w:rPr>
      </w:pPr>
      <w:r>
        <w:rPr>
          <w:rFonts w:ascii="宋体" w:hAnsi="宋体" w:cs="宋体"/>
          <w:color w:val="auto"/>
          <w:kern w:val="0"/>
          <w:sz w:val="24"/>
          <w:highlight w:val="none"/>
          <w:lang w:val="zh-CN"/>
        </w:rPr>
        <w:t>五、违约责任</w:t>
      </w:r>
    </w:p>
    <w:p w14:paraId="425DA78B">
      <w:pPr>
        <w:adjustRightInd w:val="0"/>
        <w:snapToGrid w:val="0"/>
        <w:spacing w:line="360" w:lineRule="auto"/>
        <w:ind w:firstLine="576"/>
        <w:rPr>
          <w:rFonts w:hint="default" w:ascii="宋体" w:hAnsi="宋体" w:cs="宋体"/>
          <w:color w:val="auto"/>
          <w:kern w:val="0"/>
          <w:sz w:val="24"/>
          <w:highlight w:val="none"/>
          <w:lang w:val="zh-CN"/>
        </w:rPr>
      </w:pPr>
    </w:p>
    <w:p w14:paraId="5F1AA102">
      <w:pPr>
        <w:adjustRightInd w:val="0"/>
        <w:snapToGrid w:val="0"/>
        <w:spacing w:line="360" w:lineRule="auto"/>
        <w:ind w:firstLine="576"/>
        <w:rPr>
          <w:rFonts w:hint="default" w:ascii="宋体" w:hAnsi="宋体" w:cs="宋体"/>
          <w:color w:val="auto"/>
          <w:kern w:val="0"/>
          <w:sz w:val="24"/>
          <w:highlight w:val="none"/>
          <w:lang w:val="zh-CN"/>
        </w:rPr>
      </w:pPr>
      <w:r>
        <w:rPr>
          <w:rFonts w:ascii="宋体" w:hAnsi="宋体" w:cs="宋体"/>
          <w:color w:val="auto"/>
          <w:kern w:val="0"/>
          <w:sz w:val="24"/>
          <w:highlight w:val="none"/>
          <w:lang w:val="zh-CN"/>
        </w:rPr>
        <w:t>六、争议解决的办法</w:t>
      </w:r>
    </w:p>
    <w:p w14:paraId="2EF0FBBC">
      <w:pPr>
        <w:adjustRightInd w:val="0"/>
        <w:snapToGrid w:val="0"/>
        <w:spacing w:line="360" w:lineRule="auto"/>
        <w:ind w:firstLine="576"/>
        <w:rPr>
          <w:rFonts w:hint="default" w:ascii="宋体" w:hAnsi="宋体" w:cs="宋体"/>
          <w:color w:val="auto"/>
          <w:kern w:val="0"/>
          <w:sz w:val="24"/>
          <w:highlight w:val="none"/>
          <w:lang w:val="zh-CN"/>
        </w:rPr>
      </w:pPr>
    </w:p>
    <w:p w14:paraId="0472A091">
      <w:pPr>
        <w:adjustRightInd w:val="0"/>
        <w:snapToGrid w:val="0"/>
        <w:spacing w:line="360" w:lineRule="auto"/>
        <w:ind w:firstLine="576"/>
        <w:rPr>
          <w:rFonts w:hint="default" w:ascii="宋体" w:hAnsi="宋体" w:cs="宋体"/>
          <w:color w:val="auto"/>
          <w:kern w:val="0"/>
          <w:sz w:val="24"/>
          <w:highlight w:val="none"/>
          <w:lang w:val="zh-CN"/>
        </w:rPr>
      </w:pPr>
      <w:r>
        <w:rPr>
          <w:rFonts w:ascii="宋体" w:hAnsi="宋体" w:cs="宋体"/>
          <w:color w:val="auto"/>
          <w:kern w:val="0"/>
          <w:sz w:val="24"/>
          <w:highlight w:val="none"/>
          <w:lang w:val="zh-CN"/>
        </w:rPr>
        <w:t>七、其他</w:t>
      </w:r>
    </w:p>
    <w:p w14:paraId="1092CB94">
      <w:pPr>
        <w:adjustRightInd w:val="0"/>
        <w:snapToGrid w:val="0"/>
        <w:spacing w:line="360" w:lineRule="auto"/>
        <w:ind w:firstLine="576"/>
        <w:rPr>
          <w:rFonts w:hint="default" w:ascii="宋体" w:hAnsi="宋体" w:cs="宋体"/>
          <w:b/>
          <w:color w:val="auto"/>
          <w:kern w:val="0"/>
          <w:sz w:val="24"/>
          <w:highlight w:val="none"/>
          <w:lang w:val="zh-CN"/>
        </w:rPr>
      </w:pPr>
      <w:r>
        <w:rPr>
          <w:rFonts w:ascii="宋体" w:hAnsi="宋体" w:cs="宋体"/>
          <w:color w:val="auto"/>
          <w:kern w:val="0"/>
          <w:sz w:val="24"/>
          <w:highlight w:val="none"/>
          <w:u w:val="single"/>
        </w:rPr>
        <w:t>（分包供应商名称）提供的货物全部由小微企业制造，</w:t>
      </w:r>
      <w:r>
        <w:rPr>
          <w:rFonts w:ascii="宋体" w:hAnsi="宋体" w:cs="宋体"/>
          <w:color w:val="auto"/>
          <w:kern w:val="0"/>
          <w:sz w:val="24"/>
          <w:highlight w:val="none"/>
        </w:rPr>
        <w:t>其合同份额占到合同总金额%以上</w:t>
      </w:r>
      <w:r>
        <w:rPr>
          <w:rFonts w:ascii="宋体" w:hAnsi="宋体" w:cs="宋体"/>
          <w:color w:val="auto"/>
          <w:highlight w:val="none"/>
        </w:rPr>
        <w:t>。</w:t>
      </w:r>
    </w:p>
    <w:p w14:paraId="582CE1B2">
      <w:pPr>
        <w:adjustRightInd w:val="0"/>
        <w:snapToGrid w:val="0"/>
        <w:spacing w:line="440" w:lineRule="exact"/>
        <w:rPr>
          <w:rFonts w:hint="default" w:ascii="宋体" w:hAnsi="宋体" w:cs="宋体"/>
          <w:color w:val="auto"/>
          <w:kern w:val="0"/>
          <w:sz w:val="24"/>
          <w:highlight w:val="none"/>
          <w:lang w:val="zh-CN"/>
        </w:rPr>
      </w:pPr>
      <w:r>
        <w:rPr>
          <w:rFonts w:ascii="宋体" w:hAnsi="宋体" w:cs="宋体"/>
          <w:color w:val="auto"/>
          <w:kern w:val="0"/>
          <w:sz w:val="24"/>
          <w:highlight w:val="none"/>
        </w:rPr>
        <w:t>供应商</w:t>
      </w:r>
      <w:r>
        <w:rPr>
          <w:rFonts w:ascii="宋体" w:hAnsi="宋体" w:cs="宋体"/>
          <w:color w:val="auto"/>
          <w:kern w:val="0"/>
          <w:sz w:val="24"/>
          <w:highlight w:val="none"/>
          <w:lang w:val="zh-CN"/>
        </w:rPr>
        <w:t>名称(电子签名/公章)：</w:t>
      </w:r>
    </w:p>
    <w:p w14:paraId="4E70A098">
      <w:pPr>
        <w:adjustRightInd w:val="0"/>
        <w:snapToGrid w:val="0"/>
        <w:spacing w:line="440" w:lineRule="exact"/>
        <w:ind w:firstLine="5640" w:firstLineChars="2350"/>
        <w:rPr>
          <w:rFonts w:hint="default" w:ascii="宋体" w:hAnsi="宋体" w:cs="宋体"/>
          <w:color w:val="auto"/>
          <w:kern w:val="0"/>
          <w:sz w:val="24"/>
          <w:highlight w:val="none"/>
          <w:lang w:val="zh-CN"/>
        </w:rPr>
      </w:pPr>
      <w:r>
        <w:rPr>
          <w:rFonts w:ascii="宋体" w:hAnsi="宋体" w:cs="宋体"/>
          <w:color w:val="auto"/>
          <w:kern w:val="0"/>
          <w:sz w:val="24"/>
          <w:highlight w:val="none"/>
          <w:lang w:val="zh-CN"/>
        </w:rPr>
        <w:t>分包供应商名称：</w:t>
      </w:r>
    </w:p>
    <w:p w14:paraId="38A31873">
      <w:pPr>
        <w:adjustRightInd w:val="0"/>
        <w:snapToGrid w:val="0"/>
        <w:spacing w:line="440" w:lineRule="exact"/>
        <w:ind w:right="420"/>
        <w:rPr>
          <w:rFonts w:hint="default" w:ascii="宋体" w:hAnsi="宋体" w:cs="宋体"/>
          <w:color w:val="auto"/>
          <w:kern w:val="0"/>
          <w:sz w:val="24"/>
          <w:highlight w:val="none"/>
          <w:lang w:val="zh-CN"/>
        </w:rPr>
      </w:pPr>
      <w:r>
        <w:rPr>
          <w:rFonts w:ascii="宋体" w:hAnsi="宋体" w:cs="宋体"/>
          <w:color w:val="auto"/>
          <w:kern w:val="0"/>
          <w:sz w:val="24"/>
          <w:highlight w:val="none"/>
          <w:lang w:val="zh-CN"/>
        </w:rPr>
        <w:t xml:space="preserve">                                               日期：  年  月   日</w:t>
      </w:r>
    </w:p>
    <w:p w14:paraId="344A969C">
      <w:pPr>
        <w:snapToGrid w:val="0"/>
        <w:spacing w:line="360" w:lineRule="auto"/>
        <w:ind w:left="570"/>
        <w:jc w:val="center"/>
        <w:outlineLvl w:val="0"/>
        <w:rPr>
          <w:rFonts w:hint="default"/>
          <w:b/>
          <w:color w:val="auto"/>
          <w:sz w:val="32"/>
          <w:szCs w:val="32"/>
          <w:highlight w:val="none"/>
          <w:lang w:val="zh-CN"/>
        </w:rPr>
      </w:pPr>
      <w:r>
        <w:rPr>
          <w:rFonts w:ascii="宋体" w:hAnsi="宋体" w:cs="宋体"/>
          <w:color w:val="auto"/>
          <w:kern w:val="0"/>
          <w:sz w:val="24"/>
          <w:highlight w:val="none"/>
          <w:lang w:val="zh-CN"/>
        </w:rPr>
        <w:br w:type="page"/>
      </w:r>
      <w:bookmarkStart w:id="141" w:name="_Toc11509"/>
      <w:r>
        <w:rPr>
          <w:b/>
          <w:color w:val="auto"/>
          <w:sz w:val="32"/>
          <w:szCs w:val="32"/>
          <w:highlight w:val="none"/>
        </w:rPr>
        <w:t>六</w:t>
      </w:r>
      <w:r>
        <w:rPr>
          <w:rFonts w:hint="default"/>
          <w:b/>
          <w:color w:val="auto"/>
          <w:sz w:val="32"/>
          <w:szCs w:val="32"/>
          <w:highlight w:val="none"/>
          <w:lang w:val="zh-CN"/>
        </w:rPr>
        <w:t>、商务技术偏离表</w:t>
      </w:r>
      <w:bookmarkEnd w:id="135"/>
      <w:bookmarkEnd w:id="137"/>
      <w:bookmarkEnd w:id="138"/>
      <w:bookmarkEnd w:id="139"/>
      <w:bookmarkEnd w:id="141"/>
    </w:p>
    <w:p w14:paraId="6A7267BD">
      <w:pPr>
        <w:tabs>
          <w:tab w:val="left" w:pos="1418"/>
        </w:tabs>
        <w:snapToGrid w:val="0"/>
        <w:spacing w:before="50" w:after="50" w:line="360" w:lineRule="auto"/>
        <w:ind w:firstLine="480" w:firstLineChars="200"/>
        <w:rPr>
          <w:rFonts w:hint="default"/>
          <w:color w:val="auto"/>
          <w:sz w:val="24"/>
          <w:highlight w:val="none"/>
        </w:rPr>
      </w:pPr>
      <w:r>
        <w:rPr>
          <w:rFonts w:hint="default"/>
          <w:color w:val="auto"/>
          <w:sz w:val="24"/>
          <w:highlight w:val="none"/>
        </w:rPr>
        <w:t>项目名称：                       项目编号：</w:t>
      </w:r>
    </w:p>
    <w:tbl>
      <w:tblPr>
        <w:tblStyle w:val="41"/>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2696"/>
        <w:gridCol w:w="2097"/>
        <w:gridCol w:w="2112"/>
        <w:gridCol w:w="2414"/>
      </w:tblGrid>
      <w:tr w14:paraId="2DD4D9FB">
        <w:tblPrEx>
          <w:tblCellMar>
            <w:top w:w="0" w:type="dxa"/>
            <w:left w:w="108" w:type="dxa"/>
            <w:bottom w:w="0" w:type="dxa"/>
            <w:right w:w="108" w:type="dxa"/>
          </w:tblCellMar>
        </w:tblPrEx>
        <w:trPr>
          <w:trHeight w:val="549" w:hRule="atLeast"/>
          <w:jc w:val="center"/>
        </w:trPr>
        <w:tc>
          <w:tcPr>
            <w:tcW w:w="2696" w:type="dxa"/>
            <w:tcBorders>
              <w:top w:val="single" w:color="auto" w:sz="4" w:space="0"/>
              <w:left w:val="single" w:color="auto" w:sz="4" w:space="0"/>
              <w:bottom w:val="single" w:color="auto" w:sz="4" w:space="0"/>
              <w:right w:val="single" w:color="auto" w:sz="4" w:space="0"/>
            </w:tcBorders>
            <w:noWrap/>
            <w:vAlign w:val="center"/>
          </w:tcPr>
          <w:p w14:paraId="4E383C82">
            <w:pPr>
              <w:snapToGrid w:val="0"/>
              <w:spacing w:line="360" w:lineRule="auto"/>
              <w:jc w:val="center"/>
              <w:rPr>
                <w:rFonts w:hint="default"/>
                <w:color w:val="auto"/>
                <w:sz w:val="24"/>
                <w:szCs w:val="22"/>
                <w:highlight w:val="none"/>
              </w:rPr>
            </w:pPr>
            <w:r>
              <w:rPr>
                <w:rFonts w:hint="default"/>
                <w:color w:val="auto"/>
                <w:sz w:val="24"/>
                <w:szCs w:val="22"/>
                <w:highlight w:val="none"/>
              </w:rPr>
              <w:t>采购文件要求</w:t>
            </w:r>
          </w:p>
        </w:tc>
        <w:tc>
          <w:tcPr>
            <w:tcW w:w="2097" w:type="dxa"/>
            <w:tcBorders>
              <w:top w:val="single" w:color="auto" w:sz="4" w:space="0"/>
              <w:left w:val="single" w:color="auto" w:sz="4" w:space="0"/>
              <w:bottom w:val="single" w:color="auto" w:sz="4" w:space="0"/>
              <w:right w:val="single" w:color="auto" w:sz="4" w:space="0"/>
            </w:tcBorders>
            <w:noWrap/>
            <w:vAlign w:val="center"/>
          </w:tcPr>
          <w:p w14:paraId="39C70AA1">
            <w:pPr>
              <w:snapToGrid w:val="0"/>
              <w:spacing w:line="360" w:lineRule="auto"/>
              <w:jc w:val="center"/>
              <w:rPr>
                <w:rFonts w:hint="default"/>
                <w:color w:val="auto"/>
                <w:sz w:val="24"/>
                <w:szCs w:val="22"/>
                <w:highlight w:val="none"/>
              </w:rPr>
            </w:pPr>
            <w:r>
              <w:rPr>
                <w:rFonts w:hint="default"/>
                <w:color w:val="auto"/>
                <w:sz w:val="24"/>
                <w:szCs w:val="22"/>
                <w:highlight w:val="none"/>
              </w:rPr>
              <w:t>采购文件响应</w:t>
            </w:r>
          </w:p>
        </w:tc>
        <w:tc>
          <w:tcPr>
            <w:tcW w:w="2112" w:type="dxa"/>
            <w:tcBorders>
              <w:top w:val="single" w:color="auto" w:sz="4" w:space="0"/>
              <w:left w:val="single" w:color="auto" w:sz="4" w:space="0"/>
              <w:bottom w:val="single" w:color="auto" w:sz="4" w:space="0"/>
              <w:right w:val="single" w:color="auto" w:sz="4" w:space="0"/>
            </w:tcBorders>
            <w:noWrap/>
            <w:vAlign w:val="center"/>
          </w:tcPr>
          <w:p w14:paraId="7AB99760">
            <w:pPr>
              <w:snapToGrid w:val="0"/>
              <w:spacing w:line="360" w:lineRule="auto"/>
              <w:jc w:val="center"/>
              <w:rPr>
                <w:rFonts w:hint="default"/>
                <w:color w:val="auto"/>
                <w:sz w:val="24"/>
                <w:szCs w:val="22"/>
                <w:highlight w:val="none"/>
              </w:rPr>
            </w:pPr>
            <w:r>
              <w:rPr>
                <w:rFonts w:hint="default"/>
                <w:color w:val="auto"/>
                <w:sz w:val="24"/>
                <w:szCs w:val="22"/>
                <w:highlight w:val="none"/>
              </w:rPr>
              <w:t>偏离</w:t>
            </w:r>
          </w:p>
        </w:tc>
        <w:tc>
          <w:tcPr>
            <w:tcW w:w="2414" w:type="dxa"/>
            <w:tcBorders>
              <w:top w:val="single" w:color="auto" w:sz="4" w:space="0"/>
              <w:left w:val="single" w:color="auto" w:sz="4" w:space="0"/>
              <w:bottom w:val="single" w:color="auto" w:sz="4" w:space="0"/>
              <w:right w:val="single" w:color="auto" w:sz="4" w:space="0"/>
            </w:tcBorders>
            <w:noWrap/>
            <w:vAlign w:val="center"/>
          </w:tcPr>
          <w:p w14:paraId="0E3D2EDC">
            <w:pPr>
              <w:snapToGrid w:val="0"/>
              <w:spacing w:line="360" w:lineRule="auto"/>
              <w:jc w:val="center"/>
              <w:rPr>
                <w:rFonts w:hint="default"/>
                <w:color w:val="auto"/>
                <w:sz w:val="24"/>
                <w:szCs w:val="22"/>
                <w:highlight w:val="none"/>
              </w:rPr>
            </w:pPr>
            <w:r>
              <w:rPr>
                <w:rFonts w:hint="default"/>
                <w:color w:val="auto"/>
                <w:sz w:val="24"/>
                <w:szCs w:val="22"/>
                <w:highlight w:val="none"/>
              </w:rPr>
              <w:t>说明</w:t>
            </w:r>
          </w:p>
        </w:tc>
      </w:tr>
      <w:tr w14:paraId="4BBEE7C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7" w:hRule="atLeast"/>
          <w:jc w:val="center"/>
        </w:trPr>
        <w:tc>
          <w:tcPr>
            <w:tcW w:w="2696" w:type="dxa"/>
            <w:tcBorders>
              <w:top w:val="single" w:color="auto" w:sz="4" w:space="0"/>
              <w:left w:val="single" w:color="auto" w:sz="4" w:space="0"/>
              <w:bottom w:val="single" w:color="auto" w:sz="4" w:space="0"/>
              <w:right w:val="single" w:color="auto" w:sz="4" w:space="0"/>
            </w:tcBorders>
            <w:noWrap/>
          </w:tcPr>
          <w:p w14:paraId="0E7C25C6">
            <w:pPr>
              <w:snapToGrid w:val="0"/>
              <w:spacing w:line="360" w:lineRule="auto"/>
              <w:jc w:val="center"/>
              <w:rPr>
                <w:rFonts w:hint="default"/>
                <w:color w:val="auto"/>
                <w:sz w:val="24"/>
                <w:szCs w:val="22"/>
                <w:highlight w:val="none"/>
              </w:rPr>
            </w:pPr>
          </w:p>
        </w:tc>
        <w:tc>
          <w:tcPr>
            <w:tcW w:w="2097" w:type="dxa"/>
            <w:tcBorders>
              <w:top w:val="single" w:color="auto" w:sz="4" w:space="0"/>
              <w:left w:val="single" w:color="auto" w:sz="4" w:space="0"/>
              <w:bottom w:val="single" w:color="auto" w:sz="4" w:space="0"/>
              <w:right w:val="single" w:color="auto" w:sz="4" w:space="0"/>
            </w:tcBorders>
            <w:noWrap/>
          </w:tcPr>
          <w:p w14:paraId="1D2B6AE0">
            <w:pPr>
              <w:snapToGrid w:val="0"/>
              <w:spacing w:line="360" w:lineRule="auto"/>
              <w:jc w:val="center"/>
              <w:rPr>
                <w:rFonts w:hint="default"/>
                <w:color w:val="auto"/>
                <w:sz w:val="24"/>
                <w:szCs w:val="22"/>
                <w:highlight w:val="none"/>
              </w:rPr>
            </w:pPr>
          </w:p>
        </w:tc>
        <w:tc>
          <w:tcPr>
            <w:tcW w:w="2112" w:type="dxa"/>
            <w:tcBorders>
              <w:top w:val="single" w:color="auto" w:sz="4" w:space="0"/>
              <w:left w:val="single" w:color="auto" w:sz="4" w:space="0"/>
              <w:bottom w:val="single" w:color="auto" w:sz="4" w:space="0"/>
              <w:right w:val="single" w:color="auto" w:sz="4" w:space="0"/>
            </w:tcBorders>
            <w:noWrap/>
          </w:tcPr>
          <w:p w14:paraId="643E60A9">
            <w:pPr>
              <w:snapToGrid w:val="0"/>
              <w:spacing w:line="360" w:lineRule="auto"/>
              <w:jc w:val="center"/>
              <w:rPr>
                <w:rFonts w:hint="default"/>
                <w:color w:val="auto"/>
                <w:sz w:val="24"/>
                <w:szCs w:val="22"/>
                <w:highlight w:val="none"/>
              </w:rPr>
            </w:pPr>
          </w:p>
        </w:tc>
        <w:tc>
          <w:tcPr>
            <w:tcW w:w="2414" w:type="dxa"/>
            <w:tcBorders>
              <w:top w:val="single" w:color="auto" w:sz="4" w:space="0"/>
              <w:left w:val="single" w:color="auto" w:sz="4" w:space="0"/>
              <w:bottom w:val="single" w:color="auto" w:sz="4" w:space="0"/>
              <w:right w:val="single" w:color="auto" w:sz="4" w:space="0"/>
            </w:tcBorders>
            <w:noWrap/>
          </w:tcPr>
          <w:p w14:paraId="2925A384">
            <w:pPr>
              <w:snapToGrid w:val="0"/>
              <w:spacing w:line="360" w:lineRule="auto"/>
              <w:jc w:val="center"/>
              <w:rPr>
                <w:rFonts w:hint="default"/>
                <w:color w:val="auto"/>
                <w:sz w:val="24"/>
                <w:szCs w:val="22"/>
                <w:highlight w:val="none"/>
              </w:rPr>
            </w:pPr>
          </w:p>
        </w:tc>
      </w:tr>
      <w:tr w14:paraId="055BC1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7" w:hRule="atLeast"/>
          <w:jc w:val="center"/>
        </w:trPr>
        <w:tc>
          <w:tcPr>
            <w:tcW w:w="2696" w:type="dxa"/>
            <w:tcBorders>
              <w:top w:val="single" w:color="auto" w:sz="4" w:space="0"/>
              <w:left w:val="single" w:color="auto" w:sz="4" w:space="0"/>
              <w:bottom w:val="single" w:color="auto" w:sz="4" w:space="0"/>
              <w:right w:val="single" w:color="auto" w:sz="4" w:space="0"/>
            </w:tcBorders>
            <w:noWrap/>
          </w:tcPr>
          <w:p w14:paraId="4B2AC42C">
            <w:pPr>
              <w:snapToGrid w:val="0"/>
              <w:spacing w:line="360" w:lineRule="auto"/>
              <w:jc w:val="center"/>
              <w:rPr>
                <w:rFonts w:hint="default"/>
                <w:color w:val="auto"/>
                <w:sz w:val="24"/>
                <w:szCs w:val="22"/>
                <w:highlight w:val="none"/>
              </w:rPr>
            </w:pPr>
          </w:p>
        </w:tc>
        <w:tc>
          <w:tcPr>
            <w:tcW w:w="2097" w:type="dxa"/>
            <w:tcBorders>
              <w:top w:val="single" w:color="auto" w:sz="4" w:space="0"/>
              <w:left w:val="single" w:color="auto" w:sz="4" w:space="0"/>
              <w:bottom w:val="single" w:color="auto" w:sz="4" w:space="0"/>
              <w:right w:val="single" w:color="auto" w:sz="4" w:space="0"/>
            </w:tcBorders>
            <w:noWrap/>
          </w:tcPr>
          <w:p w14:paraId="36C8843C">
            <w:pPr>
              <w:snapToGrid w:val="0"/>
              <w:spacing w:line="360" w:lineRule="auto"/>
              <w:jc w:val="center"/>
              <w:rPr>
                <w:rFonts w:hint="default"/>
                <w:color w:val="auto"/>
                <w:sz w:val="24"/>
                <w:szCs w:val="22"/>
                <w:highlight w:val="none"/>
              </w:rPr>
            </w:pPr>
          </w:p>
        </w:tc>
        <w:tc>
          <w:tcPr>
            <w:tcW w:w="2112" w:type="dxa"/>
            <w:tcBorders>
              <w:top w:val="single" w:color="auto" w:sz="4" w:space="0"/>
              <w:left w:val="single" w:color="auto" w:sz="4" w:space="0"/>
              <w:bottom w:val="single" w:color="auto" w:sz="4" w:space="0"/>
              <w:right w:val="single" w:color="auto" w:sz="4" w:space="0"/>
            </w:tcBorders>
            <w:noWrap/>
          </w:tcPr>
          <w:p w14:paraId="29ABBFE4">
            <w:pPr>
              <w:snapToGrid w:val="0"/>
              <w:spacing w:line="360" w:lineRule="auto"/>
              <w:jc w:val="center"/>
              <w:rPr>
                <w:rFonts w:hint="default"/>
                <w:color w:val="auto"/>
                <w:sz w:val="24"/>
                <w:szCs w:val="22"/>
                <w:highlight w:val="none"/>
              </w:rPr>
            </w:pPr>
          </w:p>
        </w:tc>
        <w:tc>
          <w:tcPr>
            <w:tcW w:w="2414" w:type="dxa"/>
            <w:tcBorders>
              <w:top w:val="single" w:color="auto" w:sz="4" w:space="0"/>
              <w:left w:val="single" w:color="auto" w:sz="4" w:space="0"/>
              <w:bottom w:val="single" w:color="auto" w:sz="4" w:space="0"/>
              <w:right w:val="single" w:color="auto" w:sz="4" w:space="0"/>
            </w:tcBorders>
            <w:noWrap/>
          </w:tcPr>
          <w:p w14:paraId="1E06161B">
            <w:pPr>
              <w:snapToGrid w:val="0"/>
              <w:spacing w:line="360" w:lineRule="auto"/>
              <w:jc w:val="center"/>
              <w:rPr>
                <w:rFonts w:hint="default"/>
                <w:color w:val="auto"/>
                <w:sz w:val="24"/>
                <w:szCs w:val="22"/>
                <w:highlight w:val="none"/>
              </w:rPr>
            </w:pPr>
          </w:p>
        </w:tc>
      </w:tr>
      <w:tr w14:paraId="0A24EB9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jc w:val="center"/>
        </w:trPr>
        <w:tc>
          <w:tcPr>
            <w:tcW w:w="2696" w:type="dxa"/>
            <w:tcBorders>
              <w:top w:val="single" w:color="auto" w:sz="4" w:space="0"/>
              <w:left w:val="single" w:color="auto" w:sz="4" w:space="0"/>
              <w:bottom w:val="single" w:color="auto" w:sz="4" w:space="0"/>
              <w:right w:val="single" w:color="auto" w:sz="4" w:space="0"/>
            </w:tcBorders>
            <w:noWrap/>
          </w:tcPr>
          <w:p w14:paraId="0ABB555F">
            <w:pPr>
              <w:snapToGrid w:val="0"/>
              <w:spacing w:line="360" w:lineRule="auto"/>
              <w:jc w:val="center"/>
              <w:rPr>
                <w:rFonts w:hint="default"/>
                <w:color w:val="auto"/>
                <w:sz w:val="24"/>
                <w:szCs w:val="22"/>
                <w:highlight w:val="none"/>
              </w:rPr>
            </w:pPr>
          </w:p>
        </w:tc>
        <w:tc>
          <w:tcPr>
            <w:tcW w:w="2097" w:type="dxa"/>
            <w:tcBorders>
              <w:top w:val="single" w:color="auto" w:sz="4" w:space="0"/>
              <w:left w:val="single" w:color="auto" w:sz="4" w:space="0"/>
              <w:bottom w:val="single" w:color="auto" w:sz="4" w:space="0"/>
              <w:right w:val="single" w:color="auto" w:sz="4" w:space="0"/>
            </w:tcBorders>
            <w:noWrap/>
          </w:tcPr>
          <w:p w14:paraId="14CCFA99">
            <w:pPr>
              <w:snapToGrid w:val="0"/>
              <w:spacing w:line="360" w:lineRule="auto"/>
              <w:jc w:val="center"/>
              <w:rPr>
                <w:rFonts w:hint="default"/>
                <w:color w:val="auto"/>
                <w:sz w:val="24"/>
                <w:szCs w:val="22"/>
                <w:highlight w:val="none"/>
              </w:rPr>
            </w:pPr>
          </w:p>
        </w:tc>
        <w:tc>
          <w:tcPr>
            <w:tcW w:w="2112" w:type="dxa"/>
            <w:tcBorders>
              <w:top w:val="single" w:color="auto" w:sz="4" w:space="0"/>
              <w:left w:val="single" w:color="auto" w:sz="4" w:space="0"/>
              <w:bottom w:val="single" w:color="auto" w:sz="4" w:space="0"/>
              <w:right w:val="single" w:color="auto" w:sz="4" w:space="0"/>
            </w:tcBorders>
            <w:noWrap/>
          </w:tcPr>
          <w:p w14:paraId="650CF2DB">
            <w:pPr>
              <w:snapToGrid w:val="0"/>
              <w:spacing w:line="360" w:lineRule="auto"/>
              <w:jc w:val="center"/>
              <w:rPr>
                <w:rFonts w:hint="default"/>
                <w:color w:val="auto"/>
                <w:sz w:val="24"/>
                <w:szCs w:val="22"/>
                <w:highlight w:val="none"/>
              </w:rPr>
            </w:pPr>
          </w:p>
        </w:tc>
        <w:tc>
          <w:tcPr>
            <w:tcW w:w="2414" w:type="dxa"/>
            <w:tcBorders>
              <w:top w:val="single" w:color="auto" w:sz="4" w:space="0"/>
              <w:left w:val="single" w:color="auto" w:sz="4" w:space="0"/>
              <w:bottom w:val="single" w:color="auto" w:sz="4" w:space="0"/>
              <w:right w:val="single" w:color="auto" w:sz="4" w:space="0"/>
            </w:tcBorders>
            <w:noWrap/>
          </w:tcPr>
          <w:p w14:paraId="0B52D1D2">
            <w:pPr>
              <w:snapToGrid w:val="0"/>
              <w:spacing w:line="360" w:lineRule="auto"/>
              <w:jc w:val="center"/>
              <w:rPr>
                <w:rFonts w:hint="default"/>
                <w:color w:val="auto"/>
                <w:sz w:val="24"/>
                <w:szCs w:val="22"/>
                <w:highlight w:val="none"/>
              </w:rPr>
            </w:pPr>
          </w:p>
        </w:tc>
      </w:tr>
    </w:tbl>
    <w:p w14:paraId="67C821C7">
      <w:pPr>
        <w:pStyle w:val="6"/>
        <w:spacing w:before="156" w:after="156" w:line="460" w:lineRule="atLeast"/>
        <w:ind w:right="-105" w:rightChars="-50"/>
        <w:rPr>
          <w:rFonts w:hAnsi="宋体"/>
          <w:b/>
          <w:bCs/>
          <w:color w:val="auto"/>
          <w:highlight w:val="none"/>
          <w:u w:val="single"/>
        </w:rPr>
      </w:pPr>
      <w:r>
        <w:rPr>
          <w:rFonts w:hAnsi="宋体" w:cs="仿宋"/>
          <w:color w:val="auto"/>
          <w:spacing w:val="-10"/>
          <w:highlight w:val="none"/>
        </w:rPr>
        <w:t>备注：1、</w:t>
      </w:r>
      <w:r>
        <w:rPr>
          <w:rFonts w:hAnsi="宋体" w:cs="仿宋"/>
          <w:b/>
          <w:bCs/>
          <w:color w:val="auto"/>
          <w:highlight w:val="none"/>
          <w:u w:val="single"/>
        </w:rPr>
        <w:t>结合《第四章采购内容及需求</w:t>
      </w:r>
      <w:r>
        <w:rPr>
          <w:rFonts w:hAnsi="宋体" w:cs="仿宋"/>
          <w:b/>
          <w:bCs/>
          <w:color w:val="auto"/>
          <w:spacing w:val="-10"/>
          <w:highlight w:val="none"/>
          <w:u w:val="single"/>
        </w:rPr>
        <w:t>》</w:t>
      </w:r>
      <w:r>
        <w:rPr>
          <w:rFonts w:hAnsi="宋体" w:cs="仿宋"/>
          <w:b/>
          <w:bCs/>
          <w:color w:val="auto"/>
          <w:spacing w:val="-1"/>
          <w:highlight w:val="none"/>
          <w:u w:val="single"/>
        </w:rPr>
        <w:t>中</w:t>
      </w:r>
      <w:r>
        <w:rPr>
          <w:rFonts w:hAnsi="宋体" w:cs="仿宋"/>
          <w:b/>
          <w:bCs/>
          <w:color w:val="auto"/>
          <w:highlight w:val="none"/>
          <w:u w:val="single"/>
        </w:rPr>
        <w:t>要求逐条对应；2、投标单位须如实填写上表，并按要求提供证明材料，提供虚假材料处理的按虚假应标一律；3、“偏离情况”栏填写：“正偏离</w:t>
      </w:r>
      <w:r>
        <w:rPr>
          <w:rFonts w:hAnsi="宋体" w:cs="仿宋"/>
          <w:b/>
          <w:bCs/>
          <w:color w:val="auto"/>
          <w:spacing w:val="-1"/>
          <w:highlight w:val="none"/>
          <w:u w:val="single"/>
        </w:rPr>
        <w:t>”</w:t>
      </w:r>
      <w:r>
        <w:rPr>
          <w:rFonts w:hAnsi="宋体" w:cs="仿宋"/>
          <w:b/>
          <w:bCs/>
          <w:color w:val="auto"/>
          <w:highlight w:val="none"/>
          <w:u w:val="single"/>
        </w:rPr>
        <w:t>或“负偏离”或“无偏离”。4、投标单位未按要求填写本表的，评标委员会评审时有权按不利于投标人的情况进行评审。</w:t>
      </w:r>
      <w:r>
        <w:rPr>
          <w:rFonts w:ascii="Times New Roman"/>
          <w:b/>
          <w:bCs/>
          <w:color w:val="auto"/>
          <w:highlight w:val="none"/>
          <w:u w:val="single"/>
        </w:rPr>
        <w:t>▲</w:t>
      </w:r>
      <w:r>
        <w:rPr>
          <w:rFonts w:hAnsi="宋体" w:cs="仿宋"/>
          <w:b/>
          <w:bCs/>
          <w:color w:val="auto"/>
          <w:highlight w:val="none"/>
          <w:u w:val="single"/>
        </w:rPr>
        <w:t>5、</w:t>
      </w:r>
      <w:r>
        <w:rPr>
          <w:rFonts w:ascii="Times New Roman"/>
          <w:b/>
          <w:bCs/>
          <w:color w:val="auto"/>
          <w:highlight w:val="none"/>
          <w:u w:val="single"/>
        </w:rPr>
        <w:t>采购人拟采购的产品属于政府强制采购的节能产品品目清单范围的，投标人在商务技术偏离表后提供国家确定的认证机构出具的、处于有效期之内的节能产品认证证书的，未提供的投标无效</w:t>
      </w:r>
      <w:r>
        <w:rPr>
          <w:rFonts w:ascii="Times New Roman"/>
          <w:b/>
          <w:bCs/>
          <w:color w:val="auto"/>
          <w:highlight w:val="none"/>
        </w:rPr>
        <w:t>。</w:t>
      </w:r>
    </w:p>
    <w:p w14:paraId="79C0BE9C">
      <w:pPr>
        <w:snapToGrid w:val="0"/>
        <w:spacing w:line="300" w:lineRule="auto"/>
        <w:rPr>
          <w:rFonts w:hint="default" w:ascii="Arial" w:hAnsi="Arial" w:cs="Arial"/>
          <w:color w:val="auto"/>
          <w:highlight w:val="none"/>
        </w:rPr>
      </w:pPr>
    </w:p>
    <w:p w14:paraId="1C25AD62">
      <w:pPr>
        <w:snapToGrid w:val="0"/>
        <w:spacing w:line="360" w:lineRule="auto"/>
        <w:ind w:firstLine="211" w:firstLineChars="100"/>
        <w:rPr>
          <w:rFonts w:hint="default"/>
          <w:b/>
          <w:bCs/>
          <w:color w:val="auto"/>
          <w:highlight w:val="none"/>
        </w:rPr>
      </w:pPr>
    </w:p>
    <w:p w14:paraId="4C626E48">
      <w:pPr>
        <w:autoSpaceDE w:val="0"/>
        <w:autoSpaceDN w:val="0"/>
        <w:snapToGrid w:val="0"/>
        <w:spacing w:line="360" w:lineRule="auto"/>
        <w:ind w:firstLine="5160" w:firstLineChars="2150"/>
        <w:rPr>
          <w:rFonts w:hint="default"/>
          <w:color w:val="auto"/>
          <w:kern w:val="0"/>
          <w:sz w:val="24"/>
          <w:highlight w:val="none"/>
          <w:lang w:val="zh-CN"/>
        </w:rPr>
      </w:pPr>
    </w:p>
    <w:p w14:paraId="22DF1A60">
      <w:pPr>
        <w:adjustRightInd w:val="0"/>
        <w:snapToGrid w:val="0"/>
        <w:spacing w:line="360" w:lineRule="auto"/>
        <w:ind w:firstLine="480" w:firstLineChars="200"/>
        <w:rPr>
          <w:rFonts w:hint="default" w:ascii="宋体" w:hAnsi="宋体" w:cs="宋体"/>
          <w:color w:val="auto"/>
          <w:kern w:val="0"/>
          <w:sz w:val="24"/>
          <w:highlight w:val="none"/>
        </w:rPr>
      </w:pPr>
      <w:r>
        <w:rPr>
          <w:rFonts w:ascii="宋体" w:hAnsi="宋体" w:cs="宋体"/>
          <w:color w:val="auto"/>
          <w:kern w:val="0"/>
          <w:sz w:val="24"/>
          <w:highlight w:val="none"/>
        </w:rPr>
        <w:t>供应商（</w:t>
      </w:r>
      <w:r>
        <w:rPr>
          <w:rFonts w:ascii="宋体" w:hAnsi="宋体" w:cs="宋体"/>
          <w:color w:val="auto"/>
          <w:kern w:val="0"/>
          <w:sz w:val="24"/>
          <w:highlight w:val="none"/>
          <w:lang w:val="zh-CN"/>
        </w:rPr>
        <w:t>电子签名/公章</w:t>
      </w:r>
      <w:r>
        <w:rPr>
          <w:rFonts w:ascii="宋体" w:hAnsi="宋体" w:cs="宋体"/>
          <w:color w:val="auto"/>
          <w:kern w:val="0"/>
          <w:sz w:val="24"/>
          <w:highlight w:val="none"/>
        </w:rPr>
        <w:t>）：</w:t>
      </w:r>
    </w:p>
    <w:p w14:paraId="7124649E">
      <w:pPr>
        <w:widowControl/>
        <w:adjustRightInd w:val="0"/>
        <w:snapToGrid w:val="0"/>
        <w:spacing w:line="360" w:lineRule="auto"/>
        <w:ind w:firstLine="480" w:firstLineChars="200"/>
        <w:jc w:val="left"/>
        <w:rPr>
          <w:rFonts w:hint="default"/>
          <w:color w:val="auto"/>
          <w:kern w:val="0"/>
          <w:sz w:val="24"/>
          <w:highlight w:val="none"/>
        </w:rPr>
      </w:pPr>
      <w:r>
        <w:rPr>
          <w:rFonts w:hint="default"/>
          <w:color w:val="auto"/>
          <w:kern w:val="0"/>
          <w:sz w:val="24"/>
          <w:highlight w:val="none"/>
        </w:rPr>
        <w:t>法定代表人或其授权代表（签字或盖章）：</w:t>
      </w:r>
    </w:p>
    <w:p w14:paraId="23BD132C">
      <w:pPr>
        <w:pStyle w:val="6"/>
        <w:adjustRightInd w:val="0"/>
        <w:snapToGrid w:val="0"/>
        <w:spacing w:beforeLines="0" w:afterLines="0" w:line="360" w:lineRule="auto"/>
        <w:ind w:firstLine="480" w:firstLineChars="200"/>
        <w:outlineLvl w:val="0"/>
        <w:rPr>
          <w:rFonts w:ascii="Times New Roman" w:hAnsi="Times New Roman"/>
          <w:b/>
          <w:color w:val="auto"/>
          <w:sz w:val="32"/>
          <w:szCs w:val="32"/>
          <w:highlight w:val="none"/>
        </w:rPr>
      </w:pPr>
      <w:bookmarkStart w:id="142" w:name="_Toc31392"/>
      <w:r>
        <w:rPr>
          <w:rFonts w:ascii="Times New Roman" w:hAnsi="Times New Roman"/>
          <w:color w:val="auto"/>
          <w:kern w:val="0"/>
          <w:highlight w:val="none"/>
        </w:rPr>
        <w:t>日期：     年  月  日</w:t>
      </w:r>
      <w:bookmarkEnd w:id="142"/>
    </w:p>
    <w:p w14:paraId="14ABEAE4">
      <w:pPr>
        <w:snapToGrid w:val="0"/>
        <w:spacing w:line="360" w:lineRule="auto"/>
        <w:ind w:firstLine="211" w:firstLineChars="100"/>
        <w:rPr>
          <w:rFonts w:hint="default"/>
          <w:b/>
          <w:bCs/>
          <w:color w:val="auto"/>
          <w:highlight w:val="none"/>
        </w:rPr>
      </w:pPr>
    </w:p>
    <w:p w14:paraId="12A05E13">
      <w:pPr>
        <w:pStyle w:val="6"/>
        <w:snapToGrid w:val="0"/>
        <w:spacing w:before="156" w:after="156" w:line="360" w:lineRule="auto"/>
        <w:ind w:firstLine="643" w:firstLineChars="200"/>
        <w:jc w:val="center"/>
        <w:outlineLvl w:val="0"/>
        <w:rPr>
          <w:rFonts w:ascii="Times New Roman" w:hAnsi="Times New Roman"/>
          <w:b/>
          <w:color w:val="auto"/>
          <w:sz w:val="32"/>
          <w:szCs w:val="32"/>
          <w:highlight w:val="none"/>
          <w:lang w:val="zh-CN"/>
        </w:rPr>
        <w:sectPr>
          <w:pgSz w:w="11906" w:h="16838"/>
          <w:pgMar w:top="1134" w:right="1247" w:bottom="1247" w:left="1304" w:header="794" w:footer="794" w:gutter="0"/>
          <w:cols w:space="720" w:num="1"/>
          <w:docGrid w:type="lines" w:linePitch="312" w:charSpace="0"/>
        </w:sectPr>
      </w:pPr>
      <w:bookmarkStart w:id="143" w:name="_Toc19684"/>
      <w:bookmarkStart w:id="144" w:name="_Toc16955"/>
      <w:bookmarkStart w:id="145" w:name="_Toc28622"/>
      <w:bookmarkStart w:id="146" w:name="_Toc15353"/>
    </w:p>
    <w:p w14:paraId="01803388">
      <w:pPr>
        <w:pStyle w:val="6"/>
        <w:snapToGrid w:val="0"/>
        <w:spacing w:before="156" w:after="156" w:line="360" w:lineRule="auto"/>
        <w:ind w:firstLine="643" w:firstLineChars="200"/>
        <w:jc w:val="center"/>
        <w:outlineLvl w:val="0"/>
        <w:rPr>
          <w:rFonts w:ascii="Times New Roman" w:hAnsi="Times New Roman"/>
          <w:color w:val="auto"/>
          <w:highlight w:val="none"/>
        </w:rPr>
      </w:pPr>
      <w:bookmarkStart w:id="147" w:name="_Toc6768"/>
      <w:r>
        <w:rPr>
          <w:rFonts w:hint="eastAsia" w:ascii="Times New Roman" w:hAnsi="Times New Roman"/>
          <w:b/>
          <w:color w:val="auto"/>
          <w:sz w:val="32"/>
          <w:szCs w:val="32"/>
          <w:highlight w:val="none"/>
        </w:rPr>
        <w:t>七</w:t>
      </w:r>
      <w:r>
        <w:rPr>
          <w:rFonts w:ascii="Times New Roman" w:hAnsi="Times New Roman"/>
          <w:b/>
          <w:color w:val="auto"/>
          <w:sz w:val="32"/>
          <w:szCs w:val="32"/>
          <w:highlight w:val="none"/>
        </w:rPr>
        <w:t>、</w:t>
      </w:r>
      <w:bookmarkEnd w:id="143"/>
      <w:bookmarkEnd w:id="144"/>
      <w:bookmarkEnd w:id="145"/>
      <w:r>
        <w:rPr>
          <w:rFonts w:ascii="Times New Roman" w:hAnsi="Times New Roman"/>
          <w:b/>
          <w:color w:val="auto"/>
          <w:sz w:val="32"/>
          <w:szCs w:val="32"/>
          <w:highlight w:val="none"/>
        </w:rPr>
        <w:t>设备的详细配置及零部件清单</w:t>
      </w:r>
      <w:r>
        <w:rPr>
          <w:rFonts w:ascii="Times New Roman" w:hAnsi="Times New Roman"/>
          <w:b/>
          <w:color w:val="auto"/>
          <w:sz w:val="32"/>
          <w:szCs w:val="32"/>
          <w:highlight w:val="none"/>
          <w:lang w:val="zh-CN"/>
        </w:rPr>
        <w:t>产品配置清单</w:t>
      </w:r>
      <w:bookmarkEnd w:id="147"/>
    </w:p>
    <w:p w14:paraId="064A9AC9">
      <w:pPr>
        <w:tabs>
          <w:tab w:val="left" w:pos="1418"/>
        </w:tabs>
        <w:snapToGrid w:val="0"/>
        <w:spacing w:before="50" w:after="50" w:line="360" w:lineRule="auto"/>
        <w:rPr>
          <w:rFonts w:hint="default"/>
          <w:color w:val="auto"/>
          <w:sz w:val="24"/>
          <w:szCs w:val="28"/>
          <w:highlight w:val="none"/>
        </w:rPr>
      </w:pPr>
      <w:r>
        <w:rPr>
          <w:rFonts w:hint="default"/>
          <w:color w:val="auto"/>
          <w:sz w:val="24"/>
          <w:highlight w:val="none"/>
        </w:rPr>
        <w:t>项目名称：                           项目编号：</w:t>
      </w:r>
    </w:p>
    <w:tbl>
      <w:tblPr>
        <w:tblStyle w:val="41"/>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91"/>
        <w:gridCol w:w="1793"/>
        <w:gridCol w:w="895"/>
        <w:gridCol w:w="1366"/>
        <w:gridCol w:w="1513"/>
        <w:gridCol w:w="2375"/>
        <w:gridCol w:w="1152"/>
      </w:tblGrid>
      <w:tr w14:paraId="7776F8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1" w:hRule="atLeast"/>
          <w:jc w:val="center"/>
        </w:trPr>
        <w:tc>
          <w:tcPr>
            <w:tcW w:w="591" w:type="dxa"/>
            <w:tcBorders>
              <w:top w:val="single" w:color="auto" w:sz="4" w:space="0"/>
              <w:left w:val="single" w:color="auto" w:sz="4" w:space="0"/>
              <w:bottom w:val="single" w:color="auto" w:sz="4" w:space="0"/>
              <w:right w:val="single" w:color="auto" w:sz="4" w:space="0"/>
            </w:tcBorders>
            <w:noWrap/>
            <w:vAlign w:val="center"/>
          </w:tcPr>
          <w:p w14:paraId="3F5F1A64">
            <w:pPr>
              <w:snapToGrid w:val="0"/>
              <w:jc w:val="center"/>
              <w:rPr>
                <w:rFonts w:hint="default"/>
                <w:color w:val="auto"/>
                <w:sz w:val="24"/>
                <w:highlight w:val="none"/>
              </w:rPr>
            </w:pPr>
            <w:r>
              <w:rPr>
                <w:rFonts w:hint="default"/>
                <w:color w:val="auto"/>
                <w:sz w:val="24"/>
                <w:szCs w:val="22"/>
                <w:highlight w:val="none"/>
              </w:rPr>
              <w:t>序号</w:t>
            </w:r>
          </w:p>
        </w:tc>
        <w:tc>
          <w:tcPr>
            <w:tcW w:w="1793" w:type="dxa"/>
            <w:tcBorders>
              <w:top w:val="single" w:color="auto" w:sz="4" w:space="0"/>
              <w:left w:val="single" w:color="auto" w:sz="4" w:space="0"/>
              <w:bottom w:val="single" w:color="auto" w:sz="4" w:space="0"/>
              <w:right w:val="single" w:color="auto" w:sz="4" w:space="0"/>
            </w:tcBorders>
            <w:noWrap/>
            <w:vAlign w:val="center"/>
          </w:tcPr>
          <w:p w14:paraId="1AA75AFE">
            <w:pPr>
              <w:snapToGrid w:val="0"/>
              <w:jc w:val="center"/>
              <w:rPr>
                <w:rFonts w:hint="default"/>
                <w:color w:val="auto"/>
                <w:sz w:val="24"/>
                <w:highlight w:val="none"/>
              </w:rPr>
            </w:pPr>
            <w:r>
              <w:rPr>
                <w:rFonts w:hint="default"/>
                <w:color w:val="auto"/>
                <w:sz w:val="24"/>
                <w:szCs w:val="22"/>
                <w:highlight w:val="none"/>
              </w:rPr>
              <w:t>产品名称</w:t>
            </w:r>
          </w:p>
        </w:tc>
        <w:tc>
          <w:tcPr>
            <w:tcW w:w="895" w:type="dxa"/>
            <w:tcBorders>
              <w:top w:val="single" w:color="auto" w:sz="4" w:space="0"/>
              <w:left w:val="single" w:color="auto" w:sz="4" w:space="0"/>
              <w:bottom w:val="single" w:color="auto" w:sz="4" w:space="0"/>
              <w:right w:val="single" w:color="auto" w:sz="4" w:space="0"/>
            </w:tcBorders>
            <w:noWrap/>
            <w:vAlign w:val="center"/>
          </w:tcPr>
          <w:p w14:paraId="3EF63352">
            <w:pPr>
              <w:snapToGrid w:val="0"/>
              <w:jc w:val="center"/>
              <w:rPr>
                <w:rFonts w:hint="default"/>
                <w:color w:val="auto"/>
                <w:sz w:val="24"/>
                <w:highlight w:val="none"/>
              </w:rPr>
            </w:pPr>
            <w:r>
              <w:rPr>
                <w:rFonts w:hint="default"/>
                <w:color w:val="auto"/>
                <w:sz w:val="24"/>
                <w:szCs w:val="22"/>
                <w:highlight w:val="none"/>
              </w:rPr>
              <w:t>品牌</w:t>
            </w:r>
          </w:p>
        </w:tc>
        <w:tc>
          <w:tcPr>
            <w:tcW w:w="1366" w:type="dxa"/>
            <w:tcBorders>
              <w:top w:val="single" w:color="auto" w:sz="4" w:space="0"/>
              <w:left w:val="single" w:color="auto" w:sz="4" w:space="0"/>
              <w:bottom w:val="single" w:color="auto" w:sz="4" w:space="0"/>
              <w:right w:val="single" w:color="auto" w:sz="4" w:space="0"/>
            </w:tcBorders>
            <w:noWrap/>
            <w:vAlign w:val="center"/>
          </w:tcPr>
          <w:p w14:paraId="09CE145E">
            <w:pPr>
              <w:snapToGrid w:val="0"/>
              <w:jc w:val="center"/>
              <w:rPr>
                <w:rFonts w:hint="default"/>
                <w:color w:val="auto"/>
                <w:sz w:val="24"/>
                <w:highlight w:val="none"/>
              </w:rPr>
            </w:pPr>
            <w:r>
              <w:rPr>
                <w:rFonts w:hint="default"/>
                <w:color w:val="auto"/>
                <w:sz w:val="24"/>
                <w:szCs w:val="22"/>
                <w:highlight w:val="none"/>
              </w:rPr>
              <w:t>规格型号</w:t>
            </w:r>
          </w:p>
        </w:tc>
        <w:tc>
          <w:tcPr>
            <w:tcW w:w="1513" w:type="dxa"/>
            <w:tcBorders>
              <w:top w:val="single" w:color="auto" w:sz="4" w:space="0"/>
              <w:left w:val="single" w:color="auto" w:sz="4" w:space="0"/>
              <w:bottom w:val="single" w:color="auto" w:sz="4" w:space="0"/>
              <w:right w:val="single" w:color="auto" w:sz="4" w:space="0"/>
            </w:tcBorders>
            <w:noWrap/>
            <w:vAlign w:val="center"/>
          </w:tcPr>
          <w:p w14:paraId="2793E2A4">
            <w:pPr>
              <w:snapToGrid w:val="0"/>
              <w:jc w:val="center"/>
              <w:rPr>
                <w:rFonts w:hint="default"/>
                <w:color w:val="auto"/>
                <w:sz w:val="24"/>
                <w:highlight w:val="none"/>
              </w:rPr>
            </w:pPr>
            <w:r>
              <w:rPr>
                <w:rFonts w:hint="default"/>
                <w:color w:val="auto"/>
                <w:sz w:val="24"/>
                <w:szCs w:val="22"/>
                <w:highlight w:val="none"/>
              </w:rPr>
              <w:t>单位及数量</w:t>
            </w:r>
          </w:p>
        </w:tc>
        <w:tc>
          <w:tcPr>
            <w:tcW w:w="2375" w:type="dxa"/>
            <w:tcBorders>
              <w:top w:val="single" w:color="auto" w:sz="4" w:space="0"/>
              <w:left w:val="single" w:color="auto" w:sz="4" w:space="0"/>
              <w:bottom w:val="single" w:color="auto" w:sz="4" w:space="0"/>
              <w:right w:val="single" w:color="auto" w:sz="4" w:space="0"/>
            </w:tcBorders>
            <w:noWrap/>
            <w:vAlign w:val="center"/>
          </w:tcPr>
          <w:p w14:paraId="2B94F09B">
            <w:pPr>
              <w:snapToGrid w:val="0"/>
              <w:jc w:val="center"/>
              <w:rPr>
                <w:rFonts w:hint="default"/>
                <w:color w:val="auto"/>
                <w:sz w:val="24"/>
                <w:highlight w:val="none"/>
              </w:rPr>
            </w:pPr>
            <w:r>
              <w:rPr>
                <w:rFonts w:hint="default"/>
                <w:color w:val="auto"/>
                <w:sz w:val="24"/>
                <w:szCs w:val="22"/>
                <w:highlight w:val="none"/>
              </w:rPr>
              <w:t>性能及指标</w:t>
            </w:r>
          </w:p>
        </w:tc>
        <w:tc>
          <w:tcPr>
            <w:tcW w:w="1152" w:type="dxa"/>
            <w:tcBorders>
              <w:top w:val="single" w:color="auto" w:sz="4" w:space="0"/>
              <w:left w:val="single" w:color="auto" w:sz="4" w:space="0"/>
              <w:bottom w:val="single" w:color="auto" w:sz="4" w:space="0"/>
              <w:right w:val="single" w:color="auto" w:sz="4" w:space="0"/>
            </w:tcBorders>
            <w:noWrap/>
            <w:vAlign w:val="center"/>
          </w:tcPr>
          <w:p w14:paraId="68162DF5">
            <w:pPr>
              <w:snapToGrid w:val="0"/>
              <w:jc w:val="center"/>
              <w:rPr>
                <w:rFonts w:hint="default"/>
                <w:color w:val="auto"/>
                <w:sz w:val="24"/>
                <w:highlight w:val="none"/>
              </w:rPr>
            </w:pPr>
            <w:r>
              <w:rPr>
                <w:rFonts w:hint="default"/>
                <w:color w:val="auto"/>
                <w:sz w:val="24"/>
                <w:szCs w:val="22"/>
                <w:highlight w:val="none"/>
              </w:rPr>
              <w:t>产地</w:t>
            </w:r>
          </w:p>
        </w:tc>
      </w:tr>
      <w:tr w14:paraId="2AB717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1" w:hRule="atLeast"/>
          <w:jc w:val="center"/>
        </w:trPr>
        <w:tc>
          <w:tcPr>
            <w:tcW w:w="591" w:type="dxa"/>
            <w:tcBorders>
              <w:top w:val="single" w:color="auto" w:sz="4" w:space="0"/>
              <w:left w:val="single" w:color="auto" w:sz="4" w:space="0"/>
              <w:bottom w:val="single" w:color="auto" w:sz="4" w:space="0"/>
              <w:right w:val="single" w:color="auto" w:sz="4" w:space="0"/>
            </w:tcBorders>
            <w:noWrap/>
            <w:vAlign w:val="center"/>
          </w:tcPr>
          <w:p w14:paraId="0CD2CE8C">
            <w:pPr>
              <w:snapToGrid w:val="0"/>
              <w:jc w:val="center"/>
              <w:rPr>
                <w:rFonts w:hint="default"/>
                <w:color w:val="auto"/>
                <w:sz w:val="24"/>
                <w:highlight w:val="none"/>
              </w:rPr>
            </w:pPr>
          </w:p>
        </w:tc>
        <w:tc>
          <w:tcPr>
            <w:tcW w:w="1793" w:type="dxa"/>
            <w:tcBorders>
              <w:top w:val="single" w:color="auto" w:sz="4" w:space="0"/>
              <w:left w:val="single" w:color="auto" w:sz="4" w:space="0"/>
              <w:bottom w:val="single" w:color="auto" w:sz="4" w:space="0"/>
              <w:right w:val="single" w:color="auto" w:sz="4" w:space="0"/>
            </w:tcBorders>
            <w:noWrap/>
            <w:vAlign w:val="center"/>
          </w:tcPr>
          <w:p w14:paraId="5757A33B">
            <w:pPr>
              <w:snapToGrid w:val="0"/>
              <w:jc w:val="center"/>
              <w:rPr>
                <w:rFonts w:hint="default"/>
                <w:color w:val="auto"/>
                <w:sz w:val="24"/>
                <w:highlight w:val="none"/>
              </w:rPr>
            </w:pPr>
          </w:p>
        </w:tc>
        <w:tc>
          <w:tcPr>
            <w:tcW w:w="895" w:type="dxa"/>
            <w:tcBorders>
              <w:top w:val="single" w:color="auto" w:sz="4" w:space="0"/>
              <w:left w:val="single" w:color="auto" w:sz="4" w:space="0"/>
              <w:bottom w:val="single" w:color="auto" w:sz="4" w:space="0"/>
              <w:right w:val="single" w:color="auto" w:sz="4" w:space="0"/>
            </w:tcBorders>
            <w:noWrap/>
            <w:vAlign w:val="center"/>
          </w:tcPr>
          <w:p w14:paraId="7F545E48">
            <w:pPr>
              <w:snapToGrid w:val="0"/>
              <w:jc w:val="center"/>
              <w:rPr>
                <w:rFonts w:hint="default"/>
                <w:color w:val="auto"/>
                <w:sz w:val="24"/>
                <w:highlight w:val="none"/>
              </w:rPr>
            </w:pPr>
          </w:p>
        </w:tc>
        <w:tc>
          <w:tcPr>
            <w:tcW w:w="1366" w:type="dxa"/>
            <w:tcBorders>
              <w:top w:val="single" w:color="auto" w:sz="4" w:space="0"/>
              <w:left w:val="single" w:color="auto" w:sz="4" w:space="0"/>
              <w:bottom w:val="single" w:color="auto" w:sz="4" w:space="0"/>
              <w:right w:val="single" w:color="auto" w:sz="4" w:space="0"/>
            </w:tcBorders>
            <w:noWrap/>
            <w:vAlign w:val="center"/>
          </w:tcPr>
          <w:p w14:paraId="1D50BCBE">
            <w:pPr>
              <w:snapToGrid w:val="0"/>
              <w:jc w:val="center"/>
              <w:rPr>
                <w:rFonts w:hint="default"/>
                <w:color w:val="auto"/>
                <w:sz w:val="24"/>
                <w:highlight w:val="none"/>
              </w:rPr>
            </w:pPr>
          </w:p>
        </w:tc>
        <w:tc>
          <w:tcPr>
            <w:tcW w:w="1513" w:type="dxa"/>
            <w:tcBorders>
              <w:top w:val="single" w:color="auto" w:sz="4" w:space="0"/>
              <w:left w:val="single" w:color="auto" w:sz="4" w:space="0"/>
              <w:bottom w:val="single" w:color="auto" w:sz="4" w:space="0"/>
              <w:right w:val="single" w:color="auto" w:sz="4" w:space="0"/>
            </w:tcBorders>
            <w:noWrap/>
            <w:vAlign w:val="center"/>
          </w:tcPr>
          <w:p w14:paraId="504A06C0">
            <w:pPr>
              <w:snapToGrid w:val="0"/>
              <w:jc w:val="center"/>
              <w:rPr>
                <w:rFonts w:hint="default"/>
                <w:color w:val="auto"/>
                <w:sz w:val="24"/>
                <w:highlight w:val="none"/>
              </w:rPr>
            </w:pPr>
          </w:p>
        </w:tc>
        <w:tc>
          <w:tcPr>
            <w:tcW w:w="2375" w:type="dxa"/>
            <w:tcBorders>
              <w:top w:val="single" w:color="auto" w:sz="4" w:space="0"/>
              <w:left w:val="single" w:color="auto" w:sz="4" w:space="0"/>
              <w:bottom w:val="single" w:color="auto" w:sz="4" w:space="0"/>
              <w:right w:val="single" w:color="auto" w:sz="4" w:space="0"/>
            </w:tcBorders>
            <w:noWrap/>
            <w:vAlign w:val="center"/>
          </w:tcPr>
          <w:p w14:paraId="29E150AE">
            <w:pPr>
              <w:snapToGrid w:val="0"/>
              <w:jc w:val="center"/>
              <w:rPr>
                <w:rFonts w:hint="default"/>
                <w:color w:val="auto"/>
                <w:sz w:val="24"/>
                <w:highlight w:val="none"/>
              </w:rPr>
            </w:pPr>
          </w:p>
        </w:tc>
        <w:tc>
          <w:tcPr>
            <w:tcW w:w="1152" w:type="dxa"/>
            <w:tcBorders>
              <w:top w:val="single" w:color="auto" w:sz="4" w:space="0"/>
              <w:left w:val="single" w:color="auto" w:sz="4" w:space="0"/>
              <w:bottom w:val="single" w:color="auto" w:sz="4" w:space="0"/>
              <w:right w:val="single" w:color="auto" w:sz="4" w:space="0"/>
            </w:tcBorders>
            <w:noWrap/>
            <w:vAlign w:val="center"/>
          </w:tcPr>
          <w:p w14:paraId="7B1F0CB8">
            <w:pPr>
              <w:snapToGrid w:val="0"/>
              <w:jc w:val="center"/>
              <w:rPr>
                <w:rFonts w:hint="default"/>
                <w:color w:val="auto"/>
                <w:sz w:val="24"/>
                <w:highlight w:val="none"/>
              </w:rPr>
            </w:pPr>
          </w:p>
        </w:tc>
      </w:tr>
      <w:tr w14:paraId="0C7059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1" w:hRule="atLeast"/>
          <w:jc w:val="center"/>
        </w:trPr>
        <w:tc>
          <w:tcPr>
            <w:tcW w:w="591" w:type="dxa"/>
            <w:tcBorders>
              <w:top w:val="single" w:color="auto" w:sz="4" w:space="0"/>
              <w:left w:val="single" w:color="auto" w:sz="4" w:space="0"/>
              <w:bottom w:val="single" w:color="auto" w:sz="4" w:space="0"/>
              <w:right w:val="single" w:color="auto" w:sz="4" w:space="0"/>
            </w:tcBorders>
            <w:noWrap/>
            <w:vAlign w:val="center"/>
          </w:tcPr>
          <w:p w14:paraId="791B9164">
            <w:pPr>
              <w:snapToGrid w:val="0"/>
              <w:jc w:val="center"/>
              <w:rPr>
                <w:rFonts w:hint="default"/>
                <w:color w:val="auto"/>
                <w:sz w:val="24"/>
                <w:highlight w:val="none"/>
              </w:rPr>
            </w:pPr>
          </w:p>
        </w:tc>
        <w:tc>
          <w:tcPr>
            <w:tcW w:w="1793" w:type="dxa"/>
            <w:tcBorders>
              <w:top w:val="single" w:color="auto" w:sz="4" w:space="0"/>
              <w:left w:val="single" w:color="auto" w:sz="4" w:space="0"/>
              <w:bottom w:val="single" w:color="auto" w:sz="4" w:space="0"/>
              <w:right w:val="single" w:color="auto" w:sz="4" w:space="0"/>
            </w:tcBorders>
            <w:noWrap/>
            <w:vAlign w:val="center"/>
          </w:tcPr>
          <w:p w14:paraId="42E19A92">
            <w:pPr>
              <w:snapToGrid w:val="0"/>
              <w:jc w:val="center"/>
              <w:rPr>
                <w:rFonts w:hint="default"/>
                <w:color w:val="auto"/>
                <w:sz w:val="24"/>
                <w:highlight w:val="none"/>
              </w:rPr>
            </w:pPr>
          </w:p>
        </w:tc>
        <w:tc>
          <w:tcPr>
            <w:tcW w:w="895" w:type="dxa"/>
            <w:tcBorders>
              <w:top w:val="single" w:color="auto" w:sz="4" w:space="0"/>
              <w:left w:val="single" w:color="auto" w:sz="4" w:space="0"/>
              <w:bottom w:val="single" w:color="auto" w:sz="4" w:space="0"/>
              <w:right w:val="single" w:color="auto" w:sz="4" w:space="0"/>
            </w:tcBorders>
            <w:noWrap/>
            <w:vAlign w:val="center"/>
          </w:tcPr>
          <w:p w14:paraId="11B4101E">
            <w:pPr>
              <w:snapToGrid w:val="0"/>
              <w:jc w:val="center"/>
              <w:rPr>
                <w:rFonts w:hint="default"/>
                <w:color w:val="auto"/>
                <w:sz w:val="24"/>
                <w:highlight w:val="none"/>
              </w:rPr>
            </w:pPr>
          </w:p>
        </w:tc>
        <w:tc>
          <w:tcPr>
            <w:tcW w:w="1366" w:type="dxa"/>
            <w:tcBorders>
              <w:top w:val="single" w:color="auto" w:sz="4" w:space="0"/>
              <w:left w:val="single" w:color="auto" w:sz="4" w:space="0"/>
              <w:bottom w:val="single" w:color="auto" w:sz="4" w:space="0"/>
              <w:right w:val="single" w:color="auto" w:sz="4" w:space="0"/>
            </w:tcBorders>
            <w:noWrap/>
            <w:vAlign w:val="center"/>
          </w:tcPr>
          <w:p w14:paraId="4019124E">
            <w:pPr>
              <w:snapToGrid w:val="0"/>
              <w:jc w:val="center"/>
              <w:rPr>
                <w:rFonts w:hint="default"/>
                <w:color w:val="auto"/>
                <w:sz w:val="24"/>
                <w:highlight w:val="none"/>
              </w:rPr>
            </w:pPr>
          </w:p>
        </w:tc>
        <w:tc>
          <w:tcPr>
            <w:tcW w:w="1513" w:type="dxa"/>
            <w:tcBorders>
              <w:top w:val="single" w:color="auto" w:sz="4" w:space="0"/>
              <w:left w:val="single" w:color="auto" w:sz="4" w:space="0"/>
              <w:bottom w:val="single" w:color="auto" w:sz="4" w:space="0"/>
              <w:right w:val="single" w:color="auto" w:sz="4" w:space="0"/>
            </w:tcBorders>
            <w:noWrap/>
            <w:vAlign w:val="center"/>
          </w:tcPr>
          <w:p w14:paraId="415877A9">
            <w:pPr>
              <w:snapToGrid w:val="0"/>
              <w:jc w:val="center"/>
              <w:rPr>
                <w:rFonts w:hint="default"/>
                <w:color w:val="auto"/>
                <w:sz w:val="24"/>
                <w:highlight w:val="none"/>
              </w:rPr>
            </w:pPr>
          </w:p>
        </w:tc>
        <w:tc>
          <w:tcPr>
            <w:tcW w:w="2375" w:type="dxa"/>
            <w:tcBorders>
              <w:top w:val="single" w:color="auto" w:sz="4" w:space="0"/>
              <w:left w:val="single" w:color="auto" w:sz="4" w:space="0"/>
              <w:bottom w:val="single" w:color="auto" w:sz="4" w:space="0"/>
              <w:right w:val="single" w:color="auto" w:sz="4" w:space="0"/>
            </w:tcBorders>
            <w:noWrap/>
            <w:vAlign w:val="center"/>
          </w:tcPr>
          <w:p w14:paraId="3EA709FE">
            <w:pPr>
              <w:snapToGrid w:val="0"/>
              <w:jc w:val="center"/>
              <w:rPr>
                <w:rFonts w:hint="default"/>
                <w:color w:val="auto"/>
                <w:sz w:val="24"/>
                <w:highlight w:val="none"/>
              </w:rPr>
            </w:pPr>
          </w:p>
        </w:tc>
        <w:tc>
          <w:tcPr>
            <w:tcW w:w="1152" w:type="dxa"/>
            <w:tcBorders>
              <w:top w:val="single" w:color="auto" w:sz="4" w:space="0"/>
              <w:left w:val="single" w:color="auto" w:sz="4" w:space="0"/>
              <w:bottom w:val="single" w:color="auto" w:sz="4" w:space="0"/>
              <w:right w:val="single" w:color="auto" w:sz="4" w:space="0"/>
            </w:tcBorders>
            <w:noWrap/>
            <w:vAlign w:val="center"/>
          </w:tcPr>
          <w:p w14:paraId="486B8BA8">
            <w:pPr>
              <w:snapToGrid w:val="0"/>
              <w:jc w:val="center"/>
              <w:rPr>
                <w:rFonts w:hint="default"/>
                <w:color w:val="auto"/>
                <w:sz w:val="24"/>
                <w:highlight w:val="none"/>
              </w:rPr>
            </w:pPr>
          </w:p>
        </w:tc>
      </w:tr>
      <w:tr w14:paraId="31F308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1" w:hRule="atLeast"/>
          <w:jc w:val="center"/>
        </w:trPr>
        <w:tc>
          <w:tcPr>
            <w:tcW w:w="591" w:type="dxa"/>
            <w:tcBorders>
              <w:top w:val="single" w:color="auto" w:sz="4" w:space="0"/>
              <w:left w:val="single" w:color="auto" w:sz="4" w:space="0"/>
              <w:bottom w:val="single" w:color="auto" w:sz="4" w:space="0"/>
              <w:right w:val="single" w:color="auto" w:sz="4" w:space="0"/>
            </w:tcBorders>
            <w:noWrap/>
            <w:vAlign w:val="center"/>
          </w:tcPr>
          <w:p w14:paraId="38FACC2E">
            <w:pPr>
              <w:snapToGrid w:val="0"/>
              <w:jc w:val="center"/>
              <w:rPr>
                <w:rFonts w:hint="default"/>
                <w:color w:val="auto"/>
                <w:sz w:val="24"/>
                <w:highlight w:val="none"/>
              </w:rPr>
            </w:pPr>
          </w:p>
        </w:tc>
        <w:tc>
          <w:tcPr>
            <w:tcW w:w="1793" w:type="dxa"/>
            <w:tcBorders>
              <w:top w:val="single" w:color="auto" w:sz="4" w:space="0"/>
              <w:left w:val="single" w:color="auto" w:sz="4" w:space="0"/>
              <w:bottom w:val="single" w:color="auto" w:sz="4" w:space="0"/>
              <w:right w:val="single" w:color="auto" w:sz="4" w:space="0"/>
            </w:tcBorders>
            <w:noWrap/>
            <w:vAlign w:val="center"/>
          </w:tcPr>
          <w:p w14:paraId="2D17DFAB">
            <w:pPr>
              <w:snapToGrid w:val="0"/>
              <w:jc w:val="center"/>
              <w:rPr>
                <w:rFonts w:hint="default"/>
                <w:color w:val="auto"/>
                <w:sz w:val="24"/>
                <w:highlight w:val="none"/>
              </w:rPr>
            </w:pPr>
          </w:p>
        </w:tc>
        <w:tc>
          <w:tcPr>
            <w:tcW w:w="895" w:type="dxa"/>
            <w:tcBorders>
              <w:top w:val="single" w:color="auto" w:sz="4" w:space="0"/>
              <w:left w:val="single" w:color="auto" w:sz="4" w:space="0"/>
              <w:bottom w:val="single" w:color="auto" w:sz="4" w:space="0"/>
              <w:right w:val="single" w:color="auto" w:sz="4" w:space="0"/>
            </w:tcBorders>
            <w:noWrap/>
            <w:vAlign w:val="center"/>
          </w:tcPr>
          <w:p w14:paraId="1196D3F8">
            <w:pPr>
              <w:snapToGrid w:val="0"/>
              <w:jc w:val="center"/>
              <w:rPr>
                <w:rFonts w:hint="default"/>
                <w:color w:val="auto"/>
                <w:sz w:val="24"/>
                <w:highlight w:val="none"/>
              </w:rPr>
            </w:pPr>
          </w:p>
        </w:tc>
        <w:tc>
          <w:tcPr>
            <w:tcW w:w="1366" w:type="dxa"/>
            <w:tcBorders>
              <w:top w:val="single" w:color="auto" w:sz="4" w:space="0"/>
              <w:left w:val="single" w:color="auto" w:sz="4" w:space="0"/>
              <w:bottom w:val="single" w:color="auto" w:sz="4" w:space="0"/>
              <w:right w:val="single" w:color="auto" w:sz="4" w:space="0"/>
            </w:tcBorders>
            <w:noWrap/>
            <w:vAlign w:val="center"/>
          </w:tcPr>
          <w:p w14:paraId="2A8B16DA">
            <w:pPr>
              <w:snapToGrid w:val="0"/>
              <w:jc w:val="center"/>
              <w:rPr>
                <w:rFonts w:hint="default"/>
                <w:color w:val="auto"/>
                <w:sz w:val="24"/>
                <w:highlight w:val="none"/>
              </w:rPr>
            </w:pPr>
          </w:p>
        </w:tc>
        <w:tc>
          <w:tcPr>
            <w:tcW w:w="1513" w:type="dxa"/>
            <w:tcBorders>
              <w:top w:val="single" w:color="auto" w:sz="4" w:space="0"/>
              <w:left w:val="single" w:color="auto" w:sz="4" w:space="0"/>
              <w:bottom w:val="single" w:color="auto" w:sz="4" w:space="0"/>
              <w:right w:val="single" w:color="auto" w:sz="4" w:space="0"/>
            </w:tcBorders>
            <w:noWrap/>
            <w:vAlign w:val="center"/>
          </w:tcPr>
          <w:p w14:paraId="4EB6433C">
            <w:pPr>
              <w:snapToGrid w:val="0"/>
              <w:jc w:val="center"/>
              <w:rPr>
                <w:rFonts w:hint="default"/>
                <w:color w:val="auto"/>
                <w:sz w:val="24"/>
                <w:highlight w:val="none"/>
              </w:rPr>
            </w:pPr>
          </w:p>
        </w:tc>
        <w:tc>
          <w:tcPr>
            <w:tcW w:w="2375" w:type="dxa"/>
            <w:tcBorders>
              <w:top w:val="single" w:color="auto" w:sz="4" w:space="0"/>
              <w:left w:val="single" w:color="auto" w:sz="4" w:space="0"/>
              <w:bottom w:val="single" w:color="auto" w:sz="4" w:space="0"/>
              <w:right w:val="single" w:color="auto" w:sz="4" w:space="0"/>
            </w:tcBorders>
            <w:noWrap/>
            <w:vAlign w:val="center"/>
          </w:tcPr>
          <w:p w14:paraId="54C2899F">
            <w:pPr>
              <w:snapToGrid w:val="0"/>
              <w:jc w:val="center"/>
              <w:rPr>
                <w:rFonts w:hint="default"/>
                <w:color w:val="auto"/>
                <w:sz w:val="24"/>
                <w:highlight w:val="none"/>
              </w:rPr>
            </w:pPr>
          </w:p>
        </w:tc>
        <w:tc>
          <w:tcPr>
            <w:tcW w:w="1152" w:type="dxa"/>
            <w:tcBorders>
              <w:top w:val="single" w:color="auto" w:sz="4" w:space="0"/>
              <w:left w:val="single" w:color="auto" w:sz="4" w:space="0"/>
              <w:bottom w:val="single" w:color="auto" w:sz="4" w:space="0"/>
              <w:right w:val="single" w:color="auto" w:sz="4" w:space="0"/>
            </w:tcBorders>
            <w:noWrap/>
            <w:vAlign w:val="center"/>
          </w:tcPr>
          <w:p w14:paraId="4AA732F2">
            <w:pPr>
              <w:snapToGrid w:val="0"/>
              <w:jc w:val="center"/>
              <w:rPr>
                <w:rFonts w:hint="default"/>
                <w:color w:val="auto"/>
                <w:sz w:val="24"/>
                <w:highlight w:val="none"/>
              </w:rPr>
            </w:pPr>
          </w:p>
        </w:tc>
      </w:tr>
      <w:tr w14:paraId="03A233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1" w:hRule="atLeast"/>
          <w:jc w:val="center"/>
        </w:trPr>
        <w:tc>
          <w:tcPr>
            <w:tcW w:w="591" w:type="dxa"/>
            <w:tcBorders>
              <w:top w:val="single" w:color="auto" w:sz="4" w:space="0"/>
              <w:left w:val="single" w:color="auto" w:sz="4" w:space="0"/>
              <w:bottom w:val="single" w:color="auto" w:sz="4" w:space="0"/>
              <w:right w:val="single" w:color="auto" w:sz="4" w:space="0"/>
            </w:tcBorders>
            <w:noWrap/>
            <w:vAlign w:val="center"/>
          </w:tcPr>
          <w:p w14:paraId="1A0FFB94">
            <w:pPr>
              <w:snapToGrid w:val="0"/>
              <w:jc w:val="center"/>
              <w:rPr>
                <w:rFonts w:hint="default"/>
                <w:color w:val="auto"/>
                <w:sz w:val="24"/>
                <w:highlight w:val="none"/>
              </w:rPr>
            </w:pPr>
          </w:p>
        </w:tc>
        <w:tc>
          <w:tcPr>
            <w:tcW w:w="1793" w:type="dxa"/>
            <w:tcBorders>
              <w:top w:val="single" w:color="auto" w:sz="4" w:space="0"/>
              <w:left w:val="single" w:color="auto" w:sz="4" w:space="0"/>
              <w:bottom w:val="single" w:color="auto" w:sz="4" w:space="0"/>
              <w:right w:val="single" w:color="auto" w:sz="4" w:space="0"/>
            </w:tcBorders>
            <w:noWrap/>
            <w:vAlign w:val="center"/>
          </w:tcPr>
          <w:p w14:paraId="1D533251">
            <w:pPr>
              <w:snapToGrid w:val="0"/>
              <w:jc w:val="center"/>
              <w:rPr>
                <w:rFonts w:hint="default"/>
                <w:color w:val="auto"/>
                <w:sz w:val="24"/>
                <w:highlight w:val="none"/>
              </w:rPr>
            </w:pPr>
          </w:p>
        </w:tc>
        <w:tc>
          <w:tcPr>
            <w:tcW w:w="895" w:type="dxa"/>
            <w:tcBorders>
              <w:top w:val="single" w:color="auto" w:sz="4" w:space="0"/>
              <w:left w:val="single" w:color="auto" w:sz="4" w:space="0"/>
              <w:bottom w:val="single" w:color="auto" w:sz="4" w:space="0"/>
              <w:right w:val="single" w:color="auto" w:sz="4" w:space="0"/>
            </w:tcBorders>
            <w:noWrap/>
            <w:vAlign w:val="center"/>
          </w:tcPr>
          <w:p w14:paraId="561B11A5">
            <w:pPr>
              <w:snapToGrid w:val="0"/>
              <w:jc w:val="center"/>
              <w:rPr>
                <w:rFonts w:hint="default"/>
                <w:color w:val="auto"/>
                <w:sz w:val="24"/>
                <w:highlight w:val="none"/>
              </w:rPr>
            </w:pPr>
          </w:p>
        </w:tc>
        <w:tc>
          <w:tcPr>
            <w:tcW w:w="1366" w:type="dxa"/>
            <w:tcBorders>
              <w:top w:val="single" w:color="auto" w:sz="4" w:space="0"/>
              <w:left w:val="single" w:color="auto" w:sz="4" w:space="0"/>
              <w:bottom w:val="single" w:color="auto" w:sz="4" w:space="0"/>
              <w:right w:val="single" w:color="auto" w:sz="4" w:space="0"/>
            </w:tcBorders>
            <w:noWrap/>
            <w:vAlign w:val="center"/>
          </w:tcPr>
          <w:p w14:paraId="6C0231A2">
            <w:pPr>
              <w:snapToGrid w:val="0"/>
              <w:jc w:val="center"/>
              <w:rPr>
                <w:rFonts w:hint="default"/>
                <w:color w:val="auto"/>
                <w:sz w:val="24"/>
                <w:highlight w:val="none"/>
              </w:rPr>
            </w:pPr>
          </w:p>
        </w:tc>
        <w:tc>
          <w:tcPr>
            <w:tcW w:w="1513" w:type="dxa"/>
            <w:tcBorders>
              <w:top w:val="single" w:color="auto" w:sz="4" w:space="0"/>
              <w:left w:val="single" w:color="auto" w:sz="4" w:space="0"/>
              <w:bottom w:val="single" w:color="auto" w:sz="4" w:space="0"/>
              <w:right w:val="single" w:color="auto" w:sz="4" w:space="0"/>
            </w:tcBorders>
            <w:noWrap/>
            <w:vAlign w:val="center"/>
          </w:tcPr>
          <w:p w14:paraId="0FB73EF0">
            <w:pPr>
              <w:snapToGrid w:val="0"/>
              <w:jc w:val="center"/>
              <w:rPr>
                <w:rFonts w:hint="default"/>
                <w:color w:val="auto"/>
                <w:sz w:val="24"/>
                <w:highlight w:val="none"/>
              </w:rPr>
            </w:pPr>
          </w:p>
        </w:tc>
        <w:tc>
          <w:tcPr>
            <w:tcW w:w="2375" w:type="dxa"/>
            <w:tcBorders>
              <w:top w:val="single" w:color="auto" w:sz="4" w:space="0"/>
              <w:left w:val="single" w:color="auto" w:sz="4" w:space="0"/>
              <w:bottom w:val="single" w:color="auto" w:sz="4" w:space="0"/>
              <w:right w:val="single" w:color="auto" w:sz="4" w:space="0"/>
            </w:tcBorders>
            <w:noWrap/>
            <w:vAlign w:val="center"/>
          </w:tcPr>
          <w:p w14:paraId="2A10E324">
            <w:pPr>
              <w:snapToGrid w:val="0"/>
              <w:jc w:val="center"/>
              <w:rPr>
                <w:rFonts w:hint="default"/>
                <w:color w:val="auto"/>
                <w:sz w:val="24"/>
                <w:highlight w:val="none"/>
              </w:rPr>
            </w:pPr>
          </w:p>
        </w:tc>
        <w:tc>
          <w:tcPr>
            <w:tcW w:w="1152" w:type="dxa"/>
            <w:tcBorders>
              <w:top w:val="single" w:color="auto" w:sz="4" w:space="0"/>
              <w:left w:val="single" w:color="auto" w:sz="4" w:space="0"/>
              <w:bottom w:val="nil"/>
              <w:right w:val="single" w:color="auto" w:sz="4" w:space="0"/>
            </w:tcBorders>
            <w:noWrap/>
            <w:vAlign w:val="center"/>
          </w:tcPr>
          <w:p w14:paraId="2F80E2AD">
            <w:pPr>
              <w:snapToGrid w:val="0"/>
              <w:jc w:val="center"/>
              <w:rPr>
                <w:rFonts w:hint="default"/>
                <w:color w:val="auto"/>
                <w:sz w:val="24"/>
                <w:highlight w:val="none"/>
              </w:rPr>
            </w:pPr>
          </w:p>
        </w:tc>
      </w:tr>
      <w:tr w14:paraId="577BB0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41" w:hRule="atLeast"/>
          <w:jc w:val="center"/>
        </w:trPr>
        <w:tc>
          <w:tcPr>
            <w:tcW w:w="591" w:type="dxa"/>
            <w:tcBorders>
              <w:top w:val="single" w:color="auto" w:sz="4" w:space="0"/>
              <w:left w:val="single" w:color="auto" w:sz="4" w:space="0"/>
              <w:bottom w:val="single" w:color="auto" w:sz="4" w:space="0"/>
              <w:right w:val="single" w:color="auto" w:sz="4" w:space="0"/>
            </w:tcBorders>
            <w:noWrap/>
            <w:vAlign w:val="center"/>
          </w:tcPr>
          <w:p w14:paraId="221D1E79">
            <w:pPr>
              <w:snapToGrid w:val="0"/>
              <w:jc w:val="center"/>
              <w:rPr>
                <w:rFonts w:hint="default"/>
                <w:color w:val="auto"/>
                <w:sz w:val="24"/>
                <w:highlight w:val="none"/>
              </w:rPr>
            </w:pPr>
          </w:p>
        </w:tc>
        <w:tc>
          <w:tcPr>
            <w:tcW w:w="1793" w:type="dxa"/>
            <w:tcBorders>
              <w:top w:val="single" w:color="auto" w:sz="4" w:space="0"/>
              <w:left w:val="single" w:color="auto" w:sz="4" w:space="0"/>
              <w:bottom w:val="single" w:color="auto" w:sz="4" w:space="0"/>
              <w:right w:val="single" w:color="auto" w:sz="4" w:space="0"/>
            </w:tcBorders>
            <w:noWrap/>
            <w:vAlign w:val="center"/>
          </w:tcPr>
          <w:p w14:paraId="6292F30F">
            <w:pPr>
              <w:snapToGrid w:val="0"/>
              <w:jc w:val="center"/>
              <w:rPr>
                <w:rFonts w:hint="default"/>
                <w:color w:val="auto"/>
                <w:sz w:val="24"/>
                <w:highlight w:val="none"/>
              </w:rPr>
            </w:pPr>
          </w:p>
        </w:tc>
        <w:tc>
          <w:tcPr>
            <w:tcW w:w="895" w:type="dxa"/>
            <w:tcBorders>
              <w:top w:val="single" w:color="auto" w:sz="4" w:space="0"/>
              <w:left w:val="single" w:color="auto" w:sz="4" w:space="0"/>
              <w:bottom w:val="single" w:color="auto" w:sz="4" w:space="0"/>
              <w:right w:val="single" w:color="auto" w:sz="4" w:space="0"/>
            </w:tcBorders>
            <w:noWrap/>
            <w:vAlign w:val="center"/>
          </w:tcPr>
          <w:p w14:paraId="4F5C088C">
            <w:pPr>
              <w:snapToGrid w:val="0"/>
              <w:ind w:left="480" w:hanging="480"/>
              <w:jc w:val="center"/>
              <w:rPr>
                <w:rFonts w:hint="default"/>
                <w:color w:val="auto"/>
                <w:sz w:val="24"/>
                <w:highlight w:val="none"/>
              </w:rPr>
            </w:pPr>
          </w:p>
        </w:tc>
        <w:tc>
          <w:tcPr>
            <w:tcW w:w="1366" w:type="dxa"/>
            <w:tcBorders>
              <w:top w:val="single" w:color="auto" w:sz="4" w:space="0"/>
              <w:left w:val="single" w:color="auto" w:sz="4" w:space="0"/>
              <w:bottom w:val="single" w:color="auto" w:sz="4" w:space="0"/>
              <w:right w:val="single" w:color="auto" w:sz="4" w:space="0"/>
            </w:tcBorders>
            <w:noWrap/>
            <w:vAlign w:val="center"/>
          </w:tcPr>
          <w:p w14:paraId="1E35533E">
            <w:pPr>
              <w:snapToGrid w:val="0"/>
              <w:jc w:val="center"/>
              <w:rPr>
                <w:rFonts w:hint="default"/>
                <w:color w:val="auto"/>
                <w:sz w:val="24"/>
                <w:highlight w:val="none"/>
              </w:rPr>
            </w:pPr>
          </w:p>
        </w:tc>
        <w:tc>
          <w:tcPr>
            <w:tcW w:w="1513" w:type="dxa"/>
            <w:tcBorders>
              <w:top w:val="single" w:color="auto" w:sz="4" w:space="0"/>
              <w:left w:val="single" w:color="auto" w:sz="4" w:space="0"/>
              <w:bottom w:val="single" w:color="auto" w:sz="4" w:space="0"/>
              <w:right w:val="single" w:color="auto" w:sz="4" w:space="0"/>
            </w:tcBorders>
            <w:noWrap/>
            <w:vAlign w:val="center"/>
          </w:tcPr>
          <w:p w14:paraId="7E0F61F9">
            <w:pPr>
              <w:snapToGrid w:val="0"/>
              <w:jc w:val="center"/>
              <w:rPr>
                <w:rFonts w:hint="default"/>
                <w:color w:val="auto"/>
                <w:sz w:val="24"/>
                <w:highlight w:val="none"/>
              </w:rPr>
            </w:pPr>
          </w:p>
        </w:tc>
        <w:tc>
          <w:tcPr>
            <w:tcW w:w="2375" w:type="dxa"/>
            <w:tcBorders>
              <w:top w:val="single" w:color="auto" w:sz="4" w:space="0"/>
              <w:left w:val="single" w:color="auto" w:sz="4" w:space="0"/>
              <w:bottom w:val="single" w:color="auto" w:sz="4" w:space="0"/>
              <w:right w:val="single" w:color="auto" w:sz="4" w:space="0"/>
            </w:tcBorders>
            <w:noWrap/>
            <w:vAlign w:val="center"/>
          </w:tcPr>
          <w:p w14:paraId="769C87FE">
            <w:pPr>
              <w:snapToGrid w:val="0"/>
              <w:jc w:val="center"/>
              <w:rPr>
                <w:rFonts w:hint="default"/>
                <w:color w:val="auto"/>
                <w:sz w:val="24"/>
                <w:highlight w:val="none"/>
              </w:rPr>
            </w:pPr>
          </w:p>
        </w:tc>
        <w:tc>
          <w:tcPr>
            <w:tcW w:w="1152" w:type="dxa"/>
            <w:tcBorders>
              <w:top w:val="single" w:color="auto" w:sz="4" w:space="0"/>
              <w:left w:val="single" w:color="auto" w:sz="4" w:space="0"/>
              <w:bottom w:val="single" w:color="auto" w:sz="4" w:space="0"/>
              <w:right w:val="single" w:color="auto" w:sz="4" w:space="0"/>
            </w:tcBorders>
            <w:noWrap/>
            <w:vAlign w:val="center"/>
          </w:tcPr>
          <w:p w14:paraId="6A45EAA0">
            <w:pPr>
              <w:snapToGrid w:val="0"/>
              <w:jc w:val="center"/>
              <w:rPr>
                <w:rFonts w:hint="default"/>
                <w:color w:val="auto"/>
                <w:sz w:val="24"/>
                <w:highlight w:val="none"/>
              </w:rPr>
            </w:pPr>
          </w:p>
        </w:tc>
      </w:tr>
    </w:tbl>
    <w:p w14:paraId="6FA881CB">
      <w:pPr>
        <w:widowControl/>
        <w:snapToGrid w:val="0"/>
        <w:spacing w:line="360" w:lineRule="auto"/>
        <w:ind w:firstLine="480" w:firstLineChars="200"/>
        <w:jc w:val="left"/>
        <w:rPr>
          <w:rFonts w:hint="default"/>
          <w:color w:val="auto"/>
          <w:kern w:val="0"/>
          <w:sz w:val="24"/>
          <w:highlight w:val="none"/>
        </w:rPr>
      </w:pPr>
      <w:bookmarkStart w:id="148" w:name="_Toc7951"/>
    </w:p>
    <w:p w14:paraId="3E911F24">
      <w:pPr>
        <w:widowControl/>
        <w:snapToGrid w:val="0"/>
        <w:spacing w:line="360" w:lineRule="auto"/>
        <w:ind w:firstLine="480" w:firstLineChars="200"/>
        <w:jc w:val="left"/>
        <w:rPr>
          <w:rFonts w:hint="default"/>
          <w:color w:val="auto"/>
          <w:kern w:val="0"/>
          <w:sz w:val="24"/>
          <w:highlight w:val="none"/>
        </w:rPr>
      </w:pPr>
    </w:p>
    <w:p w14:paraId="7F708666">
      <w:pPr>
        <w:widowControl/>
        <w:snapToGrid w:val="0"/>
        <w:spacing w:line="360" w:lineRule="auto"/>
        <w:ind w:firstLine="480" w:firstLineChars="200"/>
        <w:jc w:val="left"/>
        <w:rPr>
          <w:rFonts w:hint="default"/>
          <w:color w:val="auto"/>
          <w:kern w:val="0"/>
          <w:sz w:val="24"/>
          <w:highlight w:val="none"/>
        </w:rPr>
      </w:pPr>
    </w:p>
    <w:p w14:paraId="73C771DE">
      <w:pPr>
        <w:adjustRightInd w:val="0"/>
        <w:snapToGrid w:val="0"/>
        <w:spacing w:line="360" w:lineRule="auto"/>
        <w:ind w:firstLine="480" w:firstLineChars="200"/>
        <w:rPr>
          <w:rFonts w:hint="default" w:ascii="宋体" w:hAnsi="宋体" w:cs="宋体"/>
          <w:color w:val="auto"/>
          <w:kern w:val="0"/>
          <w:sz w:val="24"/>
          <w:highlight w:val="none"/>
        </w:rPr>
      </w:pPr>
      <w:r>
        <w:rPr>
          <w:rFonts w:ascii="宋体" w:hAnsi="宋体" w:cs="宋体"/>
          <w:color w:val="auto"/>
          <w:kern w:val="0"/>
          <w:sz w:val="24"/>
          <w:highlight w:val="none"/>
        </w:rPr>
        <w:t>供应商（</w:t>
      </w:r>
      <w:r>
        <w:rPr>
          <w:rFonts w:ascii="宋体" w:hAnsi="宋体" w:cs="宋体"/>
          <w:color w:val="auto"/>
          <w:kern w:val="0"/>
          <w:sz w:val="24"/>
          <w:highlight w:val="none"/>
          <w:lang w:val="zh-CN"/>
        </w:rPr>
        <w:t>电子签名/公章</w:t>
      </w:r>
      <w:r>
        <w:rPr>
          <w:rFonts w:ascii="宋体" w:hAnsi="宋体" w:cs="宋体"/>
          <w:color w:val="auto"/>
          <w:kern w:val="0"/>
          <w:sz w:val="24"/>
          <w:highlight w:val="none"/>
        </w:rPr>
        <w:t>）：</w:t>
      </w:r>
    </w:p>
    <w:p w14:paraId="2CC5F0F0">
      <w:pPr>
        <w:widowControl/>
        <w:adjustRightInd w:val="0"/>
        <w:snapToGrid w:val="0"/>
        <w:spacing w:line="360" w:lineRule="auto"/>
        <w:ind w:firstLine="480" w:firstLineChars="200"/>
        <w:jc w:val="left"/>
        <w:rPr>
          <w:rFonts w:hint="default"/>
          <w:color w:val="auto"/>
          <w:kern w:val="0"/>
          <w:sz w:val="24"/>
          <w:highlight w:val="none"/>
        </w:rPr>
      </w:pPr>
      <w:r>
        <w:rPr>
          <w:rFonts w:hint="default"/>
          <w:color w:val="auto"/>
          <w:kern w:val="0"/>
          <w:sz w:val="24"/>
          <w:highlight w:val="none"/>
        </w:rPr>
        <w:t>法定代表人或其授权代表（签字或盖章）：</w:t>
      </w:r>
    </w:p>
    <w:p w14:paraId="7381C5F7">
      <w:pPr>
        <w:pStyle w:val="6"/>
        <w:adjustRightInd w:val="0"/>
        <w:snapToGrid w:val="0"/>
        <w:spacing w:beforeLines="0" w:afterLines="0" w:line="360" w:lineRule="auto"/>
        <w:ind w:firstLine="480" w:firstLineChars="200"/>
        <w:outlineLvl w:val="0"/>
        <w:rPr>
          <w:rFonts w:ascii="Times New Roman" w:hAnsi="Times New Roman"/>
          <w:b/>
          <w:color w:val="auto"/>
          <w:sz w:val="32"/>
          <w:szCs w:val="32"/>
          <w:highlight w:val="none"/>
        </w:rPr>
      </w:pPr>
      <w:bookmarkStart w:id="149" w:name="_Toc21484"/>
      <w:bookmarkStart w:id="150" w:name="_Toc19389"/>
      <w:bookmarkStart w:id="151" w:name="_Toc23642"/>
      <w:r>
        <w:rPr>
          <w:rFonts w:ascii="Times New Roman" w:hAnsi="Times New Roman"/>
          <w:color w:val="auto"/>
          <w:kern w:val="0"/>
          <w:highlight w:val="none"/>
        </w:rPr>
        <w:t>日期：     年  月  日</w:t>
      </w:r>
      <w:bookmarkEnd w:id="149"/>
      <w:bookmarkEnd w:id="150"/>
      <w:bookmarkEnd w:id="151"/>
    </w:p>
    <w:p w14:paraId="1946B994">
      <w:pPr>
        <w:pStyle w:val="6"/>
        <w:snapToGrid w:val="0"/>
        <w:spacing w:before="156" w:after="156" w:line="360" w:lineRule="auto"/>
        <w:ind w:firstLine="643" w:firstLineChars="200"/>
        <w:jc w:val="center"/>
        <w:outlineLvl w:val="0"/>
        <w:rPr>
          <w:rFonts w:ascii="Times New Roman" w:hAnsi="Times New Roman"/>
          <w:b/>
          <w:color w:val="auto"/>
          <w:sz w:val="32"/>
          <w:szCs w:val="32"/>
          <w:highlight w:val="none"/>
        </w:rPr>
      </w:pPr>
    </w:p>
    <w:p w14:paraId="73FE6022">
      <w:pPr>
        <w:pStyle w:val="6"/>
        <w:snapToGrid w:val="0"/>
        <w:spacing w:before="156" w:after="156" w:line="360" w:lineRule="auto"/>
        <w:ind w:firstLine="643" w:firstLineChars="200"/>
        <w:jc w:val="center"/>
        <w:outlineLvl w:val="0"/>
        <w:rPr>
          <w:rFonts w:ascii="Times New Roman" w:hAnsi="Times New Roman"/>
          <w:b/>
          <w:color w:val="auto"/>
          <w:sz w:val="32"/>
          <w:szCs w:val="32"/>
          <w:highlight w:val="none"/>
        </w:rPr>
        <w:sectPr>
          <w:pgSz w:w="11906" w:h="16838"/>
          <w:pgMar w:top="1134" w:right="1247" w:bottom="1247" w:left="1304" w:header="794" w:footer="794" w:gutter="0"/>
          <w:cols w:space="720" w:num="1"/>
          <w:docGrid w:type="lines" w:linePitch="312" w:charSpace="0"/>
        </w:sectPr>
      </w:pPr>
    </w:p>
    <w:p w14:paraId="66C36132">
      <w:pPr>
        <w:pStyle w:val="6"/>
        <w:snapToGrid w:val="0"/>
        <w:spacing w:before="156" w:after="156" w:line="360" w:lineRule="auto"/>
        <w:ind w:firstLine="643" w:firstLineChars="200"/>
        <w:jc w:val="center"/>
        <w:outlineLvl w:val="0"/>
        <w:rPr>
          <w:rFonts w:hAnsi="宋体"/>
          <w:b/>
          <w:color w:val="auto"/>
          <w:sz w:val="30"/>
          <w:szCs w:val="30"/>
          <w:highlight w:val="none"/>
        </w:rPr>
      </w:pPr>
      <w:bookmarkStart w:id="152" w:name="_Toc15904"/>
      <w:bookmarkStart w:id="153" w:name="_Toc17423"/>
      <w:bookmarkStart w:id="154" w:name="_Toc28534"/>
      <w:r>
        <w:rPr>
          <w:rFonts w:hint="eastAsia" w:ascii="Times New Roman" w:hAnsi="Times New Roman"/>
          <w:b/>
          <w:color w:val="auto"/>
          <w:sz w:val="32"/>
          <w:szCs w:val="32"/>
          <w:highlight w:val="none"/>
        </w:rPr>
        <w:t>八</w:t>
      </w:r>
      <w:r>
        <w:rPr>
          <w:rFonts w:ascii="Times New Roman" w:hAnsi="Times New Roman"/>
          <w:b/>
          <w:color w:val="auto"/>
          <w:sz w:val="32"/>
          <w:szCs w:val="32"/>
          <w:highlight w:val="none"/>
        </w:rPr>
        <w:t>、项目实施人员配备情况</w:t>
      </w:r>
      <w:bookmarkEnd w:id="152"/>
      <w:bookmarkEnd w:id="153"/>
      <w:bookmarkEnd w:id="154"/>
    </w:p>
    <w:p w14:paraId="7D2F0585">
      <w:pPr>
        <w:tabs>
          <w:tab w:val="left" w:pos="1418"/>
        </w:tabs>
        <w:snapToGrid w:val="0"/>
        <w:spacing w:before="50" w:after="50" w:line="360" w:lineRule="auto"/>
        <w:rPr>
          <w:rFonts w:hint="default"/>
          <w:color w:val="auto"/>
          <w:sz w:val="24"/>
          <w:szCs w:val="28"/>
          <w:highlight w:val="none"/>
        </w:rPr>
      </w:pPr>
      <w:r>
        <w:rPr>
          <w:rFonts w:hint="default"/>
          <w:color w:val="auto"/>
          <w:sz w:val="24"/>
          <w:highlight w:val="none"/>
        </w:rPr>
        <w:t>项目名称：                           项目编号：</w:t>
      </w:r>
    </w:p>
    <w:tbl>
      <w:tblPr>
        <w:tblStyle w:val="41"/>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25"/>
        <w:gridCol w:w="1125"/>
        <w:gridCol w:w="1863"/>
        <w:gridCol w:w="1411"/>
        <w:gridCol w:w="1815"/>
        <w:gridCol w:w="2218"/>
      </w:tblGrid>
      <w:tr w14:paraId="12EF5B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24" w:hRule="atLeast"/>
          <w:jc w:val="center"/>
        </w:trPr>
        <w:tc>
          <w:tcPr>
            <w:tcW w:w="1125" w:type="dxa"/>
            <w:tcBorders>
              <w:top w:val="single" w:color="auto" w:sz="4" w:space="0"/>
              <w:left w:val="single" w:color="auto" w:sz="4" w:space="0"/>
              <w:bottom w:val="single" w:color="auto" w:sz="4" w:space="0"/>
              <w:right w:val="single" w:color="auto" w:sz="4" w:space="0"/>
            </w:tcBorders>
            <w:noWrap/>
            <w:vAlign w:val="center"/>
          </w:tcPr>
          <w:p w14:paraId="1F149ED0">
            <w:pPr>
              <w:snapToGrid w:val="0"/>
              <w:jc w:val="center"/>
              <w:rPr>
                <w:rFonts w:hint="default" w:ascii="宋体" w:hAnsi="宋体"/>
                <w:color w:val="auto"/>
                <w:sz w:val="24"/>
                <w:highlight w:val="none"/>
              </w:rPr>
            </w:pPr>
            <w:r>
              <w:rPr>
                <w:rFonts w:ascii="宋体" w:hAnsi="宋体"/>
                <w:color w:val="auto"/>
                <w:sz w:val="24"/>
                <w:szCs w:val="22"/>
                <w:highlight w:val="none"/>
              </w:rPr>
              <w:t>姓名</w:t>
            </w:r>
          </w:p>
        </w:tc>
        <w:tc>
          <w:tcPr>
            <w:tcW w:w="1125" w:type="dxa"/>
            <w:tcBorders>
              <w:top w:val="single" w:color="auto" w:sz="4" w:space="0"/>
              <w:left w:val="single" w:color="auto" w:sz="4" w:space="0"/>
              <w:bottom w:val="single" w:color="auto" w:sz="4" w:space="0"/>
              <w:right w:val="single" w:color="auto" w:sz="4" w:space="0"/>
            </w:tcBorders>
            <w:noWrap/>
            <w:vAlign w:val="center"/>
          </w:tcPr>
          <w:p w14:paraId="14389A5D">
            <w:pPr>
              <w:snapToGrid w:val="0"/>
              <w:jc w:val="center"/>
              <w:rPr>
                <w:rFonts w:hint="default" w:ascii="宋体" w:hAnsi="宋体"/>
                <w:color w:val="auto"/>
                <w:sz w:val="24"/>
                <w:highlight w:val="none"/>
              </w:rPr>
            </w:pPr>
            <w:r>
              <w:rPr>
                <w:rFonts w:ascii="宋体" w:hAnsi="宋体"/>
                <w:color w:val="auto"/>
                <w:sz w:val="24"/>
                <w:szCs w:val="22"/>
                <w:highlight w:val="none"/>
              </w:rPr>
              <w:t>职务</w:t>
            </w:r>
          </w:p>
        </w:tc>
        <w:tc>
          <w:tcPr>
            <w:tcW w:w="1863" w:type="dxa"/>
            <w:tcBorders>
              <w:top w:val="single" w:color="auto" w:sz="4" w:space="0"/>
              <w:left w:val="single" w:color="auto" w:sz="4" w:space="0"/>
              <w:bottom w:val="single" w:color="auto" w:sz="4" w:space="0"/>
              <w:right w:val="single" w:color="auto" w:sz="4" w:space="0"/>
            </w:tcBorders>
            <w:noWrap/>
            <w:vAlign w:val="center"/>
          </w:tcPr>
          <w:p w14:paraId="6BF9EA0E">
            <w:pPr>
              <w:snapToGrid w:val="0"/>
              <w:jc w:val="center"/>
              <w:rPr>
                <w:rFonts w:hint="default" w:ascii="宋体" w:hAnsi="宋体"/>
                <w:color w:val="auto"/>
                <w:sz w:val="24"/>
                <w:highlight w:val="none"/>
              </w:rPr>
            </w:pPr>
            <w:r>
              <w:rPr>
                <w:rFonts w:ascii="宋体" w:hAnsi="宋体"/>
                <w:color w:val="auto"/>
                <w:sz w:val="24"/>
                <w:szCs w:val="22"/>
                <w:highlight w:val="none"/>
              </w:rPr>
              <w:t>专业技术资格</w:t>
            </w:r>
          </w:p>
        </w:tc>
        <w:tc>
          <w:tcPr>
            <w:tcW w:w="1411" w:type="dxa"/>
            <w:tcBorders>
              <w:top w:val="single" w:color="auto" w:sz="4" w:space="0"/>
              <w:left w:val="single" w:color="auto" w:sz="4" w:space="0"/>
              <w:bottom w:val="single" w:color="auto" w:sz="4" w:space="0"/>
              <w:right w:val="single" w:color="auto" w:sz="4" w:space="0"/>
            </w:tcBorders>
            <w:noWrap/>
            <w:vAlign w:val="center"/>
          </w:tcPr>
          <w:p w14:paraId="470C4D11">
            <w:pPr>
              <w:snapToGrid w:val="0"/>
              <w:jc w:val="center"/>
              <w:rPr>
                <w:rFonts w:hint="default" w:ascii="宋体" w:hAnsi="宋体"/>
                <w:color w:val="auto"/>
                <w:sz w:val="24"/>
                <w:highlight w:val="none"/>
              </w:rPr>
            </w:pPr>
            <w:r>
              <w:rPr>
                <w:rFonts w:ascii="宋体" w:hAnsi="宋体"/>
                <w:color w:val="auto"/>
                <w:sz w:val="24"/>
                <w:szCs w:val="22"/>
                <w:highlight w:val="none"/>
              </w:rPr>
              <w:t>证书编号</w:t>
            </w:r>
          </w:p>
        </w:tc>
        <w:tc>
          <w:tcPr>
            <w:tcW w:w="1815" w:type="dxa"/>
            <w:tcBorders>
              <w:top w:val="single" w:color="auto" w:sz="4" w:space="0"/>
              <w:left w:val="single" w:color="auto" w:sz="4" w:space="0"/>
              <w:bottom w:val="single" w:color="auto" w:sz="4" w:space="0"/>
              <w:right w:val="single" w:color="auto" w:sz="4" w:space="0"/>
            </w:tcBorders>
            <w:noWrap/>
            <w:vAlign w:val="center"/>
          </w:tcPr>
          <w:p w14:paraId="735E87D4">
            <w:pPr>
              <w:snapToGrid w:val="0"/>
              <w:jc w:val="center"/>
              <w:rPr>
                <w:rFonts w:hint="default" w:ascii="宋体" w:hAnsi="宋体"/>
                <w:bCs/>
                <w:color w:val="auto"/>
                <w:sz w:val="24"/>
                <w:highlight w:val="none"/>
              </w:rPr>
            </w:pPr>
            <w:r>
              <w:rPr>
                <w:rFonts w:ascii="宋体" w:hAnsi="宋体"/>
                <w:bCs/>
                <w:color w:val="auto"/>
                <w:sz w:val="24"/>
                <w:szCs w:val="22"/>
                <w:highlight w:val="none"/>
              </w:rPr>
              <w:t>参加本单位工作时间</w:t>
            </w:r>
          </w:p>
        </w:tc>
        <w:tc>
          <w:tcPr>
            <w:tcW w:w="2218" w:type="dxa"/>
            <w:tcBorders>
              <w:top w:val="single" w:color="auto" w:sz="4" w:space="0"/>
              <w:left w:val="single" w:color="auto" w:sz="4" w:space="0"/>
              <w:bottom w:val="single" w:color="auto" w:sz="4" w:space="0"/>
              <w:right w:val="single" w:color="auto" w:sz="4" w:space="0"/>
            </w:tcBorders>
            <w:noWrap/>
            <w:vAlign w:val="center"/>
          </w:tcPr>
          <w:p w14:paraId="0E6F8FD4">
            <w:pPr>
              <w:snapToGrid w:val="0"/>
              <w:jc w:val="center"/>
              <w:rPr>
                <w:rFonts w:hint="default" w:ascii="宋体" w:hAnsi="宋体"/>
                <w:bCs/>
                <w:color w:val="auto"/>
                <w:sz w:val="24"/>
                <w:highlight w:val="none"/>
              </w:rPr>
            </w:pPr>
            <w:r>
              <w:rPr>
                <w:rFonts w:ascii="宋体" w:hAnsi="宋体"/>
                <w:bCs/>
                <w:color w:val="auto"/>
                <w:sz w:val="24"/>
                <w:highlight w:val="none"/>
              </w:rPr>
              <w:t>备注</w:t>
            </w:r>
          </w:p>
        </w:tc>
      </w:tr>
      <w:tr w14:paraId="1CA2AE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jc w:val="center"/>
        </w:trPr>
        <w:tc>
          <w:tcPr>
            <w:tcW w:w="1125" w:type="dxa"/>
            <w:tcBorders>
              <w:top w:val="single" w:color="auto" w:sz="4" w:space="0"/>
              <w:left w:val="single" w:color="auto" w:sz="4" w:space="0"/>
              <w:bottom w:val="single" w:color="auto" w:sz="4" w:space="0"/>
              <w:right w:val="single" w:color="auto" w:sz="4" w:space="0"/>
            </w:tcBorders>
            <w:noWrap/>
          </w:tcPr>
          <w:p w14:paraId="5F9DC53F">
            <w:pPr>
              <w:snapToGrid w:val="0"/>
              <w:spacing w:line="360" w:lineRule="auto"/>
              <w:rPr>
                <w:rFonts w:hint="default" w:ascii="宋体" w:hAnsi="宋体"/>
                <w:color w:val="auto"/>
                <w:sz w:val="24"/>
                <w:highlight w:val="none"/>
              </w:rPr>
            </w:pPr>
          </w:p>
        </w:tc>
        <w:tc>
          <w:tcPr>
            <w:tcW w:w="1125" w:type="dxa"/>
            <w:tcBorders>
              <w:top w:val="single" w:color="auto" w:sz="4" w:space="0"/>
              <w:left w:val="single" w:color="auto" w:sz="4" w:space="0"/>
              <w:bottom w:val="single" w:color="auto" w:sz="4" w:space="0"/>
              <w:right w:val="single" w:color="auto" w:sz="4" w:space="0"/>
            </w:tcBorders>
            <w:noWrap/>
          </w:tcPr>
          <w:p w14:paraId="7B626C84">
            <w:pPr>
              <w:snapToGrid w:val="0"/>
              <w:spacing w:line="360" w:lineRule="auto"/>
              <w:rPr>
                <w:rFonts w:hint="default" w:ascii="宋体" w:hAnsi="宋体"/>
                <w:color w:val="auto"/>
                <w:sz w:val="24"/>
                <w:highlight w:val="none"/>
              </w:rPr>
            </w:pPr>
          </w:p>
        </w:tc>
        <w:tc>
          <w:tcPr>
            <w:tcW w:w="1863" w:type="dxa"/>
            <w:tcBorders>
              <w:top w:val="single" w:color="auto" w:sz="4" w:space="0"/>
              <w:left w:val="single" w:color="auto" w:sz="4" w:space="0"/>
              <w:bottom w:val="single" w:color="auto" w:sz="4" w:space="0"/>
              <w:right w:val="single" w:color="auto" w:sz="4" w:space="0"/>
            </w:tcBorders>
            <w:noWrap/>
          </w:tcPr>
          <w:p w14:paraId="7FE83AC1">
            <w:pPr>
              <w:snapToGrid w:val="0"/>
              <w:spacing w:line="360" w:lineRule="auto"/>
              <w:rPr>
                <w:rFonts w:hint="default" w:ascii="宋体" w:hAnsi="宋体"/>
                <w:color w:val="auto"/>
                <w:sz w:val="24"/>
                <w:highlight w:val="none"/>
              </w:rPr>
            </w:pPr>
          </w:p>
        </w:tc>
        <w:tc>
          <w:tcPr>
            <w:tcW w:w="1411" w:type="dxa"/>
            <w:tcBorders>
              <w:top w:val="single" w:color="auto" w:sz="4" w:space="0"/>
              <w:left w:val="single" w:color="auto" w:sz="4" w:space="0"/>
              <w:bottom w:val="single" w:color="auto" w:sz="4" w:space="0"/>
              <w:right w:val="single" w:color="auto" w:sz="4" w:space="0"/>
            </w:tcBorders>
            <w:noWrap/>
          </w:tcPr>
          <w:p w14:paraId="2E2548F8">
            <w:pPr>
              <w:snapToGrid w:val="0"/>
              <w:spacing w:line="360" w:lineRule="auto"/>
              <w:rPr>
                <w:rFonts w:hint="default" w:ascii="宋体" w:hAnsi="宋体"/>
                <w:color w:val="auto"/>
                <w:sz w:val="24"/>
                <w:highlight w:val="none"/>
              </w:rPr>
            </w:pPr>
          </w:p>
        </w:tc>
        <w:tc>
          <w:tcPr>
            <w:tcW w:w="1815" w:type="dxa"/>
            <w:tcBorders>
              <w:top w:val="single" w:color="auto" w:sz="4" w:space="0"/>
              <w:left w:val="single" w:color="auto" w:sz="4" w:space="0"/>
              <w:bottom w:val="single" w:color="auto" w:sz="4" w:space="0"/>
              <w:right w:val="single" w:color="auto" w:sz="4" w:space="0"/>
            </w:tcBorders>
            <w:noWrap/>
          </w:tcPr>
          <w:p w14:paraId="6A4CAE0B">
            <w:pPr>
              <w:snapToGrid w:val="0"/>
              <w:spacing w:line="360" w:lineRule="auto"/>
              <w:rPr>
                <w:rFonts w:hint="default" w:ascii="宋体" w:hAnsi="宋体"/>
                <w:color w:val="auto"/>
                <w:sz w:val="24"/>
                <w:highlight w:val="none"/>
              </w:rPr>
            </w:pPr>
          </w:p>
        </w:tc>
        <w:tc>
          <w:tcPr>
            <w:tcW w:w="2218" w:type="dxa"/>
            <w:tcBorders>
              <w:top w:val="single" w:color="auto" w:sz="4" w:space="0"/>
              <w:left w:val="single" w:color="auto" w:sz="4" w:space="0"/>
              <w:bottom w:val="single" w:color="auto" w:sz="4" w:space="0"/>
              <w:right w:val="single" w:color="auto" w:sz="4" w:space="0"/>
            </w:tcBorders>
            <w:noWrap/>
          </w:tcPr>
          <w:p w14:paraId="19F4838E">
            <w:pPr>
              <w:snapToGrid w:val="0"/>
              <w:spacing w:line="360" w:lineRule="auto"/>
              <w:rPr>
                <w:rFonts w:hint="default" w:ascii="宋体" w:hAnsi="宋体"/>
                <w:color w:val="auto"/>
                <w:sz w:val="24"/>
                <w:highlight w:val="none"/>
              </w:rPr>
            </w:pPr>
          </w:p>
        </w:tc>
      </w:tr>
      <w:tr w14:paraId="4C56881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jc w:val="center"/>
        </w:trPr>
        <w:tc>
          <w:tcPr>
            <w:tcW w:w="1125" w:type="dxa"/>
            <w:tcBorders>
              <w:top w:val="single" w:color="auto" w:sz="4" w:space="0"/>
              <w:left w:val="single" w:color="auto" w:sz="4" w:space="0"/>
              <w:bottom w:val="single" w:color="auto" w:sz="4" w:space="0"/>
              <w:right w:val="single" w:color="auto" w:sz="4" w:space="0"/>
            </w:tcBorders>
            <w:noWrap/>
          </w:tcPr>
          <w:p w14:paraId="3AC0ABAF">
            <w:pPr>
              <w:snapToGrid w:val="0"/>
              <w:spacing w:line="360" w:lineRule="auto"/>
              <w:rPr>
                <w:rFonts w:hint="default" w:ascii="宋体" w:hAnsi="宋体"/>
                <w:color w:val="auto"/>
                <w:sz w:val="24"/>
                <w:highlight w:val="none"/>
              </w:rPr>
            </w:pPr>
          </w:p>
        </w:tc>
        <w:tc>
          <w:tcPr>
            <w:tcW w:w="1125" w:type="dxa"/>
            <w:tcBorders>
              <w:top w:val="single" w:color="auto" w:sz="4" w:space="0"/>
              <w:left w:val="single" w:color="auto" w:sz="4" w:space="0"/>
              <w:bottom w:val="single" w:color="auto" w:sz="4" w:space="0"/>
              <w:right w:val="single" w:color="auto" w:sz="4" w:space="0"/>
            </w:tcBorders>
            <w:noWrap/>
          </w:tcPr>
          <w:p w14:paraId="737BC9CF">
            <w:pPr>
              <w:snapToGrid w:val="0"/>
              <w:spacing w:line="360" w:lineRule="auto"/>
              <w:rPr>
                <w:rFonts w:hint="default" w:ascii="宋体" w:hAnsi="宋体"/>
                <w:color w:val="auto"/>
                <w:sz w:val="24"/>
                <w:highlight w:val="none"/>
              </w:rPr>
            </w:pPr>
          </w:p>
        </w:tc>
        <w:tc>
          <w:tcPr>
            <w:tcW w:w="1863" w:type="dxa"/>
            <w:tcBorders>
              <w:top w:val="single" w:color="auto" w:sz="4" w:space="0"/>
              <w:left w:val="single" w:color="auto" w:sz="4" w:space="0"/>
              <w:bottom w:val="single" w:color="auto" w:sz="4" w:space="0"/>
              <w:right w:val="single" w:color="auto" w:sz="4" w:space="0"/>
            </w:tcBorders>
            <w:noWrap/>
          </w:tcPr>
          <w:p w14:paraId="1423FE72">
            <w:pPr>
              <w:snapToGrid w:val="0"/>
              <w:spacing w:line="360" w:lineRule="auto"/>
              <w:rPr>
                <w:rFonts w:hint="default" w:ascii="宋体" w:hAnsi="宋体"/>
                <w:color w:val="auto"/>
                <w:sz w:val="24"/>
                <w:highlight w:val="none"/>
              </w:rPr>
            </w:pPr>
          </w:p>
        </w:tc>
        <w:tc>
          <w:tcPr>
            <w:tcW w:w="1411" w:type="dxa"/>
            <w:tcBorders>
              <w:top w:val="single" w:color="auto" w:sz="4" w:space="0"/>
              <w:left w:val="single" w:color="auto" w:sz="4" w:space="0"/>
              <w:bottom w:val="single" w:color="auto" w:sz="4" w:space="0"/>
              <w:right w:val="single" w:color="auto" w:sz="4" w:space="0"/>
            </w:tcBorders>
            <w:noWrap/>
          </w:tcPr>
          <w:p w14:paraId="692FC5A7">
            <w:pPr>
              <w:snapToGrid w:val="0"/>
              <w:spacing w:line="360" w:lineRule="auto"/>
              <w:rPr>
                <w:rFonts w:hint="default" w:ascii="宋体" w:hAnsi="宋体"/>
                <w:color w:val="auto"/>
                <w:sz w:val="24"/>
                <w:highlight w:val="none"/>
              </w:rPr>
            </w:pPr>
          </w:p>
        </w:tc>
        <w:tc>
          <w:tcPr>
            <w:tcW w:w="1815" w:type="dxa"/>
            <w:tcBorders>
              <w:top w:val="single" w:color="auto" w:sz="4" w:space="0"/>
              <w:left w:val="single" w:color="auto" w:sz="4" w:space="0"/>
              <w:bottom w:val="single" w:color="auto" w:sz="4" w:space="0"/>
              <w:right w:val="single" w:color="auto" w:sz="4" w:space="0"/>
            </w:tcBorders>
            <w:noWrap/>
          </w:tcPr>
          <w:p w14:paraId="0E643766">
            <w:pPr>
              <w:snapToGrid w:val="0"/>
              <w:spacing w:line="360" w:lineRule="auto"/>
              <w:rPr>
                <w:rFonts w:hint="default" w:ascii="宋体" w:hAnsi="宋体"/>
                <w:color w:val="auto"/>
                <w:sz w:val="24"/>
                <w:highlight w:val="none"/>
              </w:rPr>
            </w:pPr>
          </w:p>
        </w:tc>
        <w:tc>
          <w:tcPr>
            <w:tcW w:w="2218" w:type="dxa"/>
            <w:tcBorders>
              <w:top w:val="single" w:color="auto" w:sz="4" w:space="0"/>
              <w:left w:val="single" w:color="auto" w:sz="4" w:space="0"/>
              <w:bottom w:val="single" w:color="auto" w:sz="4" w:space="0"/>
              <w:right w:val="single" w:color="auto" w:sz="4" w:space="0"/>
            </w:tcBorders>
            <w:noWrap/>
          </w:tcPr>
          <w:p w14:paraId="4D873BD1">
            <w:pPr>
              <w:snapToGrid w:val="0"/>
              <w:spacing w:line="360" w:lineRule="auto"/>
              <w:rPr>
                <w:rFonts w:hint="default" w:ascii="宋体" w:hAnsi="宋体"/>
                <w:color w:val="auto"/>
                <w:sz w:val="24"/>
                <w:highlight w:val="none"/>
              </w:rPr>
            </w:pPr>
          </w:p>
        </w:tc>
      </w:tr>
      <w:tr w14:paraId="1ABF8D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jc w:val="center"/>
        </w:trPr>
        <w:tc>
          <w:tcPr>
            <w:tcW w:w="1125" w:type="dxa"/>
            <w:tcBorders>
              <w:top w:val="single" w:color="auto" w:sz="4" w:space="0"/>
              <w:left w:val="single" w:color="auto" w:sz="4" w:space="0"/>
              <w:bottom w:val="single" w:color="auto" w:sz="4" w:space="0"/>
              <w:right w:val="single" w:color="auto" w:sz="4" w:space="0"/>
            </w:tcBorders>
            <w:noWrap/>
          </w:tcPr>
          <w:p w14:paraId="6310D04C">
            <w:pPr>
              <w:snapToGrid w:val="0"/>
              <w:spacing w:line="360" w:lineRule="auto"/>
              <w:rPr>
                <w:rFonts w:hint="default" w:ascii="宋体" w:hAnsi="宋体"/>
                <w:color w:val="auto"/>
                <w:sz w:val="24"/>
                <w:highlight w:val="none"/>
              </w:rPr>
            </w:pPr>
          </w:p>
        </w:tc>
        <w:tc>
          <w:tcPr>
            <w:tcW w:w="1125" w:type="dxa"/>
            <w:tcBorders>
              <w:top w:val="single" w:color="auto" w:sz="4" w:space="0"/>
              <w:left w:val="single" w:color="auto" w:sz="4" w:space="0"/>
              <w:bottom w:val="single" w:color="auto" w:sz="4" w:space="0"/>
              <w:right w:val="single" w:color="auto" w:sz="4" w:space="0"/>
            </w:tcBorders>
            <w:noWrap/>
          </w:tcPr>
          <w:p w14:paraId="58A8E3C9">
            <w:pPr>
              <w:snapToGrid w:val="0"/>
              <w:spacing w:line="360" w:lineRule="auto"/>
              <w:rPr>
                <w:rFonts w:hint="default" w:ascii="宋体" w:hAnsi="宋体"/>
                <w:color w:val="auto"/>
                <w:sz w:val="24"/>
                <w:highlight w:val="none"/>
              </w:rPr>
            </w:pPr>
          </w:p>
        </w:tc>
        <w:tc>
          <w:tcPr>
            <w:tcW w:w="1863" w:type="dxa"/>
            <w:tcBorders>
              <w:top w:val="single" w:color="auto" w:sz="4" w:space="0"/>
              <w:left w:val="single" w:color="auto" w:sz="4" w:space="0"/>
              <w:bottom w:val="single" w:color="auto" w:sz="4" w:space="0"/>
              <w:right w:val="single" w:color="auto" w:sz="4" w:space="0"/>
            </w:tcBorders>
            <w:noWrap/>
          </w:tcPr>
          <w:p w14:paraId="644D3627">
            <w:pPr>
              <w:pStyle w:val="21"/>
              <w:snapToGrid w:val="0"/>
              <w:spacing w:line="360" w:lineRule="auto"/>
              <w:ind w:left="5250"/>
              <w:rPr>
                <w:rFonts w:hint="default" w:ascii="宋体" w:hAnsi="宋体" w:eastAsia="宋体"/>
                <w:color w:val="auto"/>
                <w:sz w:val="24"/>
                <w:szCs w:val="24"/>
                <w:highlight w:val="none"/>
              </w:rPr>
            </w:pPr>
          </w:p>
        </w:tc>
        <w:tc>
          <w:tcPr>
            <w:tcW w:w="1411" w:type="dxa"/>
            <w:tcBorders>
              <w:top w:val="single" w:color="auto" w:sz="4" w:space="0"/>
              <w:left w:val="single" w:color="auto" w:sz="4" w:space="0"/>
              <w:bottom w:val="single" w:color="auto" w:sz="4" w:space="0"/>
              <w:right w:val="single" w:color="auto" w:sz="4" w:space="0"/>
            </w:tcBorders>
            <w:noWrap/>
          </w:tcPr>
          <w:p w14:paraId="497B5E69">
            <w:pPr>
              <w:snapToGrid w:val="0"/>
              <w:spacing w:line="360" w:lineRule="auto"/>
              <w:rPr>
                <w:rFonts w:hint="default" w:ascii="宋体" w:hAnsi="宋体"/>
                <w:color w:val="auto"/>
                <w:sz w:val="24"/>
                <w:highlight w:val="none"/>
              </w:rPr>
            </w:pPr>
          </w:p>
        </w:tc>
        <w:tc>
          <w:tcPr>
            <w:tcW w:w="1815" w:type="dxa"/>
            <w:tcBorders>
              <w:top w:val="single" w:color="auto" w:sz="4" w:space="0"/>
              <w:left w:val="single" w:color="auto" w:sz="4" w:space="0"/>
              <w:bottom w:val="single" w:color="auto" w:sz="4" w:space="0"/>
              <w:right w:val="single" w:color="auto" w:sz="4" w:space="0"/>
            </w:tcBorders>
            <w:noWrap/>
          </w:tcPr>
          <w:p w14:paraId="62FB177F">
            <w:pPr>
              <w:snapToGrid w:val="0"/>
              <w:spacing w:line="360" w:lineRule="auto"/>
              <w:rPr>
                <w:rFonts w:hint="default" w:ascii="宋体" w:hAnsi="宋体"/>
                <w:color w:val="auto"/>
                <w:sz w:val="24"/>
                <w:highlight w:val="none"/>
              </w:rPr>
            </w:pPr>
          </w:p>
        </w:tc>
        <w:tc>
          <w:tcPr>
            <w:tcW w:w="2218" w:type="dxa"/>
            <w:tcBorders>
              <w:top w:val="single" w:color="auto" w:sz="4" w:space="0"/>
              <w:left w:val="single" w:color="auto" w:sz="4" w:space="0"/>
              <w:bottom w:val="single" w:color="auto" w:sz="4" w:space="0"/>
              <w:right w:val="single" w:color="auto" w:sz="4" w:space="0"/>
            </w:tcBorders>
            <w:noWrap/>
          </w:tcPr>
          <w:p w14:paraId="20770C67">
            <w:pPr>
              <w:snapToGrid w:val="0"/>
              <w:spacing w:line="360" w:lineRule="auto"/>
              <w:rPr>
                <w:rFonts w:hint="default" w:ascii="宋体" w:hAnsi="宋体"/>
                <w:color w:val="auto"/>
                <w:sz w:val="24"/>
                <w:highlight w:val="none"/>
              </w:rPr>
            </w:pPr>
          </w:p>
        </w:tc>
      </w:tr>
      <w:tr w14:paraId="387C44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jc w:val="center"/>
        </w:trPr>
        <w:tc>
          <w:tcPr>
            <w:tcW w:w="1125" w:type="dxa"/>
            <w:tcBorders>
              <w:top w:val="single" w:color="auto" w:sz="4" w:space="0"/>
              <w:left w:val="single" w:color="auto" w:sz="4" w:space="0"/>
              <w:bottom w:val="single" w:color="auto" w:sz="4" w:space="0"/>
              <w:right w:val="single" w:color="auto" w:sz="4" w:space="0"/>
            </w:tcBorders>
            <w:noWrap/>
          </w:tcPr>
          <w:p w14:paraId="49F4CD69">
            <w:pPr>
              <w:snapToGrid w:val="0"/>
              <w:spacing w:line="360" w:lineRule="auto"/>
              <w:rPr>
                <w:rFonts w:hint="default" w:ascii="宋体" w:hAnsi="宋体"/>
                <w:color w:val="auto"/>
                <w:sz w:val="24"/>
                <w:highlight w:val="none"/>
              </w:rPr>
            </w:pPr>
          </w:p>
        </w:tc>
        <w:tc>
          <w:tcPr>
            <w:tcW w:w="1125" w:type="dxa"/>
            <w:tcBorders>
              <w:top w:val="single" w:color="auto" w:sz="4" w:space="0"/>
              <w:left w:val="single" w:color="auto" w:sz="4" w:space="0"/>
              <w:bottom w:val="single" w:color="auto" w:sz="4" w:space="0"/>
              <w:right w:val="single" w:color="auto" w:sz="4" w:space="0"/>
            </w:tcBorders>
            <w:noWrap/>
          </w:tcPr>
          <w:p w14:paraId="1FBC3644">
            <w:pPr>
              <w:snapToGrid w:val="0"/>
              <w:spacing w:line="360" w:lineRule="auto"/>
              <w:rPr>
                <w:rFonts w:hint="default" w:ascii="宋体" w:hAnsi="宋体"/>
                <w:color w:val="auto"/>
                <w:sz w:val="24"/>
                <w:highlight w:val="none"/>
              </w:rPr>
            </w:pPr>
          </w:p>
        </w:tc>
        <w:tc>
          <w:tcPr>
            <w:tcW w:w="1863" w:type="dxa"/>
            <w:tcBorders>
              <w:top w:val="single" w:color="auto" w:sz="4" w:space="0"/>
              <w:left w:val="single" w:color="auto" w:sz="4" w:space="0"/>
              <w:bottom w:val="single" w:color="auto" w:sz="4" w:space="0"/>
              <w:right w:val="single" w:color="auto" w:sz="4" w:space="0"/>
            </w:tcBorders>
            <w:noWrap/>
          </w:tcPr>
          <w:p w14:paraId="163E029E">
            <w:pPr>
              <w:snapToGrid w:val="0"/>
              <w:spacing w:line="360" w:lineRule="auto"/>
              <w:rPr>
                <w:rFonts w:hint="default" w:ascii="宋体" w:hAnsi="宋体"/>
                <w:color w:val="auto"/>
                <w:sz w:val="24"/>
                <w:highlight w:val="none"/>
              </w:rPr>
            </w:pPr>
          </w:p>
        </w:tc>
        <w:tc>
          <w:tcPr>
            <w:tcW w:w="1411" w:type="dxa"/>
            <w:tcBorders>
              <w:top w:val="single" w:color="auto" w:sz="4" w:space="0"/>
              <w:left w:val="single" w:color="auto" w:sz="4" w:space="0"/>
              <w:bottom w:val="single" w:color="auto" w:sz="4" w:space="0"/>
              <w:right w:val="single" w:color="auto" w:sz="4" w:space="0"/>
            </w:tcBorders>
            <w:noWrap/>
          </w:tcPr>
          <w:p w14:paraId="6565E710">
            <w:pPr>
              <w:snapToGrid w:val="0"/>
              <w:spacing w:line="360" w:lineRule="auto"/>
              <w:rPr>
                <w:rFonts w:hint="default" w:ascii="宋体" w:hAnsi="宋体"/>
                <w:color w:val="auto"/>
                <w:sz w:val="24"/>
                <w:highlight w:val="none"/>
              </w:rPr>
            </w:pPr>
          </w:p>
        </w:tc>
        <w:tc>
          <w:tcPr>
            <w:tcW w:w="1815" w:type="dxa"/>
            <w:tcBorders>
              <w:top w:val="single" w:color="auto" w:sz="4" w:space="0"/>
              <w:left w:val="single" w:color="auto" w:sz="4" w:space="0"/>
              <w:bottom w:val="single" w:color="auto" w:sz="4" w:space="0"/>
              <w:right w:val="single" w:color="auto" w:sz="4" w:space="0"/>
            </w:tcBorders>
            <w:noWrap/>
          </w:tcPr>
          <w:p w14:paraId="0B0CE28F">
            <w:pPr>
              <w:snapToGrid w:val="0"/>
              <w:spacing w:line="360" w:lineRule="auto"/>
              <w:rPr>
                <w:rFonts w:hint="default" w:ascii="宋体" w:hAnsi="宋体"/>
                <w:color w:val="auto"/>
                <w:sz w:val="24"/>
                <w:highlight w:val="none"/>
              </w:rPr>
            </w:pPr>
          </w:p>
        </w:tc>
        <w:tc>
          <w:tcPr>
            <w:tcW w:w="2218" w:type="dxa"/>
            <w:tcBorders>
              <w:top w:val="single" w:color="auto" w:sz="4" w:space="0"/>
              <w:left w:val="single" w:color="auto" w:sz="4" w:space="0"/>
              <w:bottom w:val="single" w:color="auto" w:sz="4" w:space="0"/>
              <w:right w:val="single" w:color="auto" w:sz="4" w:space="0"/>
            </w:tcBorders>
            <w:noWrap/>
          </w:tcPr>
          <w:p w14:paraId="66E5BF3A">
            <w:pPr>
              <w:snapToGrid w:val="0"/>
              <w:spacing w:line="360" w:lineRule="auto"/>
              <w:rPr>
                <w:rFonts w:hint="default" w:ascii="宋体" w:hAnsi="宋体"/>
                <w:color w:val="auto"/>
                <w:sz w:val="24"/>
                <w:highlight w:val="none"/>
              </w:rPr>
            </w:pPr>
          </w:p>
        </w:tc>
      </w:tr>
      <w:tr w14:paraId="4BEF541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jc w:val="center"/>
        </w:trPr>
        <w:tc>
          <w:tcPr>
            <w:tcW w:w="1125" w:type="dxa"/>
            <w:tcBorders>
              <w:top w:val="single" w:color="auto" w:sz="4" w:space="0"/>
              <w:left w:val="single" w:color="auto" w:sz="4" w:space="0"/>
              <w:bottom w:val="single" w:color="auto" w:sz="4" w:space="0"/>
              <w:right w:val="single" w:color="auto" w:sz="4" w:space="0"/>
            </w:tcBorders>
            <w:noWrap/>
          </w:tcPr>
          <w:p w14:paraId="53D6F811">
            <w:pPr>
              <w:snapToGrid w:val="0"/>
              <w:spacing w:line="360" w:lineRule="auto"/>
              <w:rPr>
                <w:rFonts w:hint="default" w:ascii="宋体" w:hAnsi="宋体"/>
                <w:color w:val="auto"/>
                <w:sz w:val="24"/>
                <w:highlight w:val="none"/>
              </w:rPr>
            </w:pPr>
          </w:p>
        </w:tc>
        <w:tc>
          <w:tcPr>
            <w:tcW w:w="1125" w:type="dxa"/>
            <w:tcBorders>
              <w:top w:val="single" w:color="auto" w:sz="4" w:space="0"/>
              <w:left w:val="single" w:color="auto" w:sz="4" w:space="0"/>
              <w:bottom w:val="single" w:color="auto" w:sz="4" w:space="0"/>
              <w:right w:val="single" w:color="auto" w:sz="4" w:space="0"/>
            </w:tcBorders>
            <w:noWrap/>
          </w:tcPr>
          <w:p w14:paraId="12026339">
            <w:pPr>
              <w:snapToGrid w:val="0"/>
              <w:spacing w:line="360" w:lineRule="auto"/>
              <w:rPr>
                <w:rFonts w:hint="default" w:ascii="宋体" w:hAnsi="宋体"/>
                <w:color w:val="auto"/>
                <w:sz w:val="24"/>
                <w:highlight w:val="none"/>
              </w:rPr>
            </w:pPr>
          </w:p>
        </w:tc>
        <w:tc>
          <w:tcPr>
            <w:tcW w:w="1863" w:type="dxa"/>
            <w:tcBorders>
              <w:top w:val="single" w:color="auto" w:sz="4" w:space="0"/>
              <w:left w:val="single" w:color="auto" w:sz="4" w:space="0"/>
              <w:bottom w:val="single" w:color="auto" w:sz="4" w:space="0"/>
              <w:right w:val="single" w:color="auto" w:sz="4" w:space="0"/>
            </w:tcBorders>
            <w:noWrap/>
          </w:tcPr>
          <w:p w14:paraId="1716FB1D">
            <w:pPr>
              <w:snapToGrid w:val="0"/>
              <w:spacing w:line="360" w:lineRule="auto"/>
              <w:rPr>
                <w:rFonts w:hint="default" w:ascii="宋体" w:hAnsi="宋体"/>
                <w:color w:val="auto"/>
                <w:sz w:val="24"/>
                <w:highlight w:val="none"/>
              </w:rPr>
            </w:pPr>
          </w:p>
        </w:tc>
        <w:tc>
          <w:tcPr>
            <w:tcW w:w="1411" w:type="dxa"/>
            <w:tcBorders>
              <w:top w:val="single" w:color="auto" w:sz="4" w:space="0"/>
              <w:left w:val="single" w:color="auto" w:sz="4" w:space="0"/>
              <w:bottom w:val="single" w:color="auto" w:sz="4" w:space="0"/>
              <w:right w:val="single" w:color="auto" w:sz="4" w:space="0"/>
            </w:tcBorders>
            <w:noWrap/>
          </w:tcPr>
          <w:p w14:paraId="6BE61BCD">
            <w:pPr>
              <w:snapToGrid w:val="0"/>
              <w:spacing w:line="360" w:lineRule="auto"/>
              <w:rPr>
                <w:rFonts w:hint="default" w:ascii="宋体" w:hAnsi="宋体"/>
                <w:color w:val="auto"/>
                <w:sz w:val="24"/>
                <w:highlight w:val="none"/>
              </w:rPr>
            </w:pPr>
          </w:p>
        </w:tc>
        <w:tc>
          <w:tcPr>
            <w:tcW w:w="1815" w:type="dxa"/>
            <w:tcBorders>
              <w:top w:val="single" w:color="auto" w:sz="4" w:space="0"/>
              <w:left w:val="single" w:color="auto" w:sz="4" w:space="0"/>
              <w:bottom w:val="single" w:color="auto" w:sz="4" w:space="0"/>
              <w:right w:val="single" w:color="auto" w:sz="4" w:space="0"/>
            </w:tcBorders>
            <w:noWrap/>
          </w:tcPr>
          <w:p w14:paraId="1193C677">
            <w:pPr>
              <w:snapToGrid w:val="0"/>
              <w:spacing w:line="360" w:lineRule="auto"/>
              <w:rPr>
                <w:rFonts w:hint="default" w:ascii="宋体" w:hAnsi="宋体"/>
                <w:color w:val="auto"/>
                <w:sz w:val="24"/>
                <w:highlight w:val="none"/>
              </w:rPr>
            </w:pPr>
          </w:p>
        </w:tc>
        <w:tc>
          <w:tcPr>
            <w:tcW w:w="2218" w:type="dxa"/>
            <w:tcBorders>
              <w:top w:val="single" w:color="auto" w:sz="4" w:space="0"/>
              <w:left w:val="single" w:color="auto" w:sz="4" w:space="0"/>
              <w:bottom w:val="single" w:color="auto" w:sz="4" w:space="0"/>
              <w:right w:val="single" w:color="auto" w:sz="4" w:space="0"/>
            </w:tcBorders>
            <w:noWrap/>
          </w:tcPr>
          <w:p w14:paraId="555FF41B">
            <w:pPr>
              <w:snapToGrid w:val="0"/>
              <w:spacing w:line="360" w:lineRule="auto"/>
              <w:rPr>
                <w:rFonts w:hint="default" w:ascii="宋体" w:hAnsi="宋体"/>
                <w:color w:val="auto"/>
                <w:sz w:val="24"/>
                <w:highlight w:val="none"/>
              </w:rPr>
            </w:pPr>
          </w:p>
        </w:tc>
      </w:tr>
      <w:tr w14:paraId="1AFB1BA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jc w:val="center"/>
        </w:trPr>
        <w:tc>
          <w:tcPr>
            <w:tcW w:w="1125" w:type="dxa"/>
            <w:tcBorders>
              <w:top w:val="single" w:color="auto" w:sz="4" w:space="0"/>
              <w:left w:val="single" w:color="auto" w:sz="4" w:space="0"/>
              <w:bottom w:val="single" w:color="auto" w:sz="4" w:space="0"/>
              <w:right w:val="single" w:color="auto" w:sz="4" w:space="0"/>
            </w:tcBorders>
            <w:noWrap/>
          </w:tcPr>
          <w:p w14:paraId="495F11DA">
            <w:pPr>
              <w:snapToGrid w:val="0"/>
              <w:spacing w:line="360" w:lineRule="auto"/>
              <w:rPr>
                <w:rFonts w:hint="default" w:ascii="宋体" w:hAnsi="宋体"/>
                <w:color w:val="auto"/>
                <w:sz w:val="24"/>
                <w:highlight w:val="none"/>
              </w:rPr>
            </w:pPr>
          </w:p>
        </w:tc>
        <w:tc>
          <w:tcPr>
            <w:tcW w:w="1125" w:type="dxa"/>
            <w:tcBorders>
              <w:top w:val="single" w:color="auto" w:sz="4" w:space="0"/>
              <w:left w:val="single" w:color="auto" w:sz="4" w:space="0"/>
              <w:bottom w:val="single" w:color="auto" w:sz="4" w:space="0"/>
              <w:right w:val="single" w:color="auto" w:sz="4" w:space="0"/>
            </w:tcBorders>
            <w:noWrap/>
          </w:tcPr>
          <w:p w14:paraId="3A24807B">
            <w:pPr>
              <w:snapToGrid w:val="0"/>
              <w:spacing w:line="360" w:lineRule="auto"/>
              <w:rPr>
                <w:rFonts w:hint="default" w:ascii="宋体" w:hAnsi="宋体"/>
                <w:color w:val="auto"/>
                <w:sz w:val="24"/>
                <w:highlight w:val="none"/>
              </w:rPr>
            </w:pPr>
          </w:p>
        </w:tc>
        <w:tc>
          <w:tcPr>
            <w:tcW w:w="1863" w:type="dxa"/>
            <w:tcBorders>
              <w:top w:val="single" w:color="auto" w:sz="4" w:space="0"/>
              <w:left w:val="single" w:color="auto" w:sz="4" w:space="0"/>
              <w:bottom w:val="single" w:color="auto" w:sz="4" w:space="0"/>
              <w:right w:val="single" w:color="auto" w:sz="4" w:space="0"/>
            </w:tcBorders>
            <w:noWrap/>
          </w:tcPr>
          <w:p w14:paraId="58488FE2">
            <w:pPr>
              <w:snapToGrid w:val="0"/>
              <w:spacing w:line="360" w:lineRule="auto"/>
              <w:rPr>
                <w:rFonts w:hint="default" w:ascii="宋体" w:hAnsi="宋体"/>
                <w:color w:val="auto"/>
                <w:sz w:val="24"/>
                <w:highlight w:val="none"/>
              </w:rPr>
            </w:pPr>
          </w:p>
        </w:tc>
        <w:tc>
          <w:tcPr>
            <w:tcW w:w="1411" w:type="dxa"/>
            <w:tcBorders>
              <w:top w:val="single" w:color="auto" w:sz="4" w:space="0"/>
              <w:left w:val="single" w:color="auto" w:sz="4" w:space="0"/>
              <w:bottom w:val="single" w:color="auto" w:sz="4" w:space="0"/>
              <w:right w:val="single" w:color="auto" w:sz="4" w:space="0"/>
            </w:tcBorders>
            <w:noWrap/>
          </w:tcPr>
          <w:p w14:paraId="22AE45C4">
            <w:pPr>
              <w:snapToGrid w:val="0"/>
              <w:spacing w:line="360" w:lineRule="auto"/>
              <w:rPr>
                <w:rFonts w:hint="default" w:ascii="宋体" w:hAnsi="宋体"/>
                <w:color w:val="auto"/>
                <w:sz w:val="24"/>
                <w:highlight w:val="none"/>
              </w:rPr>
            </w:pPr>
          </w:p>
        </w:tc>
        <w:tc>
          <w:tcPr>
            <w:tcW w:w="1815" w:type="dxa"/>
            <w:tcBorders>
              <w:top w:val="single" w:color="auto" w:sz="4" w:space="0"/>
              <w:left w:val="single" w:color="auto" w:sz="4" w:space="0"/>
              <w:bottom w:val="single" w:color="auto" w:sz="4" w:space="0"/>
              <w:right w:val="single" w:color="auto" w:sz="4" w:space="0"/>
            </w:tcBorders>
            <w:noWrap/>
          </w:tcPr>
          <w:p w14:paraId="6F8B53CB">
            <w:pPr>
              <w:snapToGrid w:val="0"/>
              <w:spacing w:line="360" w:lineRule="auto"/>
              <w:rPr>
                <w:rFonts w:hint="default" w:ascii="宋体" w:hAnsi="宋体"/>
                <w:color w:val="auto"/>
                <w:sz w:val="24"/>
                <w:highlight w:val="none"/>
              </w:rPr>
            </w:pPr>
          </w:p>
        </w:tc>
        <w:tc>
          <w:tcPr>
            <w:tcW w:w="2218" w:type="dxa"/>
            <w:tcBorders>
              <w:top w:val="single" w:color="auto" w:sz="4" w:space="0"/>
              <w:left w:val="single" w:color="auto" w:sz="4" w:space="0"/>
              <w:bottom w:val="single" w:color="auto" w:sz="4" w:space="0"/>
              <w:right w:val="single" w:color="auto" w:sz="4" w:space="0"/>
            </w:tcBorders>
            <w:noWrap/>
          </w:tcPr>
          <w:p w14:paraId="399E20EA">
            <w:pPr>
              <w:snapToGrid w:val="0"/>
              <w:spacing w:line="360" w:lineRule="auto"/>
              <w:rPr>
                <w:rFonts w:hint="default" w:ascii="宋体" w:hAnsi="宋体"/>
                <w:color w:val="auto"/>
                <w:sz w:val="24"/>
                <w:highlight w:val="none"/>
              </w:rPr>
            </w:pPr>
          </w:p>
        </w:tc>
      </w:tr>
      <w:tr w14:paraId="3946A1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jc w:val="center"/>
        </w:trPr>
        <w:tc>
          <w:tcPr>
            <w:tcW w:w="1125" w:type="dxa"/>
            <w:tcBorders>
              <w:top w:val="single" w:color="auto" w:sz="4" w:space="0"/>
              <w:left w:val="single" w:color="auto" w:sz="4" w:space="0"/>
              <w:bottom w:val="single" w:color="auto" w:sz="4" w:space="0"/>
              <w:right w:val="single" w:color="auto" w:sz="4" w:space="0"/>
            </w:tcBorders>
            <w:noWrap/>
          </w:tcPr>
          <w:p w14:paraId="6DD8E568">
            <w:pPr>
              <w:snapToGrid w:val="0"/>
              <w:spacing w:line="360" w:lineRule="auto"/>
              <w:rPr>
                <w:rFonts w:hint="default" w:ascii="宋体" w:hAnsi="宋体"/>
                <w:color w:val="auto"/>
                <w:sz w:val="24"/>
                <w:highlight w:val="none"/>
              </w:rPr>
            </w:pPr>
          </w:p>
        </w:tc>
        <w:tc>
          <w:tcPr>
            <w:tcW w:w="1125" w:type="dxa"/>
            <w:tcBorders>
              <w:top w:val="single" w:color="auto" w:sz="4" w:space="0"/>
              <w:left w:val="single" w:color="auto" w:sz="4" w:space="0"/>
              <w:bottom w:val="single" w:color="auto" w:sz="4" w:space="0"/>
              <w:right w:val="single" w:color="auto" w:sz="4" w:space="0"/>
            </w:tcBorders>
            <w:noWrap/>
          </w:tcPr>
          <w:p w14:paraId="60A0A33C">
            <w:pPr>
              <w:snapToGrid w:val="0"/>
              <w:spacing w:line="360" w:lineRule="auto"/>
              <w:rPr>
                <w:rFonts w:hint="default" w:ascii="宋体" w:hAnsi="宋体"/>
                <w:color w:val="auto"/>
                <w:sz w:val="24"/>
                <w:highlight w:val="none"/>
              </w:rPr>
            </w:pPr>
          </w:p>
        </w:tc>
        <w:tc>
          <w:tcPr>
            <w:tcW w:w="1863" w:type="dxa"/>
            <w:tcBorders>
              <w:top w:val="single" w:color="auto" w:sz="4" w:space="0"/>
              <w:left w:val="single" w:color="auto" w:sz="4" w:space="0"/>
              <w:bottom w:val="single" w:color="auto" w:sz="4" w:space="0"/>
              <w:right w:val="single" w:color="auto" w:sz="4" w:space="0"/>
            </w:tcBorders>
            <w:noWrap/>
          </w:tcPr>
          <w:p w14:paraId="6E677AFD">
            <w:pPr>
              <w:snapToGrid w:val="0"/>
              <w:spacing w:line="360" w:lineRule="auto"/>
              <w:rPr>
                <w:rFonts w:hint="default" w:ascii="宋体" w:hAnsi="宋体"/>
                <w:color w:val="auto"/>
                <w:sz w:val="24"/>
                <w:highlight w:val="none"/>
              </w:rPr>
            </w:pPr>
          </w:p>
        </w:tc>
        <w:tc>
          <w:tcPr>
            <w:tcW w:w="1411" w:type="dxa"/>
            <w:tcBorders>
              <w:top w:val="single" w:color="auto" w:sz="4" w:space="0"/>
              <w:left w:val="single" w:color="auto" w:sz="4" w:space="0"/>
              <w:bottom w:val="single" w:color="auto" w:sz="4" w:space="0"/>
              <w:right w:val="single" w:color="auto" w:sz="4" w:space="0"/>
            </w:tcBorders>
            <w:noWrap/>
          </w:tcPr>
          <w:p w14:paraId="6ECBAFBF">
            <w:pPr>
              <w:snapToGrid w:val="0"/>
              <w:spacing w:line="360" w:lineRule="auto"/>
              <w:rPr>
                <w:rFonts w:hint="default" w:ascii="宋体" w:hAnsi="宋体"/>
                <w:color w:val="auto"/>
                <w:sz w:val="24"/>
                <w:highlight w:val="none"/>
              </w:rPr>
            </w:pPr>
          </w:p>
        </w:tc>
        <w:tc>
          <w:tcPr>
            <w:tcW w:w="1815" w:type="dxa"/>
            <w:tcBorders>
              <w:top w:val="single" w:color="auto" w:sz="4" w:space="0"/>
              <w:left w:val="single" w:color="auto" w:sz="4" w:space="0"/>
              <w:bottom w:val="single" w:color="auto" w:sz="4" w:space="0"/>
              <w:right w:val="single" w:color="auto" w:sz="4" w:space="0"/>
            </w:tcBorders>
            <w:noWrap/>
          </w:tcPr>
          <w:p w14:paraId="4C42502A">
            <w:pPr>
              <w:snapToGrid w:val="0"/>
              <w:spacing w:line="360" w:lineRule="auto"/>
              <w:rPr>
                <w:rFonts w:hint="default" w:ascii="宋体" w:hAnsi="宋体"/>
                <w:color w:val="auto"/>
                <w:sz w:val="24"/>
                <w:highlight w:val="none"/>
              </w:rPr>
            </w:pPr>
          </w:p>
        </w:tc>
        <w:tc>
          <w:tcPr>
            <w:tcW w:w="2218" w:type="dxa"/>
            <w:tcBorders>
              <w:top w:val="single" w:color="auto" w:sz="4" w:space="0"/>
              <w:left w:val="single" w:color="auto" w:sz="4" w:space="0"/>
              <w:bottom w:val="single" w:color="auto" w:sz="4" w:space="0"/>
              <w:right w:val="single" w:color="auto" w:sz="4" w:space="0"/>
            </w:tcBorders>
            <w:noWrap/>
          </w:tcPr>
          <w:p w14:paraId="05EE0912">
            <w:pPr>
              <w:snapToGrid w:val="0"/>
              <w:spacing w:line="360" w:lineRule="auto"/>
              <w:rPr>
                <w:rFonts w:hint="default" w:ascii="宋体" w:hAnsi="宋体"/>
                <w:color w:val="auto"/>
                <w:sz w:val="24"/>
                <w:highlight w:val="none"/>
              </w:rPr>
            </w:pPr>
          </w:p>
        </w:tc>
      </w:tr>
      <w:tr w14:paraId="44DD16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67" w:hRule="atLeast"/>
          <w:jc w:val="center"/>
        </w:trPr>
        <w:tc>
          <w:tcPr>
            <w:tcW w:w="1125" w:type="dxa"/>
            <w:tcBorders>
              <w:top w:val="single" w:color="auto" w:sz="4" w:space="0"/>
              <w:left w:val="single" w:color="auto" w:sz="4" w:space="0"/>
              <w:bottom w:val="single" w:color="auto" w:sz="4" w:space="0"/>
              <w:right w:val="single" w:color="auto" w:sz="4" w:space="0"/>
            </w:tcBorders>
            <w:noWrap/>
          </w:tcPr>
          <w:p w14:paraId="354B1B11">
            <w:pPr>
              <w:snapToGrid w:val="0"/>
              <w:spacing w:line="360" w:lineRule="auto"/>
              <w:rPr>
                <w:rFonts w:hint="default" w:ascii="宋体" w:hAnsi="宋体"/>
                <w:color w:val="auto"/>
                <w:sz w:val="24"/>
                <w:highlight w:val="none"/>
              </w:rPr>
            </w:pPr>
          </w:p>
        </w:tc>
        <w:tc>
          <w:tcPr>
            <w:tcW w:w="1125" w:type="dxa"/>
            <w:tcBorders>
              <w:top w:val="single" w:color="auto" w:sz="4" w:space="0"/>
              <w:left w:val="single" w:color="auto" w:sz="4" w:space="0"/>
              <w:bottom w:val="single" w:color="auto" w:sz="4" w:space="0"/>
              <w:right w:val="single" w:color="auto" w:sz="4" w:space="0"/>
            </w:tcBorders>
            <w:noWrap/>
          </w:tcPr>
          <w:p w14:paraId="2CC6DE98">
            <w:pPr>
              <w:snapToGrid w:val="0"/>
              <w:spacing w:line="360" w:lineRule="auto"/>
              <w:rPr>
                <w:rFonts w:hint="default" w:ascii="宋体" w:hAnsi="宋体"/>
                <w:color w:val="auto"/>
                <w:sz w:val="24"/>
                <w:highlight w:val="none"/>
              </w:rPr>
            </w:pPr>
          </w:p>
        </w:tc>
        <w:tc>
          <w:tcPr>
            <w:tcW w:w="1863" w:type="dxa"/>
            <w:tcBorders>
              <w:top w:val="single" w:color="auto" w:sz="4" w:space="0"/>
              <w:left w:val="single" w:color="auto" w:sz="4" w:space="0"/>
              <w:bottom w:val="single" w:color="auto" w:sz="4" w:space="0"/>
              <w:right w:val="single" w:color="auto" w:sz="4" w:space="0"/>
            </w:tcBorders>
            <w:noWrap/>
          </w:tcPr>
          <w:p w14:paraId="602A59DF">
            <w:pPr>
              <w:snapToGrid w:val="0"/>
              <w:spacing w:line="360" w:lineRule="auto"/>
              <w:rPr>
                <w:rFonts w:hint="default" w:ascii="宋体" w:hAnsi="宋体"/>
                <w:color w:val="auto"/>
                <w:sz w:val="24"/>
                <w:highlight w:val="none"/>
              </w:rPr>
            </w:pPr>
          </w:p>
        </w:tc>
        <w:tc>
          <w:tcPr>
            <w:tcW w:w="1411" w:type="dxa"/>
            <w:tcBorders>
              <w:top w:val="single" w:color="auto" w:sz="4" w:space="0"/>
              <w:left w:val="single" w:color="auto" w:sz="4" w:space="0"/>
              <w:bottom w:val="single" w:color="auto" w:sz="4" w:space="0"/>
              <w:right w:val="single" w:color="auto" w:sz="4" w:space="0"/>
            </w:tcBorders>
            <w:noWrap/>
          </w:tcPr>
          <w:p w14:paraId="106CD8D3">
            <w:pPr>
              <w:snapToGrid w:val="0"/>
              <w:spacing w:line="360" w:lineRule="auto"/>
              <w:rPr>
                <w:rFonts w:hint="default" w:ascii="宋体" w:hAnsi="宋体"/>
                <w:color w:val="auto"/>
                <w:sz w:val="24"/>
                <w:highlight w:val="none"/>
              </w:rPr>
            </w:pPr>
          </w:p>
        </w:tc>
        <w:tc>
          <w:tcPr>
            <w:tcW w:w="1815" w:type="dxa"/>
            <w:tcBorders>
              <w:top w:val="single" w:color="auto" w:sz="4" w:space="0"/>
              <w:left w:val="single" w:color="auto" w:sz="4" w:space="0"/>
              <w:bottom w:val="single" w:color="auto" w:sz="4" w:space="0"/>
              <w:right w:val="single" w:color="auto" w:sz="4" w:space="0"/>
            </w:tcBorders>
            <w:noWrap/>
          </w:tcPr>
          <w:p w14:paraId="63B39487">
            <w:pPr>
              <w:snapToGrid w:val="0"/>
              <w:spacing w:line="360" w:lineRule="auto"/>
              <w:rPr>
                <w:rFonts w:hint="default" w:ascii="宋体" w:hAnsi="宋体"/>
                <w:color w:val="auto"/>
                <w:sz w:val="24"/>
                <w:highlight w:val="none"/>
              </w:rPr>
            </w:pPr>
          </w:p>
        </w:tc>
        <w:tc>
          <w:tcPr>
            <w:tcW w:w="2218" w:type="dxa"/>
            <w:tcBorders>
              <w:top w:val="single" w:color="auto" w:sz="4" w:space="0"/>
              <w:left w:val="single" w:color="auto" w:sz="4" w:space="0"/>
              <w:bottom w:val="single" w:color="auto" w:sz="4" w:space="0"/>
              <w:right w:val="single" w:color="auto" w:sz="4" w:space="0"/>
            </w:tcBorders>
            <w:noWrap/>
          </w:tcPr>
          <w:p w14:paraId="0EAA6C2D">
            <w:pPr>
              <w:snapToGrid w:val="0"/>
              <w:spacing w:line="360" w:lineRule="auto"/>
              <w:rPr>
                <w:rFonts w:hint="default" w:ascii="宋体" w:hAnsi="宋体"/>
                <w:color w:val="auto"/>
                <w:sz w:val="24"/>
                <w:highlight w:val="none"/>
              </w:rPr>
            </w:pPr>
          </w:p>
        </w:tc>
      </w:tr>
      <w:tr w14:paraId="41F32C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jc w:val="center"/>
        </w:trPr>
        <w:tc>
          <w:tcPr>
            <w:tcW w:w="1125" w:type="dxa"/>
            <w:tcBorders>
              <w:top w:val="single" w:color="auto" w:sz="4" w:space="0"/>
              <w:left w:val="single" w:color="auto" w:sz="4" w:space="0"/>
              <w:bottom w:val="single" w:color="auto" w:sz="4" w:space="0"/>
              <w:right w:val="single" w:color="auto" w:sz="4" w:space="0"/>
            </w:tcBorders>
            <w:noWrap/>
          </w:tcPr>
          <w:p w14:paraId="49288B19">
            <w:pPr>
              <w:snapToGrid w:val="0"/>
              <w:spacing w:line="360" w:lineRule="auto"/>
              <w:rPr>
                <w:rFonts w:hint="default" w:ascii="宋体" w:hAnsi="宋体"/>
                <w:color w:val="auto"/>
                <w:sz w:val="24"/>
                <w:highlight w:val="none"/>
              </w:rPr>
            </w:pPr>
          </w:p>
        </w:tc>
        <w:tc>
          <w:tcPr>
            <w:tcW w:w="1125" w:type="dxa"/>
            <w:tcBorders>
              <w:top w:val="single" w:color="auto" w:sz="4" w:space="0"/>
              <w:left w:val="single" w:color="auto" w:sz="4" w:space="0"/>
              <w:bottom w:val="single" w:color="auto" w:sz="4" w:space="0"/>
              <w:right w:val="single" w:color="auto" w:sz="4" w:space="0"/>
            </w:tcBorders>
            <w:noWrap/>
          </w:tcPr>
          <w:p w14:paraId="03E81860">
            <w:pPr>
              <w:snapToGrid w:val="0"/>
              <w:spacing w:line="360" w:lineRule="auto"/>
              <w:rPr>
                <w:rFonts w:hint="default" w:ascii="宋体" w:hAnsi="宋体"/>
                <w:color w:val="auto"/>
                <w:sz w:val="24"/>
                <w:highlight w:val="none"/>
              </w:rPr>
            </w:pPr>
          </w:p>
        </w:tc>
        <w:tc>
          <w:tcPr>
            <w:tcW w:w="1863" w:type="dxa"/>
            <w:tcBorders>
              <w:top w:val="single" w:color="auto" w:sz="4" w:space="0"/>
              <w:left w:val="single" w:color="auto" w:sz="4" w:space="0"/>
              <w:bottom w:val="single" w:color="auto" w:sz="4" w:space="0"/>
              <w:right w:val="single" w:color="auto" w:sz="4" w:space="0"/>
            </w:tcBorders>
            <w:noWrap/>
          </w:tcPr>
          <w:p w14:paraId="47E87CBE">
            <w:pPr>
              <w:snapToGrid w:val="0"/>
              <w:spacing w:line="360" w:lineRule="auto"/>
              <w:rPr>
                <w:rFonts w:hint="default" w:ascii="宋体" w:hAnsi="宋体"/>
                <w:color w:val="auto"/>
                <w:sz w:val="24"/>
                <w:highlight w:val="none"/>
              </w:rPr>
            </w:pPr>
          </w:p>
        </w:tc>
        <w:tc>
          <w:tcPr>
            <w:tcW w:w="1411" w:type="dxa"/>
            <w:tcBorders>
              <w:top w:val="single" w:color="auto" w:sz="4" w:space="0"/>
              <w:left w:val="single" w:color="auto" w:sz="4" w:space="0"/>
              <w:bottom w:val="single" w:color="auto" w:sz="4" w:space="0"/>
              <w:right w:val="single" w:color="auto" w:sz="4" w:space="0"/>
            </w:tcBorders>
            <w:noWrap/>
          </w:tcPr>
          <w:p w14:paraId="2CBE911F">
            <w:pPr>
              <w:snapToGrid w:val="0"/>
              <w:spacing w:line="360" w:lineRule="auto"/>
              <w:rPr>
                <w:rFonts w:hint="default" w:ascii="宋体" w:hAnsi="宋体"/>
                <w:color w:val="auto"/>
                <w:sz w:val="24"/>
                <w:highlight w:val="none"/>
              </w:rPr>
            </w:pPr>
          </w:p>
        </w:tc>
        <w:tc>
          <w:tcPr>
            <w:tcW w:w="1815" w:type="dxa"/>
            <w:tcBorders>
              <w:top w:val="single" w:color="auto" w:sz="4" w:space="0"/>
              <w:left w:val="single" w:color="auto" w:sz="4" w:space="0"/>
              <w:bottom w:val="single" w:color="auto" w:sz="4" w:space="0"/>
              <w:right w:val="single" w:color="auto" w:sz="4" w:space="0"/>
            </w:tcBorders>
            <w:noWrap/>
          </w:tcPr>
          <w:p w14:paraId="21899837">
            <w:pPr>
              <w:snapToGrid w:val="0"/>
              <w:spacing w:line="360" w:lineRule="auto"/>
              <w:rPr>
                <w:rFonts w:hint="default" w:ascii="宋体" w:hAnsi="宋体"/>
                <w:color w:val="auto"/>
                <w:sz w:val="24"/>
                <w:highlight w:val="none"/>
              </w:rPr>
            </w:pPr>
          </w:p>
        </w:tc>
        <w:tc>
          <w:tcPr>
            <w:tcW w:w="2218" w:type="dxa"/>
            <w:tcBorders>
              <w:top w:val="single" w:color="auto" w:sz="4" w:space="0"/>
              <w:left w:val="single" w:color="auto" w:sz="4" w:space="0"/>
              <w:bottom w:val="single" w:color="auto" w:sz="4" w:space="0"/>
              <w:right w:val="single" w:color="auto" w:sz="4" w:space="0"/>
            </w:tcBorders>
            <w:noWrap/>
          </w:tcPr>
          <w:p w14:paraId="7FAC7F0F">
            <w:pPr>
              <w:snapToGrid w:val="0"/>
              <w:spacing w:line="360" w:lineRule="auto"/>
              <w:rPr>
                <w:rFonts w:hint="default" w:ascii="宋体" w:hAnsi="宋体"/>
                <w:color w:val="auto"/>
                <w:sz w:val="24"/>
                <w:highlight w:val="none"/>
              </w:rPr>
            </w:pPr>
          </w:p>
        </w:tc>
      </w:tr>
    </w:tbl>
    <w:p w14:paraId="0256B35E">
      <w:pPr>
        <w:snapToGrid w:val="0"/>
        <w:spacing w:line="360" w:lineRule="auto"/>
        <w:jc w:val="left"/>
        <w:rPr>
          <w:rFonts w:hint="default" w:ascii="宋体" w:hAnsi="宋体"/>
          <w:color w:val="auto"/>
          <w:sz w:val="24"/>
          <w:highlight w:val="none"/>
        </w:rPr>
      </w:pPr>
      <w:r>
        <w:rPr>
          <w:rFonts w:ascii="宋体" w:hAnsi="宋体"/>
          <w:color w:val="auto"/>
          <w:sz w:val="24"/>
          <w:highlight w:val="none"/>
        </w:rPr>
        <w:t>注：在填写时，如本表格不适合供应商的实际情况，可根据本表格式自行划表填写。</w:t>
      </w:r>
    </w:p>
    <w:p w14:paraId="1DC6D508">
      <w:pPr>
        <w:snapToGrid w:val="0"/>
        <w:spacing w:line="360" w:lineRule="auto"/>
        <w:rPr>
          <w:rFonts w:hint="default" w:ascii="宋体" w:hAnsi="宋体"/>
          <w:color w:val="auto"/>
          <w:sz w:val="24"/>
          <w:highlight w:val="none"/>
        </w:rPr>
      </w:pPr>
    </w:p>
    <w:bookmarkEnd w:id="148"/>
    <w:p w14:paraId="2FA2E3EF">
      <w:pPr>
        <w:adjustRightInd w:val="0"/>
        <w:snapToGrid w:val="0"/>
        <w:spacing w:line="360" w:lineRule="auto"/>
        <w:ind w:firstLine="480" w:firstLineChars="200"/>
        <w:rPr>
          <w:rFonts w:hint="default" w:ascii="宋体" w:hAnsi="宋体" w:cs="宋体"/>
          <w:color w:val="auto"/>
          <w:kern w:val="0"/>
          <w:sz w:val="24"/>
          <w:highlight w:val="none"/>
        </w:rPr>
      </w:pPr>
      <w:r>
        <w:rPr>
          <w:rFonts w:ascii="宋体" w:hAnsi="宋体" w:cs="宋体"/>
          <w:color w:val="auto"/>
          <w:kern w:val="0"/>
          <w:sz w:val="24"/>
          <w:highlight w:val="none"/>
        </w:rPr>
        <w:t>供应商（</w:t>
      </w:r>
      <w:r>
        <w:rPr>
          <w:rFonts w:ascii="宋体" w:hAnsi="宋体" w:cs="宋体"/>
          <w:color w:val="auto"/>
          <w:kern w:val="0"/>
          <w:sz w:val="24"/>
          <w:highlight w:val="none"/>
          <w:lang w:val="zh-CN"/>
        </w:rPr>
        <w:t>电子签名/公章</w:t>
      </w:r>
      <w:r>
        <w:rPr>
          <w:rFonts w:ascii="宋体" w:hAnsi="宋体" w:cs="宋体"/>
          <w:color w:val="auto"/>
          <w:kern w:val="0"/>
          <w:sz w:val="24"/>
          <w:highlight w:val="none"/>
        </w:rPr>
        <w:t>）：</w:t>
      </w:r>
    </w:p>
    <w:p w14:paraId="783B52FD">
      <w:pPr>
        <w:widowControl/>
        <w:adjustRightInd w:val="0"/>
        <w:snapToGrid w:val="0"/>
        <w:spacing w:line="360" w:lineRule="auto"/>
        <w:ind w:firstLine="480" w:firstLineChars="200"/>
        <w:jc w:val="left"/>
        <w:rPr>
          <w:rFonts w:hint="default"/>
          <w:color w:val="auto"/>
          <w:kern w:val="0"/>
          <w:sz w:val="24"/>
          <w:highlight w:val="none"/>
        </w:rPr>
      </w:pPr>
      <w:r>
        <w:rPr>
          <w:rFonts w:hint="default"/>
          <w:color w:val="auto"/>
          <w:kern w:val="0"/>
          <w:sz w:val="24"/>
          <w:highlight w:val="none"/>
        </w:rPr>
        <w:t>法定代表人或其授权代表（签字或盖章）：</w:t>
      </w:r>
    </w:p>
    <w:p w14:paraId="143C1D4E">
      <w:pPr>
        <w:pStyle w:val="6"/>
        <w:adjustRightInd w:val="0"/>
        <w:snapToGrid w:val="0"/>
        <w:spacing w:beforeLines="0" w:afterLines="0" w:line="360" w:lineRule="auto"/>
        <w:ind w:firstLine="480" w:firstLineChars="200"/>
        <w:outlineLvl w:val="0"/>
        <w:rPr>
          <w:rFonts w:ascii="Times New Roman" w:hAnsi="Times New Roman"/>
          <w:b/>
          <w:color w:val="auto"/>
          <w:sz w:val="32"/>
          <w:szCs w:val="32"/>
          <w:highlight w:val="none"/>
        </w:rPr>
      </w:pPr>
      <w:bookmarkStart w:id="155" w:name="_Toc15132"/>
      <w:r>
        <w:rPr>
          <w:rFonts w:ascii="Times New Roman" w:hAnsi="Times New Roman"/>
          <w:color w:val="auto"/>
          <w:kern w:val="0"/>
          <w:highlight w:val="none"/>
        </w:rPr>
        <w:t>日期：     年  月  日</w:t>
      </w:r>
      <w:bookmarkEnd w:id="155"/>
    </w:p>
    <w:bookmarkEnd w:id="91"/>
    <w:bookmarkEnd w:id="146"/>
    <w:p w14:paraId="4BE91A66">
      <w:pPr>
        <w:pStyle w:val="6"/>
        <w:snapToGrid w:val="0"/>
        <w:spacing w:before="156" w:after="156" w:line="360" w:lineRule="auto"/>
        <w:jc w:val="center"/>
        <w:outlineLvl w:val="0"/>
        <w:rPr>
          <w:rFonts w:hAnsi="宋体" w:cs="宋体"/>
          <w:b/>
          <w:bCs/>
          <w:color w:val="auto"/>
          <w:sz w:val="32"/>
          <w:szCs w:val="32"/>
          <w:highlight w:val="none"/>
        </w:rPr>
      </w:pPr>
      <w:r>
        <w:rPr>
          <w:rFonts w:hAnsi="宋体" w:cs="宋体"/>
          <w:b/>
          <w:bCs/>
          <w:color w:val="auto"/>
          <w:sz w:val="32"/>
          <w:szCs w:val="32"/>
          <w:highlight w:val="none"/>
        </w:rPr>
        <w:br w:type="page"/>
      </w:r>
      <w:bookmarkStart w:id="156" w:name="_Toc26586"/>
      <w:r>
        <w:rPr>
          <w:rFonts w:hint="eastAsia" w:hAnsi="宋体" w:cs="宋体"/>
          <w:b/>
          <w:bCs/>
          <w:color w:val="auto"/>
          <w:sz w:val="32"/>
          <w:szCs w:val="32"/>
          <w:highlight w:val="none"/>
        </w:rPr>
        <w:t>附件1：</w:t>
      </w:r>
      <w:r>
        <w:rPr>
          <w:rFonts w:hAnsi="宋体" w:cs="宋体"/>
          <w:b/>
          <w:bCs/>
          <w:color w:val="auto"/>
          <w:sz w:val="32"/>
          <w:szCs w:val="32"/>
          <w:highlight w:val="none"/>
        </w:rPr>
        <w:t>市场监管总局关于发布参与实施政府采购节能产品、环境标志产品认证机构名录的公告（2019年第16号）</w:t>
      </w:r>
      <w:bookmarkEnd w:id="156"/>
    </w:p>
    <w:p w14:paraId="0BB468BB">
      <w:pPr>
        <w:widowControl/>
        <w:shd w:val="clear" w:color="auto" w:fill="FFFFFF"/>
        <w:spacing w:before="68" w:after="299" w:line="360" w:lineRule="auto"/>
        <w:jc w:val="center"/>
        <w:textAlignment w:val="baseline"/>
        <w:rPr>
          <w:rFonts w:hint="default" w:ascii="华文中宋" w:hAnsi="华文中宋" w:eastAsia="华文中宋" w:cs="宋体"/>
          <w:b/>
          <w:color w:val="auto"/>
          <w:kern w:val="0"/>
          <w:sz w:val="28"/>
          <w:highlight w:val="none"/>
        </w:rPr>
      </w:pPr>
    </w:p>
    <w:p w14:paraId="63A9613B">
      <w:pPr>
        <w:widowControl/>
        <w:shd w:val="clear" w:color="auto" w:fill="FFFFFF"/>
        <w:spacing w:before="68" w:after="299" w:line="360" w:lineRule="auto"/>
        <w:jc w:val="center"/>
        <w:textAlignment w:val="baseline"/>
        <w:rPr>
          <w:rFonts w:hint="default" w:ascii="华文中宋" w:hAnsi="华文中宋" w:eastAsia="华文中宋" w:cs="宋体"/>
          <w:b/>
          <w:color w:val="auto"/>
          <w:kern w:val="0"/>
          <w:sz w:val="36"/>
          <w:highlight w:val="none"/>
        </w:rPr>
      </w:pPr>
      <w:r>
        <w:rPr>
          <w:rFonts w:ascii="华文中宋" w:hAnsi="华文中宋" w:eastAsia="华文中宋" w:cs="宋体"/>
          <w:b/>
          <w:color w:val="auto"/>
          <w:kern w:val="0"/>
          <w:sz w:val="36"/>
          <w:highlight w:val="none"/>
        </w:rPr>
        <w:t>市场监管总局关于发布参与实施政府采购节能产品、环境</w:t>
      </w:r>
    </w:p>
    <w:p w14:paraId="620B8D6B">
      <w:pPr>
        <w:widowControl/>
        <w:shd w:val="clear" w:color="auto" w:fill="FFFFFF"/>
        <w:spacing w:before="68" w:after="299" w:line="360" w:lineRule="auto"/>
        <w:jc w:val="center"/>
        <w:textAlignment w:val="baseline"/>
        <w:rPr>
          <w:rFonts w:hint="default" w:ascii="华文中宋" w:hAnsi="华文中宋" w:eastAsia="华文中宋" w:cs="宋体"/>
          <w:b/>
          <w:color w:val="auto"/>
          <w:kern w:val="0"/>
          <w:sz w:val="24"/>
          <w:highlight w:val="none"/>
        </w:rPr>
      </w:pPr>
      <w:r>
        <w:rPr>
          <w:rFonts w:ascii="华文中宋" w:hAnsi="华文中宋" w:eastAsia="华文中宋" w:cs="宋体"/>
          <w:b/>
          <w:color w:val="auto"/>
          <w:kern w:val="0"/>
          <w:sz w:val="36"/>
          <w:highlight w:val="none"/>
        </w:rPr>
        <w:t>标志产品认证机构名录的公告</w:t>
      </w:r>
    </w:p>
    <w:p w14:paraId="791DCAC3">
      <w:pPr>
        <w:widowControl/>
        <w:shd w:val="clear" w:color="auto" w:fill="FFFFFF"/>
        <w:spacing w:before="68" w:after="299" w:line="360" w:lineRule="auto"/>
        <w:jc w:val="center"/>
        <w:textAlignment w:val="baseline"/>
        <w:rPr>
          <w:rFonts w:hint="default" w:ascii="仿宋" w:hAnsi="仿宋" w:eastAsia="仿宋" w:cs="宋体"/>
          <w:color w:val="auto"/>
          <w:kern w:val="0"/>
          <w:sz w:val="24"/>
          <w:highlight w:val="none"/>
        </w:rPr>
      </w:pPr>
      <w:r>
        <w:rPr>
          <w:rFonts w:ascii="仿宋" w:hAnsi="仿宋" w:eastAsia="仿宋" w:cs="宋体"/>
          <w:color w:val="auto"/>
          <w:kern w:val="0"/>
          <w:sz w:val="24"/>
          <w:highlight w:val="none"/>
        </w:rPr>
        <w:t>2019年第16号</w:t>
      </w:r>
    </w:p>
    <w:p w14:paraId="7B92953F">
      <w:pPr>
        <w:widowControl/>
        <w:shd w:val="clear" w:color="auto" w:fill="FFFFFF"/>
        <w:spacing w:before="68" w:after="299" w:line="360" w:lineRule="auto"/>
        <w:ind w:firstLine="424" w:firstLineChars="177"/>
        <w:jc w:val="left"/>
        <w:textAlignment w:val="baseline"/>
        <w:rPr>
          <w:rFonts w:hint="default" w:ascii="仿宋" w:hAnsi="仿宋" w:eastAsia="仿宋" w:cs="宋体"/>
          <w:color w:val="auto"/>
          <w:kern w:val="0"/>
          <w:sz w:val="24"/>
          <w:highlight w:val="none"/>
        </w:rPr>
      </w:pPr>
      <w:r>
        <w:rPr>
          <w:rFonts w:ascii="仿宋" w:hAnsi="仿宋" w:eastAsia="仿宋" w:cs="宋体"/>
          <w:color w:val="auto"/>
          <w:kern w:val="0"/>
          <w:sz w:val="24"/>
          <w:highlight w:val="none"/>
        </w:rPr>
        <w:t>根据《财政部 发展改革委 生态环境部 市场监管总局关于调整优化节能产品、环境标志产品政府采购执行机制的通知》(财库〔2019〕9号)和《市场监管总局办公厅关于扩大参与实施政府采购节能产品、环境标志产品认证机构范围的通知》（市监认证函〔2019〕513号）要求，经商财政部、发展改革委、生态环境部，市场监管总局已组织完成扩大参与实施政府采购节能产品、环境标志产品认证机构范围试点优选工作，现将《参与实施政府采购节能产品认证机构名录》《参与实施政府采购环境标志产品认证机构名录》予以公布。</w:t>
      </w:r>
    </w:p>
    <w:p w14:paraId="07E5CF0D">
      <w:pPr>
        <w:widowControl/>
        <w:shd w:val="clear" w:color="auto" w:fill="FFFFFF"/>
        <w:spacing w:before="68" w:after="299" w:line="360" w:lineRule="auto"/>
        <w:ind w:firstLine="424" w:firstLineChars="177"/>
        <w:jc w:val="left"/>
        <w:textAlignment w:val="baseline"/>
        <w:rPr>
          <w:rFonts w:hint="default" w:ascii="仿宋" w:hAnsi="仿宋" w:eastAsia="仿宋" w:cs="宋体"/>
          <w:color w:val="auto"/>
          <w:kern w:val="0"/>
          <w:sz w:val="24"/>
          <w:highlight w:val="none"/>
        </w:rPr>
      </w:pPr>
      <w:r>
        <w:rPr>
          <w:rFonts w:ascii="仿宋" w:hAnsi="仿宋" w:eastAsia="仿宋" w:cs="宋体"/>
          <w:color w:val="auto"/>
          <w:kern w:val="0"/>
          <w:sz w:val="24"/>
          <w:highlight w:val="none"/>
        </w:rPr>
        <w:t>自本公告发布后，新增认证机构应尽快完成政府采购认证信息系统对接，对接完成后方可开展相关认证工作。</w:t>
      </w:r>
    </w:p>
    <w:p w14:paraId="2962DDEB">
      <w:pPr>
        <w:widowControl/>
        <w:shd w:val="clear" w:color="auto" w:fill="FFFFFF"/>
        <w:spacing w:before="68" w:after="299" w:line="360" w:lineRule="auto"/>
        <w:jc w:val="right"/>
        <w:textAlignment w:val="baseline"/>
        <w:rPr>
          <w:rFonts w:hint="default" w:ascii="仿宋" w:hAnsi="仿宋" w:eastAsia="仿宋" w:cs="宋体"/>
          <w:color w:val="auto"/>
          <w:kern w:val="0"/>
          <w:sz w:val="24"/>
          <w:highlight w:val="none"/>
        </w:rPr>
      </w:pPr>
      <w:r>
        <w:rPr>
          <w:rFonts w:ascii="仿宋" w:hAnsi="仿宋" w:eastAsia="仿宋" w:cs="宋体"/>
          <w:color w:val="auto"/>
          <w:kern w:val="0"/>
          <w:sz w:val="24"/>
          <w:highlight w:val="none"/>
        </w:rPr>
        <w:t>市场监管总局</w:t>
      </w:r>
    </w:p>
    <w:p w14:paraId="13A3E5F8">
      <w:pPr>
        <w:widowControl/>
        <w:shd w:val="clear" w:color="auto" w:fill="FFFFFF"/>
        <w:spacing w:before="68" w:after="299" w:line="360" w:lineRule="auto"/>
        <w:jc w:val="right"/>
        <w:textAlignment w:val="baseline"/>
        <w:rPr>
          <w:rFonts w:hint="default" w:ascii="仿宋" w:hAnsi="仿宋" w:eastAsia="仿宋" w:cs="宋体"/>
          <w:color w:val="auto"/>
          <w:kern w:val="0"/>
          <w:sz w:val="24"/>
          <w:highlight w:val="none"/>
        </w:rPr>
      </w:pPr>
      <w:r>
        <w:rPr>
          <w:rFonts w:ascii="仿宋" w:hAnsi="仿宋" w:eastAsia="仿宋" w:cs="宋体"/>
          <w:color w:val="auto"/>
          <w:kern w:val="0"/>
          <w:sz w:val="24"/>
          <w:highlight w:val="none"/>
        </w:rPr>
        <w:t>2019年4月3日</w:t>
      </w:r>
    </w:p>
    <w:p w14:paraId="3EEAA82C">
      <w:pPr>
        <w:keepNext/>
        <w:widowControl/>
        <w:rPr>
          <w:rFonts w:hint="default"/>
          <w:color w:val="auto"/>
          <w:highlight w:val="none"/>
        </w:rPr>
      </w:pPr>
      <w:r>
        <w:rPr>
          <w:color w:val="auto"/>
          <w:highlight w:val="none"/>
        </w:rPr>
        <w:br w:type="page"/>
      </w:r>
      <w:r>
        <w:rPr>
          <w:color w:val="auto"/>
          <w:highlight w:val="none"/>
        </w:rPr>
        <w:t>附1：参与实施政府采购节能产品认证机构名录</w:t>
      </w:r>
    </w:p>
    <w:tbl>
      <w:tblPr>
        <w:tblStyle w:val="41"/>
        <w:tblW w:w="0" w:type="auto"/>
        <w:jc w:val="center"/>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Layout w:type="fixed"/>
        <w:tblCellMar>
          <w:top w:w="27" w:type="dxa"/>
          <w:left w:w="27" w:type="dxa"/>
          <w:bottom w:w="27" w:type="dxa"/>
          <w:right w:w="27" w:type="dxa"/>
        </w:tblCellMar>
      </w:tblPr>
      <w:tblGrid>
        <w:gridCol w:w="568"/>
        <w:gridCol w:w="1134"/>
        <w:gridCol w:w="1347"/>
        <w:gridCol w:w="1402"/>
        <w:gridCol w:w="2070"/>
        <w:gridCol w:w="3261"/>
      </w:tblGrid>
      <w:tr w14:paraId="6E8ADCF7">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tblHeader/>
          <w:jc w:val="center"/>
        </w:trPr>
        <w:tc>
          <w:tcPr>
            <w:tcW w:w="568" w:type="dxa"/>
            <w:vMerge w:val="restart"/>
            <w:shd w:val="clear" w:color="auto" w:fill="DAEEF3"/>
            <w:noWrap/>
            <w:tcMar>
              <w:top w:w="0" w:type="dxa"/>
              <w:left w:w="108" w:type="dxa"/>
              <w:bottom w:w="0" w:type="dxa"/>
              <w:right w:w="108" w:type="dxa"/>
            </w:tcMar>
            <w:vAlign w:val="center"/>
          </w:tcPr>
          <w:p w14:paraId="2CC25C98">
            <w:pPr>
              <w:widowControl/>
              <w:spacing w:line="276" w:lineRule="auto"/>
              <w:jc w:val="center"/>
              <w:textAlignment w:val="baseline"/>
              <w:rPr>
                <w:rFonts w:hint="default" w:ascii="仿宋" w:hAnsi="仿宋" w:eastAsia="仿宋" w:cs="宋体"/>
                <w:b/>
                <w:color w:val="auto"/>
                <w:w w:val="90"/>
                <w:kern w:val="0"/>
                <w:sz w:val="22"/>
                <w:szCs w:val="22"/>
                <w:highlight w:val="none"/>
              </w:rPr>
            </w:pPr>
            <w:r>
              <w:rPr>
                <w:rFonts w:ascii="仿宋" w:hAnsi="仿宋" w:eastAsia="仿宋" w:cs="宋体"/>
                <w:b/>
                <w:color w:val="auto"/>
                <w:w w:val="90"/>
                <w:kern w:val="0"/>
                <w:sz w:val="22"/>
                <w:szCs w:val="22"/>
                <w:highlight w:val="none"/>
              </w:rPr>
              <w:t>序号</w:t>
            </w:r>
          </w:p>
        </w:tc>
        <w:tc>
          <w:tcPr>
            <w:tcW w:w="2481" w:type="dxa"/>
            <w:gridSpan w:val="2"/>
            <w:shd w:val="clear" w:color="auto" w:fill="DAEEF3"/>
            <w:noWrap/>
            <w:tcMar>
              <w:top w:w="0" w:type="dxa"/>
              <w:left w:w="108" w:type="dxa"/>
              <w:bottom w:w="0" w:type="dxa"/>
              <w:right w:w="108" w:type="dxa"/>
            </w:tcMar>
            <w:vAlign w:val="center"/>
          </w:tcPr>
          <w:p w14:paraId="32C28395">
            <w:pPr>
              <w:widowControl/>
              <w:spacing w:line="276" w:lineRule="auto"/>
              <w:jc w:val="center"/>
              <w:textAlignment w:val="baseline"/>
              <w:rPr>
                <w:rFonts w:hint="default" w:ascii="仿宋" w:hAnsi="仿宋" w:eastAsia="仿宋" w:cs="宋体"/>
                <w:b/>
                <w:color w:val="auto"/>
                <w:w w:val="90"/>
                <w:kern w:val="0"/>
                <w:sz w:val="22"/>
                <w:szCs w:val="22"/>
                <w:highlight w:val="none"/>
              </w:rPr>
            </w:pPr>
            <w:r>
              <w:rPr>
                <w:rFonts w:ascii="仿宋" w:hAnsi="仿宋" w:eastAsia="仿宋" w:cs="宋体"/>
                <w:b/>
                <w:color w:val="auto"/>
                <w:w w:val="90"/>
                <w:kern w:val="0"/>
                <w:sz w:val="22"/>
                <w:szCs w:val="22"/>
                <w:highlight w:val="none"/>
              </w:rPr>
              <w:t>一级目录</w:t>
            </w:r>
          </w:p>
        </w:tc>
        <w:tc>
          <w:tcPr>
            <w:tcW w:w="3472" w:type="dxa"/>
            <w:gridSpan w:val="2"/>
            <w:shd w:val="clear" w:color="auto" w:fill="DAEEF3"/>
            <w:noWrap/>
            <w:tcMar>
              <w:top w:w="0" w:type="dxa"/>
              <w:left w:w="108" w:type="dxa"/>
              <w:bottom w:w="0" w:type="dxa"/>
              <w:right w:w="108" w:type="dxa"/>
            </w:tcMar>
            <w:vAlign w:val="center"/>
          </w:tcPr>
          <w:p w14:paraId="187BC073">
            <w:pPr>
              <w:widowControl/>
              <w:spacing w:line="276" w:lineRule="auto"/>
              <w:jc w:val="center"/>
              <w:textAlignment w:val="baseline"/>
              <w:rPr>
                <w:rFonts w:hint="default" w:ascii="仿宋" w:hAnsi="仿宋" w:eastAsia="仿宋" w:cs="宋体"/>
                <w:b/>
                <w:color w:val="auto"/>
                <w:w w:val="90"/>
                <w:kern w:val="0"/>
                <w:sz w:val="22"/>
                <w:szCs w:val="22"/>
                <w:highlight w:val="none"/>
              </w:rPr>
            </w:pPr>
            <w:r>
              <w:rPr>
                <w:rFonts w:ascii="仿宋" w:hAnsi="仿宋" w:eastAsia="仿宋" w:cs="宋体"/>
                <w:b/>
                <w:color w:val="auto"/>
                <w:w w:val="90"/>
                <w:kern w:val="0"/>
                <w:sz w:val="22"/>
                <w:szCs w:val="22"/>
                <w:highlight w:val="none"/>
              </w:rPr>
              <w:t>二级目录</w:t>
            </w:r>
          </w:p>
        </w:tc>
        <w:tc>
          <w:tcPr>
            <w:tcW w:w="3261" w:type="dxa"/>
            <w:vMerge w:val="restart"/>
            <w:shd w:val="clear" w:color="auto" w:fill="DAEEF3"/>
            <w:noWrap/>
            <w:tcMar>
              <w:top w:w="0" w:type="dxa"/>
              <w:left w:w="108" w:type="dxa"/>
              <w:bottom w:w="0" w:type="dxa"/>
              <w:right w:w="108" w:type="dxa"/>
            </w:tcMar>
            <w:vAlign w:val="center"/>
          </w:tcPr>
          <w:p w14:paraId="79442F41">
            <w:pPr>
              <w:widowControl/>
              <w:spacing w:line="276" w:lineRule="auto"/>
              <w:jc w:val="center"/>
              <w:textAlignment w:val="baseline"/>
              <w:rPr>
                <w:rFonts w:hint="default" w:ascii="仿宋" w:hAnsi="仿宋" w:eastAsia="仿宋" w:cs="宋体"/>
                <w:b/>
                <w:color w:val="auto"/>
                <w:w w:val="90"/>
                <w:kern w:val="0"/>
                <w:sz w:val="22"/>
                <w:szCs w:val="22"/>
                <w:highlight w:val="none"/>
              </w:rPr>
            </w:pPr>
            <w:r>
              <w:rPr>
                <w:rFonts w:ascii="仿宋" w:hAnsi="仿宋" w:eastAsia="仿宋" w:cs="宋体"/>
                <w:b/>
                <w:color w:val="auto"/>
                <w:w w:val="90"/>
                <w:kern w:val="0"/>
                <w:sz w:val="22"/>
                <w:szCs w:val="22"/>
                <w:highlight w:val="none"/>
              </w:rPr>
              <w:t>认证机构名录</w:t>
            </w:r>
          </w:p>
        </w:tc>
      </w:tr>
      <w:tr w14:paraId="1B6B68CA">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tblHeader/>
          <w:jc w:val="center"/>
        </w:trPr>
        <w:tc>
          <w:tcPr>
            <w:tcW w:w="568" w:type="dxa"/>
            <w:vMerge w:val="continue"/>
            <w:shd w:val="clear" w:color="auto" w:fill="DAEEF3"/>
            <w:noWrap/>
            <w:vAlign w:val="center"/>
          </w:tcPr>
          <w:p w14:paraId="510126B0">
            <w:pPr>
              <w:spacing w:line="276" w:lineRule="auto"/>
              <w:jc w:val="center"/>
              <w:textAlignment w:val="baseline"/>
              <w:rPr>
                <w:rFonts w:hint="default" w:ascii="仿宋" w:hAnsi="仿宋" w:eastAsia="仿宋" w:cs="宋体"/>
                <w:color w:val="auto"/>
                <w:w w:val="90"/>
                <w:kern w:val="0"/>
                <w:sz w:val="22"/>
                <w:szCs w:val="22"/>
                <w:highlight w:val="none"/>
              </w:rPr>
            </w:pPr>
          </w:p>
        </w:tc>
        <w:tc>
          <w:tcPr>
            <w:tcW w:w="1134" w:type="dxa"/>
            <w:shd w:val="clear" w:color="auto" w:fill="DAEEF3"/>
            <w:noWrap/>
            <w:vAlign w:val="center"/>
          </w:tcPr>
          <w:p w14:paraId="46FABD90">
            <w:pPr>
              <w:widowControl/>
              <w:spacing w:line="276" w:lineRule="auto"/>
              <w:jc w:val="center"/>
              <w:textAlignment w:val="baseline"/>
              <w:rPr>
                <w:rFonts w:hint="default" w:ascii="仿宋" w:hAnsi="仿宋" w:eastAsia="仿宋" w:cs="宋体"/>
                <w:b/>
                <w:color w:val="auto"/>
                <w:w w:val="90"/>
                <w:kern w:val="0"/>
                <w:sz w:val="22"/>
                <w:szCs w:val="22"/>
                <w:highlight w:val="none"/>
              </w:rPr>
            </w:pPr>
            <w:r>
              <w:rPr>
                <w:rFonts w:ascii="仿宋" w:hAnsi="仿宋" w:eastAsia="仿宋" w:cs="宋体"/>
                <w:b/>
                <w:color w:val="auto"/>
                <w:w w:val="90"/>
                <w:kern w:val="0"/>
                <w:sz w:val="22"/>
                <w:szCs w:val="22"/>
                <w:highlight w:val="none"/>
              </w:rPr>
              <w:t>产品代码</w:t>
            </w:r>
          </w:p>
        </w:tc>
        <w:tc>
          <w:tcPr>
            <w:tcW w:w="1347" w:type="dxa"/>
            <w:shd w:val="clear" w:color="auto" w:fill="DAEEF3"/>
            <w:noWrap/>
            <w:tcMar>
              <w:top w:w="0" w:type="dxa"/>
              <w:left w:w="0" w:type="dxa"/>
              <w:bottom w:w="0" w:type="dxa"/>
              <w:right w:w="0" w:type="dxa"/>
            </w:tcMar>
            <w:vAlign w:val="center"/>
          </w:tcPr>
          <w:p w14:paraId="3616B6AC">
            <w:pPr>
              <w:widowControl/>
              <w:spacing w:line="276" w:lineRule="auto"/>
              <w:jc w:val="center"/>
              <w:textAlignment w:val="baseline"/>
              <w:rPr>
                <w:rFonts w:hint="default" w:ascii="仿宋" w:hAnsi="仿宋" w:eastAsia="仿宋" w:cs="宋体"/>
                <w:b/>
                <w:color w:val="auto"/>
                <w:w w:val="90"/>
                <w:kern w:val="0"/>
                <w:sz w:val="22"/>
                <w:szCs w:val="22"/>
                <w:highlight w:val="none"/>
              </w:rPr>
            </w:pPr>
            <w:r>
              <w:rPr>
                <w:rFonts w:ascii="仿宋" w:hAnsi="仿宋" w:eastAsia="仿宋" w:cs="宋体"/>
                <w:b/>
                <w:color w:val="auto"/>
                <w:w w:val="90"/>
                <w:kern w:val="0"/>
                <w:sz w:val="22"/>
                <w:szCs w:val="22"/>
                <w:highlight w:val="none"/>
              </w:rPr>
              <w:t>产品名称</w:t>
            </w:r>
          </w:p>
        </w:tc>
        <w:tc>
          <w:tcPr>
            <w:tcW w:w="1402" w:type="dxa"/>
            <w:shd w:val="clear" w:color="auto" w:fill="DAEEF3"/>
            <w:noWrap/>
            <w:tcMar>
              <w:top w:w="0" w:type="dxa"/>
              <w:left w:w="108" w:type="dxa"/>
              <w:bottom w:w="0" w:type="dxa"/>
              <w:right w:w="108" w:type="dxa"/>
            </w:tcMar>
            <w:vAlign w:val="center"/>
          </w:tcPr>
          <w:p w14:paraId="0BA7ED23">
            <w:pPr>
              <w:widowControl/>
              <w:spacing w:line="276" w:lineRule="auto"/>
              <w:jc w:val="center"/>
              <w:textAlignment w:val="baseline"/>
              <w:rPr>
                <w:rFonts w:hint="default" w:ascii="仿宋" w:hAnsi="仿宋" w:eastAsia="仿宋" w:cs="宋体"/>
                <w:b/>
                <w:color w:val="auto"/>
                <w:w w:val="90"/>
                <w:kern w:val="0"/>
                <w:sz w:val="22"/>
                <w:szCs w:val="22"/>
                <w:highlight w:val="none"/>
              </w:rPr>
            </w:pPr>
            <w:r>
              <w:rPr>
                <w:rFonts w:ascii="仿宋" w:hAnsi="仿宋" w:eastAsia="仿宋" w:cs="宋体"/>
                <w:b/>
                <w:color w:val="auto"/>
                <w:w w:val="90"/>
                <w:kern w:val="0"/>
                <w:sz w:val="22"/>
                <w:szCs w:val="22"/>
                <w:highlight w:val="none"/>
              </w:rPr>
              <w:t>产品代码</w:t>
            </w:r>
          </w:p>
        </w:tc>
        <w:tc>
          <w:tcPr>
            <w:tcW w:w="2070" w:type="dxa"/>
            <w:shd w:val="clear" w:color="auto" w:fill="DAEEF3"/>
            <w:noWrap/>
            <w:tcMar>
              <w:top w:w="0" w:type="dxa"/>
              <w:left w:w="0" w:type="dxa"/>
              <w:bottom w:w="0" w:type="dxa"/>
              <w:right w:w="0" w:type="dxa"/>
            </w:tcMar>
            <w:vAlign w:val="center"/>
          </w:tcPr>
          <w:p w14:paraId="686012D8">
            <w:pPr>
              <w:widowControl/>
              <w:spacing w:line="276" w:lineRule="auto"/>
              <w:jc w:val="center"/>
              <w:textAlignment w:val="baseline"/>
              <w:rPr>
                <w:rFonts w:hint="default" w:ascii="仿宋" w:hAnsi="仿宋" w:eastAsia="仿宋" w:cs="宋体"/>
                <w:b/>
                <w:color w:val="auto"/>
                <w:w w:val="90"/>
                <w:kern w:val="0"/>
                <w:sz w:val="22"/>
                <w:szCs w:val="22"/>
                <w:highlight w:val="none"/>
              </w:rPr>
            </w:pPr>
            <w:r>
              <w:rPr>
                <w:rFonts w:ascii="仿宋" w:hAnsi="仿宋" w:eastAsia="仿宋" w:cs="宋体"/>
                <w:b/>
                <w:color w:val="auto"/>
                <w:w w:val="90"/>
                <w:kern w:val="0"/>
                <w:sz w:val="22"/>
                <w:szCs w:val="22"/>
                <w:highlight w:val="none"/>
              </w:rPr>
              <w:t>产品名称</w:t>
            </w:r>
          </w:p>
        </w:tc>
        <w:tc>
          <w:tcPr>
            <w:tcW w:w="3261" w:type="dxa"/>
            <w:vMerge w:val="continue"/>
            <w:shd w:val="clear" w:color="auto" w:fill="DAEEF3"/>
            <w:noWrap/>
            <w:tcMar>
              <w:top w:w="0" w:type="dxa"/>
              <w:left w:w="0" w:type="dxa"/>
              <w:bottom w:w="0" w:type="dxa"/>
              <w:right w:w="0" w:type="dxa"/>
            </w:tcMar>
            <w:vAlign w:val="center"/>
          </w:tcPr>
          <w:p w14:paraId="187AE528">
            <w:pPr>
              <w:spacing w:line="276" w:lineRule="auto"/>
              <w:jc w:val="left"/>
              <w:textAlignment w:val="baseline"/>
              <w:rPr>
                <w:rFonts w:hint="default" w:ascii="仿宋" w:hAnsi="仿宋" w:eastAsia="仿宋" w:cs="宋体"/>
                <w:color w:val="auto"/>
                <w:w w:val="90"/>
                <w:kern w:val="0"/>
                <w:sz w:val="22"/>
                <w:szCs w:val="22"/>
                <w:highlight w:val="none"/>
              </w:rPr>
            </w:pPr>
          </w:p>
        </w:tc>
      </w:tr>
      <w:tr w14:paraId="1452FA49">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vMerge w:val="restart"/>
            <w:shd w:val="clear" w:color="auto" w:fill="FFFFFF"/>
            <w:noWrap/>
            <w:tcMar>
              <w:top w:w="0" w:type="dxa"/>
              <w:left w:w="108" w:type="dxa"/>
              <w:bottom w:w="0" w:type="dxa"/>
              <w:right w:w="108" w:type="dxa"/>
            </w:tcMar>
            <w:vAlign w:val="center"/>
          </w:tcPr>
          <w:p w14:paraId="3EE92037">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1</w:t>
            </w:r>
          </w:p>
        </w:tc>
        <w:tc>
          <w:tcPr>
            <w:tcW w:w="1134" w:type="dxa"/>
            <w:vMerge w:val="restart"/>
            <w:shd w:val="clear" w:color="auto" w:fill="FFFFFF"/>
            <w:noWrap/>
            <w:tcMar>
              <w:top w:w="0" w:type="dxa"/>
              <w:left w:w="108" w:type="dxa"/>
              <w:bottom w:w="0" w:type="dxa"/>
              <w:right w:w="108" w:type="dxa"/>
            </w:tcMar>
            <w:vAlign w:val="center"/>
          </w:tcPr>
          <w:p w14:paraId="5810BCC4">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A020101</w:t>
            </w:r>
          </w:p>
        </w:tc>
        <w:tc>
          <w:tcPr>
            <w:tcW w:w="1347" w:type="dxa"/>
            <w:vMerge w:val="restart"/>
            <w:shd w:val="clear" w:color="auto" w:fill="FFFFFF"/>
            <w:noWrap/>
            <w:tcMar>
              <w:top w:w="0" w:type="dxa"/>
              <w:left w:w="108" w:type="dxa"/>
              <w:bottom w:w="0" w:type="dxa"/>
              <w:right w:w="108" w:type="dxa"/>
            </w:tcMar>
            <w:vAlign w:val="center"/>
          </w:tcPr>
          <w:p w14:paraId="678633CA">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计算机设备</w:t>
            </w:r>
          </w:p>
        </w:tc>
        <w:tc>
          <w:tcPr>
            <w:tcW w:w="1402" w:type="dxa"/>
            <w:shd w:val="clear" w:color="auto" w:fill="FFFFFF"/>
            <w:noWrap/>
            <w:tcMar>
              <w:top w:w="0" w:type="dxa"/>
              <w:left w:w="108" w:type="dxa"/>
              <w:bottom w:w="0" w:type="dxa"/>
              <w:right w:w="108" w:type="dxa"/>
            </w:tcMar>
            <w:vAlign w:val="center"/>
          </w:tcPr>
          <w:p w14:paraId="60289200">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A02010104</w:t>
            </w:r>
          </w:p>
        </w:tc>
        <w:tc>
          <w:tcPr>
            <w:tcW w:w="2070" w:type="dxa"/>
            <w:shd w:val="clear" w:color="auto" w:fill="FFFFFF"/>
            <w:noWrap/>
            <w:tcMar>
              <w:top w:w="0" w:type="dxa"/>
              <w:left w:w="108" w:type="dxa"/>
              <w:bottom w:w="0" w:type="dxa"/>
              <w:right w:w="108" w:type="dxa"/>
            </w:tcMar>
            <w:vAlign w:val="center"/>
          </w:tcPr>
          <w:p w14:paraId="1C8EBA7C">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台式计算机</w:t>
            </w:r>
          </w:p>
        </w:tc>
        <w:tc>
          <w:tcPr>
            <w:tcW w:w="3261" w:type="dxa"/>
            <w:vMerge w:val="restart"/>
            <w:shd w:val="clear" w:color="auto" w:fill="FFFFFF"/>
            <w:noWrap/>
            <w:tcMar>
              <w:top w:w="0" w:type="dxa"/>
              <w:left w:w="108" w:type="dxa"/>
              <w:bottom w:w="0" w:type="dxa"/>
              <w:right w:w="108" w:type="dxa"/>
            </w:tcMar>
            <w:vAlign w:val="center"/>
          </w:tcPr>
          <w:p w14:paraId="3CB3F26E">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中国质量认证中心</w:t>
            </w:r>
          </w:p>
          <w:p w14:paraId="215173C4">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北京赛西认证有限责任公司</w:t>
            </w:r>
          </w:p>
          <w:p w14:paraId="2B6DAFAD">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中国网络安全审查技术与认证中心</w:t>
            </w:r>
          </w:p>
          <w:p w14:paraId="46D79EAF">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广州赛宝认证中心服务有限公司</w:t>
            </w:r>
          </w:p>
        </w:tc>
      </w:tr>
      <w:tr w14:paraId="29830EB0">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jc w:val="center"/>
        </w:trPr>
        <w:tc>
          <w:tcPr>
            <w:tcW w:w="568" w:type="dxa"/>
            <w:vMerge w:val="continue"/>
            <w:shd w:val="clear" w:color="auto" w:fill="FFFFFF"/>
            <w:noWrap/>
            <w:vAlign w:val="center"/>
          </w:tcPr>
          <w:p w14:paraId="524BA379">
            <w:pPr>
              <w:widowControl/>
              <w:spacing w:line="276" w:lineRule="auto"/>
              <w:jc w:val="center"/>
              <w:rPr>
                <w:rFonts w:hint="default" w:ascii="仿宋" w:hAnsi="仿宋" w:eastAsia="仿宋" w:cs="宋体"/>
                <w:color w:val="auto"/>
                <w:w w:val="90"/>
                <w:kern w:val="0"/>
                <w:sz w:val="22"/>
                <w:szCs w:val="22"/>
                <w:highlight w:val="none"/>
              </w:rPr>
            </w:pPr>
          </w:p>
        </w:tc>
        <w:tc>
          <w:tcPr>
            <w:tcW w:w="1134" w:type="dxa"/>
            <w:vMerge w:val="continue"/>
            <w:shd w:val="clear" w:color="auto" w:fill="FFFFFF"/>
            <w:noWrap/>
            <w:vAlign w:val="center"/>
          </w:tcPr>
          <w:p w14:paraId="1A0888AD">
            <w:pPr>
              <w:widowControl/>
              <w:spacing w:line="276" w:lineRule="auto"/>
              <w:jc w:val="center"/>
              <w:rPr>
                <w:rFonts w:hint="default" w:ascii="仿宋" w:hAnsi="仿宋" w:eastAsia="仿宋" w:cs="宋体"/>
                <w:color w:val="auto"/>
                <w:w w:val="90"/>
                <w:kern w:val="0"/>
                <w:sz w:val="22"/>
                <w:szCs w:val="22"/>
                <w:highlight w:val="none"/>
              </w:rPr>
            </w:pPr>
          </w:p>
        </w:tc>
        <w:tc>
          <w:tcPr>
            <w:tcW w:w="1347" w:type="dxa"/>
            <w:vMerge w:val="continue"/>
            <w:shd w:val="clear" w:color="auto" w:fill="FFFFFF"/>
            <w:noWrap/>
            <w:vAlign w:val="center"/>
          </w:tcPr>
          <w:p w14:paraId="0C533E7D">
            <w:pPr>
              <w:widowControl/>
              <w:spacing w:line="276" w:lineRule="auto"/>
              <w:jc w:val="center"/>
              <w:rPr>
                <w:rFonts w:hint="default" w:ascii="仿宋" w:hAnsi="仿宋" w:eastAsia="仿宋" w:cs="宋体"/>
                <w:color w:val="auto"/>
                <w:w w:val="90"/>
                <w:kern w:val="0"/>
                <w:sz w:val="22"/>
                <w:szCs w:val="22"/>
                <w:highlight w:val="none"/>
              </w:rPr>
            </w:pPr>
          </w:p>
        </w:tc>
        <w:tc>
          <w:tcPr>
            <w:tcW w:w="1402" w:type="dxa"/>
            <w:shd w:val="clear" w:color="auto" w:fill="FFFFFF"/>
            <w:noWrap/>
            <w:tcMar>
              <w:left w:w="108" w:type="dxa"/>
              <w:right w:w="108" w:type="dxa"/>
            </w:tcMar>
            <w:vAlign w:val="center"/>
          </w:tcPr>
          <w:p w14:paraId="416DBD17">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A02010105</w:t>
            </w:r>
          </w:p>
        </w:tc>
        <w:tc>
          <w:tcPr>
            <w:tcW w:w="2070" w:type="dxa"/>
            <w:shd w:val="clear" w:color="auto" w:fill="FFFFFF"/>
            <w:noWrap/>
            <w:tcMar>
              <w:top w:w="0" w:type="dxa"/>
              <w:left w:w="0" w:type="dxa"/>
              <w:bottom w:w="0" w:type="dxa"/>
              <w:right w:w="0" w:type="dxa"/>
            </w:tcMar>
            <w:vAlign w:val="center"/>
          </w:tcPr>
          <w:p w14:paraId="137DD84F">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便携式计算机</w:t>
            </w:r>
          </w:p>
        </w:tc>
        <w:tc>
          <w:tcPr>
            <w:tcW w:w="3261" w:type="dxa"/>
            <w:vMerge w:val="continue"/>
            <w:shd w:val="clear" w:color="auto" w:fill="FFFFFF"/>
            <w:noWrap/>
            <w:tcMar>
              <w:top w:w="0" w:type="dxa"/>
              <w:bottom w:w="0" w:type="dxa"/>
            </w:tcMar>
            <w:vAlign w:val="center"/>
          </w:tcPr>
          <w:p w14:paraId="66B95328">
            <w:pPr>
              <w:widowControl/>
              <w:spacing w:line="276" w:lineRule="auto"/>
              <w:jc w:val="left"/>
              <w:rPr>
                <w:rFonts w:hint="default" w:ascii="仿宋" w:hAnsi="仿宋" w:eastAsia="仿宋" w:cs="宋体"/>
                <w:color w:val="auto"/>
                <w:w w:val="90"/>
                <w:kern w:val="0"/>
                <w:sz w:val="22"/>
                <w:szCs w:val="22"/>
                <w:highlight w:val="none"/>
              </w:rPr>
            </w:pPr>
          </w:p>
        </w:tc>
      </w:tr>
      <w:tr w14:paraId="058177BE">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vMerge w:val="continue"/>
            <w:shd w:val="clear" w:color="auto" w:fill="FFFFFF"/>
            <w:noWrap/>
            <w:vAlign w:val="center"/>
          </w:tcPr>
          <w:p w14:paraId="5FA7B250">
            <w:pPr>
              <w:widowControl/>
              <w:spacing w:line="276" w:lineRule="auto"/>
              <w:jc w:val="center"/>
              <w:rPr>
                <w:rFonts w:hint="default" w:ascii="仿宋" w:hAnsi="仿宋" w:eastAsia="仿宋" w:cs="宋体"/>
                <w:color w:val="auto"/>
                <w:w w:val="90"/>
                <w:kern w:val="0"/>
                <w:sz w:val="22"/>
                <w:szCs w:val="22"/>
                <w:highlight w:val="none"/>
              </w:rPr>
            </w:pPr>
          </w:p>
        </w:tc>
        <w:tc>
          <w:tcPr>
            <w:tcW w:w="1134" w:type="dxa"/>
            <w:vMerge w:val="continue"/>
            <w:shd w:val="clear" w:color="auto" w:fill="FFFFFF"/>
            <w:noWrap/>
            <w:vAlign w:val="center"/>
          </w:tcPr>
          <w:p w14:paraId="390AC083">
            <w:pPr>
              <w:widowControl/>
              <w:spacing w:line="276" w:lineRule="auto"/>
              <w:jc w:val="center"/>
              <w:rPr>
                <w:rFonts w:hint="default" w:ascii="仿宋" w:hAnsi="仿宋" w:eastAsia="仿宋" w:cs="宋体"/>
                <w:color w:val="auto"/>
                <w:w w:val="90"/>
                <w:kern w:val="0"/>
                <w:sz w:val="22"/>
                <w:szCs w:val="22"/>
                <w:highlight w:val="none"/>
              </w:rPr>
            </w:pPr>
          </w:p>
        </w:tc>
        <w:tc>
          <w:tcPr>
            <w:tcW w:w="1347" w:type="dxa"/>
            <w:vMerge w:val="continue"/>
            <w:shd w:val="clear" w:color="auto" w:fill="FFFFFF"/>
            <w:noWrap/>
            <w:vAlign w:val="center"/>
          </w:tcPr>
          <w:p w14:paraId="285A0FC6">
            <w:pPr>
              <w:widowControl/>
              <w:spacing w:line="276" w:lineRule="auto"/>
              <w:jc w:val="center"/>
              <w:rPr>
                <w:rFonts w:hint="default" w:ascii="仿宋" w:hAnsi="仿宋" w:eastAsia="仿宋" w:cs="宋体"/>
                <w:color w:val="auto"/>
                <w:w w:val="90"/>
                <w:kern w:val="0"/>
                <w:sz w:val="22"/>
                <w:szCs w:val="22"/>
                <w:highlight w:val="none"/>
              </w:rPr>
            </w:pPr>
          </w:p>
        </w:tc>
        <w:tc>
          <w:tcPr>
            <w:tcW w:w="1402" w:type="dxa"/>
            <w:shd w:val="clear" w:color="auto" w:fill="FFFFFF"/>
            <w:noWrap/>
            <w:tcMar>
              <w:left w:w="108" w:type="dxa"/>
              <w:right w:w="108" w:type="dxa"/>
            </w:tcMar>
            <w:vAlign w:val="center"/>
          </w:tcPr>
          <w:p w14:paraId="37CDDAB9">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A02010107</w:t>
            </w:r>
          </w:p>
        </w:tc>
        <w:tc>
          <w:tcPr>
            <w:tcW w:w="2070" w:type="dxa"/>
            <w:shd w:val="clear" w:color="auto" w:fill="FFFFFF"/>
            <w:noWrap/>
            <w:tcMar>
              <w:top w:w="0" w:type="dxa"/>
              <w:left w:w="0" w:type="dxa"/>
              <w:bottom w:w="0" w:type="dxa"/>
              <w:right w:w="0" w:type="dxa"/>
            </w:tcMar>
            <w:vAlign w:val="center"/>
          </w:tcPr>
          <w:p w14:paraId="6A0030FD">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平板式微型计算机</w:t>
            </w:r>
          </w:p>
        </w:tc>
        <w:tc>
          <w:tcPr>
            <w:tcW w:w="3261" w:type="dxa"/>
            <w:vMerge w:val="continue"/>
            <w:shd w:val="clear" w:color="auto" w:fill="FFFFFF"/>
            <w:noWrap/>
            <w:tcMar>
              <w:top w:w="0" w:type="dxa"/>
              <w:bottom w:w="0" w:type="dxa"/>
            </w:tcMar>
            <w:vAlign w:val="center"/>
          </w:tcPr>
          <w:p w14:paraId="078A706A">
            <w:pPr>
              <w:widowControl/>
              <w:spacing w:line="276" w:lineRule="auto"/>
              <w:jc w:val="left"/>
              <w:rPr>
                <w:rFonts w:hint="default" w:ascii="仿宋" w:hAnsi="仿宋" w:eastAsia="仿宋" w:cs="宋体"/>
                <w:color w:val="auto"/>
                <w:w w:val="90"/>
                <w:kern w:val="0"/>
                <w:sz w:val="22"/>
                <w:szCs w:val="22"/>
                <w:highlight w:val="none"/>
              </w:rPr>
            </w:pPr>
          </w:p>
        </w:tc>
      </w:tr>
      <w:tr w14:paraId="0C09D9A8">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vMerge w:val="restart"/>
            <w:shd w:val="clear" w:color="auto" w:fill="FFFFFF"/>
            <w:noWrap/>
            <w:tcMar>
              <w:top w:w="0" w:type="dxa"/>
              <w:left w:w="108" w:type="dxa"/>
              <w:bottom w:w="0" w:type="dxa"/>
              <w:right w:w="108" w:type="dxa"/>
            </w:tcMar>
            <w:vAlign w:val="center"/>
          </w:tcPr>
          <w:p w14:paraId="5AA59DB5">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2</w:t>
            </w:r>
          </w:p>
        </w:tc>
        <w:tc>
          <w:tcPr>
            <w:tcW w:w="1134" w:type="dxa"/>
            <w:vMerge w:val="restart"/>
            <w:shd w:val="clear" w:color="auto" w:fill="FFFFFF"/>
            <w:noWrap/>
            <w:tcMar>
              <w:top w:w="0" w:type="dxa"/>
              <w:left w:w="108" w:type="dxa"/>
              <w:bottom w:w="0" w:type="dxa"/>
              <w:right w:w="108" w:type="dxa"/>
            </w:tcMar>
            <w:vAlign w:val="center"/>
          </w:tcPr>
          <w:p w14:paraId="6E7EDC1E">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A020106</w:t>
            </w:r>
          </w:p>
        </w:tc>
        <w:tc>
          <w:tcPr>
            <w:tcW w:w="1347" w:type="dxa"/>
            <w:vMerge w:val="restart"/>
            <w:shd w:val="clear" w:color="auto" w:fill="FFFFFF"/>
            <w:noWrap/>
            <w:tcMar>
              <w:top w:w="0" w:type="dxa"/>
              <w:left w:w="108" w:type="dxa"/>
              <w:bottom w:w="0" w:type="dxa"/>
              <w:right w:w="108" w:type="dxa"/>
            </w:tcMar>
            <w:vAlign w:val="center"/>
          </w:tcPr>
          <w:p w14:paraId="6881B926">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输入输出设备</w:t>
            </w:r>
          </w:p>
        </w:tc>
        <w:tc>
          <w:tcPr>
            <w:tcW w:w="1402" w:type="dxa"/>
            <w:shd w:val="clear" w:color="auto" w:fill="FFFFFF"/>
            <w:noWrap/>
            <w:tcMar>
              <w:top w:w="0" w:type="dxa"/>
              <w:left w:w="108" w:type="dxa"/>
              <w:bottom w:w="0" w:type="dxa"/>
              <w:right w:w="108" w:type="dxa"/>
            </w:tcMar>
            <w:vAlign w:val="center"/>
          </w:tcPr>
          <w:p w14:paraId="60849A8D">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A02010601</w:t>
            </w:r>
          </w:p>
        </w:tc>
        <w:tc>
          <w:tcPr>
            <w:tcW w:w="2070" w:type="dxa"/>
            <w:shd w:val="clear" w:color="auto" w:fill="FFFFFF"/>
            <w:noWrap/>
            <w:tcMar>
              <w:top w:w="0" w:type="dxa"/>
              <w:left w:w="108" w:type="dxa"/>
              <w:bottom w:w="0" w:type="dxa"/>
              <w:right w:w="108" w:type="dxa"/>
            </w:tcMar>
            <w:vAlign w:val="center"/>
          </w:tcPr>
          <w:p w14:paraId="3542F6CA">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打印设备</w:t>
            </w:r>
          </w:p>
        </w:tc>
        <w:tc>
          <w:tcPr>
            <w:tcW w:w="3261" w:type="dxa"/>
            <w:vMerge w:val="continue"/>
            <w:shd w:val="clear" w:color="auto" w:fill="FFFFFF"/>
            <w:noWrap/>
            <w:tcMar>
              <w:top w:w="0" w:type="dxa"/>
              <w:left w:w="0" w:type="dxa"/>
              <w:bottom w:w="0" w:type="dxa"/>
              <w:right w:w="0" w:type="dxa"/>
            </w:tcMar>
            <w:vAlign w:val="center"/>
          </w:tcPr>
          <w:p w14:paraId="4B7815C2">
            <w:pPr>
              <w:widowControl/>
              <w:spacing w:line="276" w:lineRule="auto"/>
              <w:jc w:val="left"/>
              <w:rPr>
                <w:rFonts w:hint="default" w:ascii="仿宋" w:hAnsi="仿宋" w:eastAsia="仿宋" w:cs="宋体"/>
                <w:color w:val="auto"/>
                <w:w w:val="90"/>
                <w:kern w:val="0"/>
                <w:sz w:val="22"/>
                <w:szCs w:val="22"/>
                <w:highlight w:val="none"/>
              </w:rPr>
            </w:pPr>
          </w:p>
        </w:tc>
      </w:tr>
      <w:tr w14:paraId="545267A9">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jc w:val="center"/>
        </w:trPr>
        <w:tc>
          <w:tcPr>
            <w:tcW w:w="568" w:type="dxa"/>
            <w:vMerge w:val="continue"/>
            <w:shd w:val="clear" w:color="auto" w:fill="FFFFFF"/>
            <w:noWrap/>
            <w:vAlign w:val="center"/>
          </w:tcPr>
          <w:p w14:paraId="72510268">
            <w:pPr>
              <w:widowControl/>
              <w:spacing w:line="276" w:lineRule="auto"/>
              <w:jc w:val="center"/>
              <w:rPr>
                <w:rFonts w:hint="default" w:ascii="仿宋" w:hAnsi="仿宋" w:eastAsia="仿宋" w:cs="宋体"/>
                <w:color w:val="auto"/>
                <w:w w:val="90"/>
                <w:kern w:val="0"/>
                <w:sz w:val="22"/>
                <w:szCs w:val="22"/>
                <w:highlight w:val="none"/>
              </w:rPr>
            </w:pPr>
          </w:p>
        </w:tc>
        <w:tc>
          <w:tcPr>
            <w:tcW w:w="1134" w:type="dxa"/>
            <w:vMerge w:val="continue"/>
            <w:shd w:val="clear" w:color="auto" w:fill="FFFFFF"/>
            <w:noWrap/>
            <w:vAlign w:val="center"/>
          </w:tcPr>
          <w:p w14:paraId="585A161A">
            <w:pPr>
              <w:widowControl/>
              <w:spacing w:line="276" w:lineRule="auto"/>
              <w:jc w:val="center"/>
              <w:rPr>
                <w:rFonts w:hint="default" w:ascii="仿宋" w:hAnsi="仿宋" w:eastAsia="仿宋" w:cs="宋体"/>
                <w:color w:val="auto"/>
                <w:w w:val="90"/>
                <w:kern w:val="0"/>
                <w:sz w:val="22"/>
                <w:szCs w:val="22"/>
                <w:highlight w:val="none"/>
              </w:rPr>
            </w:pPr>
          </w:p>
        </w:tc>
        <w:tc>
          <w:tcPr>
            <w:tcW w:w="1347" w:type="dxa"/>
            <w:vMerge w:val="continue"/>
            <w:shd w:val="clear" w:color="auto" w:fill="FFFFFF"/>
            <w:noWrap/>
            <w:vAlign w:val="center"/>
          </w:tcPr>
          <w:p w14:paraId="7D21172D">
            <w:pPr>
              <w:widowControl/>
              <w:spacing w:line="276" w:lineRule="auto"/>
              <w:jc w:val="center"/>
              <w:rPr>
                <w:rFonts w:hint="default" w:ascii="仿宋" w:hAnsi="仿宋" w:eastAsia="仿宋" w:cs="宋体"/>
                <w:color w:val="auto"/>
                <w:w w:val="90"/>
                <w:kern w:val="0"/>
                <w:sz w:val="22"/>
                <w:szCs w:val="22"/>
                <w:highlight w:val="none"/>
              </w:rPr>
            </w:pPr>
          </w:p>
        </w:tc>
        <w:tc>
          <w:tcPr>
            <w:tcW w:w="1402" w:type="dxa"/>
            <w:shd w:val="clear" w:color="auto" w:fill="FFFFFF"/>
            <w:noWrap/>
            <w:tcMar>
              <w:left w:w="108" w:type="dxa"/>
              <w:right w:w="108" w:type="dxa"/>
            </w:tcMar>
            <w:vAlign w:val="center"/>
          </w:tcPr>
          <w:p w14:paraId="69C280E4">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A02010604</w:t>
            </w:r>
          </w:p>
        </w:tc>
        <w:tc>
          <w:tcPr>
            <w:tcW w:w="2070" w:type="dxa"/>
            <w:shd w:val="clear" w:color="auto" w:fill="FFFFFF"/>
            <w:noWrap/>
            <w:tcMar>
              <w:top w:w="0" w:type="dxa"/>
              <w:left w:w="0" w:type="dxa"/>
              <w:bottom w:w="0" w:type="dxa"/>
              <w:right w:w="0" w:type="dxa"/>
            </w:tcMar>
            <w:vAlign w:val="center"/>
          </w:tcPr>
          <w:p w14:paraId="19C587E5">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显示设备</w:t>
            </w:r>
          </w:p>
        </w:tc>
        <w:tc>
          <w:tcPr>
            <w:tcW w:w="3261" w:type="dxa"/>
            <w:vMerge w:val="continue"/>
            <w:shd w:val="clear" w:color="auto" w:fill="FFFFFF"/>
            <w:noWrap/>
            <w:tcMar>
              <w:top w:w="0" w:type="dxa"/>
              <w:bottom w:w="0" w:type="dxa"/>
            </w:tcMar>
            <w:vAlign w:val="center"/>
          </w:tcPr>
          <w:p w14:paraId="2D3BAABF">
            <w:pPr>
              <w:widowControl/>
              <w:spacing w:line="276" w:lineRule="auto"/>
              <w:jc w:val="left"/>
              <w:rPr>
                <w:rFonts w:hint="default" w:ascii="仿宋" w:hAnsi="仿宋" w:eastAsia="仿宋" w:cs="宋体"/>
                <w:color w:val="auto"/>
                <w:w w:val="90"/>
                <w:kern w:val="0"/>
                <w:sz w:val="22"/>
                <w:szCs w:val="22"/>
                <w:highlight w:val="none"/>
              </w:rPr>
            </w:pPr>
          </w:p>
        </w:tc>
      </w:tr>
      <w:tr w14:paraId="28925B27">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vMerge w:val="continue"/>
            <w:shd w:val="clear" w:color="auto" w:fill="FFFFFF"/>
            <w:noWrap/>
            <w:vAlign w:val="center"/>
          </w:tcPr>
          <w:p w14:paraId="4154B357">
            <w:pPr>
              <w:widowControl/>
              <w:spacing w:line="276" w:lineRule="auto"/>
              <w:jc w:val="center"/>
              <w:rPr>
                <w:rFonts w:hint="default" w:ascii="仿宋" w:hAnsi="仿宋" w:eastAsia="仿宋" w:cs="宋体"/>
                <w:color w:val="auto"/>
                <w:w w:val="90"/>
                <w:kern w:val="0"/>
                <w:sz w:val="22"/>
                <w:szCs w:val="22"/>
                <w:highlight w:val="none"/>
              </w:rPr>
            </w:pPr>
          </w:p>
        </w:tc>
        <w:tc>
          <w:tcPr>
            <w:tcW w:w="1134" w:type="dxa"/>
            <w:vMerge w:val="continue"/>
            <w:shd w:val="clear" w:color="auto" w:fill="FFFFFF"/>
            <w:noWrap/>
            <w:vAlign w:val="center"/>
          </w:tcPr>
          <w:p w14:paraId="72028347">
            <w:pPr>
              <w:widowControl/>
              <w:spacing w:line="276" w:lineRule="auto"/>
              <w:jc w:val="center"/>
              <w:rPr>
                <w:rFonts w:hint="default" w:ascii="仿宋" w:hAnsi="仿宋" w:eastAsia="仿宋" w:cs="宋体"/>
                <w:color w:val="auto"/>
                <w:w w:val="90"/>
                <w:kern w:val="0"/>
                <w:sz w:val="22"/>
                <w:szCs w:val="22"/>
                <w:highlight w:val="none"/>
              </w:rPr>
            </w:pPr>
          </w:p>
        </w:tc>
        <w:tc>
          <w:tcPr>
            <w:tcW w:w="1347" w:type="dxa"/>
            <w:vMerge w:val="continue"/>
            <w:shd w:val="clear" w:color="auto" w:fill="FFFFFF"/>
            <w:noWrap/>
            <w:vAlign w:val="center"/>
          </w:tcPr>
          <w:p w14:paraId="03E96133">
            <w:pPr>
              <w:widowControl/>
              <w:spacing w:line="276" w:lineRule="auto"/>
              <w:jc w:val="center"/>
              <w:rPr>
                <w:rFonts w:hint="default" w:ascii="仿宋" w:hAnsi="仿宋" w:eastAsia="仿宋" w:cs="宋体"/>
                <w:color w:val="auto"/>
                <w:w w:val="90"/>
                <w:kern w:val="0"/>
                <w:sz w:val="22"/>
                <w:szCs w:val="22"/>
                <w:highlight w:val="none"/>
              </w:rPr>
            </w:pPr>
          </w:p>
        </w:tc>
        <w:tc>
          <w:tcPr>
            <w:tcW w:w="1402" w:type="dxa"/>
            <w:shd w:val="clear" w:color="auto" w:fill="FFFFFF"/>
            <w:noWrap/>
            <w:tcMar>
              <w:left w:w="108" w:type="dxa"/>
              <w:right w:w="108" w:type="dxa"/>
            </w:tcMar>
            <w:vAlign w:val="center"/>
          </w:tcPr>
          <w:p w14:paraId="6092704F">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A02010609</w:t>
            </w:r>
          </w:p>
        </w:tc>
        <w:tc>
          <w:tcPr>
            <w:tcW w:w="2070" w:type="dxa"/>
            <w:shd w:val="clear" w:color="auto" w:fill="FFFFFF"/>
            <w:noWrap/>
            <w:tcMar>
              <w:top w:w="0" w:type="dxa"/>
              <w:left w:w="0" w:type="dxa"/>
              <w:bottom w:w="0" w:type="dxa"/>
              <w:right w:w="0" w:type="dxa"/>
            </w:tcMar>
            <w:vAlign w:val="center"/>
          </w:tcPr>
          <w:p w14:paraId="5FD42974">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图形图像输入设备</w:t>
            </w:r>
          </w:p>
        </w:tc>
        <w:tc>
          <w:tcPr>
            <w:tcW w:w="3261" w:type="dxa"/>
            <w:vMerge w:val="continue"/>
            <w:shd w:val="clear" w:color="auto" w:fill="FFFFFF"/>
            <w:noWrap/>
            <w:tcMar>
              <w:top w:w="0" w:type="dxa"/>
              <w:bottom w:w="0" w:type="dxa"/>
            </w:tcMar>
            <w:vAlign w:val="center"/>
          </w:tcPr>
          <w:p w14:paraId="3277BE57">
            <w:pPr>
              <w:widowControl/>
              <w:spacing w:line="276" w:lineRule="auto"/>
              <w:jc w:val="left"/>
              <w:rPr>
                <w:rFonts w:hint="default" w:ascii="仿宋" w:hAnsi="仿宋" w:eastAsia="仿宋" w:cs="宋体"/>
                <w:color w:val="auto"/>
                <w:w w:val="90"/>
                <w:kern w:val="0"/>
                <w:sz w:val="22"/>
                <w:szCs w:val="22"/>
                <w:highlight w:val="none"/>
              </w:rPr>
            </w:pPr>
          </w:p>
        </w:tc>
      </w:tr>
      <w:tr w14:paraId="04AA6E0C">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jc w:val="center"/>
        </w:trPr>
        <w:tc>
          <w:tcPr>
            <w:tcW w:w="568" w:type="dxa"/>
            <w:shd w:val="clear" w:color="auto" w:fill="FFFFFF"/>
            <w:noWrap/>
            <w:tcMar>
              <w:top w:w="0" w:type="dxa"/>
              <w:left w:w="108" w:type="dxa"/>
              <w:bottom w:w="0" w:type="dxa"/>
              <w:right w:w="108" w:type="dxa"/>
            </w:tcMar>
            <w:vAlign w:val="center"/>
          </w:tcPr>
          <w:p w14:paraId="455A70A6">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3</w:t>
            </w:r>
          </w:p>
        </w:tc>
        <w:tc>
          <w:tcPr>
            <w:tcW w:w="1134" w:type="dxa"/>
            <w:shd w:val="clear" w:color="auto" w:fill="FFFFFF"/>
            <w:noWrap/>
            <w:tcMar>
              <w:top w:w="0" w:type="dxa"/>
              <w:left w:w="108" w:type="dxa"/>
              <w:bottom w:w="0" w:type="dxa"/>
              <w:right w:w="108" w:type="dxa"/>
            </w:tcMar>
            <w:vAlign w:val="center"/>
          </w:tcPr>
          <w:p w14:paraId="3D6F4BF4">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A020202</w:t>
            </w:r>
          </w:p>
        </w:tc>
        <w:tc>
          <w:tcPr>
            <w:tcW w:w="1347" w:type="dxa"/>
            <w:shd w:val="clear" w:color="auto" w:fill="FFFFFF"/>
            <w:noWrap/>
            <w:tcMar>
              <w:top w:w="0" w:type="dxa"/>
              <w:left w:w="108" w:type="dxa"/>
              <w:bottom w:w="0" w:type="dxa"/>
              <w:right w:w="108" w:type="dxa"/>
            </w:tcMar>
            <w:vAlign w:val="center"/>
          </w:tcPr>
          <w:p w14:paraId="14303B59">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投影仪</w:t>
            </w:r>
          </w:p>
        </w:tc>
        <w:tc>
          <w:tcPr>
            <w:tcW w:w="1402" w:type="dxa"/>
            <w:shd w:val="clear" w:color="auto" w:fill="FFFFFF"/>
            <w:noWrap/>
            <w:tcMar>
              <w:top w:w="0" w:type="dxa"/>
              <w:left w:w="108" w:type="dxa"/>
              <w:bottom w:w="0" w:type="dxa"/>
              <w:right w:w="108" w:type="dxa"/>
            </w:tcMar>
            <w:vAlign w:val="center"/>
          </w:tcPr>
          <w:p w14:paraId="4F363A8B">
            <w:pPr>
              <w:widowControl/>
              <w:spacing w:line="276" w:lineRule="auto"/>
              <w:jc w:val="center"/>
              <w:textAlignment w:val="baseline"/>
              <w:rPr>
                <w:rFonts w:hint="default" w:ascii="仿宋" w:hAnsi="仿宋" w:eastAsia="仿宋" w:cs="宋体"/>
                <w:color w:val="auto"/>
                <w:w w:val="90"/>
                <w:kern w:val="0"/>
                <w:sz w:val="22"/>
                <w:szCs w:val="22"/>
                <w:highlight w:val="none"/>
              </w:rPr>
            </w:pPr>
          </w:p>
        </w:tc>
        <w:tc>
          <w:tcPr>
            <w:tcW w:w="2070" w:type="dxa"/>
            <w:shd w:val="clear" w:color="auto" w:fill="FFFFFF"/>
            <w:noWrap/>
            <w:tcMar>
              <w:top w:w="0" w:type="dxa"/>
              <w:left w:w="108" w:type="dxa"/>
              <w:bottom w:w="0" w:type="dxa"/>
              <w:right w:w="108" w:type="dxa"/>
            </w:tcMar>
            <w:vAlign w:val="center"/>
          </w:tcPr>
          <w:p w14:paraId="76B3A983">
            <w:pPr>
              <w:widowControl/>
              <w:spacing w:line="276" w:lineRule="auto"/>
              <w:jc w:val="center"/>
              <w:textAlignment w:val="baseline"/>
              <w:rPr>
                <w:rFonts w:hint="default" w:ascii="仿宋" w:hAnsi="仿宋" w:eastAsia="仿宋" w:cs="宋体"/>
                <w:color w:val="auto"/>
                <w:w w:val="90"/>
                <w:kern w:val="0"/>
                <w:sz w:val="22"/>
                <w:szCs w:val="22"/>
                <w:highlight w:val="none"/>
              </w:rPr>
            </w:pPr>
          </w:p>
        </w:tc>
        <w:tc>
          <w:tcPr>
            <w:tcW w:w="3261" w:type="dxa"/>
            <w:vMerge w:val="continue"/>
            <w:shd w:val="clear" w:color="auto" w:fill="FFFFFF"/>
            <w:noWrap/>
            <w:tcMar>
              <w:top w:w="0" w:type="dxa"/>
              <w:left w:w="0" w:type="dxa"/>
              <w:bottom w:w="0" w:type="dxa"/>
              <w:right w:w="0" w:type="dxa"/>
            </w:tcMar>
            <w:vAlign w:val="center"/>
          </w:tcPr>
          <w:p w14:paraId="37259432">
            <w:pPr>
              <w:widowControl/>
              <w:spacing w:line="276" w:lineRule="auto"/>
              <w:jc w:val="left"/>
              <w:rPr>
                <w:rFonts w:hint="default" w:ascii="仿宋" w:hAnsi="仿宋" w:eastAsia="仿宋" w:cs="宋体"/>
                <w:color w:val="auto"/>
                <w:w w:val="90"/>
                <w:kern w:val="0"/>
                <w:sz w:val="22"/>
                <w:szCs w:val="22"/>
                <w:highlight w:val="none"/>
              </w:rPr>
            </w:pPr>
          </w:p>
        </w:tc>
      </w:tr>
      <w:tr w14:paraId="07F27CD3">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jc w:val="center"/>
        </w:trPr>
        <w:tc>
          <w:tcPr>
            <w:tcW w:w="568" w:type="dxa"/>
            <w:shd w:val="clear" w:color="auto" w:fill="FFFFFF"/>
            <w:noWrap/>
            <w:tcMar>
              <w:top w:w="0" w:type="dxa"/>
              <w:left w:w="108" w:type="dxa"/>
              <w:bottom w:w="0" w:type="dxa"/>
              <w:right w:w="108" w:type="dxa"/>
            </w:tcMar>
            <w:vAlign w:val="center"/>
          </w:tcPr>
          <w:p w14:paraId="24599D07">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4</w:t>
            </w:r>
          </w:p>
        </w:tc>
        <w:tc>
          <w:tcPr>
            <w:tcW w:w="1134" w:type="dxa"/>
            <w:shd w:val="clear" w:color="auto" w:fill="FFFFFF"/>
            <w:noWrap/>
            <w:tcMar>
              <w:top w:w="0" w:type="dxa"/>
              <w:left w:w="108" w:type="dxa"/>
              <w:bottom w:w="0" w:type="dxa"/>
              <w:right w:w="108" w:type="dxa"/>
            </w:tcMar>
            <w:vAlign w:val="center"/>
          </w:tcPr>
          <w:p w14:paraId="2B312BD2">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A020204611</w:t>
            </w:r>
          </w:p>
        </w:tc>
        <w:tc>
          <w:tcPr>
            <w:tcW w:w="1347" w:type="dxa"/>
            <w:shd w:val="clear" w:color="auto" w:fill="FFFFFF"/>
            <w:noWrap/>
            <w:tcMar>
              <w:top w:w="0" w:type="dxa"/>
              <w:left w:w="108" w:type="dxa"/>
              <w:bottom w:w="0" w:type="dxa"/>
              <w:right w:w="108" w:type="dxa"/>
            </w:tcMar>
            <w:vAlign w:val="center"/>
          </w:tcPr>
          <w:p w14:paraId="128091D6">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多功能一体机</w:t>
            </w:r>
          </w:p>
        </w:tc>
        <w:tc>
          <w:tcPr>
            <w:tcW w:w="1402" w:type="dxa"/>
            <w:shd w:val="clear" w:color="auto" w:fill="FFFFFF"/>
            <w:noWrap/>
            <w:tcMar>
              <w:top w:w="0" w:type="dxa"/>
              <w:left w:w="108" w:type="dxa"/>
              <w:bottom w:w="0" w:type="dxa"/>
              <w:right w:w="108" w:type="dxa"/>
            </w:tcMar>
            <w:vAlign w:val="center"/>
          </w:tcPr>
          <w:p w14:paraId="41B33D7D">
            <w:pPr>
              <w:widowControl/>
              <w:spacing w:line="276" w:lineRule="auto"/>
              <w:jc w:val="center"/>
              <w:textAlignment w:val="baseline"/>
              <w:rPr>
                <w:rFonts w:hint="default" w:ascii="仿宋" w:hAnsi="仿宋" w:eastAsia="仿宋" w:cs="宋体"/>
                <w:color w:val="auto"/>
                <w:w w:val="90"/>
                <w:kern w:val="0"/>
                <w:sz w:val="22"/>
                <w:szCs w:val="22"/>
                <w:highlight w:val="none"/>
              </w:rPr>
            </w:pPr>
          </w:p>
        </w:tc>
        <w:tc>
          <w:tcPr>
            <w:tcW w:w="2070" w:type="dxa"/>
            <w:shd w:val="clear" w:color="auto" w:fill="FFFFFF"/>
            <w:noWrap/>
            <w:tcMar>
              <w:top w:w="0" w:type="dxa"/>
              <w:left w:w="108" w:type="dxa"/>
              <w:bottom w:w="0" w:type="dxa"/>
              <w:right w:w="108" w:type="dxa"/>
            </w:tcMar>
            <w:vAlign w:val="center"/>
          </w:tcPr>
          <w:p w14:paraId="62DA349C">
            <w:pPr>
              <w:widowControl/>
              <w:spacing w:line="276" w:lineRule="auto"/>
              <w:jc w:val="center"/>
              <w:textAlignment w:val="baseline"/>
              <w:rPr>
                <w:rFonts w:hint="default" w:ascii="仿宋" w:hAnsi="仿宋" w:eastAsia="仿宋" w:cs="宋体"/>
                <w:color w:val="auto"/>
                <w:w w:val="90"/>
                <w:kern w:val="0"/>
                <w:sz w:val="22"/>
                <w:szCs w:val="22"/>
                <w:highlight w:val="none"/>
              </w:rPr>
            </w:pPr>
          </w:p>
        </w:tc>
        <w:tc>
          <w:tcPr>
            <w:tcW w:w="3261" w:type="dxa"/>
            <w:vMerge w:val="continue"/>
            <w:shd w:val="clear" w:color="auto" w:fill="FFFFFF"/>
            <w:noWrap/>
            <w:tcMar>
              <w:top w:w="0" w:type="dxa"/>
              <w:left w:w="0" w:type="dxa"/>
              <w:bottom w:w="0" w:type="dxa"/>
              <w:right w:w="0" w:type="dxa"/>
            </w:tcMar>
            <w:vAlign w:val="center"/>
          </w:tcPr>
          <w:p w14:paraId="08F7B6B8">
            <w:pPr>
              <w:widowControl/>
              <w:spacing w:line="276" w:lineRule="auto"/>
              <w:jc w:val="left"/>
              <w:rPr>
                <w:rFonts w:hint="default" w:ascii="仿宋" w:hAnsi="仿宋" w:eastAsia="仿宋" w:cs="宋体"/>
                <w:color w:val="auto"/>
                <w:w w:val="90"/>
                <w:kern w:val="0"/>
                <w:sz w:val="22"/>
                <w:szCs w:val="22"/>
                <w:highlight w:val="none"/>
              </w:rPr>
            </w:pPr>
          </w:p>
        </w:tc>
      </w:tr>
      <w:tr w14:paraId="0080697F">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jc w:val="center"/>
        </w:trPr>
        <w:tc>
          <w:tcPr>
            <w:tcW w:w="568" w:type="dxa"/>
            <w:shd w:val="clear" w:color="auto" w:fill="FFFFFF"/>
            <w:noWrap/>
            <w:tcMar>
              <w:top w:w="0" w:type="dxa"/>
              <w:left w:w="108" w:type="dxa"/>
              <w:bottom w:w="0" w:type="dxa"/>
              <w:right w:w="108" w:type="dxa"/>
            </w:tcMar>
            <w:vAlign w:val="center"/>
          </w:tcPr>
          <w:p w14:paraId="2354F564">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5</w:t>
            </w:r>
          </w:p>
        </w:tc>
        <w:tc>
          <w:tcPr>
            <w:tcW w:w="1134" w:type="dxa"/>
            <w:shd w:val="clear" w:color="auto" w:fill="FFFFFF"/>
            <w:noWrap/>
            <w:tcMar>
              <w:top w:w="0" w:type="dxa"/>
              <w:left w:w="108" w:type="dxa"/>
              <w:bottom w:w="0" w:type="dxa"/>
              <w:right w:w="108" w:type="dxa"/>
            </w:tcMar>
            <w:vAlign w:val="center"/>
          </w:tcPr>
          <w:p w14:paraId="07CB07EE">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A020519</w:t>
            </w:r>
          </w:p>
        </w:tc>
        <w:tc>
          <w:tcPr>
            <w:tcW w:w="1347" w:type="dxa"/>
            <w:shd w:val="clear" w:color="auto" w:fill="FFFFFF"/>
            <w:noWrap/>
            <w:tcMar>
              <w:top w:w="0" w:type="dxa"/>
              <w:left w:w="108" w:type="dxa"/>
              <w:bottom w:w="0" w:type="dxa"/>
              <w:right w:w="108" w:type="dxa"/>
            </w:tcMar>
            <w:vAlign w:val="center"/>
          </w:tcPr>
          <w:p w14:paraId="0DF13245">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泵</w:t>
            </w:r>
          </w:p>
        </w:tc>
        <w:tc>
          <w:tcPr>
            <w:tcW w:w="1402" w:type="dxa"/>
            <w:shd w:val="clear" w:color="auto" w:fill="FFFFFF"/>
            <w:noWrap/>
            <w:tcMar>
              <w:top w:w="0" w:type="dxa"/>
              <w:left w:w="108" w:type="dxa"/>
              <w:bottom w:w="0" w:type="dxa"/>
              <w:right w:w="108" w:type="dxa"/>
            </w:tcMar>
            <w:vAlign w:val="center"/>
          </w:tcPr>
          <w:p w14:paraId="578ACB96">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A02051901</w:t>
            </w:r>
          </w:p>
        </w:tc>
        <w:tc>
          <w:tcPr>
            <w:tcW w:w="2070" w:type="dxa"/>
            <w:shd w:val="clear" w:color="auto" w:fill="FFFFFF"/>
            <w:noWrap/>
            <w:tcMar>
              <w:top w:w="0" w:type="dxa"/>
              <w:left w:w="108" w:type="dxa"/>
              <w:bottom w:w="0" w:type="dxa"/>
              <w:right w:w="108" w:type="dxa"/>
            </w:tcMar>
            <w:vAlign w:val="center"/>
          </w:tcPr>
          <w:p w14:paraId="18C02DDC">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离心泵</w:t>
            </w:r>
          </w:p>
        </w:tc>
        <w:tc>
          <w:tcPr>
            <w:tcW w:w="3261" w:type="dxa"/>
            <w:shd w:val="clear" w:color="auto" w:fill="FFFFFF"/>
            <w:noWrap/>
            <w:tcMar>
              <w:top w:w="0" w:type="dxa"/>
              <w:left w:w="108" w:type="dxa"/>
              <w:bottom w:w="0" w:type="dxa"/>
              <w:right w:w="108" w:type="dxa"/>
            </w:tcMar>
            <w:vAlign w:val="center"/>
          </w:tcPr>
          <w:p w14:paraId="0947487D">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中国质量认证中心</w:t>
            </w:r>
          </w:p>
          <w:p w14:paraId="7E8AF615">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电能（北京）认证中心有限公司</w:t>
            </w:r>
          </w:p>
          <w:p w14:paraId="652A60AF">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方圆标志认证集团有限公司</w:t>
            </w:r>
          </w:p>
        </w:tc>
      </w:tr>
      <w:tr w14:paraId="606699C7">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jc w:val="center"/>
        </w:trPr>
        <w:tc>
          <w:tcPr>
            <w:tcW w:w="568" w:type="dxa"/>
            <w:vMerge w:val="restart"/>
            <w:shd w:val="clear" w:color="auto" w:fill="FFFFFF"/>
            <w:noWrap/>
            <w:tcMar>
              <w:top w:w="0" w:type="dxa"/>
              <w:left w:w="108" w:type="dxa"/>
              <w:bottom w:w="0" w:type="dxa"/>
              <w:right w:w="108" w:type="dxa"/>
            </w:tcMar>
            <w:vAlign w:val="center"/>
          </w:tcPr>
          <w:p w14:paraId="5E673064">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6</w:t>
            </w:r>
          </w:p>
        </w:tc>
        <w:tc>
          <w:tcPr>
            <w:tcW w:w="1134" w:type="dxa"/>
            <w:vMerge w:val="restart"/>
            <w:shd w:val="clear" w:color="auto" w:fill="FFFFFF"/>
            <w:noWrap/>
            <w:tcMar>
              <w:top w:w="0" w:type="dxa"/>
              <w:left w:w="108" w:type="dxa"/>
              <w:bottom w:w="0" w:type="dxa"/>
              <w:right w:w="108" w:type="dxa"/>
            </w:tcMar>
            <w:vAlign w:val="center"/>
          </w:tcPr>
          <w:p w14:paraId="48E73663">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A020523</w:t>
            </w:r>
          </w:p>
        </w:tc>
        <w:tc>
          <w:tcPr>
            <w:tcW w:w="1347" w:type="dxa"/>
            <w:vMerge w:val="restart"/>
            <w:shd w:val="clear" w:color="auto" w:fill="FFFFFF"/>
            <w:noWrap/>
            <w:tcMar>
              <w:top w:w="0" w:type="dxa"/>
              <w:left w:w="108" w:type="dxa"/>
              <w:bottom w:w="0" w:type="dxa"/>
              <w:right w:w="108" w:type="dxa"/>
            </w:tcMar>
            <w:vAlign w:val="center"/>
          </w:tcPr>
          <w:p w14:paraId="6E4D2E0F">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制冷空调设备</w:t>
            </w:r>
          </w:p>
        </w:tc>
        <w:tc>
          <w:tcPr>
            <w:tcW w:w="1402" w:type="dxa"/>
            <w:shd w:val="clear" w:color="auto" w:fill="FFFFFF"/>
            <w:noWrap/>
            <w:tcMar>
              <w:top w:w="0" w:type="dxa"/>
              <w:left w:w="108" w:type="dxa"/>
              <w:bottom w:w="0" w:type="dxa"/>
              <w:right w:w="108" w:type="dxa"/>
            </w:tcMar>
            <w:vAlign w:val="center"/>
          </w:tcPr>
          <w:p w14:paraId="7A7092A1">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A02052301</w:t>
            </w:r>
          </w:p>
        </w:tc>
        <w:tc>
          <w:tcPr>
            <w:tcW w:w="2070" w:type="dxa"/>
            <w:shd w:val="clear" w:color="auto" w:fill="FFFFFF"/>
            <w:noWrap/>
            <w:tcMar>
              <w:top w:w="0" w:type="dxa"/>
              <w:left w:w="108" w:type="dxa"/>
              <w:bottom w:w="0" w:type="dxa"/>
              <w:right w:w="108" w:type="dxa"/>
            </w:tcMar>
            <w:vAlign w:val="center"/>
          </w:tcPr>
          <w:p w14:paraId="7A7B6896">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制冷压缩机</w:t>
            </w:r>
          </w:p>
        </w:tc>
        <w:tc>
          <w:tcPr>
            <w:tcW w:w="3261" w:type="dxa"/>
            <w:vMerge w:val="restart"/>
            <w:shd w:val="clear" w:color="auto" w:fill="FFFFFF"/>
            <w:noWrap/>
            <w:tcMar>
              <w:top w:w="0" w:type="dxa"/>
              <w:left w:w="108" w:type="dxa"/>
              <w:bottom w:w="0" w:type="dxa"/>
              <w:right w:w="108" w:type="dxa"/>
            </w:tcMar>
            <w:vAlign w:val="center"/>
          </w:tcPr>
          <w:p w14:paraId="03346C27">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中国质量认证中心</w:t>
            </w:r>
          </w:p>
          <w:p w14:paraId="1D20D087">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威凯认证检测有限公司</w:t>
            </w:r>
          </w:p>
          <w:p w14:paraId="63620392">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合肥通用机械产品认证有限公司</w:t>
            </w:r>
          </w:p>
          <w:p w14:paraId="44EEF872">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北京中冷通质量认证中心有限公司</w:t>
            </w:r>
          </w:p>
        </w:tc>
      </w:tr>
      <w:tr w14:paraId="226B09EE">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vMerge w:val="continue"/>
            <w:shd w:val="clear" w:color="auto" w:fill="FFFFFF"/>
            <w:noWrap/>
            <w:vAlign w:val="center"/>
          </w:tcPr>
          <w:p w14:paraId="71DC0878">
            <w:pPr>
              <w:widowControl/>
              <w:spacing w:line="276" w:lineRule="auto"/>
              <w:jc w:val="center"/>
              <w:rPr>
                <w:rFonts w:hint="default" w:ascii="仿宋" w:hAnsi="仿宋" w:eastAsia="仿宋" w:cs="宋体"/>
                <w:color w:val="auto"/>
                <w:w w:val="90"/>
                <w:kern w:val="0"/>
                <w:sz w:val="22"/>
                <w:szCs w:val="22"/>
                <w:highlight w:val="none"/>
              </w:rPr>
            </w:pPr>
          </w:p>
        </w:tc>
        <w:tc>
          <w:tcPr>
            <w:tcW w:w="1134" w:type="dxa"/>
            <w:vMerge w:val="continue"/>
            <w:shd w:val="clear" w:color="auto" w:fill="FFFFFF"/>
            <w:noWrap/>
            <w:vAlign w:val="center"/>
          </w:tcPr>
          <w:p w14:paraId="32384EC7">
            <w:pPr>
              <w:widowControl/>
              <w:spacing w:line="276" w:lineRule="auto"/>
              <w:jc w:val="center"/>
              <w:rPr>
                <w:rFonts w:hint="default" w:ascii="仿宋" w:hAnsi="仿宋" w:eastAsia="仿宋" w:cs="宋体"/>
                <w:color w:val="auto"/>
                <w:w w:val="90"/>
                <w:kern w:val="0"/>
                <w:sz w:val="22"/>
                <w:szCs w:val="22"/>
                <w:highlight w:val="none"/>
              </w:rPr>
            </w:pPr>
          </w:p>
        </w:tc>
        <w:tc>
          <w:tcPr>
            <w:tcW w:w="1347" w:type="dxa"/>
            <w:vMerge w:val="continue"/>
            <w:shd w:val="clear" w:color="auto" w:fill="FFFFFF"/>
            <w:noWrap/>
            <w:vAlign w:val="center"/>
          </w:tcPr>
          <w:p w14:paraId="2DE578B0">
            <w:pPr>
              <w:widowControl/>
              <w:spacing w:line="276" w:lineRule="auto"/>
              <w:jc w:val="center"/>
              <w:rPr>
                <w:rFonts w:hint="default" w:ascii="仿宋" w:hAnsi="仿宋" w:eastAsia="仿宋" w:cs="宋体"/>
                <w:color w:val="auto"/>
                <w:w w:val="90"/>
                <w:kern w:val="0"/>
                <w:sz w:val="22"/>
                <w:szCs w:val="22"/>
                <w:highlight w:val="none"/>
              </w:rPr>
            </w:pPr>
          </w:p>
        </w:tc>
        <w:tc>
          <w:tcPr>
            <w:tcW w:w="1402" w:type="dxa"/>
            <w:shd w:val="clear" w:color="auto" w:fill="FFFFFF"/>
            <w:noWrap/>
            <w:tcMar>
              <w:left w:w="108" w:type="dxa"/>
              <w:right w:w="108" w:type="dxa"/>
            </w:tcMar>
            <w:vAlign w:val="center"/>
          </w:tcPr>
          <w:p w14:paraId="33CE1577">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A02052305</w:t>
            </w:r>
          </w:p>
        </w:tc>
        <w:tc>
          <w:tcPr>
            <w:tcW w:w="2070" w:type="dxa"/>
            <w:shd w:val="clear" w:color="auto" w:fill="FFFFFF"/>
            <w:noWrap/>
            <w:tcMar>
              <w:top w:w="0" w:type="dxa"/>
              <w:left w:w="0" w:type="dxa"/>
              <w:bottom w:w="0" w:type="dxa"/>
              <w:right w:w="0" w:type="dxa"/>
            </w:tcMar>
            <w:vAlign w:val="center"/>
          </w:tcPr>
          <w:p w14:paraId="0B7881B4">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空调机组</w:t>
            </w:r>
          </w:p>
        </w:tc>
        <w:tc>
          <w:tcPr>
            <w:tcW w:w="3261" w:type="dxa"/>
            <w:vMerge w:val="continue"/>
            <w:shd w:val="clear" w:color="auto" w:fill="FFFFFF"/>
            <w:noWrap/>
            <w:tcMar>
              <w:top w:w="0" w:type="dxa"/>
              <w:bottom w:w="0" w:type="dxa"/>
            </w:tcMar>
            <w:vAlign w:val="center"/>
          </w:tcPr>
          <w:p w14:paraId="5B50EA0D">
            <w:pPr>
              <w:widowControl/>
              <w:spacing w:line="276" w:lineRule="auto"/>
              <w:jc w:val="left"/>
              <w:rPr>
                <w:rFonts w:hint="default" w:ascii="仿宋" w:hAnsi="仿宋" w:eastAsia="仿宋" w:cs="宋体"/>
                <w:color w:val="auto"/>
                <w:w w:val="90"/>
                <w:kern w:val="0"/>
                <w:sz w:val="22"/>
                <w:szCs w:val="22"/>
                <w:highlight w:val="none"/>
              </w:rPr>
            </w:pPr>
          </w:p>
        </w:tc>
      </w:tr>
      <w:tr w14:paraId="03B750F8">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jc w:val="center"/>
        </w:trPr>
        <w:tc>
          <w:tcPr>
            <w:tcW w:w="568" w:type="dxa"/>
            <w:vMerge w:val="continue"/>
            <w:shd w:val="clear" w:color="auto" w:fill="FFFFFF"/>
            <w:noWrap/>
            <w:vAlign w:val="center"/>
          </w:tcPr>
          <w:p w14:paraId="1C9C2C89">
            <w:pPr>
              <w:widowControl/>
              <w:spacing w:line="276" w:lineRule="auto"/>
              <w:jc w:val="center"/>
              <w:rPr>
                <w:rFonts w:hint="default" w:ascii="仿宋" w:hAnsi="仿宋" w:eastAsia="仿宋" w:cs="宋体"/>
                <w:color w:val="auto"/>
                <w:w w:val="90"/>
                <w:kern w:val="0"/>
                <w:sz w:val="22"/>
                <w:szCs w:val="22"/>
                <w:highlight w:val="none"/>
              </w:rPr>
            </w:pPr>
          </w:p>
        </w:tc>
        <w:tc>
          <w:tcPr>
            <w:tcW w:w="1134" w:type="dxa"/>
            <w:vMerge w:val="continue"/>
            <w:shd w:val="clear" w:color="auto" w:fill="FFFFFF"/>
            <w:noWrap/>
            <w:vAlign w:val="center"/>
          </w:tcPr>
          <w:p w14:paraId="12BB671D">
            <w:pPr>
              <w:widowControl/>
              <w:spacing w:line="276" w:lineRule="auto"/>
              <w:jc w:val="center"/>
              <w:rPr>
                <w:rFonts w:hint="default" w:ascii="仿宋" w:hAnsi="仿宋" w:eastAsia="仿宋" w:cs="宋体"/>
                <w:color w:val="auto"/>
                <w:w w:val="90"/>
                <w:kern w:val="0"/>
                <w:sz w:val="22"/>
                <w:szCs w:val="22"/>
                <w:highlight w:val="none"/>
              </w:rPr>
            </w:pPr>
          </w:p>
        </w:tc>
        <w:tc>
          <w:tcPr>
            <w:tcW w:w="1347" w:type="dxa"/>
            <w:vMerge w:val="continue"/>
            <w:shd w:val="clear" w:color="auto" w:fill="FFFFFF"/>
            <w:noWrap/>
            <w:vAlign w:val="center"/>
          </w:tcPr>
          <w:p w14:paraId="78EC90C6">
            <w:pPr>
              <w:widowControl/>
              <w:spacing w:line="276" w:lineRule="auto"/>
              <w:jc w:val="center"/>
              <w:rPr>
                <w:rFonts w:hint="default" w:ascii="仿宋" w:hAnsi="仿宋" w:eastAsia="仿宋" w:cs="宋体"/>
                <w:color w:val="auto"/>
                <w:w w:val="90"/>
                <w:kern w:val="0"/>
                <w:sz w:val="22"/>
                <w:szCs w:val="22"/>
                <w:highlight w:val="none"/>
              </w:rPr>
            </w:pPr>
          </w:p>
        </w:tc>
        <w:tc>
          <w:tcPr>
            <w:tcW w:w="1402" w:type="dxa"/>
            <w:shd w:val="clear" w:color="auto" w:fill="FFFFFF"/>
            <w:noWrap/>
            <w:tcMar>
              <w:left w:w="108" w:type="dxa"/>
              <w:right w:w="108" w:type="dxa"/>
            </w:tcMar>
            <w:vAlign w:val="center"/>
          </w:tcPr>
          <w:p w14:paraId="5D2BB376">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A02052309</w:t>
            </w:r>
          </w:p>
        </w:tc>
        <w:tc>
          <w:tcPr>
            <w:tcW w:w="2070" w:type="dxa"/>
            <w:shd w:val="clear" w:color="auto" w:fill="FFFFFF"/>
            <w:noWrap/>
            <w:tcMar>
              <w:top w:w="0" w:type="dxa"/>
              <w:left w:w="0" w:type="dxa"/>
              <w:bottom w:w="0" w:type="dxa"/>
              <w:right w:w="0" w:type="dxa"/>
            </w:tcMar>
            <w:vAlign w:val="center"/>
          </w:tcPr>
          <w:p w14:paraId="66E2B083">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专用制冷、空调设备</w:t>
            </w:r>
          </w:p>
        </w:tc>
        <w:tc>
          <w:tcPr>
            <w:tcW w:w="3261" w:type="dxa"/>
            <w:vMerge w:val="continue"/>
            <w:shd w:val="clear" w:color="auto" w:fill="FFFFFF"/>
            <w:noWrap/>
            <w:tcMar>
              <w:top w:w="0" w:type="dxa"/>
              <w:bottom w:w="0" w:type="dxa"/>
            </w:tcMar>
            <w:vAlign w:val="center"/>
          </w:tcPr>
          <w:p w14:paraId="284AD400">
            <w:pPr>
              <w:widowControl/>
              <w:spacing w:line="276" w:lineRule="auto"/>
              <w:jc w:val="left"/>
              <w:rPr>
                <w:rFonts w:hint="default" w:ascii="仿宋" w:hAnsi="仿宋" w:eastAsia="仿宋" w:cs="宋体"/>
                <w:color w:val="auto"/>
                <w:w w:val="90"/>
                <w:kern w:val="0"/>
                <w:sz w:val="22"/>
                <w:szCs w:val="22"/>
                <w:highlight w:val="none"/>
              </w:rPr>
            </w:pPr>
          </w:p>
        </w:tc>
      </w:tr>
      <w:tr w14:paraId="11663B0A">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jc w:val="center"/>
        </w:trPr>
        <w:tc>
          <w:tcPr>
            <w:tcW w:w="568" w:type="dxa"/>
            <w:vMerge w:val="continue"/>
            <w:shd w:val="clear" w:color="auto" w:fill="FFFFFF"/>
            <w:noWrap/>
            <w:vAlign w:val="center"/>
          </w:tcPr>
          <w:p w14:paraId="2F744E78">
            <w:pPr>
              <w:widowControl/>
              <w:spacing w:line="276" w:lineRule="auto"/>
              <w:jc w:val="center"/>
              <w:rPr>
                <w:rFonts w:hint="default" w:ascii="仿宋" w:hAnsi="仿宋" w:eastAsia="仿宋" w:cs="宋体"/>
                <w:color w:val="auto"/>
                <w:w w:val="90"/>
                <w:kern w:val="0"/>
                <w:sz w:val="22"/>
                <w:szCs w:val="22"/>
                <w:highlight w:val="none"/>
              </w:rPr>
            </w:pPr>
          </w:p>
        </w:tc>
        <w:tc>
          <w:tcPr>
            <w:tcW w:w="1134" w:type="dxa"/>
            <w:vMerge w:val="continue"/>
            <w:shd w:val="clear" w:color="auto" w:fill="FFFFFF"/>
            <w:noWrap/>
            <w:vAlign w:val="center"/>
          </w:tcPr>
          <w:p w14:paraId="6D759DD4">
            <w:pPr>
              <w:widowControl/>
              <w:spacing w:line="276" w:lineRule="auto"/>
              <w:jc w:val="center"/>
              <w:rPr>
                <w:rFonts w:hint="default" w:ascii="仿宋" w:hAnsi="仿宋" w:eastAsia="仿宋" w:cs="宋体"/>
                <w:color w:val="auto"/>
                <w:w w:val="90"/>
                <w:kern w:val="0"/>
                <w:sz w:val="22"/>
                <w:szCs w:val="22"/>
                <w:highlight w:val="none"/>
              </w:rPr>
            </w:pPr>
          </w:p>
        </w:tc>
        <w:tc>
          <w:tcPr>
            <w:tcW w:w="1347" w:type="dxa"/>
            <w:vMerge w:val="continue"/>
            <w:shd w:val="clear" w:color="auto" w:fill="FFFFFF"/>
            <w:noWrap/>
            <w:vAlign w:val="center"/>
          </w:tcPr>
          <w:p w14:paraId="5BF15896">
            <w:pPr>
              <w:widowControl/>
              <w:spacing w:line="276" w:lineRule="auto"/>
              <w:jc w:val="center"/>
              <w:rPr>
                <w:rFonts w:hint="default" w:ascii="仿宋" w:hAnsi="仿宋" w:eastAsia="仿宋" w:cs="宋体"/>
                <w:color w:val="auto"/>
                <w:w w:val="90"/>
                <w:kern w:val="0"/>
                <w:sz w:val="22"/>
                <w:szCs w:val="22"/>
                <w:highlight w:val="none"/>
              </w:rPr>
            </w:pPr>
          </w:p>
        </w:tc>
        <w:tc>
          <w:tcPr>
            <w:tcW w:w="1402" w:type="dxa"/>
            <w:shd w:val="clear" w:color="auto" w:fill="FFFFFF"/>
            <w:noWrap/>
            <w:tcMar>
              <w:left w:w="108" w:type="dxa"/>
              <w:right w:w="108" w:type="dxa"/>
            </w:tcMar>
            <w:vAlign w:val="center"/>
          </w:tcPr>
          <w:p w14:paraId="0D4F1603">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A02052399</w:t>
            </w:r>
          </w:p>
        </w:tc>
        <w:tc>
          <w:tcPr>
            <w:tcW w:w="2070" w:type="dxa"/>
            <w:shd w:val="clear" w:color="auto" w:fill="FFFFFF"/>
            <w:noWrap/>
            <w:tcMar>
              <w:top w:w="0" w:type="dxa"/>
              <w:left w:w="0" w:type="dxa"/>
              <w:bottom w:w="0" w:type="dxa"/>
              <w:right w:w="0" w:type="dxa"/>
            </w:tcMar>
            <w:vAlign w:val="center"/>
          </w:tcPr>
          <w:p w14:paraId="27D27E50">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其他制冷空调设备</w:t>
            </w:r>
          </w:p>
        </w:tc>
        <w:tc>
          <w:tcPr>
            <w:tcW w:w="3261" w:type="dxa"/>
            <w:vMerge w:val="continue"/>
            <w:shd w:val="clear" w:color="auto" w:fill="FFFFFF"/>
            <w:noWrap/>
            <w:tcMar>
              <w:top w:w="0" w:type="dxa"/>
              <w:bottom w:w="0" w:type="dxa"/>
            </w:tcMar>
            <w:vAlign w:val="center"/>
          </w:tcPr>
          <w:p w14:paraId="2DD1E8DB">
            <w:pPr>
              <w:widowControl/>
              <w:spacing w:line="276" w:lineRule="auto"/>
              <w:jc w:val="left"/>
              <w:rPr>
                <w:rFonts w:hint="default" w:ascii="仿宋" w:hAnsi="仿宋" w:eastAsia="仿宋" w:cs="宋体"/>
                <w:color w:val="auto"/>
                <w:w w:val="90"/>
                <w:kern w:val="0"/>
                <w:sz w:val="22"/>
                <w:szCs w:val="22"/>
                <w:highlight w:val="none"/>
              </w:rPr>
            </w:pPr>
          </w:p>
        </w:tc>
      </w:tr>
      <w:tr w14:paraId="243ED2EE">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jc w:val="center"/>
        </w:trPr>
        <w:tc>
          <w:tcPr>
            <w:tcW w:w="568" w:type="dxa"/>
            <w:shd w:val="clear" w:color="auto" w:fill="FFFFFF"/>
            <w:noWrap/>
            <w:tcMar>
              <w:top w:w="0" w:type="dxa"/>
              <w:left w:w="108" w:type="dxa"/>
              <w:bottom w:w="0" w:type="dxa"/>
              <w:right w:w="108" w:type="dxa"/>
            </w:tcMar>
            <w:vAlign w:val="center"/>
          </w:tcPr>
          <w:p w14:paraId="506D0A0B">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7</w:t>
            </w:r>
          </w:p>
        </w:tc>
        <w:tc>
          <w:tcPr>
            <w:tcW w:w="1134" w:type="dxa"/>
            <w:shd w:val="clear" w:color="auto" w:fill="FFFFFF"/>
            <w:noWrap/>
            <w:tcMar>
              <w:top w:w="0" w:type="dxa"/>
              <w:left w:w="108" w:type="dxa"/>
              <w:bottom w:w="0" w:type="dxa"/>
              <w:right w:w="108" w:type="dxa"/>
            </w:tcMar>
            <w:vAlign w:val="center"/>
          </w:tcPr>
          <w:p w14:paraId="26783BC9">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A020601</w:t>
            </w:r>
          </w:p>
        </w:tc>
        <w:tc>
          <w:tcPr>
            <w:tcW w:w="1347" w:type="dxa"/>
            <w:shd w:val="clear" w:color="auto" w:fill="FFFFFF"/>
            <w:noWrap/>
            <w:tcMar>
              <w:top w:w="0" w:type="dxa"/>
              <w:left w:w="108" w:type="dxa"/>
              <w:bottom w:w="0" w:type="dxa"/>
              <w:right w:w="108" w:type="dxa"/>
            </w:tcMar>
            <w:vAlign w:val="center"/>
          </w:tcPr>
          <w:p w14:paraId="7491406E">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电机</w:t>
            </w:r>
          </w:p>
        </w:tc>
        <w:tc>
          <w:tcPr>
            <w:tcW w:w="1402" w:type="dxa"/>
            <w:shd w:val="clear" w:color="auto" w:fill="FFFFFF"/>
            <w:noWrap/>
            <w:tcMar>
              <w:top w:w="0" w:type="dxa"/>
              <w:left w:w="108" w:type="dxa"/>
              <w:bottom w:w="0" w:type="dxa"/>
              <w:right w:w="108" w:type="dxa"/>
            </w:tcMar>
            <w:vAlign w:val="center"/>
          </w:tcPr>
          <w:p w14:paraId="6520BA6C">
            <w:pPr>
              <w:widowControl/>
              <w:spacing w:line="276" w:lineRule="auto"/>
              <w:jc w:val="center"/>
              <w:textAlignment w:val="baseline"/>
              <w:rPr>
                <w:rFonts w:hint="default" w:ascii="仿宋" w:hAnsi="仿宋" w:eastAsia="仿宋" w:cs="宋体"/>
                <w:color w:val="auto"/>
                <w:w w:val="90"/>
                <w:kern w:val="0"/>
                <w:sz w:val="22"/>
                <w:szCs w:val="22"/>
                <w:highlight w:val="none"/>
              </w:rPr>
            </w:pPr>
          </w:p>
        </w:tc>
        <w:tc>
          <w:tcPr>
            <w:tcW w:w="2070" w:type="dxa"/>
            <w:shd w:val="clear" w:color="auto" w:fill="FFFFFF"/>
            <w:noWrap/>
            <w:tcMar>
              <w:top w:w="0" w:type="dxa"/>
              <w:left w:w="108" w:type="dxa"/>
              <w:bottom w:w="0" w:type="dxa"/>
              <w:right w:w="108" w:type="dxa"/>
            </w:tcMar>
            <w:vAlign w:val="center"/>
          </w:tcPr>
          <w:p w14:paraId="5B03DBE5">
            <w:pPr>
              <w:widowControl/>
              <w:spacing w:line="276" w:lineRule="auto"/>
              <w:jc w:val="center"/>
              <w:textAlignment w:val="baseline"/>
              <w:rPr>
                <w:rFonts w:hint="default" w:ascii="仿宋" w:hAnsi="仿宋" w:eastAsia="仿宋" w:cs="宋体"/>
                <w:color w:val="auto"/>
                <w:w w:val="90"/>
                <w:kern w:val="0"/>
                <w:sz w:val="22"/>
                <w:szCs w:val="22"/>
                <w:highlight w:val="none"/>
              </w:rPr>
            </w:pPr>
          </w:p>
        </w:tc>
        <w:tc>
          <w:tcPr>
            <w:tcW w:w="3261" w:type="dxa"/>
            <w:shd w:val="clear" w:color="auto" w:fill="FFFFFF"/>
            <w:noWrap/>
            <w:tcMar>
              <w:top w:w="0" w:type="dxa"/>
              <w:left w:w="108" w:type="dxa"/>
              <w:bottom w:w="0" w:type="dxa"/>
              <w:right w:w="108" w:type="dxa"/>
            </w:tcMar>
            <w:vAlign w:val="center"/>
          </w:tcPr>
          <w:p w14:paraId="0C387580">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中国质量认证中心</w:t>
            </w:r>
          </w:p>
          <w:p w14:paraId="763F56D8">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威凯认证检测有限公司</w:t>
            </w:r>
          </w:p>
          <w:p w14:paraId="4C5CE76E">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电能（北京）认证中心有限公司</w:t>
            </w:r>
          </w:p>
          <w:p w14:paraId="3D07EB9F">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中国船级社质量认证公司</w:t>
            </w:r>
          </w:p>
        </w:tc>
      </w:tr>
      <w:tr w14:paraId="767C0632">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jc w:val="center"/>
        </w:trPr>
        <w:tc>
          <w:tcPr>
            <w:tcW w:w="568" w:type="dxa"/>
            <w:shd w:val="clear" w:color="auto" w:fill="FFFFFF"/>
            <w:noWrap/>
            <w:tcMar>
              <w:top w:w="0" w:type="dxa"/>
              <w:left w:w="108" w:type="dxa"/>
              <w:bottom w:w="0" w:type="dxa"/>
              <w:right w:w="108" w:type="dxa"/>
            </w:tcMar>
            <w:vAlign w:val="center"/>
          </w:tcPr>
          <w:p w14:paraId="5C11817C">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8</w:t>
            </w:r>
          </w:p>
        </w:tc>
        <w:tc>
          <w:tcPr>
            <w:tcW w:w="1134" w:type="dxa"/>
            <w:shd w:val="clear" w:color="auto" w:fill="FFFFFF"/>
            <w:noWrap/>
            <w:tcMar>
              <w:top w:w="0" w:type="dxa"/>
              <w:left w:w="108" w:type="dxa"/>
              <w:bottom w:w="0" w:type="dxa"/>
              <w:right w:w="108" w:type="dxa"/>
            </w:tcMar>
            <w:vAlign w:val="center"/>
          </w:tcPr>
          <w:p w14:paraId="16D035D1">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A020602</w:t>
            </w:r>
          </w:p>
        </w:tc>
        <w:tc>
          <w:tcPr>
            <w:tcW w:w="1347" w:type="dxa"/>
            <w:shd w:val="clear" w:color="auto" w:fill="FFFFFF"/>
            <w:noWrap/>
            <w:tcMar>
              <w:top w:w="0" w:type="dxa"/>
              <w:left w:w="108" w:type="dxa"/>
              <w:bottom w:w="0" w:type="dxa"/>
              <w:right w:w="108" w:type="dxa"/>
            </w:tcMar>
            <w:vAlign w:val="center"/>
          </w:tcPr>
          <w:p w14:paraId="65AC198B">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变压器</w:t>
            </w:r>
          </w:p>
        </w:tc>
        <w:tc>
          <w:tcPr>
            <w:tcW w:w="1402" w:type="dxa"/>
            <w:shd w:val="clear" w:color="auto" w:fill="FFFFFF"/>
            <w:noWrap/>
            <w:tcMar>
              <w:top w:w="0" w:type="dxa"/>
              <w:left w:w="108" w:type="dxa"/>
              <w:bottom w:w="0" w:type="dxa"/>
              <w:right w:w="108" w:type="dxa"/>
            </w:tcMar>
            <w:vAlign w:val="center"/>
          </w:tcPr>
          <w:p w14:paraId="0CA00267">
            <w:pPr>
              <w:widowControl/>
              <w:spacing w:line="276" w:lineRule="auto"/>
              <w:jc w:val="center"/>
              <w:textAlignment w:val="baseline"/>
              <w:rPr>
                <w:rFonts w:hint="default" w:ascii="仿宋" w:hAnsi="仿宋" w:eastAsia="仿宋" w:cs="宋体"/>
                <w:color w:val="auto"/>
                <w:w w:val="90"/>
                <w:kern w:val="0"/>
                <w:sz w:val="22"/>
                <w:szCs w:val="22"/>
                <w:highlight w:val="none"/>
              </w:rPr>
            </w:pPr>
          </w:p>
        </w:tc>
        <w:tc>
          <w:tcPr>
            <w:tcW w:w="2070" w:type="dxa"/>
            <w:shd w:val="clear" w:color="auto" w:fill="FFFFFF"/>
            <w:noWrap/>
            <w:tcMar>
              <w:top w:w="0" w:type="dxa"/>
              <w:left w:w="108" w:type="dxa"/>
              <w:bottom w:w="0" w:type="dxa"/>
              <w:right w:w="108" w:type="dxa"/>
            </w:tcMar>
            <w:vAlign w:val="center"/>
          </w:tcPr>
          <w:p w14:paraId="186B8327">
            <w:pPr>
              <w:widowControl/>
              <w:spacing w:line="276" w:lineRule="auto"/>
              <w:jc w:val="center"/>
              <w:textAlignment w:val="baseline"/>
              <w:rPr>
                <w:rFonts w:hint="default" w:ascii="仿宋" w:hAnsi="仿宋" w:eastAsia="仿宋" w:cs="宋体"/>
                <w:color w:val="auto"/>
                <w:w w:val="90"/>
                <w:kern w:val="0"/>
                <w:sz w:val="22"/>
                <w:szCs w:val="22"/>
                <w:highlight w:val="none"/>
              </w:rPr>
            </w:pPr>
          </w:p>
        </w:tc>
        <w:tc>
          <w:tcPr>
            <w:tcW w:w="3261" w:type="dxa"/>
            <w:shd w:val="clear" w:color="auto" w:fill="FFFFFF"/>
            <w:noWrap/>
            <w:tcMar>
              <w:top w:w="0" w:type="dxa"/>
              <w:left w:w="108" w:type="dxa"/>
              <w:bottom w:w="0" w:type="dxa"/>
              <w:right w:w="108" w:type="dxa"/>
            </w:tcMar>
            <w:vAlign w:val="center"/>
          </w:tcPr>
          <w:p w14:paraId="68F9DC80">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中国质量认证中心</w:t>
            </w:r>
          </w:p>
          <w:p w14:paraId="1063B622">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电能（北京）认证中心有限公司</w:t>
            </w:r>
          </w:p>
          <w:p w14:paraId="057B4B13">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方圆标志认证集团有限公司</w:t>
            </w:r>
          </w:p>
        </w:tc>
      </w:tr>
      <w:tr w14:paraId="7802C0C6">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jc w:val="center"/>
        </w:trPr>
        <w:tc>
          <w:tcPr>
            <w:tcW w:w="568" w:type="dxa"/>
            <w:shd w:val="clear" w:color="auto" w:fill="FFFFFF"/>
            <w:noWrap/>
            <w:tcMar>
              <w:top w:w="0" w:type="dxa"/>
              <w:left w:w="108" w:type="dxa"/>
              <w:bottom w:w="0" w:type="dxa"/>
              <w:right w:w="108" w:type="dxa"/>
            </w:tcMar>
            <w:vAlign w:val="center"/>
          </w:tcPr>
          <w:p w14:paraId="763956E1">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9</w:t>
            </w:r>
          </w:p>
        </w:tc>
        <w:tc>
          <w:tcPr>
            <w:tcW w:w="1134" w:type="dxa"/>
            <w:shd w:val="clear" w:color="auto" w:fill="FFFFFF"/>
            <w:noWrap/>
            <w:tcMar>
              <w:top w:w="0" w:type="dxa"/>
              <w:left w:w="108" w:type="dxa"/>
              <w:bottom w:w="0" w:type="dxa"/>
              <w:right w:w="108" w:type="dxa"/>
            </w:tcMar>
            <w:vAlign w:val="center"/>
          </w:tcPr>
          <w:p w14:paraId="47E9A9FD">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A020609</w:t>
            </w:r>
          </w:p>
        </w:tc>
        <w:tc>
          <w:tcPr>
            <w:tcW w:w="1347" w:type="dxa"/>
            <w:shd w:val="clear" w:color="auto" w:fill="FFFFFF"/>
            <w:noWrap/>
            <w:tcMar>
              <w:top w:w="0" w:type="dxa"/>
              <w:left w:w="108" w:type="dxa"/>
              <w:bottom w:w="0" w:type="dxa"/>
              <w:right w:w="108" w:type="dxa"/>
            </w:tcMar>
            <w:vAlign w:val="center"/>
          </w:tcPr>
          <w:p w14:paraId="222C52F7">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镇流器</w:t>
            </w:r>
          </w:p>
        </w:tc>
        <w:tc>
          <w:tcPr>
            <w:tcW w:w="1402" w:type="dxa"/>
            <w:shd w:val="clear" w:color="auto" w:fill="FFFFFF"/>
            <w:noWrap/>
            <w:tcMar>
              <w:top w:w="0" w:type="dxa"/>
              <w:left w:w="108" w:type="dxa"/>
              <w:bottom w:w="0" w:type="dxa"/>
              <w:right w:w="108" w:type="dxa"/>
            </w:tcMar>
            <w:vAlign w:val="center"/>
          </w:tcPr>
          <w:p w14:paraId="3F1C72D7">
            <w:pPr>
              <w:widowControl/>
              <w:spacing w:line="276" w:lineRule="auto"/>
              <w:jc w:val="center"/>
              <w:textAlignment w:val="baseline"/>
              <w:rPr>
                <w:rFonts w:hint="default" w:ascii="仿宋" w:hAnsi="仿宋" w:eastAsia="仿宋" w:cs="宋体"/>
                <w:color w:val="auto"/>
                <w:w w:val="90"/>
                <w:kern w:val="0"/>
                <w:sz w:val="22"/>
                <w:szCs w:val="22"/>
                <w:highlight w:val="none"/>
              </w:rPr>
            </w:pPr>
          </w:p>
        </w:tc>
        <w:tc>
          <w:tcPr>
            <w:tcW w:w="2070" w:type="dxa"/>
            <w:shd w:val="clear" w:color="auto" w:fill="FFFFFF"/>
            <w:noWrap/>
            <w:tcMar>
              <w:top w:w="0" w:type="dxa"/>
              <w:left w:w="108" w:type="dxa"/>
              <w:bottom w:w="0" w:type="dxa"/>
              <w:right w:w="108" w:type="dxa"/>
            </w:tcMar>
            <w:vAlign w:val="center"/>
          </w:tcPr>
          <w:p w14:paraId="3D721E65">
            <w:pPr>
              <w:widowControl/>
              <w:spacing w:line="276" w:lineRule="auto"/>
              <w:jc w:val="center"/>
              <w:textAlignment w:val="baseline"/>
              <w:rPr>
                <w:rFonts w:hint="default" w:ascii="仿宋" w:hAnsi="仿宋" w:eastAsia="仿宋" w:cs="宋体"/>
                <w:color w:val="auto"/>
                <w:w w:val="90"/>
                <w:kern w:val="0"/>
                <w:sz w:val="22"/>
                <w:szCs w:val="22"/>
                <w:highlight w:val="none"/>
              </w:rPr>
            </w:pPr>
          </w:p>
        </w:tc>
        <w:tc>
          <w:tcPr>
            <w:tcW w:w="3261" w:type="dxa"/>
            <w:shd w:val="clear" w:color="auto" w:fill="FFFFFF"/>
            <w:noWrap/>
            <w:tcMar>
              <w:top w:w="0" w:type="dxa"/>
              <w:left w:w="108" w:type="dxa"/>
              <w:bottom w:w="0" w:type="dxa"/>
              <w:right w:w="108" w:type="dxa"/>
            </w:tcMar>
            <w:vAlign w:val="center"/>
          </w:tcPr>
          <w:p w14:paraId="18CD21A7">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中国质量认证中心</w:t>
            </w:r>
          </w:p>
          <w:p w14:paraId="19C6A209">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深圳市计量质量检测研究院</w:t>
            </w:r>
          </w:p>
          <w:p w14:paraId="04B214D1">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中标合信（北京）认证有限公司</w:t>
            </w:r>
          </w:p>
        </w:tc>
      </w:tr>
      <w:tr w14:paraId="6CC69359">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vMerge w:val="restart"/>
            <w:shd w:val="clear" w:color="auto" w:fill="FFFFFF"/>
            <w:noWrap/>
            <w:tcMar>
              <w:top w:w="0" w:type="dxa"/>
              <w:left w:w="108" w:type="dxa"/>
              <w:bottom w:w="0" w:type="dxa"/>
              <w:right w:w="108" w:type="dxa"/>
            </w:tcMar>
            <w:vAlign w:val="center"/>
          </w:tcPr>
          <w:p w14:paraId="4ED83CC9">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10</w:t>
            </w:r>
          </w:p>
        </w:tc>
        <w:tc>
          <w:tcPr>
            <w:tcW w:w="1134" w:type="dxa"/>
            <w:vMerge w:val="restart"/>
            <w:shd w:val="clear" w:color="auto" w:fill="FFFFFF"/>
            <w:noWrap/>
            <w:tcMar>
              <w:top w:w="0" w:type="dxa"/>
              <w:left w:w="108" w:type="dxa"/>
              <w:bottom w:w="0" w:type="dxa"/>
              <w:right w:w="108" w:type="dxa"/>
            </w:tcMar>
            <w:vAlign w:val="center"/>
          </w:tcPr>
          <w:p w14:paraId="5D099035">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A020618</w:t>
            </w:r>
          </w:p>
        </w:tc>
        <w:tc>
          <w:tcPr>
            <w:tcW w:w="1347" w:type="dxa"/>
            <w:vMerge w:val="restart"/>
            <w:shd w:val="clear" w:color="auto" w:fill="FFFFFF"/>
            <w:noWrap/>
            <w:tcMar>
              <w:top w:w="0" w:type="dxa"/>
              <w:left w:w="108" w:type="dxa"/>
              <w:bottom w:w="0" w:type="dxa"/>
              <w:right w:w="108" w:type="dxa"/>
            </w:tcMar>
            <w:vAlign w:val="center"/>
          </w:tcPr>
          <w:p w14:paraId="11F3FD45">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生活用电器</w:t>
            </w:r>
          </w:p>
        </w:tc>
        <w:tc>
          <w:tcPr>
            <w:tcW w:w="1402" w:type="dxa"/>
            <w:shd w:val="clear" w:color="auto" w:fill="FFFFFF"/>
            <w:noWrap/>
            <w:tcMar>
              <w:top w:w="0" w:type="dxa"/>
              <w:left w:w="108" w:type="dxa"/>
              <w:bottom w:w="0" w:type="dxa"/>
              <w:right w:w="108" w:type="dxa"/>
            </w:tcMar>
            <w:vAlign w:val="center"/>
          </w:tcPr>
          <w:p w14:paraId="4F4003D1">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A0206180101</w:t>
            </w:r>
          </w:p>
        </w:tc>
        <w:tc>
          <w:tcPr>
            <w:tcW w:w="2070" w:type="dxa"/>
            <w:shd w:val="clear" w:color="auto" w:fill="FFFFFF"/>
            <w:noWrap/>
            <w:tcMar>
              <w:top w:w="0" w:type="dxa"/>
              <w:left w:w="108" w:type="dxa"/>
              <w:bottom w:w="0" w:type="dxa"/>
              <w:right w:w="108" w:type="dxa"/>
            </w:tcMar>
            <w:vAlign w:val="center"/>
          </w:tcPr>
          <w:p w14:paraId="0FC0B3F0">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电冰箱</w:t>
            </w:r>
          </w:p>
        </w:tc>
        <w:tc>
          <w:tcPr>
            <w:tcW w:w="3261" w:type="dxa"/>
            <w:shd w:val="clear" w:color="auto" w:fill="FFFFFF"/>
            <w:noWrap/>
            <w:tcMar>
              <w:top w:w="0" w:type="dxa"/>
              <w:left w:w="108" w:type="dxa"/>
              <w:bottom w:w="0" w:type="dxa"/>
              <w:right w:w="108" w:type="dxa"/>
            </w:tcMar>
            <w:vAlign w:val="center"/>
          </w:tcPr>
          <w:p w14:paraId="6E475336">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中国质量认证中心</w:t>
            </w:r>
          </w:p>
          <w:p w14:paraId="7BF55C77">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威凯认证检测有限公司</w:t>
            </w:r>
          </w:p>
          <w:p w14:paraId="7945257A">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中家院（北京）检测认证有限公司</w:t>
            </w:r>
          </w:p>
        </w:tc>
      </w:tr>
      <w:tr w14:paraId="49FF0FCE">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jc w:val="center"/>
        </w:trPr>
        <w:tc>
          <w:tcPr>
            <w:tcW w:w="568" w:type="dxa"/>
            <w:vMerge w:val="continue"/>
            <w:shd w:val="clear" w:color="auto" w:fill="FFFFFF"/>
            <w:noWrap/>
            <w:vAlign w:val="center"/>
          </w:tcPr>
          <w:p w14:paraId="100A0FBE">
            <w:pPr>
              <w:widowControl/>
              <w:spacing w:line="276" w:lineRule="auto"/>
              <w:jc w:val="center"/>
              <w:rPr>
                <w:rFonts w:hint="default" w:ascii="仿宋" w:hAnsi="仿宋" w:eastAsia="仿宋" w:cs="宋体"/>
                <w:color w:val="auto"/>
                <w:w w:val="90"/>
                <w:kern w:val="0"/>
                <w:sz w:val="22"/>
                <w:szCs w:val="22"/>
                <w:highlight w:val="none"/>
              </w:rPr>
            </w:pPr>
          </w:p>
        </w:tc>
        <w:tc>
          <w:tcPr>
            <w:tcW w:w="1134" w:type="dxa"/>
            <w:vMerge w:val="continue"/>
            <w:shd w:val="clear" w:color="auto" w:fill="FFFFFF"/>
            <w:noWrap/>
            <w:vAlign w:val="center"/>
          </w:tcPr>
          <w:p w14:paraId="66DBAF00">
            <w:pPr>
              <w:widowControl/>
              <w:spacing w:line="276" w:lineRule="auto"/>
              <w:jc w:val="center"/>
              <w:rPr>
                <w:rFonts w:hint="default" w:ascii="仿宋" w:hAnsi="仿宋" w:eastAsia="仿宋" w:cs="宋体"/>
                <w:color w:val="auto"/>
                <w:w w:val="90"/>
                <w:kern w:val="0"/>
                <w:sz w:val="22"/>
                <w:szCs w:val="22"/>
                <w:highlight w:val="none"/>
              </w:rPr>
            </w:pPr>
          </w:p>
        </w:tc>
        <w:tc>
          <w:tcPr>
            <w:tcW w:w="1347" w:type="dxa"/>
            <w:vMerge w:val="continue"/>
            <w:shd w:val="clear" w:color="auto" w:fill="FFFFFF"/>
            <w:noWrap/>
            <w:vAlign w:val="center"/>
          </w:tcPr>
          <w:p w14:paraId="74259BAF">
            <w:pPr>
              <w:widowControl/>
              <w:spacing w:line="276" w:lineRule="auto"/>
              <w:jc w:val="center"/>
              <w:rPr>
                <w:rFonts w:hint="default" w:ascii="仿宋" w:hAnsi="仿宋" w:eastAsia="仿宋" w:cs="宋体"/>
                <w:color w:val="auto"/>
                <w:w w:val="90"/>
                <w:kern w:val="0"/>
                <w:sz w:val="22"/>
                <w:szCs w:val="22"/>
                <w:highlight w:val="none"/>
              </w:rPr>
            </w:pPr>
          </w:p>
        </w:tc>
        <w:tc>
          <w:tcPr>
            <w:tcW w:w="1402" w:type="dxa"/>
            <w:shd w:val="clear" w:color="auto" w:fill="FFFFFF"/>
            <w:noWrap/>
            <w:tcMar>
              <w:left w:w="108" w:type="dxa"/>
              <w:right w:w="108" w:type="dxa"/>
            </w:tcMar>
            <w:vAlign w:val="center"/>
          </w:tcPr>
          <w:p w14:paraId="5557F31B">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A0206180203</w:t>
            </w:r>
          </w:p>
        </w:tc>
        <w:tc>
          <w:tcPr>
            <w:tcW w:w="2070" w:type="dxa"/>
            <w:shd w:val="clear" w:color="auto" w:fill="FFFFFF"/>
            <w:noWrap/>
            <w:tcMar>
              <w:top w:w="0" w:type="dxa"/>
              <w:left w:w="0" w:type="dxa"/>
              <w:bottom w:w="0" w:type="dxa"/>
              <w:right w:w="0" w:type="dxa"/>
            </w:tcMar>
            <w:vAlign w:val="center"/>
          </w:tcPr>
          <w:p w14:paraId="71D70C43">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空调机</w:t>
            </w:r>
          </w:p>
        </w:tc>
        <w:tc>
          <w:tcPr>
            <w:tcW w:w="3261" w:type="dxa"/>
            <w:shd w:val="clear" w:color="auto" w:fill="FFFFFF"/>
            <w:noWrap/>
            <w:tcMar>
              <w:top w:w="0" w:type="dxa"/>
              <w:bottom w:w="0" w:type="dxa"/>
            </w:tcMar>
            <w:vAlign w:val="center"/>
          </w:tcPr>
          <w:p w14:paraId="68AE72F2">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中国质量认证中心</w:t>
            </w:r>
          </w:p>
          <w:p w14:paraId="36DD6312">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威凯认证检测有限公司</w:t>
            </w:r>
          </w:p>
          <w:p w14:paraId="1C5B619F">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中家院（北京）检测认证有限公司</w:t>
            </w:r>
          </w:p>
          <w:p w14:paraId="07424BB7">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合肥通用机械产品认证有限公司</w:t>
            </w:r>
          </w:p>
        </w:tc>
      </w:tr>
      <w:tr w14:paraId="6429AFF9">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jc w:val="center"/>
        </w:trPr>
        <w:tc>
          <w:tcPr>
            <w:tcW w:w="568" w:type="dxa"/>
            <w:vMerge w:val="continue"/>
            <w:shd w:val="clear" w:color="auto" w:fill="FFFFFF"/>
            <w:noWrap/>
            <w:vAlign w:val="center"/>
          </w:tcPr>
          <w:p w14:paraId="396625CB">
            <w:pPr>
              <w:widowControl/>
              <w:spacing w:line="276" w:lineRule="auto"/>
              <w:jc w:val="center"/>
              <w:rPr>
                <w:rFonts w:hint="default" w:ascii="仿宋" w:hAnsi="仿宋" w:eastAsia="仿宋" w:cs="宋体"/>
                <w:color w:val="auto"/>
                <w:w w:val="90"/>
                <w:kern w:val="0"/>
                <w:sz w:val="22"/>
                <w:szCs w:val="22"/>
                <w:highlight w:val="none"/>
              </w:rPr>
            </w:pPr>
          </w:p>
        </w:tc>
        <w:tc>
          <w:tcPr>
            <w:tcW w:w="1134" w:type="dxa"/>
            <w:vMerge w:val="continue"/>
            <w:shd w:val="clear" w:color="auto" w:fill="FFFFFF"/>
            <w:noWrap/>
            <w:vAlign w:val="center"/>
          </w:tcPr>
          <w:p w14:paraId="6B6326DC">
            <w:pPr>
              <w:widowControl/>
              <w:spacing w:line="276" w:lineRule="auto"/>
              <w:jc w:val="center"/>
              <w:rPr>
                <w:rFonts w:hint="default" w:ascii="仿宋" w:hAnsi="仿宋" w:eastAsia="仿宋" w:cs="宋体"/>
                <w:color w:val="auto"/>
                <w:w w:val="90"/>
                <w:kern w:val="0"/>
                <w:sz w:val="22"/>
                <w:szCs w:val="22"/>
                <w:highlight w:val="none"/>
              </w:rPr>
            </w:pPr>
          </w:p>
        </w:tc>
        <w:tc>
          <w:tcPr>
            <w:tcW w:w="1347" w:type="dxa"/>
            <w:vMerge w:val="continue"/>
            <w:shd w:val="clear" w:color="auto" w:fill="FFFFFF"/>
            <w:noWrap/>
            <w:vAlign w:val="center"/>
          </w:tcPr>
          <w:p w14:paraId="06C7F039">
            <w:pPr>
              <w:widowControl/>
              <w:spacing w:line="276" w:lineRule="auto"/>
              <w:jc w:val="center"/>
              <w:rPr>
                <w:rFonts w:hint="default" w:ascii="仿宋" w:hAnsi="仿宋" w:eastAsia="仿宋" w:cs="宋体"/>
                <w:color w:val="auto"/>
                <w:w w:val="90"/>
                <w:kern w:val="0"/>
                <w:sz w:val="22"/>
                <w:szCs w:val="22"/>
                <w:highlight w:val="none"/>
              </w:rPr>
            </w:pPr>
          </w:p>
        </w:tc>
        <w:tc>
          <w:tcPr>
            <w:tcW w:w="1402" w:type="dxa"/>
            <w:shd w:val="clear" w:color="auto" w:fill="FFFFFF"/>
            <w:noWrap/>
            <w:tcMar>
              <w:left w:w="108" w:type="dxa"/>
              <w:right w:w="108" w:type="dxa"/>
            </w:tcMar>
            <w:vAlign w:val="center"/>
          </w:tcPr>
          <w:p w14:paraId="01CE1D15">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A0206180301</w:t>
            </w:r>
          </w:p>
        </w:tc>
        <w:tc>
          <w:tcPr>
            <w:tcW w:w="2070" w:type="dxa"/>
            <w:shd w:val="clear" w:color="auto" w:fill="FFFFFF"/>
            <w:noWrap/>
            <w:tcMar>
              <w:top w:w="0" w:type="dxa"/>
              <w:left w:w="0" w:type="dxa"/>
              <w:bottom w:w="0" w:type="dxa"/>
              <w:right w:w="0" w:type="dxa"/>
            </w:tcMar>
            <w:vAlign w:val="center"/>
          </w:tcPr>
          <w:p w14:paraId="7E786FD8">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洗衣机</w:t>
            </w:r>
          </w:p>
        </w:tc>
        <w:tc>
          <w:tcPr>
            <w:tcW w:w="3261" w:type="dxa"/>
            <w:shd w:val="clear" w:color="auto" w:fill="FFFFFF"/>
            <w:noWrap/>
            <w:tcMar>
              <w:top w:w="0" w:type="dxa"/>
              <w:bottom w:w="0" w:type="dxa"/>
            </w:tcMar>
            <w:vAlign w:val="center"/>
          </w:tcPr>
          <w:p w14:paraId="0F42FB6F">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中国质量认证中心</w:t>
            </w:r>
          </w:p>
          <w:p w14:paraId="1C9E151A">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威凯认证检测有限公司</w:t>
            </w:r>
          </w:p>
          <w:p w14:paraId="239B8DA9">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中家院（北京）检测认证有限公司</w:t>
            </w:r>
          </w:p>
        </w:tc>
      </w:tr>
      <w:tr w14:paraId="7C726483">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vMerge w:val="continue"/>
            <w:shd w:val="clear" w:color="auto" w:fill="FFFFFF"/>
            <w:noWrap/>
            <w:vAlign w:val="center"/>
          </w:tcPr>
          <w:p w14:paraId="4C48DEBB">
            <w:pPr>
              <w:widowControl/>
              <w:spacing w:line="276" w:lineRule="auto"/>
              <w:jc w:val="center"/>
              <w:rPr>
                <w:rFonts w:hint="default" w:ascii="仿宋" w:hAnsi="仿宋" w:eastAsia="仿宋" w:cs="宋体"/>
                <w:color w:val="auto"/>
                <w:w w:val="90"/>
                <w:kern w:val="0"/>
                <w:sz w:val="22"/>
                <w:szCs w:val="22"/>
                <w:highlight w:val="none"/>
              </w:rPr>
            </w:pPr>
          </w:p>
        </w:tc>
        <w:tc>
          <w:tcPr>
            <w:tcW w:w="1134" w:type="dxa"/>
            <w:vMerge w:val="continue"/>
            <w:shd w:val="clear" w:color="auto" w:fill="FFFFFF"/>
            <w:noWrap/>
            <w:vAlign w:val="center"/>
          </w:tcPr>
          <w:p w14:paraId="1C217DEF">
            <w:pPr>
              <w:widowControl/>
              <w:spacing w:line="276" w:lineRule="auto"/>
              <w:jc w:val="center"/>
              <w:rPr>
                <w:rFonts w:hint="default" w:ascii="仿宋" w:hAnsi="仿宋" w:eastAsia="仿宋" w:cs="宋体"/>
                <w:color w:val="auto"/>
                <w:w w:val="90"/>
                <w:kern w:val="0"/>
                <w:sz w:val="22"/>
                <w:szCs w:val="22"/>
                <w:highlight w:val="none"/>
              </w:rPr>
            </w:pPr>
          </w:p>
        </w:tc>
        <w:tc>
          <w:tcPr>
            <w:tcW w:w="1347" w:type="dxa"/>
            <w:vMerge w:val="continue"/>
            <w:shd w:val="clear" w:color="auto" w:fill="FFFFFF"/>
            <w:noWrap/>
            <w:vAlign w:val="center"/>
          </w:tcPr>
          <w:p w14:paraId="560B16C0">
            <w:pPr>
              <w:widowControl/>
              <w:spacing w:line="276" w:lineRule="auto"/>
              <w:jc w:val="center"/>
              <w:rPr>
                <w:rFonts w:hint="default" w:ascii="仿宋" w:hAnsi="仿宋" w:eastAsia="仿宋" w:cs="宋体"/>
                <w:color w:val="auto"/>
                <w:w w:val="90"/>
                <w:kern w:val="0"/>
                <w:sz w:val="22"/>
                <w:szCs w:val="22"/>
                <w:highlight w:val="none"/>
              </w:rPr>
            </w:pPr>
          </w:p>
        </w:tc>
        <w:tc>
          <w:tcPr>
            <w:tcW w:w="1402" w:type="dxa"/>
            <w:shd w:val="clear" w:color="auto" w:fill="FFFFFF"/>
            <w:noWrap/>
            <w:tcMar>
              <w:left w:w="108" w:type="dxa"/>
              <w:right w:w="108" w:type="dxa"/>
            </w:tcMar>
            <w:vAlign w:val="center"/>
          </w:tcPr>
          <w:p w14:paraId="5AD18ACB">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A02061808</w:t>
            </w:r>
          </w:p>
        </w:tc>
        <w:tc>
          <w:tcPr>
            <w:tcW w:w="2070" w:type="dxa"/>
            <w:shd w:val="clear" w:color="auto" w:fill="FFFFFF"/>
            <w:noWrap/>
            <w:tcMar>
              <w:top w:w="0" w:type="dxa"/>
              <w:left w:w="0" w:type="dxa"/>
              <w:bottom w:w="0" w:type="dxa"/>
              <w:right w:w="0" w:type="dxa"/>
            </w:tcMar>
            <w:vAlign w:val="center"/>
          </w:tcPr>
          <w:p w14:paraId="51C6E341">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热水器</w:t>
            </w:r>
          </w:p>
        </w:tc>
        <w:tc>
          <w:tcPr>
            <w:tcW w:w="3261" w:type="dxa"/>
            <w:shd w:val="clear" w:color="auto" w:fill="FFFFFF"/>
            <w:noWrap/>
            <w:tcMar>
              <w:top w:w="0" w:type="dxa"/>
              <w:bottom w:w="0" w:type="dxa"/>
            </w:tcMar>
            <w:vAlign w:val="center"/>
          </w:tcPr>
          <w:p w14:paraId="43E64B85">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中国质量认证中心</w:t>
            </w:r>
          </w:p>
          <w:p w14:paraId="5B65E5CD">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威凯认证检测有限公司</w:t>
            </w:r>
          </w:p>
          <w:p w14:paraId="5AC7EA68">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中家院（北京）检测认证有限公司</w:t>
            </w:r>
          </w:p>
          <w:p w14:paraId="6656ABF5">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合肥通用机械产品认证有限公司(范围仅限于“热泵热水器”)</w:t>
            </w:r>
          </w:p>
        </w:tc>
      </w:tr>
      <w:tr w14:paraId="46120425">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shd w:val="clear" w:color="auto" w:fill="FFFFFF"/>
            <w:noWrap/>
            <w:tcMar>
              <w:top w:w="0" w:type="dxa"/>
              <w:left w:w="108" w:type="dxa"/>
              <w:bottom w:w="0" w:type="dxa"/>
              <w:right w:w="108" w:type="dxa"/>
            </w:tcMar>
            <w:vAlign w:val="center"/>
          </w:tcPr>
          <w:p w14:paraId="7468AF36">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11</w:t>
            </w:r>
          </w:p>
        </w:tc>
        <w:tc>
          <w:tcPr>
            <w:tcW w:w="1134" w:type="dxa"/>
            <w:shd w:val="clear" w:color="auto" w:fill="FFFFFF"/>
            <w:noWrap/>
            <w:tcMar>
              <w:top w:w="0" w:type="dxa"/>
              <w:left w:w="108" w:type="dxa"/>
              <w:bottom w:w="0" w:type="dxa"/>
              <w:right w:w="108" w:type="dxa"/>
            </w:tcMar>
            <w:vAlign w:val="center"/>
          </w:tcPr>
          <w:p w14:paraId="300AEB3E">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A020619</w:t>
            </w:r>
          </w:p>
        </w:tc>
        <w:tc>
          <w:tcPr>
            <w:tcW w:w="1347" w:type="dxa"/>
            <w:shd w:val="clear" w:color="auto" w:fill="FFFFFF"/>
            <w:noWrap/>
            <w:tcMar>
              <w:top w:w="0" w:type="dxa"/>
              <w:left w:w="108" w:type="dxa"/>
              <w:bottom w:w="0" w:type="dxa"/>
              <w:right w:w="108" w:type="dxa"/>
            </w:tcMar>
            <w:vAlign w:val="center"/>
          </w:tcPr>
          <w:p w14:paraId="54D2FB38">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照明设备</w:t>
            </w:r>
          </w:p>
        </w:tc>
        <w:tc>
          <w:tcPr>
            <w:tcW w:w="1402" w:type="dxa"/>
            <w:shd w:val="clear" w:color="auto" w:fill="FFFFFF"/>
            <w:noWrap/>
            <w:tcMar>
              <w:top w:w="0" w:type="dxa"/>
              <w:left w:w="108" w:type="dxa"/>
              <w:bottom w:w="0" w:type="dxa"/>
              <w:right w:w="108" w:type="dxa"/>
            </w:tcMar>
            <w:vAlign w:val="center"/>
          </w:tcPr>
          <w:p w14:paraId="0346C5FD">
            <w:pPr>
              <w:widowControl/>
              <w:spacing w:line="276" w:lineRule="auto"/>
              <w:jc w:val="center"/>
              <w:textAlignment w:val="baseline"/>
              <w:rPr>
                <w:rFonts w:hint="default" w:ascii="仿宋" w:hAnsi="仿宋" w:eastAsia="仿宋" w:cs="宋体"/>
                <w:color w:val="auto"/>
                <w:w w:val="90"/>
                <w:kern w:val="0"/>
                <w:sz w:val="22"/>
                <w:szCs w:val="22"/>
                <w:highlight w:val="none"/>
              </w:rPr>
            </w:pPr>
          </w:p>
        </w:tc>
        <w:tc>
          <w:tcPr>
            <w:tcW w:w="2070" w:type="dxa"/>
            <w:shd w:val="clear" w:color="auto" w:fill="FFFFFF"/>
            <w:noWrap/>
            <w:tcMar>
              <w:top w:w="0" w:type="dxa"/>
              <w:left w:w="108" w:type="dxa"/>
              <w:bottom w:w="0" w:type="dxa"/>
              <w:right w:w="108" w:type="dxa"/>
            </w:tcMar>
            <w:vAlign w:val="center"/>
          </w:tcPr>
          <w:p w14:paraId="35DA3375">
            <w:pPr>
              <w:widowControl/>
              <w:spacing w:line="276" w:lineRule="auto"/>
              <w:jc w:val="center"/>
              <w:textAlignment w:val="baseline"/>
              <w:rPr>
                <w:rFonts w:hint="default" w:ascii="仿宋" w:hAnsi="仿宋" w:eastAsia="仿宋" w:cs="宋体"/>
                <w:color w:val="auto"/>
                <w:w w:val="90"/>
                <w:kern w:val="0"/>
                <w:sz w:val="22"/>
                <w:szCs w:val="22"/>
                <w:highlight w:val="none"/>
              </w:rPr>
            </w:pPr>
          </w:p>
        </w:tc>
        <w:tc>
          <w:tcPr>
            <w:tcW w:w="3261" w:type="dxa"/>
            <w:shd w:val="clear" w:color="auto" w:fill="FFFFFF"/>
            <w:noWrap/>
            <w:tcMar>
              <w:top w:w="0" w:type="dxa"/>
              <w:left w:w="108" w:type="dxa"/>
              <w:bottom w:w="0" w:type="dxa"/>
              <w:right w:w="108" w:type="dxa"/>
            </w:tcMar>
            <w:vAlign w:val="center"/>
          </w:tcPr>
          <w:p w14:paraId="070D37B5">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中国质量认证中心</w:t>
            </w:r>
          </w:p>
          <w:p w14:paraId="25195DF3">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深圳市计量质量检测研究院</w:t>
            </w:r>
          </w:p>
          <w:p w14:paraId="3DFBFC81">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中标合信（北京）认证有限公司</w:t>
            </w:r>
          </w:p>
        </w:tc>
      </w:tr>
      <w:tr w14:paraId="5932999C">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shd w:val="clear" w:color="auto" w:fill="FFFFFF"/>
            <w:noWrap/>
            <w:tcMar>
              <w:top w:w="0" w:type="dxa"/>
              <w:left w:w="108" w:type="dxa"/>
              <w:bottom w:w="0" w:type="dxa"/>
              <w:right w:w="108" w:type="dxa"/>
            </w:tcMar>
            <w:vAlign w:val="center"/>
          </w:tcPr>
          <w:p w14:paraId="6CF2F6DB">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12</w:t>
            </w:r>
          </w:p>
        </w:tc>
        <w:tc>
          <w:tcPr>
            <w:tcW w:w="1134" w:type="dxa"/>
            <w:shd w:val="clear" w:color="auto" w:fill="FFFFFF"/>
            <w:noWrap/>
            <w:tcMar>
              <w:top w:w="0" w:type="dxa"/>
              <w:left w:w="108" w:type="dxa"/>
              <w:bottom w:w="0" w:type="dxa"/>
              <w:right w:w="108" w:type="dxa"/>
            </w:tcMar>
            <w:vAlign w:val="center"/>
          </w:tcPr>
          <w:p w14:paraId="23F4D887">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A020910</w:t>
            </w:r>
          </w:p>
        </w:tc>
        <w:tc>
          <w:tcPr>
            <w:tcW w:w="1347" w:type="dxa"/>
            <w:shd w:val="clear" w:color="auto" w:fill="FFFFFF"/>
            <w:noWrap/>
            <w:tcMar>
              <w:top w:w="0" w:type="dxa"/>
              <w:left w:w="108" w:type="dxa"/>
              <w:bottom w:w="0" w:type="dxa"/>
              <w:right w:w="108" w:type="dxa"/>
            </w:tcMar>
            <w:vAlign w:val="center"/>
          </w:tcPr>
          <w:p w14:paraId="5FB94993">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电视设备</w:t>
            </w:r>
          </w:p>
        </w:tc>
        <w:tc>
          <w:tcPr>
            <w:tcW w:w="1402" w:type="dxa"/>
            <w:shd w:val="clear" w:color="auto" w:fill="FFFFFF"/>
            <w:noWrap/>
            <w:tcMar>
              <w:top w:w="0" w:type="dxa"/>
              <w:left w:w="108" w:type="dxa"/>
              <w:bottom w:w="0" w:type="dxa"/>
              <w:right w:w="108" w:type="dxa"/>
            </w:tcMar>
            <w:vAlign w:val="center"/>
          </w:tcPr>
          <w:p w14:paraId="5D946BE2">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A02091001</w:t>
            </w:r>
          </w:p>
        </w:tc>
        <w:tc>
          <w:tcPr>
            <w:tcW w:w="2070" w:type="dxa"/>
            <w:shd w:val="clear" w:color="auto" w:fill="FFFFFF"/>
            <w:noWrap/>
            <w:tcMar>
              <w:top w:w="0" w:type="dxa"/>
              <w:left w:w="108" w:type="dxa"/>
              <w:bottom w:w="0" w:type="dxa"/>
              <w:right w:w="108" w:type="dxa"/>
            </w:tcMar>
            <w:vAlign w:val="center"/>
          </w:tcPr>
          <w:p w14:paraId="623AD75F">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普通电视设备（电视机）</w:t>
            </w:r>
          </w:p>
        </w:tc>
        <w:tc>
          <w:tcPr>
            <w:tcW w:w="3261" w:type="dxa"/>
            <w:vMerge w:val="restart"/>
            <w:shd w:val="clear" w:color="auto" w:fill="FFFFFF"/>
            <w:noWrap/>
            <w:tcMar>
              <w:top w:w="0" w:type="dxa"/>
              <w:left w:w="108" w:type="dxa"/>
              <w:bottom w:w="0" w:type="dxa"/>
              <w:right w:w="108" w:type="dxa"/>
            </w:tcMar>
            <w:vAlign w:val="center"/>
          </w:tcPr>
          <w:p w14:paraId="744149A9">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中国质量认证中心</w:t>
            </w:r>
          </w:p>
          <w:p w14:paraId="0EA558FB">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北京泰瑞特认证有限责任公司</w:t>
            </w:r>
          </w:p>
          <w:p w14:paraId="3814947D">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广州赛宝认证中心服务有限公司</w:t>
            </w:r>
          </w:p>
        </w:tc>
      </w:tr>
      <w:tr w14:paraId="1F19A35C">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shd w:val="clear" w:color="auto" w:fill="FFFFFF"/>
            <w:noWrap/>
            <w:tcMar>
              <w:top w:w="0" w:type="dxa"/>
              <w:left w:w="108" w:type="dxa"/>
              <w:bottom w:w="0" w:type="dxa"/>
              <w:right w:w="108" w:type="dxa"/>
            </w:tcMar>
            <w:vAlign w:val="center"/>
          </w:tcPr>
          <w:p w14:paraId="7261A101">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13</w:t>
            </w:r>
          </w:p>
        </w:tc>
        <w:tc>
          <w:tcPr>
            <w:tcW w:w="1134" w:type="dxa"/>
            <w:shd w:val="clear" w:color="auto" w:fill="FFFFFF"/>
            <w:noWrap/>
            <w:tcMar>
              <w:top w:w="0" w:type="dxa"/>
              <w:left w:w="108" w:type="dxa"/>
              <w:bottom w:w="0" w:type="dxa"/>
              <w:right w:w="108" w:type="dxa"/>
            </w:tcMar>
            <w:vAlign w:val="center"/>
          </w:tcPr>
          <w:p w14:paraId="6FEE564F">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A020911</w:t>
            </w:r>
          </w:p>
        </w:tc>
        <w:tc>
          <w:tcPr>
            <w:tcW w:w="1347" w:type="dxa"/>
            <w:shd w:val="clear" w:color="auto" w:fill="FFFFFF"/>
            <w:noWrap/>
            <w:tcMar>
              <w:top w:w="0" w:type="dxa"/>
              <w:left w:w="108" w:type="dxa"/>
              <w:bottom w:w="0" w:type="dxa"/>
              <w:right w:w="108" w:type="dxa"/>
            </w:tcMar>
            <w:vAlign w:val="center"/>
          </w:tcPr>
          <w:p w14:paraId="5D85672D">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视频设备</w:t>
            </w:r>
          </w:p>
        </w:tc>
        <w:tc>
          <w:tcPr>
            <w:tcW w:w="1402" w:type="dxa"/>
            <w:shd w:val="clear" w:color="auto" w:fill="FFFFFF"/>
            <w:noWrap/>
            <w:tcMar>
              <w:top w:w="0" w:type="dxa"/>
              <w:left w:w="108" w:type="dxa"/>
              <w:bottom w:w="0" w:type="dxa"/>
              <w:right w:w="108" w:type="dxa"/>
            </w:tcMar>
            <w:vAlign w:val="center"/>
          </w:tcPr>
          <w:p w14:paraId="0F82387C">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A02091107</w:t>
            </w:r>
          </w:p>
        </w:tc>
        <w:tc>
          <w:tcPr>
            <w:tcW w:w="2070" w:type="dxa"/>
            <w:shd w:val="clear" w:color="auto" w:fill="FFFFFF"/>
            <w:noWrap/>
            <w:tcMar>
              <w:top w:w="0" w:type="dxa"/>
              <w:left w:w="108" w:type="dxa"/>
              <w:bottom w:w="0" w:type="dxa"/>
              <w:right w:w="108" w:type="dxa"/>
            </w:tcMar>
            <w:vAlign w:val="center"/>
          </w:tcPr>
          <w:p w14:paraId="71302120">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视频监控设备</w:t>
            </w:r>
          </w:p>
        </w:tc>
        <w:tc>
          <w:tcPr>
            <w:tcW w:w="3261" w:type="dxa"/>
            <w:vMerge w:val="continue"/>
            <w:shd w:val="clear" w:color="auto" w:fill="FFFFFF"/>
            <w:noWrap/>
            <w:tcMar>
              <w:top w:w="0" w:type="dxa"/>
              <w:left w:w="0" w:type="dxa"/>
              <w:bottom w:w="0" w:type="dxa"/>
              <w:right w:w="0" w:type="dxa"/>
            </w:tcMar>
            <w:vAlign w:val="center"/>
          </w:tcPr>
          <w:p w14:paraId="48E05F89">
            <w:pPr>
              <w:widowControl/>
              <w:spacing w:line="276" w:lineRule="auto"/>
              <w:jc w:val="left"/>
              <w:rPr>
                <w:rFonts w:hint="default" w:ascii="仿宋" w:hAnsi="仿宋" w:eastAsia="仿宋" w:cs="宋体"/>
                <w:color w:val="auto"/>
                <w:w w:val="90"/>
                <w:kern w:val="0"/>
                <w:sz w:val="22"/>
                <w:szCs w:val="22"/>
                <w:highlight w:val="none"/>
              </w:rPr>
            </w:pPr>
          </w:p>
        </w:tc>
      </w:tr>
      <w:tr w14:paraId="48140667">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jc w:val="center"/>
        </w:trPr>
        <w:tc>
          <w:tcPr>
            <w:tcW w:w="568" w:type="dxa"/>
            <w:shd w:val="clear" w:color="auto" w:fill="FFFFFF"/>
            <w:noWrap/>
            <w:tcMar>
              <w:top w:w="0" w:type="dxa"/>
              <w:left w:w="108" w:type="dxa"/>
              <w:bottom w:w="0" w:type="dxa"/>
              <w:right w:w="108" w:type="dxa"/>
            </w:tcMar>
            <w:vAlign w:val="center"/>
          </w:tcPr>
          <w:p w14:paraId="1CC1103D">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14</w:t>
            </w:r>
          </w:p>
        </w:tc>
        <w:tc>
          <w:tcPr>
            <w:tcW w:w="1134" w:type="dxa"/>
            <w:shd w:val="clear" w:color="auto" w:fill="FFFFFF"/>
            <w:noWrap/>
            <w:tcMar>
              <w:top w:w="0" w:type="dxa"/>
              <w:left w:w="108" w:type="dxa"/>
              <w:bottom w:w="0" w:type="dxa"/>
              <w:right w:w="108" w:type="dxa"/>
            </w:tcMar>
            <w:vAlign w:val="center"/>
          </w:tcPr>
          <w:p w14:paraId="00888007">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A031210</w:t>
            </w:r>
          </w:p>
        </w:tc>
        <w:tc>
          <w:tcPr>
            <w:tcW w:w="1347" w:type="dxa"/>
            <w:shd w:val="clear" w:color="auto" w:fill="FFFFFF"/>
            <w:noWrap/>
            <w:tcMar>
              <w:top w:w="0" w:type="dxa"/>
              <w:left w:w="108" w:type="dxa"/>
              <w:bottom w:w="0" w:type="dxa"/>
              <w:right w:w="108" w:type="dxa"/>
            </w:tcMar>
            <w:vAlign w:val="center"/>
          </w:tcPr>
          <w:p w14:paraId="604E6EDD">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饮食炊事机械</w:t>
            </w:r>
          </w:p>
        </w:tc>
        <w:tc>
          <w:tcPr>
            <w:tcW w:w="1402" w:type="dxa"/>
            <w:shd w:val="clear" w:color="auto" w:fill="FFFFFF"/>
            <w:noWrap/>
            <w:tcMar>
              <w:top w:w="0" w:type="dxa"/>
              <w:left w:w="108" w:type="dxa"/>
              <w:bottom w:w="0" w:type="dxa"/>
              <w:right w:w="108" w:type="dxa"/>
            </w:tcMar>
            <w:vAlign w:val="center"/>
          </w:tcPr>
          <w:p w14:paraId="07ADC056">
            <w:pPr>
              <w:widowControl/>
              <w:spacing w:line="276" w:lineRule="auto"/>
              <w:jc w:val="center"/>
              <w:textAlignment w:val="baseline"/>
              <w:rPr>
                <w:rFonts w:hint="default" w:ascii="仿宋" w:hAnsi="仿宋" w:eastAsia="仿宋" w:cs="宋体"/>
                <w:color w:val="auto"/>
                <w:w w:val="90"/>
                <w:kern w:val="0"/>
                <w:sz w:val="22"/>
                <w:szCs w:val="22"/>
                <w:highlight w:val="none"/>
              </w:rPr>
            </w:pPr>
          </w:p>
        </w:tc>
        <w:tc>
          <w:tcPr>
            <w:tcW w:w="2070" w:type="dxa"/>
            <w:shd w:val="clear" w:color="auto" w:fill="FFFFFF"/>
            <w:noWrap/>
            <w:tcMar>
              <w:top w:w="0" w:type="dxa"/>
              <w:left w:w="108" w:type="dxa"/>
              <w:bottom w:w="0" w:type="dxa"/>
              <w:right w:w="108" w:type="dxa"/>
            </w:tcMar>
            <w:vAlign w:val="center"/>
          </w:tcPr>
          <w:p w14:paraId="1FD22BAC">
            <w:pPr>
              <w:widowControl/>
              <w:spacing w:line="276" w:lineRule="auto"/>
              <w:jc w:val="center"/>
              <w:textAlignment w:val="baseline"/>
              <w:rPr>
                <w:rFonts w:hint="default" w:ascii="仿宋" w:hAnsi="仿宋" w:eastAsia="仿宋" w:cs="宋体"/>
                <w:color w:val="auto"/>
                <w:w w:val="90"/>
                <w:kern w:val="0"/>
                <w:sz w:val="22"/>
                <w:szCs w:val="22"/>
                <w:highlight w:val="none"/>
              </w:rPr>
            </w:pPr>
          </w:p>
        </w:tc>
        <w:tc>
          <w:tcPr>
            <w:tcW w:w="3261" w:type="dxa"/>
            <w:shd w:val="clear" w:color="auto" w:fill="FFFFFF"/>
            <w:noWrap/>
            <w:tcMar>
              <w:top w:w="0" w:type="dxa"/>
              <w:left w:w="108" w:type="dxa"/>
              <w:bottom w:w="0" w:type="dxa"/>
              <w:right w:w="108" w:type="dxa"/>
            </w:tcMar>
            <w:vAlign w:val="center"/>
          </w:tcPr>
          <w:p w14:paraId="7A90D1B5">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中国质量认证中心</w:t>
            </w:r>
          </w:p>
          <w:p w14:paraId="78302CF5">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北京鉴衡认证中心</w:t>
            </w:r>
          </w:p>
          <w:p w14:paraId="199D6C8F">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中国市政工程华北设计研究总院有限公司</w:t>
            </w:r>
          </w:p>
        </w:tc>
      </w:tr>
      <w:tr w14:paraId="1A772AB8">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shd w:val="clear" w:color="auto" w:fill="FFFFFF"/>
            <w:noWrap/>
            <w:tcMar>
              <w:top w:w="0" w:type="dxa"/>
              <w:left w:w="108" w:type="dxa"/>
              <w:bottom w:w="0" w:type="dxa"/>
              <w:right w:w="108" w:type="dxa"/>
            </w:tcMar>
            <w:vAlign w:val="center"/>
          </w:tcPr>
          <w:p w14:paraId="47C145A7">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15</w:t>
            </w:r>
          </w:p>
        </w:tc>
        <w:tc>
          <w:tcPr>
            <w:tcW w:w="1134" w:type="dxa"/>
            <w:shd w:val="clear" w:color="auto" w:fill="FFFFFF"/>
            <w:noWrap/>
            <w:tcMar>
              <w:top w:w="0" w:type="dxa"/>
              <w:left w:w="108" w:type="dxa"/>
              <w:bottom w:w="0" w:type="dxa"/>
              <w:right w:w="108" w:type="dxa"/>
            </w:tcMar>
            <w:vAlign w:val="center"/>
          </w:tcPr>
          <w:p w14:paraId="3FB902CC">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A060805</w:t>
            </w:r>
          </w:p>
        </w:tc>
        <w:tc>
          <w:tcPr>
            <w:tcW w:w="1347" w:type="dxa"/>
            <w:shd w:val="clear" w:color="auto" w:fill="FFFFFF"/>
            <w:noWrap/>
            <w:tcMar>
              <w:top w:w="0" w:type="dxa"/>
              <w:left w:w="108" w:type="dxa"/>
              <w:bottom w:w="0" w:type="dxa"/>
              <w:right w:w="108" w:type="dxa"/>
            </w:tcMar>
            <w:vAlign w:val="center"/>
          </w:tcPr>
          <w:p w14:paraId="50DAE8F3">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便器</w:t>
            </w:r>
          </w:p>
        </w:tc>
        <w:tc>
          <w:tcPr>
            <w:tcW w:w="1402" w:type="dxa"/>
            <w:shd w:val="clear" w:color="auto" w:fill="FFFFFF"/>
            <w:noWrap/>
            <w:tcMar>
              <w:top w:w="0" w:type="dxa"/>
              <w:left w:w="108" w:type="dxa"/>
              <w:bottom w:w="0" w:type="dxa"/>
              <w:right w:w="108" w:type="dxa"/>
            </w:tcMar>
            <w:vAlign w:val="center"/>
          </w:tcPr>
          <w:p w14:paraId="25DCC9A0">
            <w:pPr>
              <w:widowControl/>
              <w:spacing w:line="276" w:lineRule="auto"/>
              <w:jc w:val="center"/>
              <w:textAlignment w:val="baseline"/>
              <w:rPr>
                <w:rFonts w:hint="default" w:ascii="仿宋" w:hAnsi="仿宋" w:eastAsia="仿宋" w:cs="宋体"/>
                <w:color w:val="auto"/>
                <w:w w:val="90"/>
                <w:kern w:val="0"/>
                <w:sz w:val="22"/>
                <w:szCs w:val="22"/>
                <w:highlight w:val="none"/>
              </w:rPr>
            </w:pPr>
          </w:p>
        </w:tc>
        <w:tc>
          <w:tcPr>
            <w:tcW w:w="2070" w:type="dxa"/>
            <w:shd w:val="clear" w:color="auto" w:fill="FFFFFF"/>
            <w:noWrap/>
            <w:tcMar>
              <w:top w:w="0" w:type="dxa"/>
              <w:left w:w="108" w:type="dxa"/>
              <w:bottom w:w="0" w:type="dxa"/>
              <w:right w:w="108" w:type="dxa"/>
            </w:tcMar>
            <w:vAlign w:val="center"/>
          </w:tcPr>
          <w:p w14:paraId="33F3F747">
            <w:pPr>
              <w:widowControl/>
              <w:spacing w:line="276" w:lineRule="auto"/>
              <w:jc w:val="center"/>
              <w:textAlignment w:val="baseline"/>
              <w:rPr>
                <w:rFonts w:hint="default" w:ascii="仿宋" w:hAnsi="仿宋" w:eastAsia="仿宋" w:cs="宋体"/>
                <w:color w:val="auto"/>
                <w:w w:val="90"/>
                <w:kern w:val="0"/>
                <w:sz w:val="22"/>
                <w:szCs w:val="22"/>
                <w:highlight w:val="none"/>
              </w:rPr>
            </w:pPr>
          </w:p>
        </w:tc>
        <w:tc>
          <w:tcPr>
            <w:tcW w:w="3261" w:type="dxa"/>
            <w:vMerge w:val="restart"/>
            <w:shd w:val="clear" w:color="auto" w:fill="FFFFFF"/>
            <w:noWrap/>
            <w:tcMar>
              <w:top w:w="0" w:type="dxa"/>
              <w:left w:w="108" w:type="dxa"/>
              <w:bottom w:w="0" w:type="dxa"/>
              <w:right w:w="108" w:type="dxa"/>
            </w:tcMar>
            <w:vAlign w:val="center"/>
          </w:tcPr>
          <w:p w14:paraId="081C252D">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中国质量认证中心</w:t>
            </w:r>
          </w:p>
          <w:p w14:paraId="5A093B0B">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北京新华节水产品认证有限公司</w:t>
            </w:r>
          </w:p>
          <w:p w14:paraId="486C3CC7">
            <w:pPr>
              <w:widowControl/>
              <w:spacing w:line="276" w:lineRule="auto"/>
              <w:jc w:val="left"/>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方圆标志认证集团有限公司</w:t>
            </w:r>
          </w:p>
        </w:tc>
      </w:tr>
      <w:tr w14:paraId="4FC7F8DA">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jc w:val="center"/>
        </w:trPr>
        <w:tc>
          <w:tcPr>
            <w:tcW w:w="568" w:type="dxa"/>
            <w:shd w:val="clear" w:color="auto" w:fill="FFFFFF"/>
            <w:noWrap/>
            <w:tcMar>
              <w:top w:w="0" w:type="dxa"/>
              <w:left w:w="108" w:type="dxa"/>
              <w:bottom w:w="0" w:type="dxa"/>
              <w:right w:w="108" w:type="dxa"/>
            </w:tcMar>
            <w:vAlign w:val="center"/>
          </w:tcPr>
          <w:p w14:paraId="59C185D8">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16</w:t>
            </w:r>
          </w:p>
        </w:tc>
        <w:tc>
          <w:tcPr>
            <w:tcW w:w="1134" w:type="dxa"/>
            <w:shd w:val="clear" w:color="auto" w:fill="FFFFFF"/>
            <w:noWrap/>
            <w:tcMar>
              <w:top w:w="0" w:type="dxa"/>
              <w:left w:w="108" w:type="dxa"/>
              <w:bottom w:w="0" w:type="dxa"/>
              <w:right w:w="108" w:type="dxa"/>
            </w:tcMar>
            <w:vAlign w:val="center"/>
          </w:tcPr>
          <w:p w14:paraId="36E01CB3">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A060806</w:t>
            </w:r>
          </w:p>
        </w:tc>
        <w:tc>
          <w:tcPr>
            <w:tcW w:w="1347" w:type="dxa"/>
            <w:shd w:val="clear" w:color="auto" w:fill="FFFFFF"/>
            <w:noWrap/>
            <w:tcMar>
              <w:top w:w="0" w:type="dxa"/>
              <w:left w:w="108" w:type="dxa"/>
              <w:bottom w:w="0" w:type="dxa"/>
              <w:right w:w="108" w:type="dxa"/>
            </w:tcMar>
            <w:vAlign w:val="center"/>
          </w:tcPr>
          <w:p w14:paraId="2B1F66D3">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水嘴</w:t>
            </w:r>
          </w:p>
        </w:tc>
        <w:tc>
          <w:tcPr>
            <w:tcW w:w="1402" w:type="dxa"/>
            <w:shd w:val="clear" w:color="auto" w:fill="FFFFFF"/>
            <w:noWrap/>
            <w:tcMar>
              <w:top w:w="0" w:type="dxa"/>
              <w:left w:w="108" w:type="dxa"/>
              <w:bottom w:w="0" w:type="dxa"/>
              <w:right w:w="108" w:type="dxa"/>
            </w:tcMar>
            <w:vAlign w:val="center"/>
          </w:tcPr>
          <w:p w14:paraId="4290816C">
            <w:pPr>
              <w:widowControl/>
              <w:spacing w:line="276" w:lineRule="auto"/>
              <w:jc w:val="center"/>
              <w:textAlignment w:val="baseline"/>
              <w:rPr>
                <w:rFonts w:hint="default" w:ascii="仿宋" w:hAnsi="仿宋" w:eastAsia="仿宋" w:cs="宋体"/>
                <w:color w:val="auto"/>
                <w:w w:val="90"/>
                <w:kern w:val="0"/>
                <w:sz w:val="22"/>
                <w:szCs w:val="22"/>
                <w:highlight w:val="none"/>
              </w:rPr>
            </w:pPr>
          </w:p>
        </w:tc>
        <w:tc>
          <w:tcPr>
            <w:tcW w:w="2070" w:type="dxa"/>
            <w:shd w:val="clear" w:color="auto" w:fill="FFFFFF"/>
            <w:noWrap/>
            <w:tcMar>
              <w:top w:w="0" w:type="dxa"/>
              <w:left w:w="108" w:type="dxa"/>
              <w:bottom w:w="0" w:type="dxa"/>
              <w:right w:w="108" w:type="dxa"/>
            </w:tcMar>
            <w:vAlign w:val="center"/>
          </w:tcPr>
          <w:p w14:paraId="1A5199A6">
            <w:pPr>
              <w:widowControl/>
              <w:spacing w:line="276" w:lineRule="auto"/>
              <w:jc w:val="center"/>
              <w:textAlignment w:val="baseline"/>
              <w:rPr>
                <w:rFonts w:hint="default" w:ascii="仿宋" w:hAnsi="仿宋" w:eastAsia="仿宋" w:cs="宋体"/>
                <w:color w:val="auto"/>
                <w:w w:val="90"/>
                <w:kern w:val="0"/>
                <w:sz w:val="22"/>
                <w:szCs w:val="22"/>
                <w:highlight w:val="none"/>
              </w:rPr>
            </w:pPr>
          </w:p>
        </w:tc>
        <w:tc>
          <w:tcPr>
            <w:tcW w:w="3261" w:type="dxa"/>
            <w:vMerge w:val="continue"/>
            <w:shd w:val="clear" w:color="auto" w:fill="FFFFFF"/>
            <w:noWrap/>
            <w:tcMar>
              <w:top w:w="0" w:type="dxa"/>
              <w:left w:w="0" w:type="dxa"/>
              <w:bottom w:w="0" w:type="dxa"/>
              <w:right w:w="0" w:type="dxa"/>
            </w:tcMar>
            <w:vAlign w:val="center"/>
          </w:tcPr>
          <w:p w14:paraId="24BC2F27">
            <w:pPr>
              <w:widowControl/>
              <w:spacing w:line="276" w:lineRule="auto"/>
              <w:jc w:val="left"/>
              <w:rPr>
                <w:rFonts w:hint="default" w:ascii="仿宋" w:hAnsi="仿宋" w:eastAsia="仿宋" w:cs="宋体"/>
                <w:color w:val="auto"/>
                <w:w w:val="90"/>
                <w:kern w:val="0"/>
                <w:sz w:val="22"/>
                <w:szCs w:val="22"/>
                <w:highlight w:val="none"/>
              </w:rPr>
            </w:pPr>
          </w:p>
        </w:tc>
      </w:tr>
      <w:tr w14:paraId="7020E948">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tblCellMar>
            <w:top w:w="27" w:type="dxa"/>
            <w:left w:w="27" w:type="dxa"/>
            <w:bottom w:w="27" w:type="dxa"/>
            <w:right w:w="27" w:type="dxa"/>
          </w:tblCellMar>
        </w:tblPrEx>
        <w:trPr>
          <w:trHeight w:val="454" w:hRule="atLeast"/>
          <w:jc w:val="center"/>
        </w:trPr>
        <w:tc>
          <w:tcPr>
            <w:tcW w:w="568" w:type="dxa"/>
            <w:shd w:val="clear" w:color="auto" w:fill="FFFFFF"/>
            <w:noWrap/>
            <w:tcMar>
              <w:top w:w="0" w:type="dxa"/>
              <w:left w:w="108" w:type="dxa"/>
              <w:bottom w:w="0" w:type="dxa"/>
              <w:right w:w="108" w:type="dxa"/>
            </w:tcMar>
            <w:vAlign w:val="center"/>
          </w:tcPr>
          <w:p w14:paraId="40B6FFDF">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17</w:t>
            </w:r>
          </w:p>
        </w:tc>
        <w:tc>
          <w:tcPr>
            <w:tcW w:w="1134" w:type="dxa"/>
            <w:shd w:val="clear" w:color="auto" w:fill="FFFFFF"/>
            <w:noWrap/>
            <w:tcMar>
              <w:top w:w="0" w:type="dxa"/>
              <w:left w:w="108" w:type="dxa"/>
              <w:bottom w:w="0" w:type="dxa"/>
              <w:right w:w="108" w:type="dxa"/>
            </w:tcMar>
            <w:vAlign w:val="center"/>
          </w:tcPr>
          <w:p w14:paraId="0BC5EA07">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A060807</w:t>
            </w:r>
          </w:p>
        </w:tc>
        <w:tc>
          <w:tcPr>
            <w:tcW w:w="1347" w:type="dxa"/>
            <w:shd w:val="clear" w:color="auto" w:fill="FFFFFF"/>
            <w:noWrap/>
            <w:tcMar>
              <w:top w:w="0" w:type="dxa"/>
              <w:left w:w="108" w:type="dxa"/>
              <w:bottom w:w="0" w:type="dxa"/>
              <w:right w:w="108" w:type="dxa"/>
            </w:tcMar>
            <w:vAlign w:val="center"/>
          </w:tcPr>
          <w:p w14:paraId="62F89230">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便器冲洗阀</w:t>
            </w:r>
          </w:p>
        </w:tc>
        <w:tc>
          <w:tcPr>
            <w:tcW w:w="1402" w:type="dxa"/>
            <w:shd w:val="clear" w:color="auto" w:fill="FFFFFF"/>
            <w:noWrap/>
            <w:tcMar>
              <w:top w:w="0" w:type="dxa"/>
              <w:left w:w="108" w:type="dxa"/>
              <w:bottom w:w="0" w:type="dxa"/>
              <w:right w:w="108" w:type="dxa"/>
            </w:tcMar>
            <w:vAlign w:val="center"/>
          </w:tcPr>
          <w:p w14:paraId="0CBF7CC0">
            <w:pPr>
              <w:widowControl/>
              <w:spacing w:line="276" w:lineRule="auto"/>
              <w:jc w:val="center"/>
              <w:textAlignment w:val="baseline"/>
              <w:rPr>
                <w:rFonts w:hint="default" w:ascii="仿宋" w:hAnsi="仿宋" w:eastAsia="仿宋" w:cs="宋体"/>
                <w:color w:val="auto"/>
                <w:w w:val="90"/>
                <w:kern w:val="0"/>
                <w:sz w:val="22"/>
                <w:szCs w:val="22"/>
                <w:highlight w:val="none"/>
              </w:rPr>
            </w:pPr>
          </w:p>
        </w:tc>
        <w:tc>
          <w:tcPr>
            <w:tcW w:w="2070" w:type="dxa"/>
            <w:shd w:val="clear" w:color="auto" w:fill="FFFFFF"/>
            <w:noWrap/>
            <w:tcMar>
              <w:top w:w="0" w:type="dxa"/>
              <w:left w:w="108" w:type="dxa"/>
              <w:bottom w:w="0" w:type="dxa"/>
              <w:right w:w="108" w:type="dxa"/>
            </w:tcMar>
            <w:vAlign w:val="center"/>
          </w:tcPr>
          <w:p w14:paraId="5E9E19F4">
            <w:pPr>
              <w:widowControl/>
              <w:spacing w:line="276" w:lineRule="auto"/>
              <w:jc w:val="center"/>
              <w:textAlignment w:val="baseline"/>
              <w:rPr>
                <w:rFonts w:hint="default" w:ascii="仿宋" w:hAnsi="仿宋" w:eastAsia="仿宋" w:cs="宋体"/>
                <w:color w:val="auto"/>
                <w:w w:val="90"/>
                <w:kern w:val="0"/>
                <w:sz w:val="22"/>
                <w:szCs w:val="22"/>
                <w:highlight w:val="none"/>
              </w:rPr>
            </w:pPr>
          </w:p>
        </w:tc>
        <w:tc>
          <w:tcPr>
            <w:tcW w:w="3261" w:type="dxa"/>
            <w:vMerge w:val="continue"/>
            <w:shd w:val="clear" w:color="auto" w:fill="FFFFFF"/>
            <w:noWrap/>
            <w:tcMar>
              <w:top w:w="0" w:type="dxa"/>
              <w:left w:w="0" w:type="dxa"/>
              <w:bottom w:w="0" w:type="dxa"/>
              <w:right w:w="0" w:type="dxa"/>
            </w:tcMar>
            <w:vAlign w:val="center"/>
          </w:tcPr>
          <w:p w14:paraId="002F6723">
            <w:pPr>
              <w:widowControl/>
              <w:spacing w:line="276" w:lineRule="auto"/>
              <w:jc w:val="left"/>
              <w:rPr>
                <w:rFonts w:hint="default" w:ascii="仿宋" w:hAnsi="仿宋" w:eastAsia="仿宋" w:cs="宋体"/>
                <w:color w:val="auto"/>
                <w:w w:val="90"/>
                <w:kern w:val="0"/>
                <w:sz w:val="22"/>
                <w:szCs w:val="22"/>
                <w:highlight w:val="none"/>
              </w:rPr>
            </w:pPr>
          </w:p>
        </w:tc>
      </w:tr>
      <w:tr w14:paraId="59B9317D">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568" w:type="dxa"/>
            <w:shd w:val="clear" w:color="auto" w:fill="FFFFFF"/>
            <w:noWrap/>
            <w:tcMar>
              <w:top w:w="0" w:type="dxa"/>
              <w:left w:w="108" w:type="dxa"/>
              <w:bottom w:w="0" w:type="dxa"/>
              <w:right w:w="108" w:type="dxa"/>
            </w:tcMar>
            <w:vAlign w:val="center"/>
          </w:tcPr>
          <w:p w14:paraId="23227D25">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18</w:t>
            </w:r>
          </w:p>
        </w:tc>
        <w:tc>
          <w:tcPr>
            <w:tcW w:w="1134" w:type="dxa"/>
            <w:shd w:val="clear" w:color="auto" w:fill="FFFFFF"/>
            <w:noWrap/>
            <w:tcMar>
              <w:top w:w="0" w:type="dxa"/>
              <w:left w:w="108" w:type="dxa"/>
              <w:bottom w:w="0" w:type="dxa"/>
              <w:right w:w="108" w:type="dxa"/>
            </w:tcMar>
            <w:vAlign w:val="center"/>
          </w:tcPr>
          <w:p w14:paraId="07C06C74">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A060810</w:t>
            </w:r>
          </w:p>
        </w:tc>
        <w:tc>
          <w:tcPr>
            <w:tcW w:w="1347" w:type="dxa"/>
            <w:shd w:val="clear" w:color="auto" w:fill="FFFFFF"/>
            <w:noWrap/>
            <w:tcMar>
              <w:top w:w="0" w:type="dxa"/>
              <w:left w:w="108" w:type="dxa"/>
              <w:bottom w:w="0" w:type="dxa"/>
              <w:right w:w="108" w:type="dxa"/>
            </w:tcMar>
            <w:vAlign w:val="center"/>
          </w:tcPr>
          <w:p w14:paraId="1AC9CC85">
            <w:pPr>
              <w:widowControl/>
              <w:spacing w:line="276" w:lineRule="auto"/>
              <w:jc w:val="center"/>
              <w:textAlignment w:val="baseline"/>
              <w:rPr>
                <w:rFonts w:hint="default" w:ascii="仿宋" w:hAnsi="仿宋" w:eastAsia="仿宋" w:cs="宋体"/>
                <w:color w:val="auto"/>
                <w:w w:val="90"/>
                <w:kern w:val="0"/>
                <w:sz w:val="22"/>
                <w:szCs w:val="22"/>
                <w:highlight w:val="none"/>
              </w:rPr>
            </w:pPr>
            <w:r>
              <w:rPr>
                <w:rFonts w:ascii="仿宋" w:hAnsi="仿宋" w:eastAsia="仿宋" w:cs="宋体"/>
                <w:color w:val="auto"/>
                <w:w w:val="90"/>
                <w:kern w:val="0"/>
                <w:sz w:val="22"/>
                <w:szCs w:val="22"/>
                <w:highlight w:val="none"/>
              </w:rPr>
              <w:t>淋浴器</w:t>
            </w:r>
          </w:p>
        </w:tc>
        <w:tc>
          <w:tcPr>
            <w:tcW w:w="1402" w:type="dxa"/>
            <w:shd w:val="clear" w:color="auto" w:fill="FFFFFF"/>
            <w:noWrap/>
            <w:tcMar>
              <w:top w:w="0" w:type="dxa"/>
              <w:left w:w="108" w:type="dxa"/>
              <w:bottom w:w="0" w:type="dxa"/>
              <w:right w:w="108" w:type="dxa"/>
            </w:tcMar>
            <w:vAlign w:val="center"/>
          </w:tcPr>
          <w:p w14:paraId="025FA3D8">
            <w:pPr>
              <w:widowControl/>
              <w:spacing w:line="276" w:lineRule="auto"/>
              <w:jc w:val="center"/>
              <w:textAlignment w:val="baseline"/>
              <w:rPr>
                <w:rFonts w:hint="default" w:ascii="仿宋" w:hAnsi="仿宋" w:eastAsia="仿宋" w:cs="宋体"/>
                <w:color w:val="auto"/>
                <w:w w:val="90"/>
                <w:kern w:val="0"/>
                <w:sz w:val="22"/>
                <w:szCs w:val="22"/>
                <w:highlight w:val="none"/>
              </w:rPr>
            </w:pPr>
          </w:p>
        </w:tc>
        <w:tc>
          <w:tcPr>
            <w:tcW w:w="2070" w:type="dxa"/>
            <w:shd w:val="clear" w:color="auto" w:fill="FFFFFF"/>
            <w:noWrap/>
            <w:tcMar>
              <w:top w:w="0" w:type="dxa"/>
              <w:left w:w="108" w:type="dxa"/>
              <w:bottom w:w="0" w:type="dxa"/>
              <w:right w:w="108" w:type="dxa"/>
            </w:tcMar>
            <w:vAlign w:val="center"/>
          </w:tcPr>
          <w:p w14:paraId="46ACC0BF">
            <w:pPr>
              <w:widowControl/>
              <w:spacing w:line="276" w:lineRule="auto"/>
              <w:jc w:val="center"/>
              <w:textAlignment w:val="baseline"/>
              <w:rPr>
                <w:rFonts w:hint="default" w:ascii="仿宋" w:hAnsi="仿宋" w:eastAsia="仿宋" w:cs="宋体"/>
                <w:color w:val="auto"/>
                <w:w w:val="90"/>
                <w:kern w:val="0"/>
                <w:sz w:val="22"/>
                <w:szCs w:val="22"/>
                <w:highlight w:val="none"/>
              </w:rPr>
            </w:pPr>
          </w:p>
        </w:tc>
        <w:tc>
          <w:tcPr>
            <w:tcW w:w="3261" w:type="dxa"/>
            <w:vMerge w:val="continue"/>
            <w:shd w:val="clear" w:color="auto" w:fill="FFFFFF"/>
            <w:noWrap/>
            <w:tcMar>
              <w:top w:w="0" w:type="dxa"/>
              <w:left w:w="0" w:type="dxa"/>
              <w:bottom w:w="0" w:type="dxa"/>
              <w:right w:w="0" w:type="dxa"/>
            </w:tcMar>
            <w:vAlign w:val="center"/>
          </w:tcPr>
          <w:p w14:paraId="052B7B26">
            <w:pPr>
              <w:widowControl/>
              <w:spacing w:line="276" w:lineRule="auto"/>
              <w:jc w:val="left"/>
              <w:rPr>
                <w:rFonts w:hint="default" w:ascii="仿宋" w:hAnsi="仿宋" w:eastAsia="仿宋" w:cs="宋体"/>
                <w:color w:val="auto"/>
                <w:w w:val="90"/>
                <w:kern w:val="0"/>
                <w:sz w:val="22"/>
                <w:szCs w:val="22"/>
                <w:highlight w:val="none"/>
              </w:rPr>
            </w:pPr>
          </w:p>
        </w:tc>
      </w:tr>
    </w:tbl>
    <w:p w14:paraId="00E564C6">
      <w:pPr>
        <w:keepNext/>
        <w:widowControl/>
        <w:rPr>
          <w:rFonts w:hint="default"/>
          <w:color w:val="auto"/>
          <w:highlight w:val="none"/>
        </w:rPr>
      </w:pPr>
      <w:r>
        <w:rPr>
          <w:color w:val="auto"/>
          <w:highlight w:val="none"/>
        </w:rPr>
        <w:t>附2：参与实施政府采购环境标志产品认证机构名录</w:t>
      </w:r>
    </w:p>
    <w:tbl>
      <w:tblPr>
        <w:tblStyle w:val="41"/>
        <w:tblW w:w="0" w:type="auto"/>
        <w:jc w:val="center"/>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Layout w:type="fixed"/>
        <w:tblCellMar>
          <w:top w:w="27" w:type="dxa"/>
          <w:left w:w="27" w:type="dxa"/>
          <w:bottom w:w="27" w:type="dxa"/>
          <w:right w:w="27" w:type="dxa"/>
        </w:tblCellMar>
      </w:tblPr>
      <w:tblGrid>
        <w:gridCol w:w="851"/>
        <w:gridCol w:w="2288"/>
        <w:gridCol w:w="6643"/>
      </w:tblGrid>
      <w:tr w14:paraId="351B55BF">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tblHeader/>
          <w:jc w:val="center"/>
        </w:trPr>
        <w:tc>
          <w:tcPr>
            <w:tcW w:w="851" w:type="dxa"/>
            <w:shd w:val="clear" w:color="auto" w:fill="FDE9D9"/>
            <w:noWrap/>
            <w:tcMar>
              <w:top w:w="0" w:type="dxa"/>
              <w:left w:w="108" w:type="dxa"/>
              <w:bottom w:w="0" w:type="dxa"/>
              <w:right w:w="108" w:type="dxa"/>
            </w:tcMar>
            <w:vAlign w:val="center"/>
          </w:tcPr>
          <w:p w14:paraId="488E929C">
            <w:pPr>
              <w:widowControl/>
              <w:spacing w:line="276" w:lineRule="auto"/>
              <w:jc w:val="center"/>
              <w:textAlignment w:val="baseline"/>
              <w:rPr>
                <w:rFonts w:hint="default" w:ascii="仿宋" w:hAnsi="仿宋" w:eastAsia="仿宋" w:cs="宋体"/>
                <w:b/>
                <w:color w:val="auto"/>
                <w:kern w:val="0"/>
                <w:sz w:val="22"/>
                <w:szCs w:val="22"/>
                <w:highlight w:val="none"/>
              </w:rPr>
            </w:pPr>
            <w:r>
              <w:rPr>
                <w:rFonts w:ascii="仿宋" w:hAnsi="仿宋" w:eastAsia="仿宋" w:cs="宋体"/>
                <w:b/>
                <w:color w:val="auto"/>
                <w:kern w:val="0"/>
                <w:sz w:val="22"/>
                <w:szCs w:val="22"/>
                <w:highlight w:val="none"/>
              </w:rPr>
              <w:t>序号</w:t>
            </w:r>
          </w:p>
        </w:tc>
        <w:tc>
          <w:tcPr>
            <w:tcW w:w="2288" w:type="dxa"/>
            <w:shd w:val="clear" w:color="auto" w:fill="FDE9D9"/>
            <w:noWrap/>
            <w:tcMar>
              <w:top w:w="0" w:type="dxa"/>
              <w:left w:w="108" w:type="dxa"/>
              <w:bottom w:w="0" w:type="dxa"/>
              <w:right w:w="108" w:type="dxa"/>
            </w:tcMar>
            <w:vAlign w:val="center"/>
          </w:tcPr>
          <w:p w14:paraId="73A5BD5F">
            <w:pPr>
              <w:widowControl/>
              <w:spacing w:line="276" w:lineRule="auto"/>
              <w:jc w:val="center"/>
              <w:textAlignment w:val="baseline"/>
              <w:rPr>
                <w:rFonts w:hint="default" w:ascii="仿宋" w:hAnsi="仿宋" w:eastAsia="仿宋" w:cs="宋体"/>
                <w:b/>
                <w:color w:val="auto"/>
                <w:kern w:val="0"/>
                <w:sz w:val="22"/>
                <w:szCs w:val="22"/>
                <w:highlight w:val="none"/>
              </w:rPr>
            </w:pPr>
            <w:r>
              <w:rPr>
                <w:rFonts w:ascii="仿宋" w:hAnsi="仿宋" w:eastAsia="仿宋" w:cs="宋体"/>
                <w:b/>
                <w:color w:val="auto"/>
                <w:kern w:val="0"/>
                <w:sz w:val="22"/>
                <w:szCs w:val="22"/>
                <w:highlight w:val="none"/>
              </w:rPr>
              <w:t>目录</w:t>
            </w:r>
          </w:p>
        </w:tc>
        <w:tc>
          <w:tcPr>
            <w:tcW w:w="6643" w:type="dxa"/>
            <w:shd w:val="clear" w:color="auto" w:fill="FDE9D9"/>
            <w:noWrap/>
            <w:tcMar>
              <w:top w:w="0" w:type="dxa"/>
              <w:left w:w="108" w:type="dxa"/>
              <w:bottom w:w="0" w:type="dxa"/>
              <w:right w:w="108" w:type="dxa"/>
            </w:tcMar>
            <w:vAlign w:val="center"/>
          </w:tcPr>
          <w:p w14:paraId="3F254309">
            <w:pPr>
              <w:widowControl/>
              <w:spacing w:line="276" w:lineRule="auto"/>
              <w:jc w:val="center"/>
              <w:textAlignment w:val="baseline"/>
              <w:rPr>
                <w:rFonts w:hint="default" w:ascii="仿宋" w:hAnsi="仿宋" w:eastAsia="仿宋" w:cs="宋体"/>
                <w:b/>
                <w:color w:val="auto"/>
                <w:kern w:val="0"/>
                <w:sz w:val="22"/>
                <w:szCs w:val="22"/>
                <w:highlight w:val="none"/>
              </w:rPr>
            </w:pPr>
            <w:r>
              <w:rPr>
                <w:rFonts w:ascii="仿宋" w:hAnsi="仿宋" w:eastAsia="仿宋" w:cs="宋体"/>
                <w:b/>
                <w:color w:val="auto"/>
                <w:kern w:val="0"/>
                <w:sz w:val="22"/>
                <w:szCs w:val="22"/>
                <w:highlight w:val="none"/>
              </w:rPr>
              <w:t>认证机构名录</w:t>
            </w:r>
          </w:p>
        </w:tc>
      </w:tr>
      <w:tr w14:paraId="70FC7B1A">
        <w:tblPrEx>
          <w:tblBorders>
            <w:top w:val="thinThickSmallGap" w:color="0070C0" w:sz="18" w:space="0"/>
            <w:left w:val="thinThickSmallGap" w:color="0070C0" w:sz="18" w:space="0"/>
            <w:bottom w:val="thickThinSmallGap" w:color="0070C0" w:sz="18" w:space="0"/>
            <w:right w:val="thickThinSmallGap" w:color="0070C0" w:sz="18" w:space="0"/>
            <w:insideH w:val="single" w:color="0070C0" w:sz="6" w:space="0"/>
            <w:insideV w:val="single" w:color="0070C0" w:sz="6" w:space="0"/>
          </w:tblBorders>
          <w:shd w:val="clear" w:color="auto" w:fill="FFFFFF"/>
          <w:tblCellMar>
            <w:top w:w="27" w:type="dxa"/>
            <w:left w:w="27" w:type="dxa"/>
            <w:bottom w:w="27" w:type="dxa"/>
            <w:right w:w="27" w:type="dxa"/>
          </w:tblCellMar>
        </w:tblPrEx>
        <w:trPr>
          <w:trHeight w:val="454" w:hRule="atLeast"/>
          <w:jc w:val="center"/>
        </w:trPr>
        <w:tc>
          <w:tcPr>
            <w:tcW w:w="851" w:type="dxa"/>
            <w:shd w:val="clear" w:color="auto" w:fill="FFFFFF"/>
            <w:noWrap/>
            <w:tcMar>
              <w:top w:w="0" w:type="dxa"/>
              <w:left w:w="108" w:type="dxa"/>
              <w:bottom w:w="0" w:type="dxa"/>
              <w:right w:w="108" w:type="dxa"/>
            </w:tcMar>
            <w:vAlign w:val="center"/>
          </w:tcPr>
          <w:p w14:paraId="660F6F65">
            <w:pPr>
              <w:widowControl/>
              <w:spacing w:line="276" w:lineRule="auto"/>
              <w:jc w:val="center"/>
              <w:textAlignment w:val="baseline"/>
              <w:rPr>
                <w:rFonts w:hint="default" w:ascii="仿宋" w:hAnsi="仿宋" w:eastAsia="仿宋" w:cs="宋体"/>
                <w:color w:val="auto"/>
                <w:kern w:val="0"/>
                <w:sz w:val="22"/>
                <w:szCs w:val="22"/>
                <w:highlight w:val="none"/>
              </w:rPr>
            </w:pPr>
            <w:r>
              <w:rPr>
                <w:rFonts w:ascii="仿宋" w:hAnsi="仿宋" w:eastAsia="仿宋" w:cs="宋体"/>
                <w:color w:val="auto"/>
                <w:kern w:val="0"/>
                <w:sz w:val="22"/>
                <w:szCs w:val="22"/>
                <w:highlight w:val="none"/>
              </w:rPr>
              <w:t>1</w:t>
            </w:r>
          </w:p>
        </w:tc>
        <w:tc>
          <w:tcPr>
            <w:tcW w:w="2288" w:type="dxa"/>
            <w:shd w:val="clear" w:color="auto" w:fill="FFFFFF"/>
            <w:noWrap/>
            <w:tcMar>
              <w:top w:w="0" w:type="dxa"/>
              <w:left w:w="108" w:type="dxa"/>
              <w:bottom w:w="0" w:type="dxa"/>
              <w:right w:w="108" w:type="dxa"/>
            </w:tcMar>
            <w:vAlign w:val="center"/>
          </w:tcPr>
          <w:p w14:paraId="0057B49E">
            <w:pPr>
              <w:widowControl/>
              <w:spacing w:line="276" w:lineRule="auto"/>
              <w:jc w:val="center"/>
              <w:textAlignment w:val="baseline"/>
              <w:rPr>
                <w:rFonts w:hint="default" w:ascii="仿宋" w:hAnsi="仿宋" w:eastAsia="仿宋" w:cs="宋体"/>
                <w:color w:val="auto"/>
                <w:kern w:val="0"/>
                <w:sz w:val="22"/>
                <w:szCs w:val="22"/>
                <w:highlight w:val="none"/>
              </w:rPr>
            </w:pPr>
            <w:r>
              <w:rPr>
                <w:rFonts w:ascii="仿宋" w:hAnsi="仿宋" w:eastAsia="仿宋" w:cs="宋体"/>
                <w:color w:val="auto"/>
                <w:kern w:val="0"/>
                <w:sz w:val="22"/>
                <w:szCs w:val="22"/>
                <w:highlight w:val="none"/>
              </w:rPr>
              <w:t>环境标志产品</w:t>
            </w:r>
          </w:p>
        </w:tc>
        <w:tc>
          <w:tcPr>
            <w:tcW w:w="6643" w:type="dxa"/>
            <w:shd w:val="clear" w:color="auto" w:fill="FFFFFF"/>
            <w:noWrap/>
            <w:tcMar>
              <w:top w:w="0" w:type="dxa"/>
              <w:left w:w="108" w:type="dxa"/>
              <w:bottom w:w="0" w:type="dxa"/>
              <w:right w:w="108" w:type="dxa"/>
            </w:tcMar>
            <w:vAlign w:val="center"/>
          </w:tcPr>
          <w:p w14:paraId="4B941C8C">
            <w:pPr>
              <w:widowControl/>
              <w:spacing w:line="276" w:lineRule="auto"/>
              <w:jc w:val="left"/>
              <w:textAlignment w:val="baseline"/>
              <w:rPr>
                <w:rFonts w:hint="default" w:ascii="仿宋" w:hAnsi="仿宋" w:eastAsia="仿宋" w:cs="宋体"/>
                <w:color w:val="auto"/>
                <w:kern w:val="0"/>
                <w:sz w:val="22"/>
                <w:szCs w:val="22"/>
                <w:highlight w:val="none"/>
              </w:rPr>
            </w:pPr>
            <w:r>
              <w:rPr>
                <w:rFonts w:ascii="仿宋" w:hAnsi="仿宋" w:eastAsia="仿宋" w:cs="宋体"/>
                <w:color w:val="auto"/>
                <w:kern w:val="0"/>
                <w:sz w:val="22"/>
                <w:szCs w:val="22"/>
                <w:highlight w:val="none"/>
              </w:rPr>
              <w:t>中环联合（北京）认证中心有限公司</w:t>
            </w:r>
          </w:p>
          <w:p w14:paraId="5DA8EA6E">
            <w:pPr>
              <w:widowControl/>
              <w:spacing w:line="276" w:lineRule="auto"/>
              <w:jc w:val="left"/>
              <w:textAlignment w:val="baseline"/>
              <w:rPr>
                <w:rFonts w:hint="default" w:ascii="仿宋" w:hAnsi="仿宋" w:eastAsia="仿宋" w:cs="宋体"/>
                <w:color w:val="auto"/>
                <w:kern w:val="0"/>
                <w:sz w:val="22"/>
                <w:szCs w:val="22"/>
                <w:highlight w:val="none"/>
              </w:rPr>
            </w:pPr>
            <w:r>
              <w:rPr>
                <w:rFonts w:ascii="仿宋" w:hAnsi="仿宋" w:eastAsia="仿宋" w:cs="宋体"/>
                <w:color w:val="auto"/>
                <w:kern w:val="0"/>
                <w:sz w:val="22"/>
                <w:szCs w:val="22"/>
                <w:highlight w:val="none"/>
              </w:rPr>
              <w:t>中标合信（北京）认证有限公司</w:t>
            </w:r>
          </w:p>
          <w:p w14:paraId="0A744A53">
            <w:pPr>
              <w:widowControl/>
              <w:spacing w:line="276" w:lineRule="auto"/>
              <w:jc w:val="left"/>
              <w:textAlignment w:val="baseline"/>
              <w:rPr>
                <w:rFonts w:hint="default" w:ascii="仿宋" w:hAnsi="仿宋" w:eastAsia="仿宋" w:cs="宋体"/>
                <w:color w:val="auto"/>
                <w:kern w:val="0"/>
                <w:sz w:val="22"/>
                <w:szCs w:val="22"/>
                <w:highlight w:val="none"/>
              </w:rPr>
            </w:pPr>
            <w:r>
              <w:rPr>
                <w:rFonts w:ascii="仿宋" w:hAnsi="仿宋" w:eastAsia="仿宋" w:cs="宋体"/>
                <w:color w:val="auto"/>
                <w:kern w:val="0"/>
                <w:sz w:val="22"/>
                <w:szCs w:val="22"/>
                <w:highlight w:val="none"/>
              </w:rPr>
              <w:t>中环协（北京）认证有限公司</w:t>
            </w:r>
          </w:p>
          <w:p w14:paraId="3DDE71F6">
            <w:pPr>
              <w:widowControl/>
              <w:spacing w:line="276" w:lineRule="auto"/>
              <w:jc w:val="left"/>
              <w:textAlignment w:val="baseline"/>
              <w:rPr>
                <w:rFonts w:hint="default" w:ascii="仿宋" w:hAnsi="仿宋" w:eastAsia="仿宋" w:cs="宋体"/>
                <w:color w:val="auto"/>
                <w:kern w:val="0"/>
                <w:sz w:val="22"/>
                <w:szCs w:val="22"/>
                <w:highlight w:val="none"/>
              </w:rPr>
            </w:pPr>
            <w:r>
              <w:rPr>
                <w:rFonts w:ascii="仿宋" w:hAnsi="仿宋" w:eastAsia="仿宋" w:cs="宋体"/>
                <w:color w:val="auto"/>
                <w:kern w:val="0"/>
                <w:sz w:val="22"/>
                <w:szCs w:val="22"/>
                <w:highlight w:val="none"/>
              </w:rPr>
              <w:t>天津华诚认证有限公司</w:t>
            </w:r>
          </w:p>
        </w:tc>
      </w:tr>
    </w:tbl>
    <w:p w14:paraId="2A51E29C">
      <w:pPr>
        <w:tabs>
          <w:tab w:val="left" w:pos="720"/>
        </w:tabs>
        <w:autoSpaceDE w:val="0"/>
        <w:autoSpaceDN w:val="0"/>
        <w:snapToGrid w:val="0"/>
        <w:spacing w:line="360" w:lineRule="auto"/>
        <w:rPr>
          <w:rFonts w:hint="default" w:ascii="宋体" w:hAnsi="宋体" w:cs="宋体"/>
          <w:color w:val="auto"/>
          <w:szCs w:val="21"/>
          <w:highlight w:val="none"/>
          <w:lang w:val="zh-CN"/>
        </w:rPr>
      </w:pPr>
    </w:p>
    <w:p w14:paraId="0A054868">
      <w:pPr>
        <w:widowControl/>
        <w:spacing w:line="360" w:lineRule="auto"/>
        <w:ind w:firstLine="420" w:firstLineChars="200"/>
        <w:jc w:val="left"/>
        <w:rPr>
          <w:rFonts w:hint="default" w:ascii="仿宋" w:hAnsi="仿宋" w:eastAsia="仿宋" w:cs="仿宋"/>
          <w:color w:val="auto"/>
          <w:kern w:val="0"/>
          <w:szCs w:val="21"/>
          <w:highlight w:val="none"/>
          <w:lang w:val="zh-CN"/>
        </w:rPr>
      </w:pPr>
    </w:p>
    <w:p w14:paraId="3AAABCDA">
      <w:pPr>
        <w:pStyle w:val="16"/>
        <w:ind w:firstLine="0"/>
        <w:rPr>
          <w:rFonts w:hint="default" w:ascii="Times New Roman" w:hAnsi="Times New Roman"/>
          <w:color w:val="auto"/>
          <w:highlight w:val="none"/>
          <w:lang w:val="zh-CN"/>
        </w:rPr>
      </w:pPr>
    </w:p>
    <w:p w14:paraId="077A7243">
      <w:pPr>
        <w:pStyle w:val="40"/>
        <w:ind w:left="0" w:leftChars="0" w:firstLine="0" w:firstLineChars="0"/>
        <w:rPr>
          <w:rFonts w:hint="default"/>
          <w:color w:val="auto"/>
          <w:highlight w:val="none"/>
          <w:lang w:val="zh-CN"/>
        </w:rPr>
      </w:pPr>
    </w:p>
    <w:p w14:paraId="5722927B">
      <w:pPr>
        <w:spacing w:line="360" w:lineRule="auto"/>
        <w:rPr>
          <w:rFonts w:hint="default" w:ascii="宋体" w:hAnsi="宋体" w:cs="宋体"/>
          <w:b/>
          <w:color w:val="auto"/>
          <w:spacing w:val="6"/>
          <w:sz w:val="32"/>
          <w:szCs w:val="32"/>
          <w:highlight w:val="none"/>
        </w:rPr>
      </w:pPr>
      <w:r>
        <w:rPr>
          <w:rFonts w:ascii="宋体" w:hAnsi="宋体" w:cs="宋体"/>
          <w:b/>
          <w:color w:val="auto"/>
          <w:spacing w:val="6"/>
          <w:sz w:val="32"/>
          <w:szCs w:val="32"/>
          <w:highlight w:val="none"/>
        </w:rPr>
        <w:t>附件2：质疑函范本及制作说明</w:t>
      </w:r>
    </w:p>
    <w:p w14:paraId="32A1AF7B">
      <w:pPr>
        <w:spacing w:line="360" w:lineRule="auto"/>
        <w:jc w:val="center"/>
        <w:rPr>
          <w:rFonts w:hint="default" w:ascii="宋体" w:hAnsi="宋体" w:cs="宋体"/>
          <w:b/>
          <w:color w:val="auto"/>
          <w:spacing w:val="6"/>
          <w:sz w:val="32"/>
          <w:szCs w:val="32"/>
          <w:highlight w:val="none"/>
        </w:rPr>
      </w:pPr>
      <w:r>
        <w:rPr>
          <w:rFonts w:ascii="宋体" w:hAnsi="宋体" w:cs="宋体"/>
          <w:b/>
          <w:color w:val="auto"/>
          <w:spacing w:val="6"/>
          <w:sz w:val="32"/>
          <w:szCs w:val="32"/>
          <w:highlight w:val="none"/>
        </w:rPr>
        <w:t>质疑函范本</w:t>
      </w:r>
    </w:p>
    <w:p w14:paraId="4E1E6BCE">
      <w:pPr>
        <w:snapToGrid w:val="0"/>
        <w:spacing w:before="312" w:beforeLines="100" w:line="360" w:lineRule="auto"/>
        <w:rPr>
          <w:rFonts w:hint="default" w:ascii="宋体" w:hAnsi="宋体" w:cs="宋体"/>
          <w:bCs/>
          <w:color w:val="auto"/>
          <w:sz w:val="24"/>
          <w:highlight w:val="none"/>
        </w:rPr>
      </w:pPr>
      <w:r>
        <w:rPr>
          <w:rFonts w:ascii="宋体" w:hAnsi="宋体" w:cs="宋体"/>
          <w:bCs/>
          <w:color w:val="auto"/>
          <w:sz w:val="24"/>
          <w:highlight w:val="none"/>
        </w:rPr>
        <w:t>一、质疑供应商基本信息</w:t>
      </w:r>
    </w:p>
    <w:p w14:paraId="2A822612">
      <w:pPr>
        <w:snapToGrid w:val="0"/>
        <w:spacing w:line="360" w:lineRule="auto"/>
        <w:rPr>
          <w:rFonts w:hint="default" w:ascii="宋体" w:hAnsi="宋体" w:cs="宋体"/>
          <w:color w:val="auto"/>
          <w:sz w:val="24"/>
          <w:highlight w:val="none"/>
          <w:u w:val="dotted"/>
        </w:rPr>
      </w:pPr>
      <w:r>
        <w:rPr>
          <w:rFonts w:ascii="宋体" w:hAnsi="宋体" w:cs="宋体"/>
          <w:color w:val="auto"/>
          <w:sz w:val="24"/>
          <w:highlight w:val="none"/>
        </w:rPr>
        <w:t>质疑供应商：</w:t>
      </w:r>
      <w:r>
        <w:rPr>
          <w:rFonts w:ascii="宋体" w:hAnsi="宋体" w:cs="宋体"/>
          <w:color w:val="auto"/>
          <w:sz w:val="24"/>
          <w:highlight w:val="none"/>
          <w:u w:val="dotted"/>
        </w:rPr>
        <w:t xml:space="preserve">                                        </w:t>
      </w:r>
    </w:p>
    <w:p w14:paraId="6CF55A46">
      <w:pPr>
        <w:snapToGrid w:val="0"/>
        <w:spacing w:line="360" w:lineRule="auto"/>
        <w:rPr>
          <w:rFonts w:hint="default" w:ascii="宋体" w:hAnsi="宋体" w:cs="宋体"/>
          <w:color w:val="auto"/>
          <w:sz w:val="24"/>
          <w:highlight w:val="none"/>
        </w:rPr>
      </w:pPr>
      <w:r>
        <w:rPr>
          <w:rFonts w:ascii="宋体" w:hAnsi="宋体" w:cs="宋体"/>
          <w:color w:val="auto"/>
          <w:sz w:val="24"/>
          <w:highlight w:val="none"/>
        </w:rPr>
        <w:t>地址：</w:t>
      </w:r>
      <w:r>
        <w:rPr>
          <w:rFonts w:ascii="宋体" w:hAnsi="宋体" w:cs="宋体"/>
          <w:color w:val="auto"/>
          <w:sz w:val="24"/>
          <w:highlight w:val="none"/>
          <w:u w:val="dotted"/>
        </w:rPr>
        <w:t xml:space="preserve">                          </w:t>
      </w:r>
      <w:r>
        <w:rPr>
          <w:rFonts w:ascii="宋体" w:hAnsi="宋体" w:cs="宋体"/>
          <w:color w:val="auto"/>
          <w:sz w:val="24"/>
          <w:highlight w:val="none"/>
        </w:rPr>
        <w:t>邮编：</w:t>
      </w:r>
      <w:r>
        <w:rPr>
          <w:rFonts w:ascii="宋体" w:hAnsi="宋体" w:cs="宋体"/>
          <w:color w:val="auto"/>
          <w:sz w:val="24"/>
          <w:highlight w:val="none"/>
          <w:u w:val="dotted"/>
        </w:rPr>
        <w:t xml:space="preserve">                                                   </w:t>
      </w:r>
    </w:p>
    <w:p w14:paraId="50905709">
      <w:pPr>
        <w:snapToGrid w:val="0"/>
        <w:spacing w:line="360" w:lineRule="auto"/>
        <w:rPr>
          <w:rFonts w:hint="default" w:ascii="宋体" w:hAnsi="宋体" w:cs="宋体"/>
          <w:color w:val="auto"/>
          <w:sz w:val="24"/>
          <w:highlight w:val="none"/>
        </w:rPr>
      </w:pPr>
      <w:r>
        <w:rPr>
          <w:rFonts w:ascii="宋体" w:hAnsi="宋体" w:cs="宋体"/>
          <w:color w:val="auto"/>
          <w:sz w:val="24"/>
          <w:highlight w:val="none"/>
        </w:rPr>
        <w:t>联系人：</w:t>
      </w:r>
      <w:r>
        <w:rPr>
          <w:rFonts w:ascii="宋体" w:hAnsi="宋体" w:cs="宋体"/>
          <w:color w:val="auto"/>
          <w:sz w:val="24"/>
          <w:highlight w:val="none"/>
          <w:u w:val="dotted"/>
        </w:rPr>
        <w:t xml:space="preserve">                      </w:t>
      </w:r>
      <w:r>
        <w:rPr>
          <w:rFonts w:ascii="宋体" w:hAnsi="宋体" w:cs="宋体"/>
          <w:color w:val="auto"/>
          <w:sz w:val="24"/>
          <w:highlight w:val="none"/>
        </w:rPr>
        <w:t>联系电话：</w:t>
      </w:r>
      <w:r>
        <w:rPr>
          <w:rFonts w:ascii="宋体" w:hAnsi="宋体" w:cs="宋体"/>
          <w:color w:val="auto"/>
          <w:sz w:val="24"/>
          <w:highlight w:val="none"/>
          <w:u w:val="dotted"/>
        </w:rPr>
        <w:t xml:space="preserve">                              </w:t>
      </w:r>
    </w:p>
    <w:p w14:paraId="0A03439C">
      <w:pPr>
        <w:snapToGrid w:val="0"/>
        <w:spacing w:line="360" w:lineRule="auto"/>
        <w:rPr>
          <w:rFonts w:hint="default" w:ascii="宋体" w:hAnsi="宋体" w:cs="宋体"/>
          <w:color w:val="auto"/>
          <w:sz w:val="24"/>
          <w:highlight w:val="none"/>
          <w:u w:val="dotted"/>
        </w:rPr>
      </w:pPr>
      <w:r>
        <w:rPr>
          <w:rFonts w:ascii="宋体" w:hAnsi="宋体" w:cs="宋体"/>
          <w:color w:val="auto"/>
          <w:sz w:val="24"/>
          <w:highlight w:val="none"/>
        </w:rPr>
        <w:t>授权代表：</w:t>
      </w:r>
      <w:r>
        <w:rPr>
          <w:rFonts w:ascii="宋体" w:hAnsi="宋体" w:cs="宋体"/>
          <w:color w:val="auto"/>
          <w:sz w:val="24"/>
          <w:highlight w:val="none"/>
          <w:u w:val="dotted"/>
        </w:rPr>
        <w:t xml:space="preserve">                                          </w:t>
      </w:r>
    </w:p>
    <w:p w14:paraId="35FD06EA">
      <w:pPr>
        <w:snapToGrid w:val="0"/>
        <w:spacing w:line="360" w:lineRule="auto"/>
        <w:rPr>
          <w:rFonts w:hint="default" w:ascii="宋体" w:hAnsi="宋体" w:cs="宋体"/>
          <w:color w:val="auto"/>
          <w:sz w:val="24"/>
          <w:highlight w:val="none"/>
        </w:rPr>
      </w:pPr>
      <w:r>
        <w:rPr>
          <w:rFonts w:ascii="宋体" w:hAnsi="宋体" w:cs="宋体"/>
          <w:color w:val="auto"/>
          <w:sz w:val="24"/>
          <w:highlight w:val="none"/>
        </w:rPr>
        <w:t>联系电话：</w:t>
      </w:r>
      <w:r>
        <w:rPr>
          <w:rFonts w:ascii="宋体" w:hAnsi="宋体" w:cs="宋体"/>
          <w:color w:val="auto"/>
          <w:sz w:val="24"/>
          <w:highlight w:val="none"/>
          <w:u w:val="dotted"/>
        </w:rPr>
        <w:t xml:space="preserve">                                           </w:t>
      </w:r>
      <w:r>
        <w:rPr>
          <w:rFonts w:ascii="宋体" w:hAnsi="宋体" w:cs="宋体"/>
          <w:color w:val="auto"/>
          <w:sz w:val="24"/>
          <w:highlight w:val="none"/>
        </w:rPr>
        <w:t xml:space="preserve"> </w:t>
      </w:r>
    </w:p>
    <w:p w14:paraId="61EDF658">
      <w:pPr>
        <w:snapToGrid w:val="0"/>
        <w:spacing w:line="360" w:lineRule="auto"/>
        <w:rPr>
          <w:rFonts w:hint="default" w:ascii="宋体" w:hAnsi="宋体" w:cs="宋体"/>
          <w:color w:val="auto"/>
          <w:sz w:val="24"/>
          <w:highlight w:val="none"/>
        </w:rPr>
      </w:pPr>
      <w:r>
        <w:rPr>
          <w:rFonts w:ascii="宋体" w:hAnsi="宋体" w:cs="宋体"/>
          <w:color w:val="auto"/>
          <w:sz w:val="24"/>
          <w:highlight w:val="none"/>
        </w:rPr>
        <w:t xml:space="preserve">地址： </w:t>
      </w:r>
      <w:r>
        <w:rPr>
          <w:rFonts w:ascii="宋体" w:hAnsi="宋体" w:cs="宋体"/>
          <w:color w:val="auto"/>
          <w:sz w:val="24"/>
          <w:highlight w:val="none"/>
          <w:u w:val="dotted"/>
        </w:rPr>
        <w:t xml:space="preserve">                        </w:t>
      </w:r>
      <w:r>
        <w:rPr>
          <w:rFonts w:ascii="宋体" w:hAnsi="宋体" w:cs="宋体"/>
          <w:color w:val="auto"/>
          <w:sz w:val="24"/>
          <w:highlight w:val="none"/>
        </w:rPr>
        <w:t>邮编：</w:t>
      </w:r>
      <w:r>
        <w:rPr>
          <w:rFonts w:ascii="宋体" w:hAnsi="宋体" w:cs="宋体"/>
          <w:color w:val="auto"/>
          <w:sz w:val="24"/>
          <w:highlight w:val="none"/>
          <w:u w:val="dotted"/>
        </w:rPr>
        <w:t xml:space="preserve">                                                </w:t>
      </w:r>
    </w:p>
    <w:p w14:paraId="6318A96A">
      <w:pPr>
        <w:snapToGrid w:val="0"/>
        <w:spacing w:line="360" w:lineRule="auto"/>
        <w:rPr>
          <w:rFonts w:hint="default" w:ascii="宋体" w:hAnsi="宋体" w:cs="宋体"/>
          <w:bCs/>
          <w:color w:val="auto"/>
          <w:sz w:val="24"/>
          <w:highlight w:val="none"/>
        </w:rPr>
      </w:pPr>
      <w:r>
        <w:rPr>
          <w:rFonts w:ascii="宋体" w:hAnsi="宋体" w:cs="宋体"/>
          <w:bCs/>
          <w:color w:val="auto"/>
          <w:sz w:val="24"/>
          <w:highlight w:val="none"/>
        </w:rPr>
        <w:t>二、质疑项目基本情况</w:t>
      </w:r>
    </w:p>
    <w:p w14:paraId="0E3AF505">
      <w:pPr>
        <w:snapToGrid w:val="0"/>
        <w:spacing w:line="360" w:lineRule="auto"/>
        <w:rPr>
          <w:rFonts w:hint="default" w:ascii="宋体" w:hAnsi="宋体" w:cs="宋体"/>
          <w:color w:val="auto"/>
          <w:sz w:val="24"/>
          <w:highlight w:val="none"/>
        </w:rPr>
      </w:pPr>
      <w:r>
        <w:rPr>
          <w:rFonts w:ascii="宋体" w:hAnsi="宋体" w:cs="宋体"/>
          <w:color w:val="auto"/>
          <w:sz w:val="24"/>
          <w:highlight w:val="none"/>
        </w:rPr>
        <w:t>质疑项目的名称：</w:t>
      </w:r>
      <w:r>
        <w:rPr>
          <w:rFonts w:ascii="宋体" w:hAnsi="宋体" w:cs="宋体"/>
          <w:color w:val="auto"/>
          <w:sz w:val="24"/>
          <w:highlight w:val="none"/>
          <w:u w:val="dotted"/>
        </w:rPr>
        <w:t xml:space="preserve">                                      </w:t>
      </w:r>
    </w:p>
    <w:p w14:paraId="651CBA4F">
      <w:pPr>
        <w:snapToGrid w:val="0"/>
        <w:spacing w:line="360" w:lineRule="auto"/>
        <w:rPr>
          <w:rFonts w:hint="default" w:ascii="宋体" w:hAnsi="宋体" w:cs="宋体"/>
          <w:color w:val="auto"/>
          <w:sz w:val="24"/>
          <w:highlight w:val="none"/>
        </w:rPr>
      </w:pPr>
      <w:r>
        <w:rPr>
          <w:rFonts w:ascii="宋体" w:hAnsi="宋体" w:cs="宋体"/>
          <w:color w:val="auto"/>
          <w:sz w:val="24"/>
          <w:highlight w:val="none"/>
        </w:rPr>
        <w:t>质疑项目的编号：</w:t>
      </w:r>
      <w:r>
        <w:rPr>
          <w:rFonts w:ascii="宋体" w:hAnsi="宋体" w:cs="宋体"/>
          <w:color w:val="auto"/>
          <w:sz w:val="24"/>
          <w:highlight w:val="none"/>
          <w:u w:val="dotted"/>
        </w:rPr>
        <w:t xml:space="preserve">               </w:t>
      </w:r>
      <w:r>
        <w:rPr>
          <w:rFonts w:ascii="宋体" w:hAnsi="宋体" w:cs="宋体"/>
          <w:color w:val="auto"/>
          <w:sz w:val="24"/>
          <w:highlight w:val="none"/>
        </w:rPr>
        <w:t>包号：</w:t>
      </w:r>
      <w:r>
        <w:rPr>
          <w:rFonts w:ascii="宋体" w:hAnsi="宋体" w:cs="宋体"/>
          <w:color w:val="auto"/>
          <w:sz w:val="24"/>
          <w:highlight w:val="none"/>
          <w:u w:val="dotted"/>
        </w:rPr>
        <w:t xml:space="preserve">                 </w:t>
      </w:r>
    </w:p>
    <w:p w14:paraId="36CB3404">
      <w:pPr>
        <w:snapToGrid w:val="0"/>
        <w:spacing w:line="360" w:lineRule="auto"/>
        <w:rPr>
          <w:rFonts w:hint="default" w:ascii="宋体" w:hAnsi="宋体" w:cs="宋体"/>
          <w:color w:val="auto"/>
          <w:sz w:val="24"/>
          <w:highlight w:val="none"/>
          <w:u w:val="dotted"/>
        </w:rPr>
      </w:pPr>
      <w:r>
        <w:rPr>
          <w:rFonts w:ascii="宋体" w:hAnsi="宋体" w:cs="宋体"/>
          <w:color w:val="auto"/>
          <w:sz w:val="24"/>
          <w:highlight w:val="none"/>
        </w:rPr>
        <w:t>采购人名称：</w:t>
      </w:r>
      <w:r>
        <w:rPr>
          <w:rFonts w:ascii="宋体" w:hAnsi="宋体" w:cs="宋体"/>
          <w:color w:val="auto"/>
          <w:sz w:val="24"/>
          <w:highlight w:val="none"/>
          <w:u w:val="dotted"/>
        </w:rPr>
        <w:t xml:space="preserve">                                         </w:t>
      </w:r>
    </w:p>
    <w:p w14:paraId="477FF1B2">
      <w:pPr>
        <w:snapToGrid w:val="0"/>
        <w:spacing w:line="360" w:lineRule="auto"/>
        <w:rPr>
          <w:rFonts w:hint="default" w:ascii="宋体" w:hAnsi="宋体" w:cs="宋体"/>
          <w:color w:val="auto"/>
          <w:sz w:val="24"/>
          <w:highlight w:val="none"/>
        </w:rPr>
      </w:pPr>
      <w:r>
        <w:rPr>
          <w:rFonts w:ascii="宋体" w:hAnsi="宋体" w:cs="宋体"/>
          <w:color w:val="auto"/>
          <w:sz w:val="24"/>
          <w:highlight w:val="none"/>
        </w:rPr>
        <w:t>采购文件获取日期：</w:t>
      </w:r>
      <w:r>
        <w:rPr>
          <w:rFonts w:ascii="宋体" w:hAnsi="宋体" w:cs="宋体"/>
          <w:color w:val="auto"/>
          <w:sz w:val="24"/>
          <w:highlight w:val="none"/>
          <w:u w:val="dotted"/>
        </w:rPr>
        <w:t xml:space="preserve">                                           </w:t>
      </w:r>
    </w:p>
    <w:p w14:paraId="1D37ADCD">
      <w:pPr>
        <w:snapToGrid w:val="0"/>
        <w:spacing w:line="360" w:lineRule="auto"/>
        <w:rPr>
          <w:rFonts w:hint="default" w:ascii="宋体" w:hAnsi="宋体" w:cs="宋体"/>
          <w:bCs/>
          <w:color w:val="auto"/>
          <w:sz w:val="24"/>
          <w:highlight w:val="none"/>
        </w:rPr>
      </w:pPr>
      <w:r>
        <w:rPr>
          <w:rFonts w:ascii="宋体" w:hAnsi="宋体" w:cs="宋体"/>
          <w:bCs/>
          <w:color w:val="auto"/>
          <w:sz w:val="24"/>
          <w:highlight w:val="none"/>
        </w:rPr>
        <w:t>三、质疑事项具体内容</w:t>
      </w:r>
    </w:p>
    <w:p w14:paraId="05723571">
      <w:pPr>
        <w:snapToGrid w:val="0"/>
        <w:spacing w:line="360" w:lineRule="auto"/>
        <w:rPr>
          <w:rFonts w:hint="default" w:ascii="宋体" w:hAnsi="宋体" w:cs="宋体"/>
          <w:color w:val="auto"/>
          <w:sz w:val="24"/>
          <w:highlight w:val="none"/>
          <w:u w:val="dotted"/>
        </w:rPr>
      </w:pPr>
      <w:r>
        <w:rPr>
          <w:rFonts w:ascii="宋体" w:hAnsi="宋体" w:cs="宋体"/>
          <w:color w:val="auto"/>
          <w:sz w:val="24"/>
          <w:highlight w:val="none"/>
        </w:rPr>
        <w:t>质疑事项1：</w:t>
      </w:r>
      <w:r>
        <w:rPr>
          <w:rFonts w:ascii="宋体" w:hAnsi="宋体" w:cs="宋体"/>
          <w:color w:val="auto"/>
          <w:sz w:val="24"/>
          <w:highlight w:val="none"/>
          <w:u w:val="dotted"/>
        </w:rPr>
        <w:t xml:space="preserve">                                         </w:t>
      </w:r>
    </w:p>
    <w:p w14:paraId="67687C12">
      <w:pPr>
        <w:snapToGrid w:val="0"/>
        <w:spacing w:line="360" w:lineRule="auto"/>
        <w:rPr>
          <w:rFonts w:hint="default" w:ascii="宋体" w:hAnsi="宋体" w:cs="宋体"/>
          <w:color w:val="auto"/>
          <w:sz w:val="24"/>
          <w:highlight w:val="none"/>
          <w:u w:val="dotted"/>
        </w:rPr>
      </w:pPr>
      <w:r>
        <w:rPr>
          <w:rFonts w:ascii="宋体" w:hAnsi="宋体" w:cs="宋体"/>
          <w:color w:val="auto"/>
          <w:sz w:val="24"/>
          <w:highlight w:val="none"/>
        </w:rPr>
        <w:t>事实依据：</w:t>
      </w:r>
      <w:r>
        <w:rPr>
          <w:rFonts w:ascii="宋体" w:hAnsi="宋体" w:cs="宋体"/>
          <w:color w:val="auto"/>
          <w:sz w:val="24"/>
          <w:highlight w:val="none"/>
          <w:u w:val="dotted"/>
        </w:rPr>
        <w:t xml:space="preserve">                                          </w:t>
      </w:r>
    </w:p>
    <w:p w14:paraId="19CD71BE">
      <w:pPr>
        <w:snapToGrid w:val="0"/>
        <w:spacing w:line="360" w:lineRule="auto"/>
        <w:rPr>
          <w:rFonts w:hint="default" w:ascii="宋体" w:hAnsi="宋体" w:cs="宋体"/>
          <w:color w:val="auto"/>
          <w:sz w:val="24"/>
          <w:highlight w:val="none"/>
        </w:rPr>
      </w:pPr>
      <w:r>
        <w:rPr>
          <w:rFonts w:ascii="宋体" w:hAnsi="宋体" w:cs="宋体"/>
          <w:color w:val="auto"/>
          <w:sz w:val="24"/>
          <w:highlight w:val="none"/>
          <w:u w:val="dotted"/>
        </w:rPr>
        <w:t xml:space="preserve">                                                       </w:t>
      </w:r>
    </w:p>
    <w:p w14:paraId="1C8E7069">
      <w:pPr>
        <w:snapToGrid w:val="0"/>
        <w:spacing w:line="360" w:lineRule="auto"/>
        <w:rPr>
          <w:rFonts w:hint="default" w:ascii="宋体" w:hAnsi="宋体" w:cs="宋体"/>
          <w:color w:val="auto"/>
          <w:sz w:val="24"/>
          <w:highlight w:val="none"/>
          <w:u w:val="dotted"/>
        </w:rPr>
      </w:pPr>
      <w:r>
        <w:rPr>
          <w:rFonts w:ascii="宋体" w:hAnsi="宋体" w:cs="宋体"/>
          <w:color w:val="auto"/>
          <w:sz w:val="24"/>
          <w:highlight w:val="none"/>
        </w:rPr>
        <w:t>法律依据：</w:t>
      </w:r>
      <w:r>
        <w:rPr>
          <w:rFonts w:ascii="宋体" w:hAnsi="宋体" w:cs="宋体"/>
          <w:color w:val="auto"/>
          <w:sz w:val="24"/>
          <w:highlight w:val="none"/>
          <w:u w:val="dotted"/>
        </w:rPr>
        <w:t xml:space="preserve">                                          </w:t>
      </w:r>
    </w:p>
    <w:p w14:paraId="242C31E0">
      <w:pPr>
        <w:snapToGrid w:val="0"/>
        <w:spacing w:line="360" w:lineRule="auto"/>
        <w:rPr>
          <w:rFonts w:hint="default" w:ascii="宋体" w:hAnsi="宋体" w:cs="宋体"/>
          <w:color w:val="auto"/>
          <w:sz w:val="24"/>
          <w:highlight w:val="none"/>
          <w:u w:val="dotted"/>
        </w:rPr>
      </w:pPr>
      <w:r>
        <w:rPr>
          <w:rFonts w:ascii="宋体" w:hAnsi="宋体" w:cs="宋体"/>
          <w:color w:val="auto"/>
          <w:sz w:val="24"/>
          <w:highlight w:val="none"/>
          <w:u w:val="dotted"/>
        </w:rPr>
        <w:t xml:space="preserve">                                                     </w:t>
      </w:r>
    </w:p>
    <w:p w14:paraId="475980EF">
      <w:pPr>
        <w:snapToGrid w:val="0"/>
        <w:spacing w:line="360" w:lineRule="auto"/>
        <w:rPr>
          <w:rFonts w:hint="default" w:ascii="宋体" w:hAnsi="宋体" w:cs="宋体"/>
          <w:color w:val="auto"/>
          <w:sz w:val="24"/>
          <w:highlight w:val="none"/>
          <w:u w:val="dotted"/>
        </w:rPr>
      </w:pPr>
      <w:r>
        <w:rPr>
          <w:rFonts w:ascii="宋体" w:hAnsi="宋体" w:cs="宋体"/>
          <w:color w:val="auto"/>
          <w:sz w:val="24"/>
          <w:highlight w:val="none"/>
        </w:rPr>
        <w:t>质疑事项2</w:t>
      </w:r>
    </w:p>
    <w:p w14:paraId="48E9BDC6">
      <w:pPr>
        <w:snapToGrid w:val="0"/>
        <w:spacing w:line="360" w:lineRule="auto"/>
        <w:rPr>
          <w:rFonts w:hint="default" w:ascii="宋体" w:hAnsi="宋体" w:cs="宋体"/>
          <w:color w:val="auto"/>
          <w:sz w:val="24"/>
          <w:highlight w:val="none"/>
        </w:rPr>
      </w:pPr>
      <w:r>
        <w:rPr>
          <w:rFonts w:ascii="宋体" w:hAnsi="宋体" w:cs="宋体"/>
          <w:color w:val="auto"/>
          <w:sz w:val="24"/>
          <w:highlight w:val="none"/>
        </w:rPr>
        <w:t>……</w:t>
      </w:r>
    </w:p>
    <w:p w14:paraId="7BDFBCCE">
      <w:pPr>
        <w:snapToGrid w:val="0"/>
        <w:spacing w:line="360" w:lineRule="auto"/>
        <w:rPr>
          <w:rFonts w:hint="default" w:ascii="宋体" w:hAnsi="宋体" w:cs="宋体"/>
          <w:bCs/>
          <w:color w:val="auto"/>
          <w:sz w:val="24"/>
          <w:highlight w:val="none"/>
        </w:rPr>
      </w:pPr>
      <w:r>
        <w:rPr>
          <w:rFonts w:ascii="宋体" w:hAnsi="宋体" w:cs="宋体"/>
          <w:bCs/>
          <w:color w:val="auto"/>
          <w:sz w:val="24"/>
          <w:highlight w:val="none"/>
        </w:rPr>
        <w:t>四、与质疑事项相关的质疑请求</w:t>
      </w:r>
    </w:p>
    <w:p w14:paraId="556BA203">
      <w:pPr>
        <w:snapToGrid w:val="0"/>
        <w:spacing w:line="360" w:lineRule="auto"/>
        <w:rPr>
          <w:rFonts w:hint="default" w:ascii="宋体" w:hAnsi="宋体" w:cs="宋体"/>
          <w:color w:val="auto"/>
          <w:sz w:val="24"/>
          <w:highlight w:val="none"/>
          <w:u w:val="dotted"/>
        </w:rPr>
      </w:pPr>
      <w:r>
        <w:rPr>
          <w:rFonts w:ascii="宋体" w:hAnsi="宋体" w:cs="宋体"/>
          <w:color w:val="auto"/>
          <w:sz w:val="24"/>
          <w:highlight w:val="none"/>
        </w:rPr>
        <w:t>请求：</w:t>
      </w:r>
      <w:r>
        <w:rPr>
          <w:rFonts w:ascii="宋体" w:hAnsi="宋体" w:cs="宋体"/>
          <w:color w:val="auto"/>
          <w:sz w:val="24"/>
          <w:highlight w:val="none"/>
          <w:u w:val="dotted"/>
        </w:rPr>
        <w:t xml:space="preserve">                                               </w:t>
      </w:r>
    </w:p>
    <w:p w14:paraId="14E8C3B6">
      <w:pPr>
        <w:spacing w:line="360" w:lineRule="auto"/>
        <w:rPr>
          <w:rFonts w:hint="default" w:ascii="宋体" w:hAnsi="宋体" w:cs="宋体"/>
          <w:color w:val="auto"/>
          <w:sz w:val="24"/>
          <w:highlight w:val="none"/>
        </w:rPr>
      </w:pPr>
      <w:r>
        <w:rPr>
          <w:rFonts w:ascii="宋体" w:hAnsi="宋体" w:cs="宋体"/>
          <w:color w:val="auto"/>
          <w:sz w:val="24"/>
          <w:highlight w:val="none"/>
        </w:rPr>
        <w:t xml:space="preserve">签字(签章)：                   公章：                      </w:t>
      </w:r>
    </w:p>
    <w:p w14:paraId="76FD3F2B">
      <w:pPr>
        <w:spacing w:line="360" w:lineRule="auto"/>
        <w:rPr>
          <w:rFonts w:hint="default" w:ascii="宋体" w:hAnsi="宋体" w:cs="宋体"/>
          <w:color w:val="auto"/>
          <w:sz w:val="24"/>
          <w:highlight w:val="none"/>
        </w:rPr>
      </w:pPr>
      <w:r>
        <w:rPr>
          <w:rFonts w:ascii="宋体" w:hAnsi="宋体" w:cs="宋体"/>
          <w:color w:val="auto"/>
          <w:sz w:val="24"/>
          <w:highlight w:val="none"/>
        </w:rPr>
        <w:t xml:space="preserve">日期：    </w:t>
      </w:r>
    </w:p>
    <w:p w14:paraId="770BE194">
      <w:pPr>
        <w:spacing w:line="360" w:lineRule="auto"/>
        <w:jc w:val="center"/>
        <w:rPr>
          <w:rFonts w:hint="default" w:ascii="宋体" w:hAnsi="宋体" w:cs="宋体"/>
          <w:b/>
          <w:bCs/>
          <w:color w:val="auto"/>
          <w:sz w:val="24"/>
          <w:highlight w:val="none"/>
        </w:rPr>
      </w:pPr>
    </w:p>
    <w:p w14:paraId="653603D6">
      <w:pPr>
        <w:spacing w:line="360" w:lineRule="auto"/>
        <w:rPr>
          <w:rFonts w:hint="default" w:ascii="宋体" w:hAnsi="宋体" w:cs="宋体"/>
          <w:b/>
          <w:color w:val="auto"/>
          <w:sz w:val="24"/>
          <w:highlight w:val="none"/>
        </w:rPr>
      </w:pPr>
    </w:p>
    <w:p w14:paraId="46276372">
      <w:pPr>
        <w:spacing w:line="360" w:lineRule="auto"/>
        <w:rPr>
          <w:rFonts w:hint="default" w:ascii="宋体" w:hAnsi="宋体" w:cs="宋体"/>
          <w:b/>
          <w:color w:val="auto"/>
          <w:sz w:val="24"/>
          <w:highlight w:val="none"/>
        </w:rPr>
      </w:pPr>
    </w:p>
    <w:p w14:paraId="3459F652">
      <w:pPr>
        <w:spacing w:line="360" w:lineRule="auto"/>
        <w:rPr>
          <w:rFonts w:hint="default" w:ascii="宋体" w:hAnsi="宋体" w:cs="宋体"/>
          <w:b/>
          <w:color w:val="auto"/>
          <w:sz w:val="24"/>
          <w:highlight w:val="none"/>
        </w:rPr>
      </w:pPr>
      <w:r>
        <w:rPr>
          <w:rFonts w:ascii="宋体" w:hAnsi="宋体" w:cs="宋体"/>
          <w:b/>
          <w:color w:val="auto"/>
          <w:sz w:val="24"/>
          <w:highlight w:val="none"/>
        </w:rPr>
        <w:t>质疑函制作说明：</w:t>
      </w:r>
    </w:p>
    <w:p w14:paraId="73E96B39">
      <w:pPr>
        <w:widowControl/>
        <w:spacing w:line="360" w:lineRule="auto"/>
        <w:ind w:firstLine="480" w:firstLineChars="200"/>
        <w:jc w:val="left"/>
        <w:rPr>
          <w:rFonts w:hint="default" w:ascii="宋体" w:hAnsi="宋体" w:cs="宋体"/>
          <w:color w:val="auto"/>
          <w:sz w:val="24"/>
          <w:highlight w:val="none"/>
        </w:rPr>
      </w:pPr>
      <w:r>
        <w:rPr>
          <w:rFonts w:ascii="宋体" w:hAnsi="宋体" w:cs="宋体"/>
          <w:color w:val="auto"/>
          <w:sz w:val="24"/>
          <w:highlight w:val="none"/>
        </w:rPr>
        <w:t>1.供应商提出质疑时，应提交质疑函和必要的证明材料。</w:t>
      </w:r>
    </w:p>
    <w:p w14:paraId="1A9811C5">
      <w:pPr>
        <w:widowControl/>
        <w:spacing w:line="360" w:lineRule="auto"/>
        <w:ind w:firstLine="480" w:firstLineChars="200"/>
        <w:jc w:val="left"/>
        <w:rPr>
          <w:rFonts w:hint="default" w:ascii="宋体" w:hAnsi="宋体" w:cs="宋体"/>
          <w:color w:val="auto"/>
          <w:sz w:val="24"/>
          <w:highlight w:val="none"/>
        </w:rPr>
      </w:pPr>
      <w:r>
        <w:rPr>
          <w:rFonts w:ascii="宋体" w:hAnsi="宋体" w:cs="宋体"/>
          <w:color w:val="auto"/>
          <w:sz w:val="24"/>
          <w:highlight w:val="none"/>
        </w:rPr>
        <w:t>2.质疑供应商若委托代理人进行质疑的，质疑函应按要求列明“授权代表”的有关内容，并在附件中提交由质疑</w:t>
      </w:r>
      <w:r>
        <w:rPr>
          <w:rFonts w:ascii="宋体" w:hAnsi="宋体" w:cs="宋体"/>
          <w:color w:val="auto"/>
          <w:kern w:val="0"/>
          <w:sz w:val="24"/>
          <w:highlight w:val="none"/>
        </w:rPr>
        <w:t>供应商签署的授权委托书。授权委托书应载明代理人的姓名或者名称、代理事项、具体权限、期限和相关事项。</w:t>
      </w:r>
    </w:p>
    <w:p w14:paraId="7215D779">
      <w:pPr>
        <w:widowControl/>
        <w:spacing w:line="360" w:lineRule="auto"/>
        <w:ind w:firstLine="480" w:firstLineChars="200"/>
        <w:jc w:val="left"/>
        <w:rPr>
          <w:rFonts w:hint="default" w:ascii="宋体" w:hAnsi="宋体" w:cs="宋体"/>
          <w:color w:val="auto"/>
          <w:sz w:val="24"/>
          <w:highlight w:val="none"/>
        </w:rPr>
      </w:pPr>
      <w:r>
        <w:rPr>
          <w:rFonts w:ascii="宋体" w:hAnsi="宋体" w:cs="宋体"/>
          <w:color w:val="auto"/>
          <w:sz w:val="24"/>
          <w:highlight w:val="none"/>
        </w:rPr>
        <w:t>3.质疑供应商若对项目的某一分包进行质疑，质疑函中应列明具体分包号。</w:t>
      </w:r>
    </w:p>
    <w:p w14:paraId="1FC82B96">
      <w:pPr>
        <w:widowControl/>
        <w:spacing w:line="360" w:lineRule="auto"/>
        <w:ind w:firstLine="480" w:firstLineChars="200"/>
        <w:jc w:val="left"/>
        <w:rPr>
          <w:rFonts w:hint="default" w:ascii="宋体" w:hAnsi="宋体" w:cs="宋体"/>
          <w:color w:val="auto"/>
          <w:sz w:val="24"/>
          <w:highlight w:val="none"/>
        </w:rPr>
      </w:pPr>
      <w:r>
        <w:rPr>
          <w:rFonts w:ascii="宋体" w:hAnsi="宋体" w:cs="宋体"/>
          <w:color w:val="auto"/>
          <w:sz w:val="24"/>
          <w:highlight w:val="none"/>
        </w:rPr>
        <w:t>4.质疑函的质疑事项应具体、明确，并有必要的事实依据和法律依据。</w:t>
      </w:r>
    </w:p>
    <w:p w14:paraId="7E982FE3">
      <w:pPr>
        <w:widowControl/>
        <w:spacing w:line="360" w:lineRule="auto"/>
        <w:ind w:firstLine="480" w:firstLineChars="200"/>
        <w:jc w:val="left"/>
        <w:rPr>
          <w:rFonts w:hint="default" w:ascii="宋体" w:hAnsi="宋体" w:cs="宋体"/>
          <w:color w:val="auto"/>
          <w:sz w:val="24"/>
          <w:highlight w:val="none"/>
        </w:rPr>
      </w:pPr>
      <w:r>
        <w:rPr>
          <w:rFonts w:ascii="宋体" w:hAnsi="宋体" w:cs="宋体"/>
          <w:color w:val="auto"/>
          <w:sz w:val="24"/>
          <w:highlight w:val="none"/>
        </w:rPr>
        <w:t>5.质疑函的质疑请求应与质疑事项相关。</w:t>
      </w:r>
    </w:p>
    <w:p w14:paraId="6AB3E1EF">
      <w:pPr>
        <w:widowControl/>
        <w:spacing w:line="360" w:lineRule="auto"/>
        <w:ind w:firstLine="480" w:firstLineChars="200"/>
        <w:jc w:val="left"/>
        <w:rPr>
          <w:rFonts w:hint="default" w:ascii="宋体" w:hAnsi="宋体" w:cs="宋体"/>
          <w:color w:val="auto"/>
          <w:sz w:val="24"/>
          <w:highlight w:val="none"/>
        </w:rPr>
        <w:sectPr>
          <w:pgSz w:w="11906" w:h="16838"/>
          <w:pgMar w:top="1134" w:right="1247" w:bottom="1247" w:left="1304" w:header="794" w:footer="794" w:gutter="0"/>
          <w:cols w:space="720" w:num="1"/>
          <w:docGrid w:type="lines" w:linePitch="312" w:charSpace="0"/>
        </w:sectPr>
      </w:pPr>
      <w:r>
        <w:rPr>
          <w:rFonts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662CDCA3">
      <w:pPr>
        <w:spacing w:line="360" w:lineRule="auto"/>
        <w:jc w:val="left"/>
        <w:rPr>
          <w:rFonts w:hint="default" w:ascii="宋体" w:hAnsi="宋体" w:cs="宋体"/>
          <w:b/>
          <w:color w:val="auto"/>
          <w:spacing w:val="6"/>
          <w:sz w:val="32"/>
          <w:szCs w:val="32"/>
          <w:highlight w:val="none"/>
        </w:rPr>
      </w:pPr>
      <w:r>
        <w:rPr>
          <w:rFonts w:ascii="宋体" w:hAnsi="宋体" w:cs="宋体"/>
          <w:b/>
          <w:color w:val="auto"/>
          <w:spacing w:val="6"/>
          <w:sz w:val="32"/>
          <w:szCs w:val="32"/>
          <w:highlight w:val="none"/>
        </w:rPr>
        <w:t>附件3：投诉书范本及制作说明</w:t>
      </w:r>
    </w:p>
    <w:p w14:paraId="3DD65708">
      <w:pPr>
        <w:spacing w:line="360" w:lineRule="auto"/>
        <w:jc w:val="center"/>
        <w:rPr>
          <w:rFonts w:hint="default" w:ascii="宋体" w:hAnsi="宋体" w:cs="宋体"/>
          <w:b/>
          <w:color w:val="auto"/>
          <w:sz w:val="24"/>
          <w:highlight w:val="none"/>
        </w:rPr>
      </w:pPr>
    </w:p>
    <w:p w14:paraId="3F4ADD42">
      <w:pPr>
        <w:spacing w:line="360" w:lineRule="auto"/>
        <w:jc w:val="center"/>
        <w:rPr>
          <w:rFonts w:hint="default" w:ascii="宋体" w:hAnsi="宋体" w:cs="宋体"/>
          <w:b/>
          <w:color w:val="auto"/>
          <w:spacing w:val="6"/>
          <w:sz w:val="32"/>
          <w:szCs w:val="32"/>
          <w:highlight w:val="none"/>
        </w:rPr>
      </w:pPr>
      <w:r>
        <w:rPr>
          <w:rFonts w:ascii="宋体" w:hAnsi="宋体" w:cs="宋体"/>
          <w:b/>
          <w:color w:val="auto"/>
          <w:spacing w:val="6"/>
          <w:sz w:val="32"/>
          <w:szCs w:val="32"/>
          <w:highlight w:val="none"/>
        </w:rPr>
        <w:t>投诉书范本</w:t>
      </w:r>
    </w:p>
    <w:p w14:paraId="19FA2E81">
      <w:pPr>
        <w:spacing w:line="360" w:lineRule="auto"/>
        <w:rPr>
          <w:rFonts w:hint="default" w:ascii="宋体" w:hAnsi="宋体" w:cs="宋体"/>
          <w:color w:val="auto"/>
          <w:sz w:val="24"/>
          <w:highlight w:val="none"/>
        </w:rPr>
      </w:pPr>
      <w:r>
        <w:rPr>
          <w:rFonts w:ascii="宋体" w:hAnsi="宋体" w:cs="宋体"/>
          <w:color w:val="auto"/>
          <w:sz w:val="24"/>
          <w:highlight w:val="none"/>
        </w:rPr>
        <w:t>一、投诉相关主体基本情况</w:t>
      </w:r>
    </w:p>
    <w:p w14:paraId="3F089500">
      <w:pPr>
        <w:spacing w:line="360" w:lineRule="auto"/>
        <w:rPr>
          <w:rFonts w:hint="default" w:ascii="宋体" w:hAnsi="宋体" w:cs="宋体"/>
          <w:color w:val="auto"/>
          <w:sz w:val="24"/>
          <w:highlight w:val="none"/>
          <w:u w:val="dotted"/>
        </w:rPr>
      </w:pPr>
      <w:r>
        <w:rPr>
          <w:rFonts w:ascii="宋体" w:hAnsi="宋体" w:cs="宋体"/>
          <w:color w:val="auto"/>
          <w:sz w:val="24"/>
          <w:highlight w:val="none"/>
        </w:rPr>
        <w:t>投诉人：</w:t>
      </w:r>
      <w:r>
        <w:rPr>
          <w:rFonts w:ascii="宋体" w:hAnsi="宋体" w:cs="宋体"/>
          <w:color w:val="auto"/>
          <w:sz w:val="24"/>
          <w:highlight w:val="none"/>
          <w:u w:val="dotted"/>
        </w:rPr>
        <w:t xml:space="preserve">                                               </w:t>
      </w:r>
    </w:p>
    <w:p w14:paraId="7189CB2E">
      <w:pPr>
        <w:spacing w:line="360" w:lineRule="auto"/>
        <w:rPr>
          <w:rFonts w:hint="default" w:ascii="宋体" w:hAnsi="宋体" w:cs="宋体"/>
          <w:color w:val="auto"/>
          <w:sz w:val="24"/>
          <w:highlight w:val="none"/>
          <w:u w:val="single"/>
        </w:rPr>
      </w:pPr>
      <w:r>
        <w:rPr>
          <w:rFonts w:ascii="宋体" w:hAnsi="宋体" w:cs="宋体"/>
          <w:color w:val="auto"/>
          <w:sz w:val="24"/>
          <w:highlight w:val="none"/>
        </w:rPr>
        <w:t>地     址：</w:t>
      </w:r>
      <w:r>
        <w:rPr>
          <w:rFonts w:ascii="宋体" w:hAnsi="宋体" w:cs="宋体"/>
          <w:color w:val="auto"/>
          <w:sz w:val="24"/>
          <w:highlight w:val="none"/>
          <w:u w:val="dotted"/>
        </w:rPr>
        <w:t xml:space="preserve">                             </w:t>
      </w:r>
      <w:r>
        <w:rPr>
          <w:rFonts w:ascii="宋体" w:hAnsi="宋体" w:cs="宋体"/>
          <w:color w:val="auto"/>
          <w:sz w:val="24"/>
          <w:highlight w:val="none"/>
        </w:rPr>
        <w:t>邮编：</w:t>
      </w:r>
      <w:r>
        <w:rPr>
          <w:rFonts w:ascii="宋体" w:hAnsi="宋体" w:cs="宋体"/>
          <w:color w:val="auto"/>
          <w:sz w:val="24"/>
          <w:highlight w:val="none"/>
          <w:u w:val="dotted"/>
        </w:rPr>
        <w:t xml:space="preserve">         </w:t>
      </w:r>
      <w:r>
        <w:rPr>
          <w:rFonts w:ascii="宋体" w:hAnsi="宋体" w:cs="宋体"/>
          <w:color w:val="auto"/>
          <w:sz w:val="24"/>
          <w:highlight w:val="none"/>
          <w:u w:val="single"/>
        </w:rPr>
        <w:t xml:space="preserve">   </w:t>
      </w:r>
    </w:p>
    <w:p w14:paraId="7D6838D1">
      <w:pPr>
        <w:tabs>
          <w:tab w:val="left" w:pos="6510"/>
        </w:tabs>
        <w:spacing w:line="360" w:lineRule="auto"/>
        <w:jc w:val="left"/>
        <w:rPr>
          <w:rFonts w:hint="default" w:ascii="宋体" w:hAnsi="宋体" w:cs="宋体"/>
          <w:color w:val="auto"/>
          <w:sz w:val="24"/>
          <w:highlight w:val="none"/>
        </w:rPr>
      </w:pPr>
      <w:r>
        <w:rPr>
          <w:rFonts w:ascii="宋体" w:hAnsi="宋体" w:cs="宋体"/>
          <w:color w:val="auto"/>
          <w:sz w:val="24"/>
          <w:highlight w:val="none"/>
        </w:rPr>
        <w:t>法定代表人/主要负责人：</w:t>
      </w:r>
      <w:r>
        <w:rPr>
          <w:rFonts w:ascii="宋体" w:hAnsi="宋体" w:cs="宋体"/>
          <w:color w:val="auto"/>
          <w:sz w:val="24"/>
          <w:highlight w:val="none"/>
          <w:u w:val="dotted"/>
        </w:rPr>
        <w:t xml:space="preserve">                                   </w:t>
      </w:r>
      <w:r>
        <w:rPr>
          <w:rFonts w:ascii="宋体" w:hAnsi="宋体" w:cs="宋体"/>
          <w:color w:val="auto"/>
          <w:sz w:val="24"/>
          <w:highlight w:val="none"/>
        </w:rPr>
        <w:t xml:space="preserve">  </w:t>
      </w:r>
    </w:p>
    <w:p w14:paraId="24CE5923">
      <w:pPr>
        <w:tabs>
          <w:tab w:val="left" w:pos="6510"/>
        </w:tabs>
        <w:spacing w:line="360" w:lineRule="auto"/>
        <w:rPr>
          <w:rFonts w:hint="default" w:ascii="宋体" w:hAnsi="宋体" w:cs="宋体"/>
          <w:color w:val="auto"/>
          <w:sz w:val="24"/>
          <w:highlight w:val="none"/>
          <w:u w:val="dotted"/>
        </w:rPr>
      </w:pPr>
      <w:r>
        <w:rPr>
          <w:rFonts w:ascii="宋体" w:hAnsi="宋体" w:cs="宋体"/>
          <w:color w:val="auto"/>
          <w:sz w:val="24"/>
          <w:highlight w:val="none"/>
        </w:rPr>
        <w:t>联系电话：</w:t>
      </w:r>
      <w:r>
        <w:rPr>
          <w:rFonts w:ascii="宋体" w:hAnsi="宋体" w:cs="宋体"/>
          <w:color w:val="auto"/>
          <w:sz w:val="24"/>
          <w:highlight w:val="none"/>
          <w:u w:val="dotted"/>
        </w:rPr>
        <w:t xml:space="preserve">                                             </w:t>
      </w:r>
    </w:p>
    <w:p w14:paraId="08D2245B">
      <w:pPr>
        <w:spacing w:line="360" w:lineRule="auto"/>
        <w:rPr>
          <w:rFonts w:hint="default" w:ascii="宋体" w:hAnsi="宋体" w:cs="宋体"/>
          <w:color w:val="auto"/>
          <w:sz w:val="24"/>
          <w:highlight w:val="none"/>
          <w:u w:val="dotted"/>
        </w:rPr>
      </w:pPr>
      <w:r>
        <w:rPr>
          <w:rFonts w:ascii="宋体" w:hAnsi="宋体" w:cs="宋体"/>
          <w:color w:val="auto"/>
          <w:sz w:val="24"/>
          <w:highlight w:val="none"/>
        </w:rPr>
        <w:t>授权代表：</w:t>
      </w:r>
      <w:r>
        <w:rPr>
          <w:rFonts w:ascii="宋体" w:hAnsi="宋体" w:cs="宋体"/>
          <w:color w:val="auto"/>
          <w:sz w:val="24"/>
          <w:highlight w:val="none"/>
          <w:u w:val="dotted"/>
        </w:rPr>
        <w:t xml:space="preserve">             </w:t>
      </w:r>
      <w:r>
        <w:rPr>
          <w:rFonts w:ascii="宋体" w:hAnsi="宋体" w:cs="宋体"/>
          <w:color w:val="auto"/>
          <w:sz w:val="24"/>
          <w:highlight w:val="none"/>
        </w:rPr>
        <w:t>联系电话</w:t>
      </w:r>
      <w:r>
        <w:rPr>
          <w:rFonts w:ascii="宋体" w:hAnsi="宋体" w:cs="宋体"/>
          <w:color w:val="auto"/>
          <w:sz w:val="24"/>
          <w:highlight w:val="none"/>
          <w:u w:val="dotted"/>
        </w:rPr>
        <w:t xml:space="preserve">：                  </w:t>
      </w:r>
    </w:p>
    <w:p w14:paraId="11D20831">
      <w:pPr>
        <w:spacing w:line="360" w:lineRule="auto"/>
        <w:rPr>
          <w:rFonts w:hint="default" w:ascii="宋体" w:hAnsi="宋体" w:cs="宋体"/>
          <w:color w:val="auto"/>
          <w:sz w:val="24"/>
          <w:highlight w:val="none"/>
          <w:u w:val="dotted"/>
        </w:rPr>
      </w:pPr>
      <w:r>
        <w:rPr>
          <w:rFonts w:ascii="宋体" w:hAnsi="宋体" w:cs="宋体"/>
          <w:color w:val="auto"/>
          <w:sz w:val="24"/>
          <w:highlight w:val="none"/>
        </w:rPr>
        <w:t>地     址：</w:t>
      </w:r>
      <w:r>
        <w:rPr>
          <w:rFonts w:ascii="宋体" w:hAnsi="宋体" w:cs="宋体"/>
          <w:color w:val="auto"/>
          <w:sz w:val="24"/>
          <w:highlight w:val="none"/>
          <w:u w:val="dotted"/>
        </w:rPr>
        <w:t xml:space="preserve">                             </w:t>
      </w:r>
      <w:r>
        <w:rPr>
          <w:rFonts w:ascii="宋体" w:hAnsi="宋体" w:cs="宋体"/>
          <w:color w:val="auto"/>
          <w:sz w:val="24"/>
          <w:highlight w:val="none"/>
        </w:rPr>
        <w:t>邮编：</w:t>
      </w:r>
      <w:r>
        <w:rPr>
          <w:rFonts w:ascii="宋体" w:hAnsi="宋体" w:cs="宋体"/>
          <w:color w:val="auto"/>
          <w:sz w:val="24"/>
          <w:highlight w:val="none"/>
          <w:u w:val="dotted"/>
        </w:rPr>
        <w:t xml:space="preserve">         </w:t>
      </w:r>
      <w:r>
        <w:rPr>
          <w:rFonts w:ascii="宋体" w:hAnsi="宋体" w:cs="宋体"/>
          <w:color w:val="auto"/>
          <w:sz w:val="24"/>
          <w:highlight w:val="none"/>
          <w:u w:val="single"/>
        </w:rPr>
        <w:t xml:space="preserve"> </w:t>
      </w:r>
      <w:r>
        <w:rPr>
          <w:rFonts w:ascii="宋体" w:hAnsi="宋体" w:cs="宋体"/>
          <w:color w:val="auto"/>
          <w:sz w:val="24"/>
          <w:highlight w:val="none"/>
          <w:u w:val="dotted"/>
        </w:rPr>
        <w:t xml:space="preserve">                   </w:t>
      </w:r>
    </w:p>
    <w:p w14:paraId="1E08BE96">
      <w:pPr>
        <w:spacing w:line="360" w:lineRule="auto"/>
        <w:rPr>
          <w:rFonts w:hint="default" w:ascii="宋体" w:hAnsi="宋体" w:cs="宋体"/>
          <w:color w:val="auto"/>
          <w:sz w:val="24"/>
          <w:highlight w:val="none"/>
          <w:u w:val="single"/>
        </w:rPr>
      </w:pPr>
      <w:r>
        <w:rPr>
          <w:rFonts w:ascii="宋体" w:hAnsi="宋体" w:cs="宋体"/>
          <w:color w:val="auto"/>
          <w:sz w:val="24"/>
          <w:highlight w:val="none"/>
        </w:rPr>
        <w:t>被投诉人1：</w:t>
      </w:r>
      <w:r>
        <w:rPr>
          <w:rFonts w:ascii="宋体" w:hAnsi="宋体" w:cs="宋体"/>
          <w:color w:val="auto"/>
          <w:sz w:val="24"/>
          <w:highlight w:val="none"/>
          <w:u w:val="dotted"/>
        </w:rPr>
        <w:t xml:space="preserve">                                           </w:t>
      </w:r>
      <w:r>
        <w:rPr>
          <w:rFonts w:ascii="宋体" w:hAnsi="宋体" w:cs="宋体"/>
          <w:color w:val="auto"/>
          <w:sz w:val="24"/>
          <w:highlight w:val="none"/>
          <w:u w:val="single"/>
        </w:rPr>
        <w:t xml:space="preserve">  </w:t>
      </w:r>
    </w:p>
    <w:p w14:paraId="4BE5DD47">
      <w:pPr>
        <w:spacing w:line="360" w:lineRule="auto"/>
        <w:rPr>
          <w:rFonts w:hint="default" w:ascii="宋体" w:hAnsi="宋体" w:cs="宋体"/>
          <w:color w:val="auto"/>
          <w:sz w:val="24"/>
          <w:highlight w:val="none"/>
          <w:u w:val="single"/>
        </w:rPr>
      </w:pPr>
      <w:r>
        <w:rPr>
          <w:rFonts w:ascii="宋体" w:hAnsi="宋体" w:cs="宋体"/>
          <w:color w:val="auto"/>
          <w:sz w:val="24"/>
          <w:highlight w:val="none"/>
        </w:rPr>
        <w:t>地     址：</w:t>
      </w:r>
      <w:r>
        <w:rPr>
          <w:rFonts w:ascii="宋体" w:hAnsi="宋体" w:cs="宋体"/>
          <w:color w:val="auto"/>
          <w:sz w:val="24"/>
          <w:highlight w:val="none"/>
          <w:u w:val="dotted"/>
        </w:rPr>
        <w:t xml:space="preserve">                             </w:t>
      </w:r>
      <w:r>
        <w:rPr>
          <w:rFonts w:ascii="宋体" w:hAnsi="宋体" w:cs="宋体"/>
          <w:color w:val="auto"/>
          <w:sz w:val="24"/>
          <w:highlight w:val="none"/>
        </w:rPr>
        <w:t>邮编：</w:t>
      </w:r>
      <w:r>
        <w:rPr>
          <w:rFonts w:ascii="宋体" w:hAnsi="宋体" w:cs="宋体"/>
          <w:color w:val="auto"/>
          <w:sz w:val="24"/>
          <w:highlight w:val="none"/>
          <w:u w:val="dotted"/>
        </w:rPr>
        <w:t xml:space="preserve">          </w:t>
      </w:r>
      <w:r>
        <w:rPr>
          <w:rFonts w:ascii="宋体" w:hAnsi="宋体" w:cs="宋体"/>
          <w:color w:val="auto"/>
          <w:sz w:val="24"/>
          <w:highlight w:val="none"/>
          <w:u w:val="single"/>
        </w:rPr>
        <w:t xml:space="preserve"> </w:t>
      </w:r>
    </w:p>
    <w:p w14:paraId="027CB283">
      <w:pPr>
        <w:spacing w:line="360" w:lineRule="auto"/>
        <w:rPr>
          <w:rFonts w:hint="default" w:ascii="宋体" w:hAnsi="宋体" w:cs="宋体"/>
          <w:color w:val="auto"/>
          <w:sz w:val="24"/>
          <w:highlight w:val="none"/>
          <w:u w:val="single"/>
        </w:rPr>
      </w:pPr>
      <w:r>
        <w:rPr>
          <w:rFonts w:ascii="宋体" w:hAnsi="宋体" w:cs="宋体"/>
          <w:color w:val="auto"/>
          <w:sz w:val="24"/>
          <w:highlight w:val="none"/>
        </w:rPr>
        <w:t>联系人：</w:t>
      </w:r>
      <w:r>
        <w:rPr>
          <w:rFonts w:ascii="宋体" w:hAnsi="宋体" w:cs="宋体"/>
          <w:color w:val="auto"/>
          <w:sz w:val="24"/>
          <w:highlight w:val="none"/>
          <w:u w:val="dotted"/>
        </w:rPr>
        <w:t xml:space="preserve">               </w:t>
      </w:r>
      <w:r>
        <w:rPr>
          <w:rFonts w:ascii="宋体" w:hAnsi="宋体" w:cs="宋体"/>
          <w:color w:val="auto"/>
          <w:sz w:val="24"/>
          <w:highlight w:val="none"/>
        </w:rPr>
        <w:t>联系电话：</w:t>
      </w:r>
      <w:r>
        <w:rPr>
          <w:rFonts w:ascii="宋体" w:hAnsi="宋体" w:cs="宋体"/>
          <w:color w:val="auto"/>
          <w:sz w:val="24"/>
          <w:highlight w:val="none"/>
          <w:u w:val="dotted"/>
        </w:rPr>
        <w:t xml:space="preserve">                      </w:t>
      </w:r>
      <w:r>
        <w:rPr>
          <w:rFonts w:ascii="宋体" w:hAnsi="宋体" w:cs="宋体"/>
          <w:color w:val="auto"/>
          <w:sz w:val="24"/>
          <w:highlight w:val="none"/>
          <w:u w:val="single"/>
        </w:rPr>
        <w:t xml:space="preserve"> </w:t>
      </w:r>
    </w:p>
    <w:p w14:paraId="5142D15D">
      <w:pPr>
        <w:spacing w:line="360" w:lineRule="auto"/>
        <w:rPr>
          <w:rFonts w:hint="default" w:ascii="宋体" w:hAnsi="宋体" w:cs="宋体"/>
          <w:color w:val="auto"/>
          <w:sz w:val="24"/>
          <w:highlight w:val="none"/>
        </w:rPr>
      </w:pPr>
      <w:r>
        <w:rPr>
          <w:rFonts w:ascii="宋体" w:hAnsi="宋体" w:cs="宋体"/>
          <w:color w:val="auto"/>
          <w:sz w:val="24"/>
          <w:highlight w:val="none"/>
        </w:rPr>
        <w:t>被投诉人2</w:t>
      </w:r>
    </w:p>
    <w:p w14:paraId="029F68D9">
      <w:pPr>
        <w:spacing w:line="360" w:lineRule="auto"/>
        <w:rPr>
          <w:rFonts w:hint="default" w:ascii="宋体" w:hAnsi="宋体" w:cs="宋体"/>
          <w:color w:val="auto"/>
          <w:sz w:val="24"/>
          <w:highlight w:val="none"/>
          <w:u w:val="dotted"/>
        </w:rPr>
      </w:pPr>
      <w:r>
        <w:rPr>
          <w:rFonts w:ascii="宋体" w:hAnsi="宋体" w:cs="宋体"/>
          <w:color w:val="auto"/>
          <w:sz w:val="24"/>
          <w:highlight w:val="none"/>
        </w:rPr>
        <w:t>……</w:t>
      </w:r>
    </w:p>
    <w:p w14:paraId="52047316">
      <w:pPr>
        <w:spacing w:line="360" w:lineRule="auto"/>
        <w:rPr>
          <w:rFonts w:hint="default" w:ascii="宋体" w:hAnsi="宋体" w:cs="宋体"/>
          <w:color w:val="auto"/>
          <w:sz w:val="24"/>
          <w:highlight w:val="none"/>
          <w:u w:val="single"/>
        </w:rPr>
      </w:pPr>
      <w:r>
        <w:rPr>
          <w:rFonts w:ascii="宋体" w:hAnsi="宋体" w:cs="宋体"/>
          <w:color w:val="auto"/>
          <w:sz w:val="24"/>
          <w:highlight w:val="none"/>
        </w:rPr>
        <w:t>相关供应商：</w:t>
      </w:r>
      <w:r>
        <w:rPr>
          <w:rFonts w:ascii="宋体" w:hAnsi="宋体" w:cs="宋体"/>
          <w:color w:val="auto"/>
          <w:sz w:val="24"/>
          <w:highlight w:val="none"/>
          <w:u w:val="dotted"/>
        </w:rPr>
        <w:t xml:space="preserve">                                           </w:t>
      </w:r>
      <w:r>
        <w:rPr>
          <w:rFonts w:ascii="宋体" w:hAnsi="宋体" w:cs="宋体"/>
          <w:color w:val="auto"/>
          <w:sz w:val="24"/>
          <w:highlight w:val="none"/>
          <w:u w:val="single"/>
        </w:rPr>
        <w:t xml:space="preserve">    </w:t>
      </w:r>
    </w:p>
    <w:p w14:paraId="5B095533">
      <w:pPr>
        <w:spacing w:line="360" w:lineRule="auto"/>
        <w:rPr>
          <w:rFonts w:hint="default" w:ascii="宋体" w:hAnsi="宋体" w:cs="宋体"/>
          <w:color w:val="auto"/>
          <w:sz w:val="24"/>
          <w:highlight w:val="none"/>
          <w:u w:val="single"/>
        </w:rPr>
      </w:pPr>
      <w:r>
        <w:rPr>
          <w:rFonts w:ascii="宋体" w:hAnsi="宋体" w:cs="宋体"/>
          <w:color w:val="auto"/>
          <w:sz w:val="24"/>
          <w:highlight w:val="none"/>
        </w:rPr>
        <w:t>地     址：</w:t>
      </w:r>
      <w:r>
        <w:rPr>
          <w:rFonts w:ascii="宋体" w:hAnsi="宋体" w:cs="宋体"/>
          <w:color w:val="auto"/>
          <w:sz w:val="24"/>
          <w:highlight w:val="none"/>
          <w:u w:val="dotted"/>
        </w:rPr>
        <w:t xml:space="preserve">                             </w:t>
      </w:r>
      <w:r>
        <w:rPr>
          <w:rFonts w:ascii="宋体" w:hAnsi="宋体" w:cs="宋体"/>
          <w:color w:val="auto"/>
          <w:sz w:val="24"/>
          <w:highlight w:val="none"/>
        </w:rPr>
        <w:t>邮编：</w:t>
      </w:r>
      <w:r>
        <w:rPr>
          <w:rFonts w:ascii="宋体" w:hAnsi="宋体" w:cs="宋体"/>
          <w:color w:val="auto"/>
          <w:sz w:val="24"/>
          <w:highlight w:val="none"/>
          <w:u w:val="dotted"/>
        </w:rPr>
        <w:t xml:space="preserve">          </w:t>
      </w:r>
      <w:r>
        <w:rPr>
          <w:rFonts w:ascii="宋体" w:hAnsi="宋体" w:cs="宋体"/>
          <w:color w:val="auto"/>
          <w:sz w:val="24"/>
          <w:highlight w:val="none"/>
          <w:u w:val="single"/>
        </w:rPr>
        <w:t xml:space="preserve"> </w:t>
      </w:r>
    </w:p>
    <w:p w14:paraId="376554D2">
      <w:pPr>
        <w:spacing w:line="360" w:lineRule="auto"/>
        <w:rPr>
          <w:rFonts w:hint="default" w:ascii="宋体" w:hAnsi="宋体" w:cs="宋体"/>
          <w:color w:val="auto"/>
          <w:sz w:val="24"/>
          <w:highlight w:val="none"/>
          <w:u w:val="single"/>
        </w:rPr>
      </w:pPr>
      <w:r>
        <w:rPr>
          <w:rFonts w:ascii="宋体" w:hAnsi="宋体" w:cs="宋体"/>
          <w:color w:val="auto"/>
          <w:sz w:val="24"/>
          <w:highlight w:val="none"/>
        </w:rPr>
        <w:t>联系人：</w:t>
      </w:r>
      <w:r>
        <w:rPr>
          <w:rFonts w:ascii="宋体" w:hAnsi="宋体" w:cs="宋体"/>
          <w:color w:val="auto"/>
          <w:sz w:val="24"/>
          <w:highlight w:val="none"/>
          <w:u w:val="dotted"/>
        </w:rPr>
        <w:t xml:space="preserve">               </w:t>
      </w:r>
      <w:r>
        <w:rPr>
          <w:rFonts w:ascii="宋体" w:hAnsi="宋体" w:cs="宋体"/>
          <w:color w:val="auto"/>
          <w:sz w:val="24"/>
          <w:highlight w:val="none"/>
        </w:rPr>
        <w:t>联系电话：</w:t>
      </w:r>
      <w:r>
        <w:rPr>
          <w:rFonts w:ascii="宋体" w:hAnsi="宋体" w:cs="宋体"/>
          <w:color w:val="auto"/>
          <w:sz w:val="24"/>
          <w:highlight w:val="none"/>
          <w:u w:val="dotted"/>
        </w:rPr>
        <w:t xml:space="preserve">                      </w:t>
      </w:r>
      <w:r>
        <w:rPr>
          <w:rFonts w:ascii="宋体" w:hAnsi="宋体" w:cs="宋体"/>
          <w:color w:val="auto"/>
          <w:sz w:val="24"/>
          <w:highlight w:val="none"/>
          <w:u w:val="single"/>
        </w:rPr>
        <w:t xml:space="preserve">      </w:t>
      </w:r>
    </w:p>
    <w:p w14:paraId="06235F37">
      <w:pPr>
        <w:spacing w:line="360" w:lineRule="auto"/>
        <w:rPr>
          <w:rFonts w:hint="default" w:ascii="宋体" w:hAnsi="宋体" w:cs="宋体"/>
          <w:color w:val="auto"/>
          <w:sz w:val="24"/>
          <w:highlight w:val="none"/>
        </w:rPr>
      </w:pPr>
      <w:r>
        <w:rPr>
          <w:rFonts w:ascii="宋体" w:hAnsi="宋体" w:cs="宋体"/>
          <w:color w:val="auto"/>
          <w:sz w:val="24"/>
          <w:highlight w:val="none"/>
        </w:rPr>
        <w:t>二、投诉项目基本情况</w:t>
      </w:r>
    </w:p>
    <w:p w14:paraId="53098E41">
      <w:pPr>
        <w:spacing w:line="360" w:lineRule="auto"/>
        <w:rPr>
          <w:rFonts w:hint="default" w:ascii="宋体" w:hAnsi="宋体" w:cs="宋体"/>
          <w:color w:val="auto"/>
          <w:sz w:val="24"/>
          <w:highlight w:val="none"/>
          <w:u w:val="dotted"/>
        </w:rPr>
      </w:pPr>
      <w:r>
        <w:rPr>
          <w:rFonts w:ascii="宋体" w:hAnsi="宋体" w:cs="宋体"/>
          <w:color w:val="auto"/>
          <w:sz w:val="24"/>
          <w:highlight w:val="none"/>
        </w:rPr>
        <w:t>采购项目名称：</w:t>
      </w:r>
      <w:r>
        <w:rPr>
          <w:rFonts w:ascii="宋体" w:hAnsi="宋体" w:cs="宋体"/>
          <w:color w:val="auto"/>
          <w:sz w:val="24"/>
          <w:highlight w:val="none"/>
          <w:u w:val="dotted"/>
        </w:rPr>
        <w:t xml:space="preserve">                                        </w:t>
      </w:r>
    </w:p>
    <w:p w14:paraId="5CC657F1">
      <w:pPr>
        <w:spacing w:line="360" w:lineRule="auto"/>
        <w:rPr>
          <w:rFonts w:hint="default" w:ascii="宋体" w:hAnsi="宋体" w:cs="宋体"/>
          <w:color w:val="auto"/>
          <w:sz w:val="24"/>
          <w:highlight w:val="none"/>
          <w:u w:val="single"/>
        </w:rPr>
      </w:pPr>
      <w:r>
        <w:rPr>
          <w:rFonts w:ascii="宋体" w:hAnsi="宋体" w:cs="宋体"/>
          <w:color w:val="auto"/>
          <w:sz w:val="24"/>
          <w:highlight w:val="none"/>
        </w:rPr>
        <w:t>采购项目编号：</w:t>
      </w:r>
      <w:r>
        <w:rPr>
          <w:rFonts w:ascii="宋体" w:hAnsi="宋体" w:cs="宋体"/>
          <w:color w:val="auto"/>
          <w:sz w:val="24"/>
          <w:highlight w:val="none"/>
          <w:u w:val="dotted"/>
        </w:rPr>
        <w:t xml:space="preserve">                 </w:t>
      </w:r>
      <w:r>
        <w:rPr>
          <w:rFonts w:ascii="宋体" w:hAnsi="宋体" w:cs="宋体"/>
          <w:color w:val="auto"/>
          <w:sz w:val="24"/>
          <w:highlight w:val="none"/>
        </w:rPr>
        <w:t>包号：</w:t>
      </w:r>
      <w:r>
        <w:rPr>
          <w:rFonts w:ascii="宋体" w:hAnsi="宋体" w:cs="宋体"/>
          <w:color w:val="auto"/>
          <w:sz w:val="24"/>
          <w:highlight w:val="none"/>
          <w:u w:val="dotted"/>
        </w:rPr>
        <w:t xml:space="preserve">              </w:t>
      </w:r>
    </w:p>
    <w:p w14:paraId="30AF6267">
      <w:pPr>
        <w:spacing w:line="360" w:lineRule="auto"/>
        <w:rPr>
          <w:rFonts w:hint="default" w:ascii="宋体" w:hAnsi="宋体" w:cs="宋体"/>
          <w:color w:val="auto"/>
          <w:sz w:val="24"/>
          <w:highlight w:val="none"/>
        </w:rPr>
      </w:pPr>
      <w:r>
        <w:rPr>
          <w:rFonts w:ascii="宋体" w:hAnsi="宋体" w:cs="宋体"/>
          <w:color w:val="auto"/>
          <w:sz w:val="24"/>
          <w:highlight w:val="none"/>
        </w:rPr>
        <w:t>采购人名称：</w:t>
      </w:r>
      <w:r>
        <w:rPr>
          <w:rFonts w:ascii="宋体" w:hAnsi="宋体" w:cs="宋体"/>
          <w:color w:val="auto"/>
          <w:sz w:val="24"/>
          <w:highlight w:val="none"/>
          <w:u w:val="dotted"/>
        </w:rPr>
        <w:t xml:space="preserve">                                           </w:t>
      </w:r>
      <w:r>
        <w:rPr>
          <w:rFonts w:ascii="宋体" w:hAnsi="宋体" w:cs="宋体"/>
          <w:color w:val="auto"/>
          <w:sz w:val="24"/>
          <w:highlight w:val="none"/>
          <w:u w:val="single"/>
        </w:rPr>
        <w:t xml:space="preserve">  </w:t>
      </w:r>
    </w:p>
    <w:p w14:paraId="69F3336D">
      <w:pPr>
        <w:spacing w:line="360" w:lineRule="auto"/>
        <w:rPr>
          <w:rFonts w:hint="default" w:ascii="宋体" w:hAnsi="宋体" w:cs="宋体"/>
          <w:color w:val="auto"/>
          <w:sz w:val="24"/>
          <w:highlight w:val="none"/>
          <w:u w:val="single"/>
        </w:rPr>
      </w:pPr>
      <w:r>
        <w:rPr>
          <w:rFonts w:ascii="宋体" w:hAnsi="宋体" w:cs="宋体"/>
          <w:color w:val="auto"/>
          <w:sz w:val="24"/>
          <w:highlight w:val="none"/>
        </w:rPr>
        <w:t>代理机构名称：</w:t>
      </w:r>
      <w:r>
        <w:rPr>
          <w:rFonts w:ascii="宋体" w:hAnsi="宋体" w:cs="宋体"/>
          <w:color w:val="auto"/>
          <w:sz w:val="24"/>
          <w:highlight w:val="none"/>
          <w:u w:val="dotted"/>
        </w:rPr>
        <w:t xml:space="preserve">                                         </w:t>
      </w:r>
    </w:p>
    <w:p w14:paraId="63FB1AC6">
      <w:pPr>
        <w:spacing w:line="360" w:lineRule="auto"/>
        <w:rPr>
          <w:rFonts w:hint="default" w:ascii="宋体" w:hAnsi="宋体" w:cs="宋体"/>
          <w:color w:val="auto"/>
          <w:sz w:val="24"/>
          <w:highlight w:val="none"/>
          <w:u w:val="dotted"/>
        </w:rPr>
      </w:pPr>
      <w:r>
        <w:rPr>
          <w:rFonts w:ascii="宋体" w:hAnsi="宋体" w:cs="宋体"/>
          <w:color w:val="auto"/>
          <w:sz w:val="24"/>
          <w:highlight w:val="none"/>
        </w:rPr>
        <w:t>采购文件公告:</w:t>
      </w:r>
      <w:r>
        <w:rPr>
          <w:rFonts w:ascii="宋体" w:hAnsi="宋体" w:cs="宋体"/>
          <w:color w:val="auto"/>
          <w:sz w:val="24"/>
          <w:highlight w:val="none"/>
          <w:u w:val="dotted"/>
        </w:rPr>
        <w:t xml:space="preserve">是/否 </w:t>
      </w:r>
      <w:r>
        <w:rPr>
          <w:rFonts w:ascii="宋体" w:hAnsi="宋体" w:cs="宋体"/>
          <w:color w:val="auto"/>
          <w:sz w:val="24"/>
          <w:highlight w:val="none"/>
        </w:rPr>
        <w:t>公告期限：</w:t>
      </w:r>
      <w:r>
        <w:rPr>
          <w:rFonts w:ascii="宋体" w:hAnsi="宋体" w:cs="宋体"/>
          <w:color w:val="auto"/>
          <w:sz w:val="24"/>
          <w:highlight w:val="none"/>
          <w:u w:val="dotted"/>
        </w:rPr>
        <w:t xml:space="preserve">                                 </w:t>
      </w:r>
    </w:p>
    <w:p w14:paraId="3E412FAA">
      <w:pPr>
        <w:spacing w:line="360" w:lineRule="auto"/>
        <w:rPr>
          <w:rFonts w:hint="default" w:ascii="宋体" w:hAnsi="宋体" w:cs="宋体"/>
          <w:color w:val="auto"/>
          <w:sz w:val="24"/>
          <w:highlight w:val="none"/>
          <w:u w:val="single"/>
        </w:rPr>
      </w:pPr>
      <w:r>
        <w:rPr>
          <w:rFonts w:ascii="宋体" w:hAnsi="宋体" w:cs="宋体"/>
          <w:color w:val="auto"/>
          <w:sz w:val="24"/>
          <w:highlight w:val="none"/>
        </w:rPr>
        <w:t>采购结果公告:</w:t>
      </w:r>
      <w:r>
        <w:rPr>
          <w:rFonts w:ascii="宋体" w:hAnsi="宋体" w:cs="宋体"/>
          <w:color w:val="auto"/>
          <w:sz w:val="24"/>
          <w:highlight w:val="none"/>
          <w:u w:val="dotted"/>
        </w:rPr>
        <w:t xml:space="preserve">是/否 </w:t>
      </w:r>
      <w:r>
        <w:rPr>
          <w:rFonts w:ascii="宋体" w:hAnsi="宋体" w:cs="宋体"/>
          <w:color w:val="auto"/>
          <w:sz w:val="24"/>
          <w:highlight w:val="none"/>
        </w:rPr>
        <w:t>公告期限：</w:t>
      </w:r>
      <w:r>
        <w:rPr>
          <w:rFonts w:ascii="宋体" w:hAnsi="宋体" w:cs="宋体"/>
          <w:color w:val="auto"/>
          <w:sz w:val="24"/>
          <w:highlight w:val="none"/>
          <w:u w:val="dotted"/>
        </w:rPr>
        <w:t xml:space="preserve">                        </w:t>
      </w:r>
    </w:p>
    <w:p w14:paraId="377BF70A">
      <w:pPr>
        <w:spacing w:line="360" w:lineRule="auto"/>
        <w:rPr>
          <w:rFonts w:hint="default" w:ascii="宋体" w:hAnsi="宋体" w:cs="宋体"/>
          <w:color w:val="auto"/>
          <w:sz w:val="24"/>
          <w:highlight w:val="none"/>
        </w:rPr>
      </w:pPr>
      <w:r>
        <w:rPr>
          <w:rFonts w:ascii="宋体" w:hAnsi="宋体" w:cs="宋体"/>
          <w:color w:val="auto"/>
          <w:sz w:val="24"/>
          <w:highlight w:val="none"/>
        </w:rPr>
        <w:t>三、质疑基本情况</w:t>
      </w:r>
    </w:p>
    <w:p w14:paraId="097DA92C">
      <w:pPr>
        <w:spacing w:line="360" w:lineRule="auto"/>
        <w:ind w:firstLine="480" w:firstLineChars="200"/>
        <w:rPr>
          <w:rFonts w:hint="default" w:ascii="宋体" w:hAnsi="宋体" w:cs="宋体"/>
          <w:color w:val="auto"/>
          <w:sz w:val="24"/>
          <w:highlight w:val="none"/>
          <w:u w:val="dotted"/>
        </w:rPr>
      </w:pPr>
      <w:r>
        <w:rPr>
          <w:rFonts w:ascii="宋体" w:hAnsi="宋体" w:cs="宋体"/>
          <w:color w:val="auto"/>
          <w:sz w:val="24"/>
          <w:highlight w:val="none"/>
        </w:rPr>
        <w:t>投诉人于</w:t>
      </w:r>
      <w:r>
        <w:rPr>
          <w:rFonts w:ascii="宋体" w:hAnsi="宋体" w:cs="宋体"/>
          <w:color w:val="auto"/>
          <w:sz w:val="24"/>
          <w:highlight w:val="none"/>
          <w:u w:val="dotted"/>
        </w:rPr>
        <w:t xml:space="preserve">   </w:t>
      </w:r>
      <w:r>
        <w:rPr>
          <w:rFonts w:ascii="宋体" w:hAnsi="宋体" w:cs="宋体"/>
          <w:color w:val="auto"/>
          <w:sz w:val="24"/>
          <w:highlight w:val="none"/>
        </w:rPr>
        <w:t>年</w:t>
      </w:r>
      <w:r>
        <w:rPr>
          <w:rFonts w:ascii="宋体" w:hAnsi="宋体" w:cs="宋体"/>
          <w:color w:val="auto"/>
          <w:sz w:val="24"/>
          <w:highlight w:val="none"/>
          <w:u w:val="dotted"/>
        </w:rPr>
        <w:t xml:space="preserve">   </w:t>
      </w:r>
      <w:r>
        <w:rPr>
          <w:rFonts w:ascii="宋体" w:hAnsi="宋体" w:cs="宋体"/>
          <w:color w:val="auto"/>
          <w:sz w:val="24"/>
          <w:highlight w:val="none"/>
        </w:rPr>
        <w:t>月</w:t>
      </w:r>
      <w:r>
        <w:rPr>
          <w:rFonts w:ascii="宋体" w:hAnsi="宋体" w:cs="宋体"/>
          <w:color w:val="auto"/>
          <w:sz w:val="24"/>
          <w:highlight w:val="none"/>
          <w:u w:val="dotted"/>
        </w:rPr>
        <w:t xml:space="preserve">  </w:t>
      </w:r>
      <w:r>
        <w:rPr>
          <w:rFonts w:ascii="宋体" w:hAnsi="宋体" w:cs="宋体"/>
          <w:color w:val="auto"/>
          <w:sz w:val="24"/>
          <w:highlight w:val="none"/>
        </w:rPr>
        <w:t>日,向</w:t>
      </w:r>
      <w:r>
        <w:rPr>
          <w:rFonts w:ascii="宋体" w:hAnsi="宋体" w:cs="宋体"/>
          <w:color w:val="auto"/>
          <w:sz w:val="24"/>
          <w:highlight w:val="none"/>
          <w:u w:val="dotted"/>
        </w:rPr>
        <w:t xml:space="preserve">                   </w:t>
      </w:r>
      <w:r>
        <w:rPr>
          <w:rFonts w:ascii="宋体" w:hAnsi="宋体" w:cs="宋体"/>
          <w:color w:val="auto"/>
          <w:sz w:val="24"/>
          <w:highlight w:val="none"/>
        </w:rPr>
        <w:t>提出质疑，质疑事项为：</w:t>
      </w:r>
      <w:r>
        <w:rPr>
          <w:rFonts w:ascii="宋体" w:hAnsi="宋体" w:cs="宋体"/>
          <w:color w:val="auto"/>
          <w:sz w:val="24"/>
          <w:highlight w:val="none"/>
          <w:u w:val="dotted"/>
        </w:rPr>
        <w:t xml:space="preserve">                                </w:t>
      </w:r>
    </w:p>
    <w:p w14:paraId="78B8851F">
      <w:pPr>
        <w:spacing w:line="360" w:lineRule="auto"/>
        <w:rPr>
          <w:rFonts w:hint="default" w:ascii="宋体" w:hAnsi="宋体" w:cs="宋体"/>
          <w:color w:val="auto"/>
          <w:sz w:val="24"/>
          <w:highlight w:val="none"/>
          <w:u w:val="dotted"/>
        </w:rPr>
      </w:pPr>
      <w:r>
        <w:rPr>
          <w:rFonts w:ascii="宋体" w:hAnsi="宋体" w:cs="宋体"/>
          <w:color w:val="auto"/>
          <w:sz w:val="24"/>
          <w:highlight w:val="none"/>
          <w:u w:val="dotted"/>
        </w:rPr>
        <w:t xml:space="preserve">                                                     </w:t>
      </w:r>
      <w:r>
        <w:rPr>
          <w:rFonts w:ascii="宋体" w:hAnsi="宋体" w:cs="宋体"/>
          <w:color w:val="auto"/>
          <w:sz w:val="24"/>
          <w:highlight w:val="none"/>
        </w:rPr>
        <w:t xml:space="preserve">  </w:t>
      </w:r>
    </w:p>
    <w:p w14:paraId="32DEA5DC">
      <w:pPr>
        <w:spacing w:line="360" w:lineRule="auto"/>
        <w:ind w:firstLine="360" w:firstLineChars="150"/>
        <w:rPr>
          <w:rFonts w:hint="default" w:ascii="宋体" w:hAnsi="宋体" w:cs="宋体"/>
          <w:color w:val="auto"/>
          <w:sz w:val="24"/>
          <w:highlight w:val="none"/>
        </w:rPr>
      </w:pPr>
      <w:r>
        <w:rPr>
          <w:rFonts w:ascii="宋体" w:hAnsi="宋体" w:cs="宋体"/>
          <w:color w:val="auto"/>
          <w:sz w:val="24"/>
          <w:highlight w:val="none"/>
          <w:u w:val="dotted"/>
        </w:rPr>
        <w:t>采购人/代理机构</w:t>
      </w:r>
      <w:r>
        <w:rPr>
          <w:rFonts w:ascii="宋体" w:hAnsi="宋体" w:cs="宋体"/>
          <w:color w:val="auto"/>
          <w:sz w:val="24"/>
          <w:highlight w:val="none"/>
        </w:rPr>
        <w:t>于</w:t>
      </w:r>
      <w:r>
        <w:rPr>
          <w:rFonts w:ascii="宋体" w:hAnsi="宋体" w:cs="宋体"/>
          <w:color w:val="auto"/>
          <w:sz w:val="24"/>
          <w:highlight w:val="none"/>
          <w:u w:val="dotted"/>
        </w:rPr>
        <w:t xml:space="preserve">   </w:t>
      </w:r>
      <w:r>
        <w:rPr>
          <w:rFonts w:ascii="宋体" w:hAnsi="宋体" w:cs="宋体"/>
          <w:color w:val="auto"/>
          <w:sz w:val="24"/>
          <w:highlight w:val="none"/>
        </w:rPr>
        <w:t>年</w:t>
      </w:r>
      <w:r>
        <w:rPr>
          <w:rFonts w:ascii="宋体" w:hAnsi="宋体" w:cs="宋体"/>
          <w:color w:val="auto"/>
          <w:sz w:val="24"/>
          <w:highlight w:val="none"/>
          <w:u w:val="dotted"/>
        </w:rPr>
        <w:t xml:space="preserve">   </w:t>
      </w:r>
      <w:r>
        <w:rPr>
          <w:rFonts w:ascii="宋体" w:hAnsi="宋体" w:cs="宋体"/>
          <w:color w:val="auto"/>
          <w:sz w:val="24"/>
          <w:highlight w:val="none"/>
        </w:rPr>
        <w:t>月</w:t>
      </w:r>
      <w:r>
        <w:rPr>
          <w:rFonts w:ascii="宋体" w:hAnsi="宋体" w:cs="宋体"/>
          <w:color w:val="auto"/>
          <w:sz w:val="24"/>
          <w:highlight w:val="none"/>
          <w:u w:val="dotted"/>
        </w:rPr>
        <w:t xml:space="preserve">   </w:t>
      </w:r>
      <w:r>
        <w:rPr>
          <w:rFonts w:ascii="宋体" w:hAnsi="宋体" w:cs="宋体"/>
          <w:color w:val="auto"/>
          <w:sz w:val="24"/>
          <w:highlight w:val="none"/>
        </w:rPr>
        <w:t>日,就质疑事项作出了答复/没有在法定期限内作出答复。</w:t>
      </w:r>
    </w:p>
    <w:p w14:paraId="5B410900">
      <w:pPr>
        <w:spacing w:line="360" w:lineRule="auto"/>
        <w:rPr>
          <w:rFonts w:hint="default" w:ascii="宋体" w:hAnsi="宋体" w:cs="宋体"/>
          <w:color w:val="auto"/>
          <w:sz w:val="24"/>
          <w:highlight w:val="none"/>
        </w:rPr>
      </w:pPr>
      <w:r>
        <w:rPr>
          <w:rFonts w:ascii="宋体" w:hAnsi="宋体" w:cs="宋体"/>
          <w:color w:val="auto"/>
          <w:sz w:val="24"/>
          <w:highlight w:val="none"/>
        </w:rPr>
        <w:t>四、投诉事项具体内容</w:t>
      </w:r>
    </w:p>
    <w:p w14:paraId="2B158FB5">
      <w:pPr>
        <w:spacing w:line="360" w:lineRule="auto"/>
        <w:rPr>
          <w:rFonts w:hint="default" w:ascii="宋体" w:hAnsi="宋体" w:cs="宋体"/>
          <w:color w:val="auto"/>
          <w:sz w:val="24"/>
          <w:highlight w:val="none"/>
          <w:u w:val="single"/>
        </w:rPr>
      </w:pPr>
      <w:r>
        <w:rPr>
          <w:rFonts w:ascii="宋体" w:hAnsi="宋体" w:cs="宋体"/>
          <w:color w:val="auto"/>
          <w:sz w:val="24"/>
          <w:highlight w:val="none"/>
        </w:rPr>
        <w:t>投诉事项 1：</w:t>
      </w:r>
      <w:r>
        <w:rPr>
          <w:rFonts w:ascii="宋体" w:hAnsi="宋体" w:cs="宋体"/>
          <w:color w:val="auto"/>
          <w:sz w:val="24"/>
          <w:highlight w:val="none"/>
          <w:u w:val="dotted"/>
        </w:rPr>
        <w:t xml:space="preserve">                                       </w:t>
      </w:r>
    </w:p>
    <w:p w14:paraId="32D19135">
      <w:pPr>
        <w:spacing w:line="360" w:lineRule="auto"/>
        <w:rPr>
          <w:rFonts w:hint="default" w:ascii="宋体" w:hAnsi="宋体" w:cs="宋体"/>
          <w:color w:val="auto"/>
          <w:sz w:val="24"/>
          <w:highlight w:val="none"/>
        </w:rPr>
      </w:pPr>
      <w:r>
        <w:rPr>
          <w:rFonts w:ascii="宋体" w:hAnsi="宋体" w:cs="宋体"/>
          <w:color w:val="auto"/>
          <w:sz w:val="24"/>
          <w:highlight w:val="none"/>
        </w:rPr>
        <w:t>事实依据：</w:t>
      </w:r>
      <w:r>
        <w:rPr>
          <w:rFonts w:ascii="宋体" w:hAnsi="宋体" w:cs="宋体"/>
          <w:color w:val="auto"/>
          <w:sz w:val="24"/>
          <w:highlight w:val="none"/>
          <w:u w:val="dotted"/>
        </w:rPr>
        <w:t xml:space="preserve">                                         </w:t>
      </w:r>
    </w:p>
    <w:p w14:paraId="6BF3EF01">
      <w:pPr>
        <w:spacing w:line="360" w:lineRule="auto"/>
        <w:rPr>
          <w:rFonts w:hint="default" w:ascii="宋体" w:hAnsi="宋体" w:cs="宋体"/>
          <w:color w:val="auto"/>
          <w:sz w:val="24"/>
          <w:highlight w:val="none"/>
          <w:u w:val="dotted"/>
        </w:rPr>
      </w:pPr>
      <w:r>
        <w:rPr>
          <w:rFonts w:ascii="宋体" w:hAnsi="宋体" w:cs="宋体"/>
          <w:color w:val="auto"/>
          <w:sz w:val="24"/>
          <w:highlight w:val="none"/>
          <w:u w:val="dotted"/>
        </w:rPr>
        <w:t xml:space="preserve">                                                      </w:t>
      </w:r>
    </w:p>
    <w:p w14:paraId="6BEB0CD4">
      <w:pPr>
        <w:spacing w:line="360" w:lineRule="auto"/>
        <w:rPr>
          <w:rFonts w:hint="default" w:ascii="宋体" w:hAnsi="宋体" w:cs="宋体"/>
          <w:color w:val="auto"/>
          <w:sz w:val="24"/>
          <w:highlight w:val="none"/>
          <w:u w:val="single"/>
        </w:rPr>
      </w:pPr>
      <w:r>
        <w:rPr>
          <w:rFonts w:ascii="宋体" w:hAnsi="宋体" w:cs="宋体"/>
          <w:color w:val="auto"/>
          <w:sz w:val="24"/>
          <w:highlight w:val="none"/>
        </w:rPr>
        <w:t>法律依据：</w:t>
      </w:r>
      <w:r>
        <w:rPr>
          <w:rFonts w:ascii="宋体" w:hAnsi="宋体" w:cs="宋体"/>
          <w:color w:val="auto"/>
          <w:sz w:val="24"/>
          <w:highlight w:val="none"/>
          <w:u w:val="dotted"/>
        </w:rPr>
        <w:t xml:space="preserve">                                          </w:t>
      </w:r>
    </w:p>
    <w:p w14:paraId="085C742C">
      <w:pPr>
        <w:spacing w:line="360" w:lineRule="auto"/>
        <w:rPr>
          <w:rFonts w:hint="default" w:ascii="宋体" w:hAnsi="宋体" w:cs="宋体"/>
          <w:color w:val="auto"/>
          <w:sz w:val="24"/>
          <w:highlight w:val="none"/>
          <w:u w:val="dotted"/>
        </w:rPr>
      </w:pPr>
      <w:r>
        <w:rPr>
          <w:rFonts w:ascii="宋体" w:hAnsi="宋体" w:cs="宋体"/>
          <w:color w:val="auto"/>
          <w:sz w:val="24"/>
          <w:highlight w:val="none"/>
          <w:u w:val="dotted"/>
        </w:rPr>
        <w:t xml:space="preserve">                                                      </w:t>
      </w:r>
    </w:p>
    <w:p w14:paraId="0707DABA">
      <w:pPr>
        <w:spacing w:line="360" w:lineRule="auto"/>
        <w:rPr>
          <w:rFonts w:hint="default" w:ascii="宋体" w:hAnsi="宋体" w:cs="宋体"/>
          <w:color w:val="auto"/>
          <w:sz w:val="24"/>
          <w:highlight w:val="none"/>
        </w:rPr>
      </w:pPr>
      <w:r>
        <w:rPr>
          <w:rFonts w:ascii="宋体" w:hAnsi="宋体" w:cs="宋体"/>
          <w:color w:val="auto"/>
          <w:sz w:val="24"/>
          <w:highlight w:val="none"/>
        </w:rPr>
        <w:t>投诉事项2</w:t>
      </w:r>
    </w:p>
    <w:p w14:paraId="2A6F1A93">
      <w:pPr>
        <w:spacing w:line="360" w:lineRule="auto"/>
        <w:rPr>
          <w:rFonts w:hint="default" w:ascii="宋体" w:hAnsi="宋体" w:cs="宋体"/>
          <w:color w:val="auto"/>
          <w:sz w:val="24"/>
          <w:highlight w:val="none"/>
          <w:u w:val="dotted"/>
        </w:rPr>
      </w:pPr>
      <w:r>
        <w:rPr>
          <w:rFonts w:ascii="宋体" w:hAnsi="宋体" w:cs="宋体"/>
          <w:color w:val="auto"/>
          <w:sz w:val="24"/>
          <w:highlight w:val="none"/>
        </w:rPr>
        <w:t>……</w:t>
      </w:r>
    </w:p>
    <w:p w14:paraId="01DEB801">
      <w:pPr>
        <w:spacing w:line="360" w:lineRule="auto"/>
        <w:rPr>
          <w:rFonts w:hint="default" w:ascii="宋体" w:hAnsi="宋体" w:cs="宋体"/>
          <w:color w:val="auto"/>
          <w:sz w:val="24"/>
          <w:highlight w:val="none"/>
        </w:rPr>
      </w:pPr>
      <w:r>
        <w:rPr>
          <w:rFonts w:ascii="宋体" w:hAnsi="宋体" w:cs="宋体"/>
          <w:color w:val="auto"/>
          <w:sz w:val="24"/>
          <w:highlight w:val="none"/>
        </w:rPr>
        <w:t>五、与投诉事项相关的投诉请求</w:t>
      </w:r>
    </w:p>
    <w:p w14:paraId="5A6C5366">
      <w:pPr>
        <w:spacing w:line="360" w:lineRule="auto"/>
        <w:rPr>
          <w:rFonts w:hint="default" w:ascii="宋体" w:hAnsi="宋体" w:cs="宋体"/>
          <w:color w:val="auto"/>
          <w:sz w:val="24"/>
          <w:highlight w:val="none"/>
        </w:rPr>
      </w:pPr>
      <w:r>
        <w:rPr>
          <w:rFonts w:ascii="宋体" w:hAnsi="宋体" w:cs="宋体"/>
          <w:color w:val="auto"/>
          <w:sz w:val="24"/>
          <w:highlight w:val="none"/>
        </w:rPr>
        <w:t>请求：</w:t>
      </w:r>
      <w:r>
        <w:rPr>
          <w:rFonts w:ascii="宋体" w:hAnsi="宋体" w:cs="宋体"/>
          <w:color w:val="auto"/>
          <w:sz w:val="24"/>
          <w:highlight w:val="none"/>
          <w:u w:val="dotted"/>
        </w:rPr>
        <w:t xml:space="preserve">                                              </w:t>
      </w:r>
      <w:r>
        <w:rPr>
          <w:rFonts w:ascii="宋体" w:hAnsi="宋体" w:cs="宋体"/>
          <w:color w:val="auto"/>
          <w:sz w:val="24"/>
          <w:highlight w:val="none"/>
        </w:rPr>
        <w:t xml:space="preserve"> </w:t>
      </w:r>
    </w:p>
    <w:p w14:paraId="4AB0EB69">
      <w:pPr>
        <w:spacing w:line="360" w:lineRule="auto"/>
        <w:rPr>
          <w:rFonts w:hint="default" w:ascii="宋体" w:hAnsi="宋体" w:cs="宋体"/>
          <w:color w:val="auto"/>
          <w:sz w:val="24"/>
          <w:highlight w:val="none"/>
          <w:u w:val="single"/>
        </w:rPr>
      </w:pPr>
      <w:r>
        <w:rPr>
          <w:rFonts w:ascii="宋体" w:hAnsi="宋体" w:cs="宋体"/>
          <w:color w:val="auto"/>
          <w:sz w:val="24"/>
          <w:highlight w:val="none"/>
        </w:rPr>
        <w:t xml:space="preserve">                                                                                                    </w:t>
      </w:r>
    </w:p>
    <w:p w14:paraId="6C00068F">
      <w:pPr>
        <w:spacing w:line="360" w:lineRule="auto"/>
        <w:rPr>
          <w:rFonts w:hint="default" w:ascii="宋体" w:hAnsi="宋体" w:cs="宋体"/>
          <w:color w:val="auto"/>
          <w:sz w:val="24"/>
          <w:highlight w:val="none"/>
        </w:rPr>
      </w:pPr>
      <w:r>
        <w:rPr>
          <w:rFonts w:ascii="宋体" w:hAnsi="宋体" w:cs="宋体"/>
          <w:color w:val="auto"/>
          <w:sz w:val="24"/>
          <w:highlight w:val="none"/>
        </w:rPr>
        <w:t xml:space="preserve">签字(签章)：                   公章：                      </w:t>
      </w:r>
    </w:p>
    <w:p w14:paraId="33114331">
      <w:pPr>
        <w:spacing w:line="360" w:lineRule="auto"/>
        <w:rPr>
          <w:rFonts w:hint="default" w:ascii="宋体" w:hAnsi="宋体" w:cs="宋体"/>
          <w:color w:val="auto"/>
          <w:sz w:val="24"/>
          <w:highlight w:val="none"/>
        </w:rPr>
      </w:pPr>
      <w:r>
        <w:rPr>
          <w:rFonts w:ascii="宋体" w:hAnsi="宋体" w:cs="宋体"/>
          <w:color w:val="auto"/>
          <w:sz w:val="24"/>
          <w:highlight w:val="none"/>
        </w:rPr>
        <w:t xml:space="preserve">日期：    </w:t>
      </w:r>
    </w:p>
    <w:p w14:paraId="639B0FE6">
      <w:pPr>
        <w:spacing w:line="360" w:lineRule="auto"/>
        <w:rPr>
          <w:rFonts w:hint="default" w:ascii="宋体" w:hAnsi="宋体" w:cs="宋体"/>
          <w:b/>
          <w:color w:val="auto"/>
          <w:sz w:val="24"/>
          <w:highlight w:val="none"/>
        </w:rPr>
      </w:pPr>
    </w:p>
    <w:p w14:paraId="2405F424">
      <w:pPr>
        <w:spacing w:line="360" w:lineRule="auto"/>
        <w:rPr>
          <w:rFonts w:hint="default" w:ascii="宋体" w:hAnsi="宋体" w:cs="宋体"/>
          <w:b/>
          <w:color w:val="auto"/>
          <w:sz w:val="24"/>
          <w:highlight w:val="none"/>
        </w:rPr>
      </w:pPr>
    </w:p>
    <w:p w14:paraId="454A2E43">
      <w:pPr>
        <w:spacing w:line="360" w:lineRule="auto"/>
        <w:rPr>
          <w:rFonts w:hint="default" w:ascii="宋体" w:hAnsi="宋体" w:cs="宋体"/>
          <w:b/>
          <w:color w:val="auto"/>
          <w:sz w:val="24"/>
          <w:highlight w:val="none"/>
        </w:rPr>
      </w:pPr>
      <w:r>
        <w:rPr>
          <w:rFonts w:ascii="宋体" w:hAnsi="宋体" w:cs="宋体"/>
          <w:b/>
          <w:color w:val="auto"/>
          <w:sz w:val="24"/>
          <w:highlight w:val="none"/>
        </w:rPr>
        <w:t>投诉书制作说明：</w:t>
      </w:r>
    </w:p>
    <w:p w14:paraId="37D4D879">
      <w:pPr>
        <w:widowControl/>
        <w:spacing w:line="360" w:lineRule="auto"/>
        <w:ind w:firstLine="480" w:firstLineChars="200"/>
        <w:rPr>
          <w:rFonts w:hint="default" w:ascii="宋体" w:hAnsi="宋体" w:cs="宋体"/>
          <w:color w:val="auto"/>
          <w:kern w:val="0"/>
          <w:sz w:val="24"/>
          <w:highlight w:val="none"/>
        </w:rPr>
      </w:pPr>
      <w:r>
        <w:rPr>
          <w:rFonts w:ascii="宋体" w:hAnsi="宋体" w:cs="宋体"/>
          <w:color w:val="auto"/>
          <w:sz w:val="24"/>
          <w:highlight w:val="none"/>
        </w:rPr>
        <w:t>1.投诉人提起投诉时，应当提交投诉书和必要的证明材料，并按照被投诉人和与投诉事项有关的供应商数量提供投诉书副本。</w:t>
      </w:r>
    </w:p>
    <w:p w14:paraId="45730670">
      <w:pPr>
        <w:widowControl/>
        <w:spacing w:line="360" w:lineRule="auto"/>
        <w:ind w:firstLine="480" w:firstLineChars="200"/>
        <w:jc w:val="left"/>
        <w:rPr>
          <w:rFonts w:hint="default" w:ascii="宋体" w:hAnsi="宋体" w:cs="宋体"/>
          <w:color w:val="auto"/>
          <w:kern w:val="0"/>
          <w:sz w:val="24"/>
          <w:highlight w:val="none"/>
        </w:rPr>
      </w:pPr>
      <w:r>
        <w:rPr>
          <w:rFonts w:ascii="宋体" w:hAnsi="宋体" w:cs="宋体"/>
          <w:color w:val="auto"/>
          <w:sz w:val="24"/>
          <w:highlight w:val="none"/>
        </w:rPr>
        <w:t>2.投诉人若委托代理人进行投诉的，投诉书应按照要求列明“授权代表”的有关内容，并在附件中提交由</w:t>
      </w:r>
      <w:r>
        <w:rPr>
          <w:rFonts w:ascii="宋体" w:hAnsi="宋体" w:cs="宋体"/>
          <w:color w:val="auto"/>
          <w:kern w:val="0"/>
          <w:sz w:val="24"/>
          <w:highlight w:val="none"/>
        </w:rPr>
        <w:t>投诉人签署的授权委托书。授权委托书应当载明代理人的姓名或者名称、代理事项、具体权限、期限和相关事项。</w:t>
      </w:r>
    </w:p>
    <w:p w14:paraId="2CA17842">
      <w:pPr>
        <w:widowControl/>
        <w:spacing w:line="360" w:lineRule="auto"/>
        <w:ind w:firstLine="480" w:firstLineChars="200"/>
        <w:jc w:val="left"/>
        <w:rPr>
          <w:rFonts w:hint="default" w:ascii="宋体" w:hAnsi="宋体" w:cs="宋体"/>
          <w:color w:val="auto"/>
          <w:sz w:val="24"/>
          <w:highlight w:val="none"/>
        </w:rPr>
      </w:pPr>
      <w:r>
        <w:rPr>
          <w:rFonts w:ascii="宋体" w:hAnsi="宋体" w:cs="宋体"/>
          <w:color w:val="auto"/>
          <w:sz w:val="24"/>
          <w:highlight w:val="none"/>
        </w:rPr>
        <w:t>3.投诉人若对项目的某一分包进行投诉，投诉书应列明具体分包号。</w:t>
      </w:r>
    </w:p>
    <w:p w14:paraId="3ADB5515">
      <w:pPr>
        <w:widowControl/>
        <w:spacing w:line="360" w:lineRule="auto"/>
        <w:ind w:firstLine="480" w:firstLineChars="200"/>
        <w:jc w:val="left"/>
        <w:rPr>
          <w:rFonts w:hint="default" w:ascii="宋体" w:hAnsi="宋体" w:cs="宋体"/>
          <w:color w:val="auto"/>
          <w:sz w:val="24"/>
          <w:highlight w:val="none"/>
        </w:rPr>
      </w:pPr>
      <w:r>
        <w:rPr>
          <w:rFonts w:ascii="宋体" w:hAnsi="宋体" w:cs="宋体"/>
          <w:color w:val="auto"/>
          <w:sz w:val="24"/>
          <w:highlight w:val="none"/>
        </w:rPr>
        <w:t>4.投诉书应简要列明质疑事项，质疑函、质疑答复等作为附件材料提供。</w:t>
      </w:r>
    </w:p>
    <w:p w14:paraId="0CD12D88">
      <w:pPr>
        <w:widowControl/>
        <w:spacing w:line="360" w:lineRule="auto"/>
        <w:ind w:firstLine="480" w:firstLineChars="200"/>
        <w:jc w:val="left"/>
        <w:rPr>
          <w:rFonts w:hint="default" w:ascii="宋体" w:hAnsi="宋体" w:cs="宋体"/>
          <w:color w:val="auto"/>
          <w:sz w:val="24"/>
          <w:highlight w:val="none"/>
        </w:rPr>
      </w:pPr>
      <w:r>
        <w:rPr>
          <w:rFonts w:ascii="宋体" w:hAnsi="宋体" w:cs="宋体"/>
          <w:color w:val="auto"/>
          <w:sz w:val="24"/>
          <w:highlight w:val="none"/>
        </w:rPr>
        <w:t>5.投诉书的投诉事项应具体、明确，并有必要的事实依据和法律依据。</w:t>
      </w:r>
    </w:p>
    <w:p w14:paraId="089D4F5D">
      <w:pPr>
        <w:widowControl/>
        <w:spacing w:line="360" w:lineRule="auto"/>
        <w:ind w:firstLine="480" w:firstLineChars="200"/>
        <w:jc w:val="left"/>
        <w:rPr>
          <w:rFonts w:hint="default" w:ascii="宋体" w:hAnsi="宋体" w:cs="宋体"/>
          <w:color w:val="auto"/>
          <w:sz w:val="24"/>
          <w:highlight w:val="none"/>
        </w:rPr>
      </w:pPr>
      <w:r>
        <w:rPr>
          <w:rFonts w:ascii="宋体" w:hAnsi="宋体" w:cs="宋体"/>
          <w:color w:val="auto"/>
          <w:sz w:val="24"/>
          <w:highlight w:val="none"/>
        </w:rPr>
        <w:t>6.投诉书的投诉请求应与投诉事项相关。</w:t>
      </w:r>
    </w:p>
    <w:p w14:paraId="71E15CD9">
      <w:pPr>
        <w:widowControl/>
        <w:spacing w:line="360" w:lineRule="auto"/>
        <w:ind w:firstLine="480" w:firstLineChars="200"/>
        <w:jc w:val="left"/>
        <w:rPr>
          <w:rFonts w:hint="default"/>
          <w:color w:val="auto"/>
          <w:highlight w:val="none"/>
          <w:lang w:val="zh-CN"/>
        </w:rPr>
      </w:pPr>
      <w:r>
        <w:rPr>
          <w:rFonts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sectPr>
      <w:pgSz w:w="11906" w:h="16838"/>
      <w:pgMar w:top="1134" w:right="1247" w:bottom="1247" w:left="1304" w:header="794" w:footer="794"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ì.">
    <w:altName w:val="宋体"/>
    <w:panose1 w:val="00000000000000000000"/>
    <w:charset w:val="00"/>
    <w:family w:val="roman"/>
    <w:pitch w:val="default"/>
    <w:sig w:usb0="00000000" w:usb1="00000000" w:usb2="00000000" w:usb3="00000000" w:csb0="00040001" w:csb1="00000000"/>
  </w:font>
  <w:font w:name="Microsoft YaHei UI">
    <w:panose1 w:val="020B0503020204020204"/>
    <w:charset w:val="86"/>
    <w:family w:val="swiss"/>
    <w:pitch w:val="default"/>
    <w:sig w:usb0="80000287" w:usb1="2ACF3C50" w:usb2="00000016" w:usb3="00000000" w:csb0="0004001F" w:csb1="00000000"/>
  </w:font>
  <w:font w:name="等线">
    <w:panose1 w:val="02010600030101010101"/>
    <w:charset w:val="86"/>
    <w:family w:val="auto"/>
    <w:pitch w:val="default"/>
    <w:sig w:usb0="A00002BF" w:usb1="38CF7CFA" w:usb2="00000016" w:usb3="00000000" w:csb0="0004000F" w:csb1="00000000"/>
  </w:font>
  <w:font w:name="Helvetica">
    <w:altName w:val="Arial"/>
    <w:panose1 w:val="020B0604020202020204"/>
    <w:charset w:val="00"/>
    <w:family w:val="swiss"/>
    <w:pitch w:val="default"/>
    <w:sig w:usb0="00000000" w:usb1="00000000" w:usb2="00000009" w:usb3="00000000" w:csb0="000001FF" w:csb1="00000000"/>
  </w:font>
  <w:font w:name="??">
    <w:altName w:val="Times New Roman"/>
    <w:panose1 w:val="00000000000000000000"/>
    <w:charset w:val="00"/>
    <w:family w:val="roman"/>
    <w:pitch w:val="default"/>
    <w:sig w:usb0="00000000" w:usb1="00000000" w:usb2="00000000" w:usb3="00000000" w:csb0="00000001" w:csb1="00000000"/>
  </w:font>
  <w:font w:name="Arial Unicode MS">
    <w:altName w:val="宋体"/>
    <w:panose1 w:val="020B0604020202020204"/>
    <w:charset w:val="86"/>
    <w:family w:val="swiss"/>
    <w:pitch w:val="default"/>
    <w:sig w:usb0="00000000" w:usb1="00000000" w:usb2="0000003F" w:usb3="00000000" w:csb0="003F01FF"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长城仿宋">
    <w:altName w:val="黑体"/>
    <w:panose1 w:val="00000000000000000000"/>
    <w:charset w:val="00"/>
    <w:family w:val="auto"/>
    <w:pitch w:val="default"/>
    <w:sig w:usb0="00000000" w:usb1="00000000" w:usb2="00000000" w:usb3="00000000" w:csb0="00040001" w:csb1="00000000"/>
  </w:font>
  <w:font w:name="仿宋">
    <w:panose1 w:val="02010609060101010101"/>
    <w:charset w:val="86"/>
    <w:family w:val="modern"/>
    <w:pitch w:val="default"/>
    <w:sig w:usb0="800002BF" w:usb1="38CF7CFA" w:usb2="00000016" w:usb3="00000000" w:csb0="00040001" w:csb1="00000000"/>
  </w:font>
  <w:font w:name="Wingdings 2">
    <w:panose1 w:val="05020102010507070707"/>
    <w:charset w:val="02"/>
    <w:family w:val="roman"/>
    <w:pitch w:val="default"/>
    <w:sig w:usb0="00000000" w:usb1="00000000" w:usb2="00000000" w:usb3="00000000" w:csb0="80000000" w:csb1="00000000"/>
  </w:font>
  <w:font w:name="MS Gothic">
    <w:panose1 w:val="020B0609070205080204"/>
    <w:charset w:val="80"/>
    <w:family w:val="modern"/>
    <w:pitch w:val="default"/>
    <w:sig w:usb0="E00002FF" w:usb1="6AC7FDFB" w:usb2="08000012" w:usb3="00000000" w:csb0="4002009F" w:csb1="DFD70000"/>
  </w:font>
  <w:font w:name="Segoe UI Symbol">
    <w:panose1 w:val="020B0502040204020203"/>
    <w:charset w:val="00"/>
    <w:family w:val="swiss"/>
    <w:pitch w:val="default"/>
    <w:sig w:usb0="800001E3" w:usb1="1200FFEF" w:usb2="00040000" w:usb3="04000000" w:csb0="00000001" w:csb1="40000000"/>
  </w:font>
  <w:font w:name="华文中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09FE36">
    <w:pPr>
      <w:pStyle w:val="24"/>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6F5305">
                          <w:pPr>
                            <w:pStyle w:val="2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7E6F5305">
                    <w:pPr>
                      <w:pStyle w:val="2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6ACE0B">
    <w:pPr>
      <w:pStyle w:val="24"/>
    </w:pPr>
    <w:r>
      <w:rPr>
        <w:snapToGrid/>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57785" cy="131445"/>
              <wp:effectExtent l="0" t="0" r="18415" b="1905"/>
              <wp:wrapNone/>
              <wp:docPr id="4" name="文本框 12"/>
              <wp:cNvGraphicFramePr/>
              <a:graphic xmlns:a="http://schemas.openxmlformats.org/drawingml/2006/main">
                <a:graphicData uri="http://schemas.microsoft.com/office/word/2010/wordprocessingShape">
                  <wps:wsp>
                    <wps:cNvSpPr txBox="1"/>
                    <wps:spPr>
                      <a:xfrm>
                        <a:off x="0" y="0"/>
                        <a:ext cx="57785" cy="131445"/>
                      </a:xfrm>
                      <a:prstGeom prst="rect">
                        <a:avLst/>
                      </a:prstGeom>
                      <a:noFill/>
                      <a:ln>
                        <a:noFill/>
                      </a:ln>
                    </wps:spPr>
                    <wps:txbx>
                      <w:txbxContent>
                        <w:p w14:paraId="7214ED39">
                          <w:pPr>
                            <w:pStyle w:val="24"/>
                          </w:pPr>
                          <w:r>
                            <w:fldChar w:fldCharType="begin"/>
                          </w:r>
                          <w:r>
                            <w:instrText xml:space="preserve"> PAGE  \* MERGEFORMAT </w:instrText>
                          </w:r>
                          <w:r>
                            <w:fldChar w:fldCharType="separate"/>
                          </w:r>
                          <w:r>
                            <w:t>30</w:t>
                          </w:r>
                          <w:r>
                            <w:fldChar w:fldCharType="end"/>
                          </w:r>
                        </w:p>
                      </w:txbxContent>
                    </wps:txbx>
                    <wps:bodyPr wrap="none" lIns="0" tIns="0" rIns="0" bIns="0">
                      <a:spAutoFit/>
                    </wps:bodyPr>
                  </wps:wsp>
                </a:graphicData>
              </a:graphic>
            </wp:anchor>
          </w:drawing>
        </mc:Choice>
        <mc:Fallback>
          <w:pict>
            <v:shape id="文本框 12" o:spid="_x0000_s1026" o:spt="202" type="#_x0000_t202" style="position:absolute;left:0pt;margin-top:0pt;height:10.35pt;width:4.55pt;mso-position-horizontal:center;mso-position-horizontal-relative:margin;mso-wrap-style:none;z-index:251659264;mso-width-relative:page;mso-height-relative:page;" filled="f" stroked="f" coordsize="21600,21600" o:gfxdata="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L3UTQAAAAAgEAAA8AAAAAAAAAAQAgAAAAIgAAAGRycy9kb3ducmV2Lnht&#10;bFBLAQIUABQAAAAIAIdO4kD4syc4yAEAAIsDAAAOAAAAAAAAAAEAIAAAAB8BAABkcnMvZTJvRG9j&#10;LnhtbFBLBQYAAAAABgAGAFkBAABZBQAAAAA=&#10;">
              <v:fill on="f" focussize="0,0"/>
              <v:stroke on="f"/>
              <v:imagedata o:title=""/>
              <o:lock v:ext="edit" aspectratio="f"/>
              <v:textbox inset="0mm,0mm,0mm,0mm" style="mso-fit-shape-to-text:t;">
                <w:txbxContent>
                  <w:p w14:paraId="7214ED39">
                    <w:pPr>
                      <w:pStyle w:val="24"/>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2825484">
    <w:pPr>
      <w:pStyle w:val="24"/>
      <w:ind w:right="360" w:firstLine="360"/>
    </w:pPr>
    <w:r>
      <w:rPr>
        <w:snapToGrid/>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4935" cy="131445"/>
              <wp:effectExtent l="0" t="0" r="18415" b="1905"/>
              <wp:wrapNone/>
              <wp:docPr id="1" name="文本框 6"/>
              <wp:cNvGraphicFramePr/>
              <a:graphic xmlns:a="http://schemas.openxmlformats.org/drawingml/2006/main">
                <a:graphicData uri="http://schemas.microsoft.com/office/word/2010/wordprocessingShape">
                  <wps:wsp>
                    <wps:cNvSpPr txBox="1"/>
                    <wps:spPr>
                      <a:xfrm>
                        <a:off x="0" y="0"/>
                        <a:ext cx="114935" cy="131445"/>
                      </a:xfrm>
                      <a:prstGeom prst="rect">
                        <a:avLst/>
                      </a:prstGeom>
                      <a:noFill/>
                      <a:ln>
                        <a:noFill/>
                      </a:ln>
                    </wps:spPr>
                    <wps:txbx>
                      <w:txbxContent>
                        <w:p w14:paraId="1B9502A0">
                          <w:pPr>
                            <w:pStyle w:val="24"/>
                          </w:pPr>
                          <w:r>
                            <w:fldChar w:fldCharType="begin"/>
                          </w:r>
                          <w:r>
                            <w:instrText xml:space="preserve"> PAGE  \* MERGEFORMAT </w:instrText>
                          </w:r>
                          <w:r>
                            <w:fldChar w:fldCharType="separate"/>
                          </w:r>
                          <w:r>
                            <w:t>86</w:t>
                          </w:r>
                          <w:r>
                            <w:fldChar w:fldCharType="end"/>
                          </w:r>
                        </w:p>
                      </w:txbxContent>
                    </wps:txbx>
                    <wps:bodyPr wrap="none" lIns="0" tIns="0" rIns="0" bIns="0">
                      <a:spAutoFit/>
                    </wps:bodyPr>
                  </wps:wsp>
                </a:graphicData>
              </a:graphic>
            </wp:anchor>
          </w:drawing>
        </mc:Choice>
        <mc:Fallback>
          <w:pict>
            <v:shape id="文本框 6" o:spid="_x0000_s1026" o:spt="202" type="#_x0000_t202" style="position:absolute;left:0pt;margin-top:0pt;height:10.35pt;width:9.05pt;mso-position-horizontal:center;mso-position-horizontal-relative:margin;mso-wrap-style:none;z-index:251660288;mso-width-relative:page;mso-height-relative:page;" filled="f" stroked="f" coordsize="21600,21600" o:gfxdata="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Q+V+SdAAAAADAQAADwAAAAAAAAABACAAAAAiAAAAZHJzL2Rvd25yZXYueG1s&#10;UEsBAhQAFAAAAAgAh07iQJLMnKDHAQAAiwMAAA4AAAAAAAAAAQAgAAAAHwEAAGRycy9lMm9Eb2Mu&#10;eG1sUEsFBgAAAAAGAAYAWQEAAFgFAAAAAA==&#10;">
              <v:fill on="f" focussize="0,0"/>
              <v:stroke on="f"/>
              <v:imagedata o:title=""/>
              <o:lock v:ext="edit" aspectratio="f"/>
              <v:textbox inset="0mm,0mm,0mm,0mm" style="mso-fit-shape-to-text:t;">
                <w:txbxContent>
                  <w:p w14:paraId="1B9502A0">
                    <w:pPr>
                      <w:pStyle w:val="24"/>
                    </w:pPr>
                    <w:r>
                      <w:fldChar w:fldCharType="begin"/>
                    </w:r>
                    <w:r>
                      <w:instrText xml:space="preserve"> PAGE  \* MERGEFORMAT </w:instrText>
                    </w:r>
                    <w:r>
                      <w:fldChar w:fldCharType="separate"/>
                    </w:r>
                    <w:r>
                      <w:t>86</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4">
    <w:p>
      <w:r>
        <w:separator/>
      </w:r>
    </w:p>
  </w:footnote>
  <w:footnote w:type="continuationSeparator" w:id="5">
    <w:p>
      <w:r>
        <w:continuationSeparator/>
      </w:r>
    </w:p>
  </w:footnote>
  <w:footnote w:id="0">
    <w:p w14:paraId="4936C302">
      <w:pPr>
        <w:pStyle w:val="28"/>
        <w:rPr>
          <w:rFonts w:hint="default"/>
        </w:rPr>
      </w:pPr>
      <w:r>
        <w:rPr>
          <w:rStyle w:val="49"/>
          <w:rFonts w:hint="eastAsia"/>
        </w:rPr>
        <w:footnoteRef/>
      </w:r>
      <w:r>
        <w:rPr>
          <w:rFonts w:hAnsi="宋体" w:cs="宋体"/>
          <w:sz w:val="21"/>
          <w:szCs w:val="21"/>
        </w:rPr>
        <w:t>从业人员、营业收入、资产总额填报上一年度数据，无上一年度数据的新成立企业可不填报。</w:t>
      </w:r>
    </w:p>
  </w:footnote>
  <w:footnote w:id="1">
    <w:p w14:paraId="2F96ABB2">
      <w:pPr>
        <w:pStyle w:val="28"/>
        <w:rPr>
          <w:rFonts w:hint="default"/>
        </w:rPr>
      </w:pPr>
      <w:r>
        <w:rPr>
          <w:rStyle w:val="49"/>
          <w:rFonts w:hint="eastAsia"/>
        </w:rPr>
        <w:footnoteRef/>
      </w:r>
      <w:r>
        <w:rPr>
          <w:rFonts w:hAnsi="宋体" w:cs="宋体"/>
          <w:sz w:val="21"/>
          <w:szCs w:val="21"/>
        </w:rPr>
        <w:t>从业人员、营业收入、资产总额填报上一年度数据，无上一年度数据的新成立企业可不填报。</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1E2C6D">
    <w:pPr>
      <w:pStyle w:val="25"/>
      <w:pBdr>
        <w:bottom w:val="none" w:color="auto" w:sz="0" w:space="0"/>
      </w:pBdr>
      <w:rPr>
        <w:rFonts w:eastAsia="宋体"/>
        <w:szCs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AF1D47">
    <w:pPr>
      <w:pStyle w:val="25"/>
      <w:pBdr>
        <w:bottom w:val="none" w:color="auto" w:sz="0" w:space="0"/>
      </w:pBdr>
      <w:rPr>
        <w:rFonts w:eastAsia="宋体"/>
        <w:szCs w:val="18"/>
        <w:u w:val="single"/>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B7EE38">
    <w:pPr>
      <w:pStyle w:val="2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57052B"/>
    <w:multiLevelType w:val="singleLevel"/>
    <w:tmpl w:val="8A57052B"/>
    <w:lvl w:ilvl="0" w:tentative="0">
      <w:start w:val="1"/>
      <w:numFmt w:val="decimal"/>
      <w:suff w:val="nothing"/>
      <w:lvlText w:val="（%1）"/>
      <w:lvlJc w:val="left"/>
    </w:lvl>
  </w:abstractNum>
  <w:abstractNum w:abstractNumId="1">
    <w:nsid w:val="FFFFFF7E"/>
    <w:multiLevelType w:val="singleLevel"/>
    <w:tmpl w:val="FFFFFF7E"/>
    <w:lvl w:ilvl="0" w:tentative="0">
      <w:start w:val="1"/>
      <w:numFmt w:val="decimal"/>
      <w:pStyle w:val="17"/>
      <w:lvlText w:val="%1."/>
      <w:lvlJc w:val="left"/>
      <w:pPr>
        <w:tabs>
          <w:tab w:val="left" w:pos="1200"/>
        </w:tabs>
        <w:ind w:left="1200" w:hanging="360"/>
      </w:pPr>
    </w:lvl>
  </w:abstractNum>
  <w:abstractNum w:abstractNumId="2">
    <w:nsid w:val="09890BCC"/>
    <w:multiLevelType w:val="multilevel"/>
    <w:tmpl w:val="09890BCC"/>
    <w:lvl w:ilvl="0" w:tentative="0">
      <w:start w:val="1"/>
      <w:numFmt w:val="decimal"/>
      <w:pStyle w:val="9"/>
      <w:lvlText w:val="%1．"/>
      <w:lvlJc w:val="left"/>
      <w:pPr>
        <w:tabs>
          <w:tab w:val="left" w:pos="900"/>
        </w:tabs>
        <w:ind w:left="900" w:hanging="720"/>
      </w:pPr>
      <w:rPr>
        <w:rFonts w:hint="eastAsia"/>
      </w:rPr>
    </w:lvl>
    <w:lvl w:ilvl="1" w:tentative="0">
      <w:start w:val="1"/>
      <w:numFmt w:val="lowerLetter"/>
      <w:lvlText w:val="%2)"/>
      <w:lvlJc w:val="left"/>
      <w:pPr>
        <w:tabs>
          <w:tab w:val="left" w:pos="1020"/>
        </w:tabs>
        <w:ind w:left="1020" w:hanging="420"/>
      </w:pPr>
    </w:lvl>
    <w:lvl w:ilvl="2" w:tentative="0">
      <w:start w:val="1"/>
      <w:numFmt w:val="lowerRoman"/>
      <w:lvlText w:val="%3."/>
      <w:lvlJc w:val="right"/>
      <w:pPr>
        <w:tabs>
          <w:tab w:val="left" w:pos="1440"/>
        </w:tabs>
        <w:ind w:left="1440" w:hanging="420"/>
      </w:pPr>
    </w:lvl>
    <w:lvl w:ilvl="3" w:tentative="0">
      <w:start w:val="1"/>
      <w:numFmt w:val="decimal"/>
      <w:lvlText w:val="%4."/>
      <w:lvlJc w:val="left"/>
      <w:pPr>
        <w:tabs>
          <w:tab w:val="left" w:pos="1860"/>
        </w:tabs>
        <w:ind w:left="1860" w:hanging="420"/>
      </w:pPr>
    </w:lvl>
    <w:lvl w:ilvl="4" w:tentative="0">
      <w:start w:val="1"/>
      <w:numFmt w:val="lowerLetter"/>
      <w:lvlText w:val="%5)"/>
      <w:lvlJc w:val="left"/>
      <w:pPr>
        <w:tabs>
          <w:tab w:val="left" w:pos="2280"/>
        </w:tabs>
        <w:ind w:left="2280" w:hanging="420"/>
      </w:pPr>
    </w:lvl>
    <w:lvl w:ilvl="5" w:tentative="0">
      <w:start w:val="1"/>
      <w:numFmt w:val="lowerRoman"/>
      <w:lvlText w:val="%6."/>
      <w:lvlJc w:val="right"/>
      <w:pPr>
        <w:tabs>
          <w:tab w:val="left" w:pos="2700"/>
        </w:tabs>
        <w:ind w:left="2700" w:hanging="420"/>
      </w:pPr>
    </w:lvl>
    <w:lvl w:ilvl="6" w:tentative="0">
      <w:start w:val="1"/>
      <w:numFmt w:val="decimal"/>
      <w:lvlText w:val="%7."/>
      <w:lvlJc w:val="left"/>
      <w:pPr>
        <w:tabs>
          <w:tab w:val="left" w:pos="3120"/>
        </w:tabs>
        <w:ind w:left="3120" w:hanging="420"/>
      </w:pPr>
    </w:lvl>
    <w:lvl w:ilvl="7" w:tentative="0">
      <w:start w:val="1"/>
      <w:numFmt w:val="lowerLetter"/>
      <w:lvlText w:val="%8)"/>
      <w:lvlJc w:val="left"/>
      <w:pPr>
        <w:tabs>
          <w:tab w:val="left" w:pos="3540"/>
        </w:tabs>
        <w:ind w:left="3540" w:hanging="420"/>
      </w:pPr>
    </w:lvl>
    <w:lvl w:ilvl="8" w:tentative="0">
      <w:start w:val="1"/>
      <w:numFmt w:val="lowerRoman"/>
      <w:lvlText w:val="%9."/>
      <w:lvlJc w:val="right"/>
      <w:pPr>
        <w:tabs>
          <w:tab w:val="left" w:pos="3960"/>
        </w:tabs>
        <w:ind w:left="3960" w:hanging="420"/>
      </w:pPr>
    </w:lvl>
  </w:abstractNum>
  <w:abstractNum w:abstractNumId="3">
    <w:nsid w:val="201E9B8E"/>
    <w:multiLevelType w:val="singleLevel"/>
    <w:tmpl w:val="201E9B8E"/>
    <w:lvl w:ilvl="0" w:tentative="0">
      <w:start w:val="6"/>
      <w:numFmt w:val="decimal"/>
      <w:lvlText w:val="%1."/>
      <w:lvlJc w:val="left"/>
      <w:pPr>
        <w:tabs>
          <w:tab w:val="left" w:pos="312"/>
        </w:tabs>
      </w:pPr>
    </w:lvl>
  </w:abstractNum>
  <w:abstractNum w:abstractNumId="4">
    <w:nsid w:val="25E8FC27"/>
    <w:multiLevelType w:val="singleLevel"/>
    <w:tmpl w:val="25E8FC27"/>
    <w:lvl w:ilvl="0" w:tentative="0">
      <w:start w:val="1"/>
      <w:numFmt w:val="decimal"/>
      <w:lvlText w:val="%1."/>
      <w:lvlJc w:val="left"/>
      <w:pPr>
        <w:tabs>
          <w:tab w:val="left" w:pos="312"/>
        </w:tabs>
      </w:pPr>
    </w:lvl>
  </w:abstractNum>
  <w:num w:numId="1">
    <w:abstractNumId w:val="2"/>
  </w:num>
  <w:num w:numId="2">
    <w:abstractNumId w:val="1"/>
  </w:num>
  <w:num w:numId="3">
    <w:abstractNumId w:val="3"/>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420"/>
  <w:drawingGridVerticalSpacing w:val="156"/>
  <w:noPunctuationKerning w:val="1"/>
  <w:characterSpacingControl w:val="compressPunctuation"/>
  <w:footnotePr>
    <w:footnote w:id="4"/>
    <w:footnote w:id="5"/>
  </w:foot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DdiYWVjYzNjM2Q3MDVlNWEzYWIwMjY4YzcyMTM0ZmUifQ=="/>
  </w:docVars>
  <w:rsids>
    <w:rsidRoot w:val="00172A27"/>
    <w:rsid w:val="00017B35"/>
    <w:rsid w:val="000266CB"/>
    <w:rsid w:val="000513EF"/>
    <w:rsid w:val="00051B55"/>
    <w:rsid w:val="00060352"/>
    <w:rsid w:val="00060DEA"/>
    <w:rsid w:val="0007085B"/>
    <w:rsid w:val="0008149B"/>
    <w:rsid w:val="0009595E"/>
    <w:rsid w:val="000A130B"/>
    <w:rsid w:val="000B62B3"/>
    <w:rsid w:val="000C510C"/>
    <w:rsid w:val="000E27EF"/>
    <w:rsid w:val="000F6DFF"/>
    <w:rsid w:val="001023CE"/>
    <w:rsid w:val="00114E45"/>
    <w:rsid w:val="00155F51"/>
    <w:rsid w:val="0016054A"/>
    <w:rsid w:val="00164C26"/>
    <w:rsid w:val="00170D92"/>
    <w:rsid w:val="00172A27"/>
    <w:rsid w:val="001752B7"/>
    <w:rsid w:val="0019455E"/>
    <w:rsid w:val="001A046F"/>
    <w:rsid w:val="001A5719"/>
    <w:rsid w:val="001F2ED2"/>
    <w:rsid w:val="001F6612"/>
    <w:rsid w:val="00206087"/>
    <w:rsid w:val="0021004E"/>
    <w:rsid w:val="00221587"/>
    <w:rsid w:val="00253658"/>
    <w:rsid w:val="00256141"/>
    <w:rsid w:val="00284189"/>
    <w:rsid w:val="00294B4D"/>
    <w:rsid w:val="002A1624"/>
    <w:rsid w:val="002A1E69"/>
    <w:rsid w:val="002A6FE6"/>
    <w:rsid w:val="002B3FD6"/>
    <w:rsid w:val="002D2223"/>
    <w:rsid w:val="002E0C8F"/>
    <w:rsid w:val="002E49B9"/>
    <w:rsid w:val="00306481"/>
    <w:rsid w:val="0031719A"/>
    <w:rsid w:val="00323373"/>
    <w:rsid w:val="00335DB5"/>
    <w:rsid w:val="0033648A"/>
    <w:rsid w:val="00375761"/>
    <w:rsid w:val="00391149"/>
    <w:rsid w:val="003C468C"/>
    <w:rsid w:val="003C5311"/>
    <w:rsid w:val="003D21B2"/>
    <w:rsid w:val="003D51B5"/>
    <w:rsid w:val="003E2009"/>
    <w:rsid w:val="004321E1"/>
    <w:rsid w:val="00437077"/>
    <w:rsid w:val="00460BB3"/>
    <w:rsid w:val="004662B9"/>
    <w:rsid w:val="00473B0E"/>
    <w:rsid w:val="00486D21"/>
    <w:rsid w:val="004A622A"/>
    <w:rsid w:val="004D30B7"/>
    <w:rsid w:val="004E4CDB"/>
    <w:rsid w:val="00533D32"/>
    <w:rsid w:val="00537A5E"/>
    <w:rsid w:val="00543B70"/>
    <w:rsid w:val="0057567A"/>
    <w:rsid w:val="0059483D"/>
    <w:rsid w:val="005A225A"/>
    <w:rsid w:val="005B6A7E"/>
    <w:rsid w:val="00605AC3"/>
    <w:rsid w:val="00606822"/>
    <w:rsid w:val="00610597"/>
    <w:rsid w:val="00626D9E"/>
    <w:rsid w:val="00655F5D"/>
    <w:rsid w:val="00671535"/>
    <w:rsid w:val="0067564A"/>
    <w:rsid w:val="006833BD"/>
    <w:rsid w:val="00696E9D"/>
    <w:rsid w:val="006A4502"/>
    <w:rsid w:val="006B036D"/>
    <w:rsid w:val="006B0C2B"/>
    <w:rsid w:val="006D431D"/>
    <w:rsid w:val="006E0F7A"/>
    <w:rsid w:val="006E107B"/>
    <w:rsid w:val="00703C79"/>
    <w:rsid w:val="0072728E"/>
    <w:rsid w:val="007375EA"/>
    <w:rsid w:val="00764500"/>
    <w:rsid w:val="007900C2"/>
    <w:rsid w:val="007A3847"/>
    <w:rsid w:val="007A41E4"/>
    <w:rsid w:val="007A5700"/>
    <w:rsid w:val="007D16DA"/>
    <w:rsid w:val="007D7ABD"/>
    <w:rsid w:val="00800521"/>
    <w:rsid w:val="00805107"/>
    <w:rsid w:val="00815CDA"/>
    <w:rsid w:val="00825405"/>
    <w:rsid w:val="00843571"/>
    <w:rsid w:val="00857D92"/>
    <w:rsid w:val="0086766E"/>
    <w:rsid w:val="00872551"/>
    <w:rsid w:val="00895B2E"/>
    <w:rsid w:val="008A78EA"/>
    <w:rsid w:val="008E0500"/>
    <w:rsid w:val="008F04BB"/>
    <w:rsid w:val="008F27C8"/>
    <w:rsid w:val="008F5C6E"/>
    <w:rsid w:val="008F6DCA"/>
    <w:rsid w:val="00901D96"/>
    <w:rsid w:val="009164BE"/>
    <w:rsid w:val="009240BF"/>
    <w:rsid w:val="00937355"/>
    <w:rsid w:val="00940539"/>
    <w:rsid w:val="009435CD"/>
    <w:rsid w:val="00944727"/>
    <w:rsid w:val="0096524D"/>
    <w:rsid w:val="0096736B"/>
    <w:rsid w:val="0097458C"/>
    <w:rsid w:val="009A4C4E"/>
    <w:rsid w:val="009A7FCC"/>
    <w:rsid w:val="009B1A56"/>
    <w:rsid w:val="009B1B14"/>
    <w:rsid w:val="009B2C0B"/>
    <w:rsid w:val="009B3F30"/>
    <w:rsid w:val="009C57B7"/>
    <w:rsid w:val="009F6EE5"/>
    <w:rsid w:val="00A15F59"/>
    <w:rsid w:val="00A402A0"/>
    <w:rsid w:val="00A51A6B"/>
    <w:rsid w:val="00A533F1"/>
    <w:rsid w:val="00A60EFB"/>
    <w:rsid w:val="00A6661A"/>
    <w:rsid w:val="00A706CA"/>
    <w:rsid w:val="00A766AA"/>
    <w:rsid w:val="00A83780"/>
    <w:rsid w:val="00A91EA3"/>
    <w:rsid w:val="00AB5487"/>
    <w:rsid w:val="00AD1502"/>
    <w:rsid w:val="00AD459D"/>
    <w:rsid w:val="00AF1907"/>
    <w:rsid w:val="00AF260B"/>
    <w:rsid w:val="00AF52D0"/>
    <w:rsid w:val="00B02B07"/>
    <w:rsid w:val="00B21C1F"/>
    <w:rsid w:val="00B34020"/>
    <w:rsid w:val="00B35F28"/>
    <w:rsid w:val="00B474E7"/>
    <w:rsid w:val="00B52690"/>
    <w:rsid w:val="00B53D3E"/>
    <w:rsid w:val="00B544BF"/>
    <w:rsid w:val="00B90BEF"/>
    <w:rsid w:val="00BA03FE"/>
    <w:rsid w:val="00BA0875"/>
    <w:rsid w:val="00BA4B62"/>
    <w:rsid w:val="00BC379C"/>
    <w:rsid w:val="00BD0F9F"/>
    <w:rsid w:val="00BD6456"/>
    <w:rsid w:val="00BE3170"/>
    <w:rsid w:val="00C11A7E"/>
    <w:rsid w:val="00C12BC9"/>
    <w:rsid w:val="00C24712"/>
    <w:rsid w:val="00C266DF"/>
    <w:rsid w:val="00C33348"/>
    <w:rsid w:val="00C458B9"/>
    <w:rsid w:val="00C51BA7"/>
    <w:rsid w:val="00C550B4"/>
    <w:rsid w:val="00C77157"/>
    <w:rsid w:val="00C86C26"/>
    <w:rsid w:val="00C917BE"/>
    <w:rsid w:val="00CB7244"/>
    <w:rsid w:val="00CE4CDC"/>
    <w:rsid w:val="00CF0661"/>
    <w:rsid w:val="00D0284F"/>
    <w:rsid w:val="00D2242C"/>
    <w:rsid w:val="00D34D64"/>
    <w:rsid w:val="00D83A10"/>
    <w:rsid w:val="00D86740"/>
    <w:rsid w:val="00DA6BBF"/>
    <w:rsid w:val="00DC55B0"/>
    <w:rsid w:val="00E048A2"/>
    <w:rsid w:val="00E1659E"/>
    <w:rsid w:val="00E22CCB"/>
    <w:rsid w:val="00E26A9B"/>
    <w:rsid w:val="00E618D1"/>
    <w:rsid w:val="00E63AB3"/>
    <w:rsid w:val="00E671FA"/>
    <w:rsid w:val="00E8339F"/>
    <w:rsid w:val="00E922EE"/>
    <w:rsid w:val="00E92CE9"/>
    <w:rsid w:val="00EB7FC2"/>
    <w:rsid w:val="00F433BF"/>
    <w:rsid w:val="00F46100"/>
    <w:rsid w:val="00F536FD"/>
    <w:rsid w:val="00F630DB"/>
    <w:rsid w:val="00F748DA"/>
    <w:rsid w:val="00F770DB"/>
    <w:rsid w:val="00FB12F9"/>
    <w:rsid w:val="00FC6410"/>
    <w:rsid w:val="00FD5B64"/>
    <w:rsid w:val="00FF03A4"/>
    <w:rsid w:val="00FF7493"/>
    <w:rsid w:val="00FF7C62"/>
    <w:rsid w:val="010A29DC"/>
    <w:rsid w:val="01145609"/>
    <w:rsid w:val="011C44BE"/>
    <w:rsid w:val="01402D08"/>
    <w:rsid w:val="0141732B"/>
    <w:rsid w:val="01437C9C"/>
    <w:rsid w:val="01633E9B"/>
    <w:rsid w:val="01695955"/>
    <w:rsid w:val="017460A8"/>
    <w:rsid w:val="017A1732"/>
    <w:rsid w:val="01837CD8"/>
    <w:rsid w:val="0187402D"/>
    <w:rsid w:val="018F4C90"/>
    <w:rsid w:val="01901FC8"/>
    <w:rsid w:val="01950B4C"/>
    <w:rsid w:val="01B12E58"/>
    <w:rsid w:val="01B82438"/>
    <w:rsid w:val="01BF64E7"/>
    <w:rsid w:val="01CA07D3"/>
    <w:rsid w:val="01CA4F8F"/>
    <w:rsid w:val="01D51CCD"/>
    <w:rsid w:val="02385327"/>
    <w:rsid w:val="023D5146"/>
    <w:rsid w:val="027768E1"/>
    <w:rsid w:val="028247F4"/>
    <w:rsid w:val="02985DC6"/>
    <w:rsid w:val="02A93B2F"/>
    <w:rsid w:val="02B20C36"/>
    <w:rsid w:val="02B26E88"/>
    <w:rsid w:val="02B53D64"/>
    <w:rsid w:val="02C62933"/>
    <w:rsid w:val="02CE17E8"/>
    <w:rsid w:val="02D0684A"/>
    <w:rsid w:val="02DE07E9"/>
    <w:rsid w:val="02E451BA"/>
    <w:rsid w:val="02F27C55"/>
    <w:rsid w:val="02F456F2"/>
    <w:rsid w:val="02FC45A7"/>
    <w:rsid w:val="03047D0A"/>
    <w:rsid w:val="03064E9C"/>
    <w:rsid w:val="030B47EA"/>
    <w:rsid w:val="03103BAE"/>
    <w:rsid w:val="031F17AE"/>
    <w:rsid w:val="032D29B2"/>
    <w:rsid w:val="0363562F"/>
    <w:rsid w:val="036A549B"/>
    <w:rsid w:val="039D6F65"/>
    <w:rsid w:val="03B5578A"/>
    <w:rsid w:val="03D1333D"/>
    <w:rsid w:val="03D25B2B"/>
    <w:rsid w:val="03ED5CB3"/>
    <w:rsid w:val="03FE4564"/>
    <w:rsid w:val="04056117"/>
    <w:rsid w:val="043E2C34"/>
    <w:rsid w:val="046046C1"/>
    <w:rsid w:val="04852E26"/>
    <w:rsid w:val="049E4E62"/>
    <w:rsid w:val="04D550AF"/>
    <w:rsid w:val="04D8694E"/>
    <w:rsid w:val="04D94AAE"/>
    <w:rsid w:val="04E22ADE"/>
    <w:rsid w:val="04F66779"/>
    <w:rsid w:val="04FC007E"/>
    <w:rsid w:val="05246E83"/>
    <w:rsid w:val="05252C5E"/>
    <w:rsid w:val="05355B4E"/>
    <w:rsid w:val="053C512E"/>
    <w:rsid w:val="054951E7"/>
    <w:rsid w:val="0550096B"/>
    <w:rsid w:val="05526CCF"/>
    <w:rsid w:val="05614B95"/>
    <w:rsid w:val="056703FD"/>
    <w:rsid w:val="057448C8"/>
    <w:rsid w:val="05777F14"/>
    <w:rsid w:val="058B36E3"/>
    <w:rsid w:val="058D756E"/>
    <w:rsid w:val="058F1702"/>
    <w:rsid w:val="05C018BB"/>
    <w:rsid w:val="05D84E57"/>
    <w:rsid w:val="06080075"/>
    <w:rsid w:val="061F177B"/>
    <w:rsid w:val="06314A49"/>
    <w:rsid w:val="063B53E6"/>
    <w:rsid w:val="064A5629"/>
    <w:rsid w:val="0664597B"/>
    <w:rsid w:val="06826D92"/>
    <w:rsid w:val="06B26EBB"/>
    <w:rsid w:val="06BA630B"/>
    <w:rsid w:val="070677A2"/>
    <w:rsid w:val="070D0B30"/>
    <w:rsid w:val="0717488F"/>
    <w:rsid w:val="071874D5"/>
    <w:rsid w:val="071A5B9D"/>
    <w:rsid w:val="071C5B60"/>
    <w:rsid w:val="071F1AD0"/>
    <w:rsid w:val="0725607B"/>
    <w:rsid w:val="072F4F4B"/>
    <w:rsid w:val="076646E5"/>
    <w:rsid w:val="077B7A4A"/>
    <w:rsid w:val="0781507A"/>
    <w:rsid w:val="07E15B19"/>
    <w:rsid w:val="07FB4C26"/>
    <w:rsid w:val="0802440D"/>
    <w:rsid w:val="08121D8D"/>
    <w:rsid w:val="081C55C3"/>
    <w:rsid w:val="08273E74"/>
    <w:rsid w:val="082A1FB5"/>
    <w:rsid w:val="083F6313"/>
    <w:rsid w:val="08412741"/>
    <w:rsid w:val="084550F1"/>
    <w:rsid w:val="08617538"/>
    <w:rsid w:val="086329D2"/>
    <w:rsid w:val="086A3D60"/>
    <w:rsid w:val="086C1887"/>
    <w:rsid w:val="087B5F6E"/>
    <w:rsid w:val="089F7EAE"/>
    <w:rsid w:val="08B576D2"/>
    <w:rsid w:val="08BF22FE"/>
    <w:rsid w:val="08C9485C"/>
    <w:rsid w:val="08DB1294"/>
    <w:rsid w:val="08F31FA8"/>
    <w:rsid w:val="08F73242"/>
    <w:rsid w:val="09141EC9"/>
    <w:rsid w:val="091F4B4B"/>
    <w:rsid w:val="092A64FD"/>
    <w:rsid w:val="092C5B69"/>
    <w:rsid w:val="095347F5"/>
    <w:rsid w:val="09684744"/>
    <w:rsid w:val="0969226A"/>
    <w:rsid w:val="097A4477"/>
    <w:rsid w:val="09B434E5"/>
    <w:rsid w:val="09B554AF"/>
    <w:rsid w:val="09B95BC7"/>
    <w:rsid w:val="09B97D2C"/>
    <w:rsid w:val="0A0B49FE"/>
    <w:rsid w:val="0A170301"/>
    <w:rsid w:val="0A2148F3"/>
    <w:rsid w:val="0A372641"/>
    <w:rsid w:val="0A430D0D"/>
    <w:rsid w:val="0A56459C"/>
    <w:rsid w:val="0A592D6E"/>
    <w:rsid w:val="0A5968EA"/>
    <w:rsid w:val="0A876E4C"/>
    <w:rsid w:val="0AAE316A"/>
    <w:rsid w:val="0AE222D4"/>
    <w:rsid w:val="0AE778EA"/>
    <w:rsid w:val="0B006553"/>
    <w:rsid w:val="0B006C6D"/>
    <w:rsid w:val="0B0C7351"/>
    <w:rsid w:val="0B340293"/>
    <w:rsid w:val="0B35484D"/>
    <w:rsid w:val="0B3B3636"/>
    <w:rsid w:val="0B603053"/>
    <w:rsid w:val="0B662F05"/>
    <w:rsid w:val="0B6E11A9"/>
    <w:rsid w:val="0B726B07"/>
    <w:rsid w:val="0B8B471A"/>
    <w:rsid w:val="0BAF665A"/>
    <w:rsid w:val="0BB76725"/>
    <w:rsid w:val="0C264442"/>
    <w:rsid w:val="0C3B6140"/>
    <w:rsid w:val="0C3C77C2"/>
    <w:rsid w:val="0C7B27F2"/>
    <w:rsid w:val="0CA81D50"/>
    <w:rsid w:val="0CDE03B5"/>
    <w:rsid w:val="0CE802C6"/>
    <w:rsid w:val="0CEC568C"/>
    <w:rsid w:val="0D3D37F2"/>
    <w:rsid w:val="0D4D68BA"/>
    <w:rsid w:val="0D6E60A1"/>
    <w:rsid w:val="0D7A67F4"/>
    <w:rsid w:val="0D7B5914"/>
    <w:rsid w:val="0D841421"/>
    <w:rsid w:val="0D894C89"/>
    <w:rsid w:val="0D8C1EA0"/>
    <w:rsid w:val="0D8F3BB6"/>
    <w:rsid w:val="0D951880"/>
    <w:rsid w:val="0D97233B"/>
    <w:rsid w:val="0D9B0DE1"/>
    <w:rsid w:val="0DA25D4B"/>
    <w:rsid w:val="0DB37F58"/>
    <w:rsid w:val="0E056A05"/>
    <w:rsid w:val="0E1F26BA"/>
    <w:rsid w:val="0E370B89"/>
    <w:rsid w:val="0E517949"/>
    <w:rsid w:val="0E8D07A9"/>
    <w:rsid w:val="0E96765D"/>
    <w:rsid w:val="0EA24248"/>
    <w:rsid w:val="0EA62201"/>
    <w:rsid w:val="0ED32660"/>
    <w:rsid w:val="0EF00B77"/>
    <w:rsid w:val="0F19203C"/>
    <w:rsid w:val="0F247CAD"/>
    <w:rsid w:val="0F274759"/>
    <w:rsid w:val="0F694D72"/>
    <w:rsid w:val="0F737149"/>
    <w:rsid w:val="0F7C6E4E"/>
    <w:rsid w:val="0F7F287D"/>
    <w:rsid w:val="0F8256FA"/>
    <w:rsid w:val="0F8B331E"/>
    <w:rsid w:val="0FA111A8"/>
    <w:rsid w:val="0FB81855"/>
    <w:rsid w:val="0FBA1C6F"/>
    <w:rsid w:val="0FC63374"/>
    <w:rsid w:val="0FED1786"/>
    <w:rsid w:val="10091983"/>
    <w:rsid w:val="10294501"/>
    <w:rsid w:val="1030763E"/>
    <w:rsid w:val="10321608"/>
    <w:rsid w:val="1052010F"/>
    <w:rsid w:val="10806817"/>
    <w:rsid w:val="10855BDB"/>
    <w:rsid w:val="10945E1E"/>
    <w:rsid w:val="1097590F"/>
    <w:rsid w:val="10B65D95"/>
    <w:rsid w:val="10BD35C7"/>
    <w:rsid w:val="10E24DDC"/>
    <w:rsid w:val="10F42D61"/>
    <w:rsid w:val="10FD1C16"/>
    <w:rsid w:val="10FE3125"/>
    <w:rsid w:val="110805BA"/>
    <w:rsid w:val="11250D18"/>
    <w:rsid w:val="11345FF6"/>
    <w:rsid w:val="1154735C"/>
    <w:rsid w:val="115701E6"/>
    <w:rsid w:val="115E652A"/>
    <w:rsid w:val="117B75CD"/>
    <w:rsid w:val="11B52E1D"/>
    <w:rsid w:val="11B5429E"/>
    <w:rsid w:val="11B91DAA"/>
    <w:rsid w:val="11BC6B7C"/>
    <w:rsid w:val="11C849EC"/>
    <w:rsid w:val="11CB3AC2"/>
    <w:rsid w:val="11CD7E8E"/>
    <w:rsid w:val="11DF1123"/>
    <w:rsid w:val="11DF131B"/>
    <w:rsid w:val="11EC3A38"/>
    <w:rsid w:val="121E62E8"/>
    <w:rsid w:val="122907E8"/>
    <w:rsid w:val="123B60A7"/>
    <w:rsid w:val="123C676E"/>
    <w:rsid w:val="123D52DE"/>
    <w:rsid w:val="125E66E4"/>
    <w:rsid w:val="126E0DF3"/>
    <w:rsid w:val="12850115"/>
    <w:rsid w:val="1289304B"/>
    <w:rsid w:val="129C545E"/>
    <w:rsid w:val="12AD31C8"/>
    <w:rsid w:val="12B022D7"/>
    <w:rsid w:val="12C02EFB"/>
    <w:rsid w:val="12F26E2C"/>
    <w:rsid w:val="12F40DF6"/>
    <w:rsid w:val="12FA4174"/>
    <w:rsid w:val="130C25E4"/>
    <w:rsid w:val="130D3C66"/>
    <w:rsid w:val="132D6C5C"/>
    <w:rsid w:val="13312989"/>
    <w:rsid w:val="134578A4"/>
    <w:rsid w:val="134A6C68"/>
    <w:rsid w:val="13545D39"/>
    <w:rsid w:val="13566C00"/>
    <w:rsid w:val="13A35811"/>
    <w:rsid w:val="13AA5959"/>
    <w:rsid w:val="13B528E5"/>
    <w:rsid w:val="13BC25A6"/>
    <w:rsid w:val="13D21C0B"/>
    <w:rsid w:val="13DB3D64"/>
    <w:rsid w:val="13DC0939"/>
    <w:rsid w:val="13F866C4"/>
    <w:rsid w:val="14004427"/>
    <w:rsid w:val="14056C11"/>
    <w:rsid w:val="140B63F8"/>
    <w:rsid w:val="140E2DAB"/>
    <w:rsid w:val="140E7C96"/>
    <w:rsid w:val="141F6347"/>
    <w:rsid w:val="143F60A1"/>
    <w:rsid w:val="146167AA"/>
    <w:rsid w:val="14643D5A"/>
    <w:rsid w:val="146855F8"/>
    <w:rsid w:val="14700951"/>
    <w:rsid w:val="147E4E1C"/>
    <w:rsid w:val="14A979BF"/>
    <w:rsid w:val="14D902A4"/>
    <w:rsid w:val="14D9299B"/>
    <w:rsid w:val="14EF7AC7"/>
    <w:rsid w:val="150E796B"/>
    <w:rsid w:val="1519603C"/>
    <w:rsid w:val="152754B3"/>
    <w:rsid w:val="152815C1"/>
    <w:rsid w:val="152A0AFF"/>
    <w:rsid w:val="15543DCE"/>
    <w:rsid w:val="155D7127"/>
    <w:rsid w:val="15784C1B"/>
    <w:rsid w:val="158B5630"/>
    <w:rsid w:val="159D60C5"/>
    <w:rsid w:val="15A52979"/>
    <w:rsid w:val="15AC59B8"/>
    <w:rsid w:val="15C4574E"/>
    <w:rsid w:val="15DE2DF5"/>
    <w:rsid w:val="15EC6D0A"/>
    <w:rsid w:val="15F555B1"/>
    <w:rsid w:val="15FF1F8C"/>
    <w:rsid w:val="160532E6"/>
    <w:rsid w:val="162714E3"/>
    <w:rsid w:val="163A2FC4"/>
    <w:rsid w:val="163D2AB4"/>
    <w:rsid w:val="164125A5"/>
    <w:rsid w:val="168F2A1B"/>
    <w:rsid w:val="169B736F"/>
    <w:rsid w:val="16AF6C42"/>
    <w:rsid w:val="16C64858"/>
    <w:rsid w:val="16DC051F"/>
    <w:rsid w:val="16EC2DCC"/>
    <w:rsid w:val="16FB6BF7"/>
    <w:rsid w:val="16FC64CC"/>
    <w:rsid w:val="173E4D36"/>
    <w:rsid w:val="17400AAE"/>
    <w:rsid w:val="175F1893"/>
    <w:rsid w:val="1776627E"/>
    <w:rsid w:val="1780534F"/>
    <w:rsid w:val="17832749"/>
    <w:rsid w:val="179646F5"/>
    <w:rsid w:val="17A0779F"/>
    <w:rsid w:val="17B91C41"/>
    <w:rsid w:val="17BB6C04"/>
    <w:rsid w:val="17D17958"/>
    <w:rsid w:val="18115297"/>
    <w:rsid w:val="181474FB"/>
    <w:rsid w:val="181F6915"/>
    <w:rsid w:val="18280199"/>
    <w:rsid w:val="185D743E"/>
    <w:rsid w:val="18626802"/>
    <w:rsid w:val="186926E9"/>
    <w:rsid w:val="18C00937"/>
    <w:rsid w:val="18C63235"/>
    <w:rsid w:val="18C740C2"/>
    <w:rsid w:val="18CA357C"/>
    <w:rsid w:val="18FB1378"/>
    <w:rsid w:val="190A3122"/>
    <w:rsid w:val="190C006F"/>
    <w:rsid w:val="19126797"/>
    <w:rsid w:val="193472C7"/>
    <w:rsid w:val="193C65EA"/>
    <w:rsid w:val="193E1B36"/>
    <w:rsid w:val="194B26F1"/>
    <w:rsid w:val="194B4AD0"/>
    <w:rsid w:val="196A0064"/>
    <w:rsid w:val="1981715C"/>
    <w:rsid w:val="19A03A86"/>
    <w:rsid w:val="19B56302"/>
    <w:rsid w:val="19BD63E6"/>
    <w:rsid w:val="19C3097F"/>
    <w:rsid w:val="19FB4FF9"/>
    <w:rsid w:val="19FC0EA3"/>
    <w:rsid w:val="1A044015"/>
    <w:rsid w:val="1A1F2BFD"/>
    <w:rsid w:val="1A204ED1"/>
    <w:rsid w:val="1A363BA1"/>
    <w:rsid w:val="1A526FE4"/>
    <w:rsid w:val="1A554870"/>
    <w:rsid w:val="1A600746"/>
    <w:rsid w:val="1A7E46FE"/>
    <w:rsid w:val="1A933BF8"/>
    <w:rsid w:val="1AA475A6"/>
    <w:rsid w:val="1AB92E5E"/>
    <w:rsid w:val="1AC5013C"/>
    <w:rsid w:val="1ACD0F07"/>
    <w:rsid w:val="1ACE6974"/>
    <w:rsid w:val="1AFA71C6"/>
    <w:rsid w:val="1AFD4F2D"/>
    <w:rsid w:val="1B000A4D"/>
    <w:rsid w:val="1B010554"/>
    <w:rsid w:val="1B3C333B"/>
    <w:rsid w:val="1B486183"/>
    <w:rsid w:val="1B5E7A18"/>
    <w:rsid w:val="1B5F6EDC"/>
    <w:rsid w:val="1B601107"/>
    <w:rsid w:val="1B79458F"/>
    <w:rsid w:val="1B9E2247"/>
    <w:rsid w:val="1BB15657"/>
    <w:rsid w:val="1BBB515F"/>
    <w:rsid w:val="1BC11A92"/>
    <w:rsid w:val="1BC577D4"/>
    <w:rsid w:val="1BC81072"/>
    <w:rsid w:val="1BCF41AF"/>
    <w:rsid w:val="1BD417C5"/>
    <w:rsid w:val="1BD5646A"/>
    <w:rsid w:val="1BD712B5"/>
    <w:rsid w:val="1BEA723A"/>
    <w:rsid w:val="1C05309F"/>
    <w:rsid w:val="1C112A19"/>
    <w:rsid w:val="1C352AF7"/>
    <w:rsid w:val="1C56667E"/>
    <w:rsid w:val="1C980A44"/>
    <w:rsid w:val="1CA6062E"/>
    <w:rsid w:val="1CB77386"/>
    <w:rsid w:val="1CC21F65"/>
    <w:rsid w:val="1CDD28FB"/>
    <w:rsid w:val="1D225E65"/>
    <w:rsid w:val="1D305121"/>
    <w:rsid w:val="1D392227"/>
    <w:rsid w:val="1D48246B"/>
    <w:rsid w:val="1D5801D4"/>
    <w:rsid w:val="1D5E41C9"/>
    <w:rsid w:val="1D6E79F7"/>
    <w:rsid w:val="1D7E7C3A"/>
    <w:rsid w:val="1D94745E"/>
    <w:rsid w:val="1DFE18A8"/>
    <w:rsid w:val="1E01086B"/>
    <w:rsid w:val="1E0A7BA4"/>
    <w:rsid w:val="1E0C367E"/>
    <w:rsid w:val="1E1062DA"/>
    <w:rsid w:val="1E107C7E"/>
    <w:rsid w:val="1E234C86"/>
    <w:rsid w:val="1E2C7696"/>
    <w:rsid w:val="1E85149C"/>
    <w:rsid w:val="1E8829F7"/>
    <w:rsid w:val="1E9E60BA"/>
    <w:rsid w:val="1EE2069D"/>
    <w:rsid w:val="1EEC1EBD"/>
    <w:rsid w:val="1F1B7BA5"/>
    <w:rsid w:val="1F4C5B16"/>
    <w:rsid w:val="1F5307B6"/>
    <w:rsid w:val="1F530CDA"/>
    <w:rsid w:val="1F574CD6"/>
    <w:rsid w:val="1F6479DF"/>
    <w:rsid w:val="1F7237CF"/>
    <w:rsid w:val="1F7C289F"/>
    <w:rsid w:val="1F9D6372"/>
    <w:rsid w:val="1FA567E1"/>
    <w:rsid w:val="1FE521F3"/>
    <w:rsid w:val="20085EE1"/>
    <w:rsid w:val="20087746"/>
    <w:rsid w:val="201137B3"/>
    <w:rsid w:val="201326D4"/>
    <w:rsid w:val="204F1D62"/>
    <w:rsid w:val="206A6B9C"/>
    <w:rsid w:val="2076109D"/>
    <w:rsid w:val="208C08C0"/>
    <w:rsid w:val="209510A0"/>
    <w:rsid w:val="20A53730"/>
    <w:rsid w:val="20D54C81"/>
    <w:rsid w:val="20DA787E"/>
    <w:rsid w:val="20E424AA"/>
    <w:rsid w:val="20F12E19"/>
    <w:rsid w:val="20F8453A"/>
    <w:rsid w:val="20FD29D2"/>
    <w:rsid w:val="210439D2"/>
    <w:rsid w:val="21127DD7"/>
    <w:rsid w:val="213347C0"/>
    <w:rsid w:val="213A5DCC"/>
    <w:rsid w:val="213D0D46"/>
    <w:rsid w:val="215C0A16"/>
    <w:rsid w:val="21604622"/>
    <w:rsid w:val="21657114"/>
    <w:rsid w:val="216C34F3"/>
    <w:rsid w:val="21BA6626"/>
    <w:rsid w:val="21DD6DE7"/>
    <w:rsid w:val="21E40288"/>
    <w:rsid w:val="21F26E49"/>
    <w:rsid w:val="22015A34"/>
    <w:rsid w:val="22456F79"/>
    <w:rsid w:val="22541CC2"/>
    <w:rsid w:val="225B5B12"/>
    <w:rsid w:val="22612CC2"/>
    <w:rsid w:val="227C6FEA"/>
    <w:rsid w:val="22BB548D"/>
    <w:rsid w:val="22C72083"/>
    <w:rsid w:val="22DD0563"/>
    <w:rsid w:val="23046E34"/>
    <w:rsid w:val="23272B22"/>
    <w:rsid w:val="232B0864"/>
    <w:rsid w:val="23377209"/>
    <w:rsid w:val="2338088B"/>
    <w:rsid w:val="236553F8"/>
    <w:rsid w:val="23742F66"/>
    <w:rsid w:val="23750B7B"/>
    <w:rsid w:val="23756E64"/>
    <w:rsid w:val="23775858"/>
    <w:rsid w:val="23817458"/>
    <w:rsid w:val="238A7E2A"/>
    <w:rsid w:val="23A423C5"/>
    <w:rsid w:val="23A8302D"/>
    <w:rsid w:val="23B16878"/>
    <w:rsid w:val="23F0560A"/>
    <w:rsid w:val="24060D92"/>
    <w:rsid w:val="241E37DC"/>
    <w:rsid w:val="243C436C"/>
    <w:rsid w:val="245B0CD5"/>
    <w:rsid w:val="246A0F18"/>
    <w:rsid w:val="247F0237"/>
    <w:rsid w:val="24A02B8C"/>
    <w:rsid w:val="24ED38F7"/>
    <w:rsid w:val="2512195F"/>
    <w:rsid w:val="25157C56"/>
    <w:rsid w:val="25325BEA"/>
    <w:rsid w:val="25537BFE"/>
    <w:rsid w:val="255B6AB3"/>
    <w:rsid w:val="25755DC7"/>
    <w:rsid w:val="257D00DA"/>
    <w:rsid w:val="259279C6"/>
    <w:rsid w:val="25A14E0E"/>
    <w:rsid w:val="25A33D1C"/>
    <w:rsid w:val="25AC730F"/>
    <w:rsid w:val="25BC1C48"/>
    <w:rsid w:val="25CD2887"/>
    <w:rsid w:val="25DE062A"/>
    <w:rsid w:val="25E02770"/>
    <w:rsid w:val="25FC764B"/>
    <w:rsid w:val="25FF2BAC"/>
    <w:rsid w:val="26394FB6"/>
    <w:rsid w:val="266D7783"/>
    <w:rsid w:val="267111C5"/>
    <w:rsid w:val="267F74F6"/>
    <w:rsid w:val="26AC17FC"/>
    <w:rsid w:val="26D87BBC"/>
    <w:rsid w:val="26D97E39"/>
    <w:rsid w:val="26DD00C8"/>
    <w:rsid w:val="26E256DE"/>
    <w:rsid w:val="26FB1BD7"/>
    <w:rsid w:val="270A253F"/>
    <w:rsid w:val="270D7151"/>
    <w:rsid w:val="271D04C4"/>
    <w:rsid w:val="27436541"/>
    <w:rsid w:val="27441EF5"/>
    <w:rsid w:val="275163C0"/>
    <w:rsid w:val="275859A0"/>
    <w:rsid w:val="276318B8"/>
    <w:rsid w:val="27677991"/>
    <w:rsid w:val="276F74CA"/>
    <w:rsid w:val="277771ED"/>
    <w:rsid w:val="2778364E"/>
    <w:rsid w:val="279938C3"/>
    <w:rsid w:val="27C06CFE"/>
    <w:rsid w:val="27C2753A"/>
    <w:rsid w:val="27CC3C98"/>
    <w:rsid w:val="28096C9A"/>
    <w:rsid w:val="280D678A"/>
    <w:rsid w:val="28101DD7"/>
    <w:rsid w:val="281E2746"/>
    <w:rsid w:val="28553C8E"/>
    <w:rsid w:val="286C3BF6"/>
    <w:rsid w:val="28904CC6"/>
    <w:rsid w:val="28967235"/>
    <w:rsid w:val="28BD07B9"/>
    <w:rsid w:val="28C055AB"/>
    <w:rsid w:val="28CD611F"/>
    <w:rsid w:val="28DB1694"/>
    <w:rsid w:val="28EA13DF"/>
    <w:rsid w:val="291458F7"/>
    <w:rsid w:val="291B3F94"/>
    <w:rsid w:val="292D0389"/>
    <w:rsid w:val="295757E3"/>
    <w:rsid w:val="296B1A60"/>
    <w:rsid w:val="29742150"/>
    <w:rsid w:val="29852351"/>
    <w:rsid w:val="29ED5768"/>
    <w:rsid w:val="29F0566A"/>
    <w:rsid w:val="2A1C3834"/>
    <w:rsid w:val="2A53244F"/>
    <w:rsid w:val="2A6015BE"/>
    <w:rsid w:val="2A7C2A0C"/>
    <w:rsid w:val="2A834AE2"/>
    <w:rsid w:val="2AA81143"/>
    <w:rsid w:val="2AB56C65"/>
    <w:rsid w:val="2ABA14D8"/>
    <w:rsid w:val="2ACC14D5"/>
    <w:rsid w:val="2AEC60AB"/>
    <w:rsid w:val="2AEE24AC"/>
    <w:rsid w:val="2AF7488D"/>
    <w:rsid w:val="2B155AD3"/>
    <w:rsid w:val="2B2D2561"/>
    <w:rsid w:val="2B4F6426"/>
    <w:rsid w:val="2B4F7378"/>
    <w:rsid w:val="2B765B81"/>
    <w:rsid w:val="2B8562FE"/>
    <w:rsid w:val="2B942D1F"/>
    <w:rsid w:val="2B944ACD"/>
    <w:rsid w:val="2BA93F88"/>
    <w:rsid w:val="2BAD603D"/>
    <w:rsid w:val="2BBA09D7"/>
    <w:rsid w:val="2BD8582F"/>
    <w:rsid w:val="2BE55328"/>
    <w:rsid w:val="2BEA0B91"/>
    <w:rsid w:val="2C110D10"/>
    <w:rsid w:val="2C114736"/>
    <w:rsid w:val="2C1711F7"/>
    <w:rsid w:val="2C1F083A"/>
    <w:rsid w:val="2C2E6CCF"/>
    <w:rsid w:val="2C37762C"/>
    <w:rsid w:val="2C3E5190"/>
    <w:rsid w:val="2C4118B1"/>
    <w:rsid w:val="2C463402"/>
    <w:rsid w:val="2C5524AE"/>
    <w:rsid w:val="2C6426F1"/>
    <w:rsid w:val="2C6646BB"/>
    <w:rsid w:val="2C6D5A4A"/>
    <w:rsid w:val="2C720C5C"/>
    <w:rsid w:val="2C731985"/>
    <w:rsid w:val="2C7C4E8C"/>
    <w:rsid w:val="2CA156F3"/>
    <w:rsid w:val="2CA62D0A"/>
    <w:rsid w:val="2CB77DB2"/>
    <w:rsid w:val="2CC413E2"/>
    <w:rsid w:val="2CC651A3"/>
    <w:rsid w:val="2CCB451E"/>
    <w:rsid w:val="2CD755B9"/>
    <w:rsid w:val="2D045C82"/>
    <w:rsid w:val="2D095047"/>
    <w:rsid w:val="2D0D1EDF"/>
    <w:rsid w:val="2D12039F"/>
    <w:rsid w:val="2D12214D"/>
    <w:rsid w:val="2D156581"/>
    <w:rsid w:val="2D216834"/>
    <w:rsid w:val="2D237B5F"/>
    <w:rsid w:val="2D442A76"/>
    <w:rsid w:val="2D6266C8"/>
    <w:rsid w:val="2D990AC0"/>
    <w:rsid w:val="2DB11966"/>
    <w:rsid w:val="2DB9287A"/>
    <w:rsid w:val="2DD13DB6"/>
    <w:rsid w:val="2DFE4282"/>
    <w:rsid w:val="2E062593"/>
    <w:rsid w:val="2E19750B"/>
    <w:rsid w:val="2E220BDB"/>
    <w:rsid w:val="2E261C16"/>
    <w:rsid w:val="2E2E2FB7"/>
    <w:rsid w:val="2E326285"/>
    <w:rsid w:val="2E410027"/>
    <w:rsid w:val="2E515D29"/>
    <w:rsid w:val="2E52461F"/>
    <w:rsid w:val="2E552C39"/>
    <w:rsid w:val="2E573752"/>
    <w:rsid w:val="2E71234B"/>
    <w:rsid w:val="2EBE07DF"/>
    <w:rsid w:val="2EF44200"/>
    <w:rsid w:val="2F063B68"/>
    <w:rsid w:val="2F1C3757"/>
    <w:rsid w:val="2F1E127D"/>
    <w:rsid w:val="2F3060A0"/>
    <w:rsid w:val="2F5A7795"/>
    <w:rsid w:val="2F6C023B"/>
    <w:rsid w:val="2F7F65C3"/>
    <w:rsid w:val="2FAA362C"/>
    <w:rsid w:val="2FBE036A"/>
    <w:rsid w:val="2FE853E7"/>
    <w:rsid w:val="300761B5"/>
    <w:rsid w:val="300809E8"/>
    <w:rsid w:val="30085277"/>
    <w:rsid w:val="30176A6B"/>
    <w:rsid w:val="301B3A0F"/>
    <w:rsid w:val="302F373C"/>
    <w:rsid w:val="304F2B40"/>
    <w:rsid w:val="306742E8"/>
    <w:rsid w:val="30731155"/>
    <w:rsid w:val="30A42A42"/>
    <w:rsid w:val="30A718B6"/>
    <w:rsid w:val="30BC0D4E"/>
    <w:rsid w:val="30C220DC"/>
    <w:rsid w:val="30C9346B"/>
    <w:rsid w:val="30CF6B01"/>
    <w:rsid w:val="30EB68FA"/>
    <w:rsid w:val="30F32296"/>
    <w:rsid w:val="30F6609D"/>
    <w:rsid w:val="312D57A8"/>
    <w:rsid w:val="313A4B10"/>
    <w:rsid w:val="31513D86"/>
    <w:rsid w:val="31556AAC"/>
    <w:rsid w:val="3172765E"/>
    <w:rsid w:val="31943A79"/>
    <w:rsid w:val="31A55C86"/>
    <w:rsid w:val="31B31BC7"/>
    <w:rsid w:val="31B83C01"/>
    <w:rsid w:val="31C61758"/>
    <w:rsid w:val="31D125D7"/>
    <w:rsid w:val="31E247B3"/>
    <w:rsid w:val="321A3377"/>
    <w:rsid w:val="323E5C15"/>
    <w:rsid w:val="32621481"/>
    <w:rsid w:val="32892EB1"/>
    <w:rsid w:val="329A6E6D"/>
    <w:rsid w:val="329B4993"/>
    <w:rsid w:val="329D4C03"/>
    <w:rsid w:val="32A01FA9"/>
    <w:rsid w:val="32BA306B"/>
    <w:rsid w:val="32C1089D"/>
    <w:rsid w:val="32C23C80"/>
    <w:rsid w:val="32D76CF9"/>
    <w:rsid w:val="32E02EED"/>
    <w:rsid w:val="32F10A57"/>
    <w:rsid w:val="32FC50E2"/>
    <w:rsid w:val="32FE40E3"/>
    <w:rsid w:val="33070A96"/>
    <w:rsid w:val="33366928"/>
    <w:rsid w:val="33423060"/>
    <w:rsid w:val="335E60EC"/>
    <w:rsid w:val="336A7FBF"/>
    <w:rsid w:val="337B62D2"/>
    <w:rsid w:val="33813B89"/>
    <w:rsid w:val="33820815"/>
    <w:rsid w:val="33833DA5"/>
    <w:rsid w:val="338E62A6"/>
    <w:rsid w:val="33A02904"/>
    <w:rsid w:val="33A65EA2"/>
    <w:rsid w:val="33AD7074"/>
    <w:rsid w:val="33D463AE"/>
    <w:rsid w:val="33DB598F"/>
    <w:rsid w:val="33E94F54"/>
    <w:rsid w:val="34073F4A"/>
    <w:rsid w:val="340C5B48"/>
    <w:rsid w:val="342D5594"/>
    <w:rsid w:val="34346E4D"/>
    <w:rsid w:val="34425A0E"/>
    <w:rsid w:val="34451A66"/>
    <w:rsid w:val="3457480D"/>
    <w:rsid w:val="34813298"/>
    <w:rsid w:val="34943D90"/>
    <w:rsid w:val="34A035E0"/>
    <w:rsid w:val="34A516D8"/>
    <w:rsid w:val="34AA710F"/>
    <w:rsid w:val="34AE5530"/>
    <w:rsid w:val="34B241A1"/>
    <w:rsid w:val="34B8182C"/>
    <w:rsid w:val="34C04B85"/>
    <w:rsid w:val="34DC2104"/>
    <w:rsid w:val="34F0546A"/>
    <w:rsid w:val="35016C06"/>
    <w:rsid w:val="351849C1"/>
    <w:rsid w:val="35325A82"/>
    <w:rsid w:val="353D61D5"/>
    <w:rsid w:val="3546508A"/>
    <w:rsid w:val="354B6B44"/>
    <w:rsid w:val="355D23D3"/>
    <w:rsid w:val="355F6BBC"/>
    <w:rsid w:val="35733F51"/>
    <w:rsid w:val="35956011"/>
    <w:rsid w:val="35AE03E3"/>
    <w:rsid w:val="35CA5CBB"/>
    <w:rsid w:val="35CD1307"/>
    <w:rsid w:val="35D94150"/>
    <w:rsid w:val="36080591"/>
    <w:rsid w:val="36174C78"/>
    <w:rsid w:val="361B02C4"/>
    <w:rsid w:val="36405F7D"/>
    <w:rsid w:val="36495F2B"/>
    <w:rsid w:val="3656754F"/>
    <w:rsid w:val="366C4FC4"/>
    <w:rsid w:val="366C6D72"/>
    <w:rsid w:val="367704B7"/>
    <w:rsid w:val="368466C6"/>
    <w:rsid w:val="36A20551"/>
    <w:rsid w:val="36A75FFC"/>
    <w:rsid w:val="36B67162"/>
    <w:rsid w:val="370122CD"/>
    <w:rsid w:val="37092813"/>
    <w:rsid w:val="370A6B06"/>
    <w:rsid w:val="371E0B3C"/>
    <w:rsid w:val="37224DEA"/>
    <w:rsid w:val="372E16F2"/>
    <w:rsid w:val="373044DC"/>
    <w:rsid w:val="37407D7B"/>
    <w:rsid w:val="374D013B"/>
    <w:rsid w:val="37623CD1"/>
    <w:rsid w:val="376E2676"/>
    <w:rsid w:val="377203B8"/>
    <w:rsid w:val="378D2272"/>
    <w:rsid w:val="37971BCD"/>
    <w:rsid w:val="37AF3366"/>
    <w:rsid w:val="37AF33BA"/>
    <w:rsid w:val="37BA1509"/>
    <w:rsid w:val="37C20D36"/>
    <w:rsid w:val="37C60704"/>
    <w:rsid w:val="37C97B8C"/>
    <w:rsid w:val="37D90437"/>
    <w:rsid w:val="37E34E12"/>
    <w:rsid w:val="37E64FA9"/>
    <w:rsid w:val="37F60442"/>
    <w:rsid w:val="37FA2165"/>
    <w:rsid w:val="38096133"/>
    <w:rsid w:val="380A77F6"/>
    <w:rsid w:val="38254583"/>
    <w:rsid w:val="3828316D"/>
    <w:rsid w:val="382C4A0B"/>
    <w:rsid w:val="382E38EF"/>
    <w:rsid w:val="383218F5"/>
    <w:rsid w:val="38455560"/>
    <w:rsid w:val="385A4404"/>
    <w:rsid w:val="386121DB"/>
    <w:rsid w:val="38651CCB"/>
    <w:rsid w:val="386F2B4A"/>
    <w:rsid w:val="38784659"/>
    <w:rsid w:val="387D5266"/>
    <w:rsid w:val="38855EC9"/>
    <w:rsid w:val="388A1731"/>
    <w:rsid w:val="3905525C"/>
    <w:rsid w:val="39207DE0"/>
    <w:rsid w:val="39251FE6"/>
    <w:rsid w:val="392A7B2D"/>
    <w:rsid w:val="39325D9B"/>
    <w:rsid w:val="395F671A"/>
    <w:rsid w:val="396F22EF"/>
    <w:rsid w:val="39863D18"/>
    <w:rsid w:val="398D772B"/>
    <w:rsid w:val="39930ABA"/>
    <w:rsid w:val="39A20CFD"/>
    <w:rsid w:val="39AC2784"/>
    <w:rsid w:val="39DE04EC"/>
    <w:rsid w:val="39FE3B90"/>
    <w:rsid w:val="3A0F6392"/>
    <w:rsid w:val="3A273C34"/>
    <w:rsid w:val="3A43114E"/>
    <w:rsid w:val="3A4D6EBA"/>
    <w:rsid w:val="3A63561E"/>
    <w:rsid w:val="3A685AA2"/>
    <w:rsid w:val="3A777A93"/>
    <w:rsid w:val="3A887EF3"/>
    <w:rsid w:val="3AB74334"/>
    <w:rsid w:val="3ABF3A64"/>
    <w:rsid w:val="3AE412F7"/>
    <w:rsid w:val="3AE6545A"/>
    <w:rsid w:val="3AEF1127"/>
    <w:rsid w:val="3AF74E62"/>
    <w:rsid w:val="3AFE47B5"/>
    <w:rsid w:val="3B0726A2"/>
    <w:rsid w:val="3B0D21A6"/>
    <w:rsid w:val="3B2E0A9A"/>
    <w:rsid w:val="3B3516AA"/>
    <w:rsid w:val="3B464036"/>
    <w:rsid w:val="3B4E3123"/>
    <w:rsid w:val="3B5418C9"/>
    <w:rsid w:val="3B6C3AB4"/>
    <w:rsid w:val="3B7D557D"/>
    <w:rsid w:val="3BB14E02"/>
    <w:rsid w:val="3BB54D17"/>
    <w:rsid w:val="3BBC42F8"/>
    <w:rsid w:val="3BC34F00"/>
    <w:rsid w:val="3BCE45B8"/>
    <w:rsid w:val="3BE839DA"/>
    <w:rsid w:val="3BEC625F"/>
    <w:rsid w:val="3C1E0A9B"/>
    <w:rsid w:val="3C1F03E3"/>
    <w:rsid w:val="3C2A6EA9"/>
    <w:rsid w:val="3C553E04"/>
    <w:rsid w:val="3C720E5A"/>
    <w:rsid w:val="3CB1315A"/>
    <w:rsid w:val="3CDE029E"/>
    <w:rsid w:val="3CE75864"/>
    <w:rsid w:val="3D09356D"/>
    <w:rsid w:val="3D0C4E0B"/>
    <w:rsid w:val="3D0C6BB9"/>
    <w:rsid w:val="3D1617E6"/>
    <w:rsid w:val="3D2F02CC"/>
    <w:rsid w:val="3D3103CE"/>
    <w:rsid w:val="3D345017"/>
    <w:rsid w:val="3D3A1978"/>
    <w:rsid w:val="3D563F69"/>
    <w:rsid w:val="3D581605"/>
    <w:rsid w:val="3DB8289D"/>
    <w:rsid w:val="3DCB3191"/>
    <w:rsid w:val="3DD47DFE"/>
    <w:rsid w:val="3DF83C52"/>
    <w:rsid w:val="3DFD4754"/>
    <w:rsid w:val="3E0808AB"/>
    <w:rsid w:val="3E0A2D77"/>
    <w:rsid w:val="3E0B6E71"/>
    <w:rsid w:val="3E0F40CF"/>
    <w:rsid w:val="3E1036AC"/>
    <w:rsid w:val="3E27133C"/>
    <w:rsid w:val="3E38578C"/>
    <w:rsid w:val="3E3A2A15"/>
    <w:rsid w:val="3E4B652F"/>
    <w:rsid w:val="3E742C68"/>
    <w:rsid w:val="3E8B2FC1"/>
    <w:rsid w:val="3E9C1AC2"/>
    <w:rsid w:val="3EAE391C"/>
    <w:rsid w:val="3EB72B54"/>
    <w:rsid w:val="3ECB7146"/>
    <w:rsid w:val="3ED52C04"/>
    <w:rsid w:val="3ED57CDA"/>
    <w:rsid w:val="3ED656D0"/>
    <w:rsid w:val="3EDD5CEC"/>
    <w:rsid w:val="3EFB3825"/>
    <w:rsid w:val="3F147FA7"/>
    <w:rsid w:val="3F5465F5"/>
    <w:rsid w:val="3F65130D"/>
    <w:rsid w:val="3F6525B0"/>
    <w:rsid w:val="3FAE5D48"/>
    <w:rsid w:val="3FDA11F0"/>
    <w:rsid w:val="3FDA4D4C"/>
    <w:rsid w:val="3FE156B2"/>
    <w:rsid w:val="401D10DD"/>
    <w:rsid w:val="401E1679"/>
    <w:rsid w:val="40295297"/>
    <w:rsid w:val="402B37FA"/>
    <w:rsid w:val="402E6E46"/>
    <w:rsid w:val="40536250"/>
    <w:rsid w:val="40551E90"/>
    <w:rsid w:val="406A6750"/>
    <w:rsid w:val="406D5BC1"/>
    <w:rsid w:val="40972C3D"/>
    <w:rsid w:val="40C477AB"/>
    <w:rsid w:val="40CD3353"/>
    <w:rsid w:val="40D32C22"/>
    <w:rsid w:val="40F005A0"/>
    <w:rsid w:val="40F4221B"/>
    <w:rsid w:val="40F7192E"/>
    <w:rsid w:val="413D1A37"/>
    <w:rsid w:val="413E755D"/>
    <w:rsid w:val="41627F5C"/>
    <w:rsid w:val="417A2DC8"/>
    <w:rsid w:val="41854E04"/>
    <w:rsid w:val="419A57EC"/>
    <w:rsid w:val="419B4C0C"/>
    <w:rsid w:val="41A05B22"/>
    <w:rsid w:val="41A2189A"/>
    <w:rsid w:val="41D072D4"/>
    <w:rsid w:val="41EC2EEF"/>
    <w:rsid w:val="41FE1774"/>
    <w:rsid w:val="42002A64"/>
    <w:rsid w:val="420C610C"/>
    <w:rsid w:val="42126564"/>
    <w:rsid w:val="42170F9D"/>
    <w:rsid w:val="421A3B26"/>
    <w:rsid w:val="425A6F73"/>
    <w:rsid w:val="42662618"/>
    <w:rsid w:val="426930E5"/>
    <w:rsid w:val="426E79CE"/>
    <w:rsid w:val="4278084D"/>
    <w:rsid w:val="427C658F"/>
    <w:rsid w:val="42813BA5"/>
    <w:rsid w:val="4291599E"/>
    <w:rsid w:val="42982C9D"/>
    <w:rsid w:val="42BD4FAE"/>
    <w:rsid w:val="42F00813"/>
    <w:rsid w:val="42FE73AB"/>
    <w:rsid w:val="430B346F"/>
    <w:rsid w:val="43144B7B"/>
    <w:rsid w:val="431765E0"/>
    <w:rsid w:val="432927CA"/>
    <w:rsid w:val="432A1CC2"/>
    <w:rsid w:val="432F3601"/>
    <w:rsid w:val="43433D39"/>
    <w:rsid w:val="434A21E9"/>
    <w:rsid w:val="43707776"/>
    <w:rsid w:val="437159C8"/>
    <w:rsid w:val="43790D20"/>
    <w:rsid w:val="437C0C80"/>
    <w:rsid w:val="43866F99"/>
    <w:rsid w:val="43B74E39"/>
    <w:rsid w:val="43B9736F"/>
    <w:rsid w:val="43BB4E95"/>
    <w:rsid w:val="43D83C99"/>
    <w:rsid w:val="43D9356D"/>
    <w:rsid w:val="43E33FD1"/>
    <w:rsid w:val="43FE181E"/>
    <w:rsid w:val="43FE2FD4"/>
    <w:rsid w:val="441B1DD7"/>
    <w:rsid w:val="442C7B41"/>
    <w:rsid w:val="443D58AA"/>
    <w:rsid w:val="444625F0"/>
    <w:rsid w:val="444A6ACC"/>
    <w:rsid w:val="445B0B70"/>
    <w:rsid w:val="4469003D"/>
    <w:rsid w:val="446B68BB"/>
    <w:rsid w:val="4473751E"/>
    <w:rsid w:val="447D039C"/>
    <w:rsid w:val="449914EF"/>
    <w:rsid w:val="44C85ABB"/>
    <w:rsid w:val="44C9538F"/>
    <w:rsid w:val="44CD7749"/>
    <w:rsid w:val="44EE129A"/>
    <w:rsid w:val="44F71EFD"/>
    <w:rsid w:val="45034D45"/>
    <w:rsid w:val="45116B80"/>
    <w:rsid w:val="452E56DC"/>
    <w:rsid w:val="45303661"/>
    <w:rsid w:val="453873E8"/>
    <w:rsid w:val="4538740E"/>
    <w:rsid w:val="4540521A"/>
    <w:rsid w:val="455410FD"/>
    <w:rsid w:val="45682DFA"/>
    <w:rsid w:val="456953A7"/>
    <w:rsid w:val="45723C79"/>
    <w:rsid w:val="45941E41"/>
    <w:rsid w:val="459C3262"/>
    <w:rsid w:val="459C4852"/>
    <w:rsid w:val="459E4A6E"/>
    <w:rsid w:val="45CB40CB"/>
    <w:rsid w:val="45E85CE9"/>
    <w:rsid w:val="45EA380F"/>
    <w:rsid w:val="46102858"/>
    <w:rsid w:val="46517D32"/>
    <w:rsid w:val="465810C1"/>
    <w:rsid w:val="46674E60"/>
    <w:rsid w:val="468A1C7F"/>
    <w:rsid w:val="468A6DA0"/>
    <w:rsid w:val="46A61E2C"/>
    <w:rsid w:val="46BA6A3B"/>
    <w:rsid w:val="46BF2EEE"/>
    <w:rsid w:val="46D1677D"/>
    <w:rsid w:val="46D60513"/>
    <w:rsid w:val="46D71FE6"/>
    <w:rsid w:val="4714323A"/>
    <w:rsid w:val="47305B9A"/>
    <w:rsid w:val="47392981"/>
    <w:rsid w:val="475C7FFE"/>
    <w:rsid w:val="475F3D89"/>
    <w:rsid w:val="476870E2"/>
    <w:rsid w:val="476B6BD2"/>
    <w:rsid w:val="47743CD8"/>
    <w:rsid w:val="477D7930"/>
    <w:rsid w:val="4780267D"/>
    <w:rsid w:val="479354E3"/>
    <w:rsid w:val="47AB5220"/>
    <w:rsid w:val="47B16CDB"/>
    <w:rsid w:val="47CA4256"/>
    <w:rsid w:val="47EE05EF"/>
    <w:rsid w:val="47FF070F"/>
    <w:rsid w:val="4819383E"/>
    <w:rsid w:val="48215AFD"/>
    <w:rsid w:val="48220BA1"/>
    <w:rsid w:val="48223458"/>
    <w:rsid w:val="48496AAD"/>
    <w:rsid w:val="48693111"/>
    <w:rsid w:val="486A5272"/>
    <w:rsid w:val="48727C86"/>
    <w:rsid w:val="48945CB4"/>
    <w:rsid w:val="48965ED0"/>
    <w:rsid w:val="489F3D3E"/>
    <w:rsid w:val="48A24875"/>
    <w:rsid w:val="48A348D3"/>
    <w:rsid w:val="48C447EC"/>
    <w:rsid w:val="48F50E49"/>
    <w:rsid w:val="491D5CAA"/>
    <w:rsid w:val="491F5EC6"/>
    <w:rsid w:val="49296D45"/>
    <w:rsid w:val="49477565"/>
    <w:rsid w:val="49574F2D"/>
    <w:rsid w:val="495A5150"/>
    <w:rsid w:val="49663AF5"/>
    <w:rsid w:val="497C35BE"/>
    <w:rsid w:val="497F27A4"/>
    <w:rsid w:val="49841976"/>
    <w:rsid w:val="4990049A"/>
    <w:rsid w:val="49B91DA4"/>
    <w:rsid w:val="49DA1EBE"/>
    <w:rsid w:val="49F42EAF"/>
    <w:rsid w:val="4A0661CA"/>
    <w:rsid w:val="4A0A4F84"/>
    <w:rsid w:val="4A1016DA"/>
    <w:rsid w:val="4A17094B"/>
    <w:rsid w:val="4A225C6E"/>
    <w:rsid w:val="4A383145"/>
    <w:rsid w:val="4A3D31A8"/>
    <w:rsid w:val="4A851D59"/>
    <w:rsid w:val="4A954692"/>
    <w:rsid w:val="4AA93C99"/>
    <w:rsid w:val="4ABA0F61"/>
    <w:rsid w:val="4AC960E9"/>
    <w:rsid w:val="4AD41CA3"/>
    <w:rsid w:val="4AE253FD"/>
    <w:rsid w:val="4AE6144E"/>
    <w:rsid w:val="4AF33166"/>
    <w:rsid w:val="4B3A0D95"/>
    <w:rsid w:val="4B3C4B0D"/>
    <w:rsid w:val="4B58121B"/>
    <w:rsid w:val="4B9B5087"/>
    <w:rsid w:val="4B9C2307"/>
    <w:rsid w:val="4BAA2EFE"/>
    <w:rsid w:val="4BBA0128"/>
    <w:rsid w:val="4BD04548"/>
    <w:rsid w:val="4BD54E32"/>
    <w:rsid w:val="4BED5E07"/>
    <w:rsid w:val="4C177113"/>
    <w:rsid w:val="4C2F4672"/>
    <w:rsid w:val="4C301F04"/>
    <w:rsid w:val="4C7D0675"/>
    <w:rsid w:val="4C83051A"/>
    <w:rsid w:val="4C8F3BAE"/>
    <w:rsid w:val="4C983498"/>
    <w:rsid w:val="4CB9218D"/>
    <w:rsid w:val="4CD810E9"/>
    <w:rsid w:val="4CEE1E91"/>
    <w:rsid w:val="4D0553D3"/>
    <w:rsid w:val="4D07739D"/>
    <w:rsid w:val="4D13140C"/>
    <w:rsid w:val="4D2649DC"/>
    <w:rsid w:val="4D2717ED"/>
    <w:rsid w:val="4D4203D5"/>
    <w:rsid w:val="4D5320B4"/>
    <w:rsid w:val="4D7B6DBC"/>
    <w:rsid w:val="4D8D3D2C"/>
    <w:rsid w:val="4D9228D2"/>
    <w:rsid w:val="4D97427D"/>
    <w:rsid w:val="4DA81DCE"/>
    <w:rsid w:val="4DD70B1D"/>
    <w:rsid w:val="4DDE195C"/>
    <w:rsid w:val="4E105317"/>
    <w:rsid w:val="4E2622F1"/>
    <w:rsid w:val="4E3441C2"/>
    <w:rsid w:val="4E9702AC"/>
    <w:rsid w:val="4E9C365E"/>
    <w:rsid w:val="4ED9180F"/>
    <w:rsid w:val="4EF50C21"/>
    <w:rsid w:val="4F0C0BAE"/>
    <w:rsid w:val="4F282E73"/>
    <w:rsid w:val="4F2C30EB"/>
    <w:rsid w:val="4F412845"/>
    <w:rsid w:val="4F4B5AE4"/>
    <w:rsid w:val="4F6F4D85"/>
    <w:rsid w:val="4FA62E9D"/>
    <w:rsid w:val="4FD37ECC"/>
    <w:rsid w:val="4FDF63AF"/>
    <w:rsid w:val="4FE87012"/>
    <w:rsid w:val="4FF97471"/>
    <w:rsid w:val="4FFF63AB"/>
    <w:rsid w:val="50120532"/>
    <w:rsid w:val="501927B9"/>
    <w:rsid w:val="5032028D"/>
    <w:rsid w:val="503404A9"/>
    <w:rsid w:val="504373CC"/>
    <w:rsid w:val="505428F9"/>
    <w:rsid w:val="506A5C79"/>
    <w:rsid w:val="50827466"/>
    <w:rsid w:val="508A631B"/>
    <w:rsid w:val="50A218B6"/>
    <w:rsid w:val="50AC6291"/>
    <w:rsid w:val="50AF5779"/>
    <w:rsid w:val="50C25AB5"/>
    <w:rsid w:val="50CC248F"/>
    <w:rsid w:val="50D85C07"/>
    <w:rsid w:val="50DC644B"/>
    <w:rsid w:val="50E772C9"/>
    <w:rsid w:val="50E917F7"/>
    <w:rsid w:val="51081D09"/>
    <w:rsid w:val="51281690"/>
    <w:rsid w:val="51361FFF"/>
    <w:rsid w:val="514B1B1C"/>
    <w:rsid w:val="51795CC0"/>
    <w:rsid w:val="517C48C8"/>
    <w:rsid w:val="518064A7"/>
    <w:rsid w:val="51B51175"/>
    <w:rsid w:val="51B573C7"/>
    <w:rsid w:val="51C92E73"/>
    <w:rsid w:val="51CA0718"/>
    <w:rsid w:val="51D82FF4"/>
    <w:rsid w:val="51DA018B"/>
    <w:rsid w:val="51DF4444"/>
    <w:rsid w:val="51E43809"/>
    <w:rsid w:val="51ED4953"/>
    <w:rsid w:val="52036385"/>
    <w:rsid w:val="52045C59"/>
    <w:rsid w:val="520B348B"/>
    <w:rsid w:val="520D7BE3"/>
    <w:rsid w:val="524A16BF"/>
    <w:rsid w:val="524D7600"/>
    <w:rsid w:val="528951F1"/>
    <w:rsid w:val="52A1794C"/>
    <w:rsid w:val="52CD6993"/>
    <w:rsid w:val="52E20C55"/>
    <w:rsid w:val="52E43E80"/>
    <w:rsid w:val="52EA30A1"/>
    <w:rsid w:val="52EE68A0"/>
    <w:rsid w:val="53163E96"/>
    <w:rsid w:val="533B1BB0"/>
    <w:rsid w:val="533D713F"/>
    <w:rsid w:val="537B4B51"/>
    <w:rsid w:val="53806ACF"/>
    <w:rsid w:val="538B13C1"/>
    <w:rsid w:val="53BB6A43"/>
    <w:rsid w:val="53FA5565"/>
    <w:rsid w:val="53FB308C"/>
    <w:rsid w:val="5402441A"/>
    <w:rsid w:val="54170908"/>
    <w:rsid w:val="54181E8F"/>
    <w:rsid w:val="541859EC"/>
    <w:rsid w:val="54210D44"/>
    <w:rsid w:val="543C792C"/>
    <w:rsid w:val="54413194"/>
    <w:rsid w:val="544561BC"/>
    <w:rsid w:val="54492049"/>
    <w:rsid w:val="54513ED8"/>
    <w:rsid w:val="54534C76"/>
    <w:rsid w:val="545F1A35"/>
    <w:rsid w:val="54770964"/>
    <w:rsid w:val="549E4143"/>
    <w:rsid w:val="54A26E00"/>
    <w:rsid w:val="54A84643"/>
    <w:rsid w:val="54AE00FE"/>
    <w:rsid w:val="54AF6350"/>
    <w:rsid w:val="54B02062"/>
    <w:rsid w:val="54C453D0"/>
    <w:rsid w:val="54CC3338"/>
    <w:rsid w:val="54DA3B82"/>
    <w:rsid w:val="55322ADD"/>
    <w:rsid w:val="553966FB"/>
    <w:rsid w:val="554A7E27"/>
    <w:rsid w:val="55893C04"/>
    <w:rsid w:val="55894DF3"/>
    <w:rsid w:val="55A467C8"/>
    <w:rsid w:val="55BA475A"/>
    <w:rsid w:val="55C070A6"/>
    <w:rsid w:val="55CA71B9"/>
    <w:rsid w:val="55D83684"/>
    <w:rsid w:val="55F44040"/>
    <w:rsid w:val="55F942A7"/>
    <w:rsid w:val="560721BC"/>
    <w:rsid w:val="56106711"/>
    <w:rsid w:val="562B40FC"/>
    <w:rsid w:val="562C4278"/>
    <w:rsid w:val="565901FB"/>
    <w:rsid w:val="56595647"/>
    <w:rsid w:val="5661676B"/>
    <w:rsid w:val="56703C6D"/>
    <w:rsid w:val="56876E58"/>
    <w:rsid w:val="569A4DDE"/>
    <w:rsid w:val="56A97AD3"/>
    <w:rsid w:val="56B063AF"/>
    <w:rsid w:val="56D55286"/>
    <w:rsid w:val="56EE1B8C"/>
    <w:rsid w:val="57141DD9"/>
    <w:rsid w:val="571E156B"/>
    <w:rsid w:val="572A730E"/>
    <w:rsid w:val="574559AA"/>
    <w:rsid w:val="57467F7B"/>
    <w:rsid w:val="574865E8"/>
    <w:rsid w:val="5753390A"/>
    <w:rsid w:val="576E70AF"/>
    <w:rsid w:val="57911D3D"/>
    <w:rsid w:val="5797131D"/>
    <w:rsid w:val="57B86A55"/>
    <w:rsid w:val="57BD5228"/>
    <w:rsid w:val="57C540DC"/>
    <w:rsid w:val="57CE3012"/>
    <w:rsid w:val="58037B6C"/>
    <w:rsid w:val="581110D0"/>
    <w:rsid w:val="58174A88"/>
    <w:rsid w:val="58331046"/>
    <w:rsid w:val="584B23BA"/>
    <w:rsid w:val="584E01FB"/>
    <w:rsid w:val="58525DD9"/>
    <w:rsid w:val="58580AAD"/>
    <w:rsid w:val="586271C8"/>
    <w:rsid w:val="58712B31"/>
    <w:rsid w:val="58847AF3"/>
    <w:rsid w:val="5889510A"/>
    <w:rsid w:val="589651AD"/>
    <w:rsid w:val="589C4E3D"/>
    <w:rsid w:val="58A15938"/>
    <w:rsid w:val="58A272E0"/>
    <w:rsid w:val="58C44394"/>
    <w:rsid w:val="58CF53CB"/>
    <w:rsid w:val="58D24809"/>
    <w:rsid w:val="58DF11CE"/>
    <w:rsid w:val="58E81E30"/>
    <w:rsid w:val="58EB36CF"/>
    <w:rsid w:val="58F00457"/>
    <w:rsid w:val="59155BDF"/>
    <w:rsid w:val="591D483C"/>
    <w:rsid w:val="59284166"/>
    <w:rsid w:val="5967369D"/>
    <w:rsid w:val="59723DF0"/>
    <w:rsid w:val="598C2BE0"/>
    <w:rsid w:val="59970B04"/>
    <w:rsid w:val="599B50F5"/>
    <w:rsid w:val="59A85A64"/>
    <w:rsid w:val="59EA2050"/>
    <w:rsid w:val="5A074538"/>
    <w:rsid w:val="5A2A0227"/>
    <w:rsid w:val="5A865DA5"/>
    <w:rsid w:val="5A8912C5"/>
    <w:rsid w:val="5A8B0A6A"/>
    <w:rsid w:val="5ABD0110"/>
    <w:rsid w:val="5AE5593D"/>
    <w:rsid w:val="5AE825BC"/>
    <w:rsid w:val="5AFE34FD"/>
    <w:rsid w:val="5B0E18F6"/>
    <w:rsid w:val="5B174FD8"/>
    <w:rsid w:val="5B3E6680"/>
    <w:rsid w:val="5B435A44"/>
    <w:rsid w:val="5B75322C"/>
    <w:rsid w:val="5B7F70F7"/>
    <w:rsid w:val="5B8E46C8"/>
    <w:rsid w:val="5B914A01"/>
    <w:rsid w:val="5BE23E61"/>
    <w:rsid w:val="5BE74F5E"/>
    <w:rsid w:val="5BFB54CD"/>
    <w:rsid w:val="5C1C46DE"/>
    <w:rsid w:val="5C2C297C"/>
    <w:rsid w:val="5C2C472A"/>
    <w:rsid w:val="5C2E04A2"/>
    <w:rsid w:val="5C4557EC"/>
    <w:rsid w:val="5C533A65"/>
    <w:rsid w:val="5C676FEC"/>
    <w:rsid w:val="5C7F2AAC"/>
    <w:rsid w:val="5CB0535B"/>
    <w:rsid w:val="5CB84B6A"/>
    <w:rsid w:val="5CC42BB4"/>
    <w:rsid w:val="5CC45BA9"/>
    <w:rsid w:val="5CCB429F"/>
    <w:rsid w:val="5CDF5B07"/>
    <w:rsid w:val="5D120D6B"/>
    <w:rsid w:val="5D3537DE"/>
    <w:rsid w:val="5D530C82"/>
    <w:rsid w:val="5D5F6439"/>
    <w:rsid w:val="5D61749E"/>
    <w:rsid w:val="5D665A1A"/>
    <w:rsid w:val="5D7A7717"/>
    <w:rsid w:val="5D954ADB"/>
    <w:rsid w:val="5D9F6C7A"/>
    <w:rsid w:val="5DA24685"/>
    <w:rsid w:val="5DA551E3"/>
    <w:rsid w:val="5DAA1DAA"/>
    <w:rsid w:val="5DB4023B"/>
    <w:rsid w:val="5DC015CE"/>
    <w:rsid w:val="5DC3689E"/>
    <w:rsid w:val="5DE828D3"/>
    <w:rsid w:val="5DED1C97"/>
    <w:rsid w:val="5E121BA9"/>
    <w:rsid w:val="5E1C257C"/>
    <w:rsid w:val="5E287B24"/>
    <w:rsid w:val="5E2D7FB9"/>
    <w:rsid w:val="5E2E29DB"/>
    <w:rsid w:val="5E3420C7"/>
    <w:rsid w:val="5E3873B6"/>
    <w:rsid w:val="5E526529"/>
    <w:rsid w:val="5E622685"/>
    <w:rsid w:val="5E7B1D37"/>
    <w:rsid w:val="5E826883"/>
    <w:rsid w:val="5EB15E32"/>
    <w:rsid w:val="5EBF03BD"/>
    <w:rsid w:val="5EFA0B0F"/>
    <w:rsid w:val="5F0C36C5"/>
    <w:rsid w:val="5F0D1A37"/>
    <w:rsid w:val="5F16000E"/>
    <w:rsid w:val="5F2D0E96"/>
    <w:rsid w:val="5F304531"/>
    <w:rsid w:val="5F337B7D"/>
    <w:rsid w:val="5F6366B5"/>
    <w:rsid w:val="5F6D12E1"/>
    <w:rsid w:val="5FA17A19"/>
    <w:rsid w:val="5FBC14C5"/>
    <w:rsid w:val="5FCF6910"/>
    <w:rsid w:val="5FDE21DF"/>
    <w:rsid w:val="5FE86BBA"/>
    <w:rsid w:val="5FEB0A27"/>
    <w:rsid w:val="600D03CE"/>
    <w:rsid w:val="601349DC"/>
    <w:rsid w:val="601B6F8F"/>
    <w:rsid w:val="603B57A9"/>
    <w:rsid w:val="60667AC0"/>
    <w:rsid w:val="606C1599"/>
    <w:rsid w:val="607C31BA"/>
    <w:rsid w:val="608033BA"/>
    <w:rsid w:val="608B5521"/>
    <w:rsid w:val="60943AD9"/>
    <w:rsid w:val="609B1E7E"/>
    <w:rsid w:val="60E655D4"/>
    <w:rsid w:val="60E66958"/>
    <w:rsid w:val="60E93542"/>
    <w:rsid w:val="60EE4F6D"/>
    <w:rsid w:val="60F05E4D"/>
    <w:rsid w:val="60FF15E0"/>
    <w:rsid w:val="61386F79"/>
    <w:rsid w:val="613A1697"/>
    <w:rsid w:val="614222FA"/>
    <w:rsid w:val="61544740"/>
    <w:rsid w:val="61897F44"/>
    <w:rsid w:val="61924217"/>
    <w:rsid w:val="6192502F"/>
    <w:rsid w:val="61A540B6"/>
    <w:rsid w:val="61AC5FDE"/>
    <w:rsid w:val="61BE17BE"/>
    <w:rsid w:val="61D54F1C"/>
    <w:rsid w:val="620E6D99"/>
    <w:rsid w:val="621912AD"/>
    <w:rsid w:val="622044E7"/>
    <w:rsid w:val="6230783D"/>
    <w:rsid w:val="624F4CCE"/>
    <w:rsid w:val="62562501"/>
    <w:rsid w:val="625D3903"/>
    <w:rsid w:val="626F1C56"/>
    <w:rsid w:val="629B5C1E"/>
    <w:rsid w:val="62B114E5"/>
    <w:rsid w:val="62C6274F"/>
    <w:rsid w:val="62D16876"/>
    <w:rsid w:val="62DD677E"/>
    <w:rsid w:val="62E95123"/>
    <w:rsid w:val="6300246C"/>
    <w:rsid w:val="630065ED"/>
    <w:rsid w:val="630C2BBF"/>
    <w:rsid w:val="633407C8"/>
    <w:rsid w:val="637D0255"/>
    <w:rsid w:val="638C683B"/>
    <w:rsid w:val="63AD1207"/>
    <w:rsid w:val="63B05C41"/>
    <w:rsid w:val="63CD5F48"/>
    <w:rsid w:val="63DA38A8"/>
    <w:rsid w:val="63E84A0F"/>
    <w:rsid w:val="641F71EC"/>
    <w:rsid w:val="643B2165"/>
    <w:rsid w:val="643C5726"/>
    <w:rsid w:val="645E38FA"/>
    <w:rsid w:val="646F78AA"/>
    <w:rsid w:val="6476245E"/>
    <w:rsid w:val="649410BE"/>
    <w:rsid w:val="649E2A36"/>
    <w:rsid w:val="64A70DF2"/>
    <w:rsid w:val="64B94D04"/>
    <w:rsid w:val="64EE7961"/>
    <w:rsid w:val="64F63B27"/>
    <w:rsid w:val="650C334B"/>
    <w:rsid w:val="651346D9"/>
    <w:rsid w:val="654474C8"/>
    <w:rsid w:val="654900FB"/>
    <w:rsid w:val="65566374"/>
    <w:rsid w:val="656F5FE4"/>
    <w:rsid w:val="658B31DC"/>
    <w:rsid w:val="659172E7"/>
    <w:rsid w:val="65A96DEB"/>
    <w:rsid w:val="65BB5537"/>
    <w:rsid w:val="65C20D04"/>
    <w:rsid w:val="65D07F6A"/>
    <w:rsid w:val="66041D37"/>
    <w:rsid w:val="66070FD3"/>
    <w:rsid w:val="660D0F10"/>
    <w:rsid w:val="66136C31"/>
    <w:rsid w:val="662D7193"/>
    <w:rsid w:val="665B6338"/>
    <w:rsid w:val="667967BE"/>
    <w:rsid w:val="667B0CB0"/>
    <w:rsid w:val="669058B5"/>
    <w:rsid w:val="66974E96"/>
    <w:rsid w:val="669E7FD2"/>
    <w:rsid w:val="66AE484C"/>
    <w:rsid w:val="66DB2FD4"/>
    <w:rsid w:val="670065FE"/>
    <w:rsid w:val="67097D9B"/>
    <w:rsid w:val="672B589F"/>
    <w:rsid w:val="676216E9"/>
    <w:rsid w:val="6793565D"/>
    <w:rsid w:val="67A27F96"/>
    <w:rsid w:val="67AF7FBD"/>
    <w:rsid w:val="67B13D35"/>
    <w:rsid w:val="67BB59CA"/>
    <w:rsid w:val="67C92354"/>
    <w:rsid w:val="67D5211A"/>
    <w:rsid w:val="67DD0FCE"/>
    <w:rsid w:val="67FD5DC4"/>
    <w:rsid w:val="68093B71"/>
    <w:rsid w:val="682E35D8"/>
    <w:rsid w:val="6841636E"/>
    <w:rsid w:val="68442F3F"/>
    <w:rsid w:val="684B7025"/>
    <w:rsid w:val="68686AEA"/>
    <w:rsid w:val="689F6284"/>
    <w:rsid w:val="68B423FB"/>
    <w:rsid w:val="68E24630"/>
    <w:rsid w:val="69012A9A"/>
    <w:rsid w:val="690546F9"/>
    <w:rsid w:val="69242AFE"/>
    <w:rsid w:val="6939173B"/>
    <w:rsid w:val="693B7E5B"/>
    <w:rsid w:val="694D5CE0"/>
    <w:rsid w:val="694D6594"/>
    <w:rsid w:val="69554A42"/>
    <w:rsid w:val="695F2A22"/>
    <w:rsid w:val="69732A99"/>
    <w:rsid w:val="69796AD5"/>
    <w:rsid w:val="69AE49D0"/>
    <w:rsid w:val="69BA51C9"/>
    <w:rsid w:val="69C77840"/>
    <w:rsid w:val="6A1707C7"/>
    <w:rsid w:val="6A1769E4"/>
    <w:rsid w:val="6A2A6C1F"/>
    <w:rsid w:val="6A375412"/>
    <w:rsid w:val="6A754122"/>
    <w:rsid w:val="6A9040D6"/>
    <w:rsid w:val="6AE461D0"/>
    <w:rsid w:val="6AF9602B"/>
    <w:rsid w:val="6AF96DE2"/>
    <w:rsid w:val="6B026CED"/>
    <w:rsid w:val="6B1677AA"/>
    <w:rsid w:val="6B1D005F"/>
    <w:rsid w:val="6B2469FB"/>
    <w:rsid w:val="6B263CE7"/>
    <w:rsid w:val="6B3929BF"/>
    <w:rsid w:val="6B3F4C4F"/>
    <w:rsid w:val="6B610485"/>
    <w:rsid w:val="6B696AC6"/>
    <w:rsid w:val="6B7632CC"/>
    <w:rsid w:val="6B7E6624"/>
    <w:rsid w:val="6BAD7577"/>
    <w:rsid w:val="6BB169FA"/>
    <w:rsid w:val="6BBA58AE"/>
    <w:rsid w:val="6BBF1117"/>
    <w:rsid w:val="6BCB223F"/>
    <w:rsid w:val="6BE27E29"/>
    <w:rsid w:val="6BE50451"/>
    <w:rsid w:val="6BEF79EE"/>
    <w:rsid w:val="6C000728"/>
    <w:rsid w:val="6C276CBC"/>
    <w:rsid w:val="6C3D64DF"/>
    <w:rsid w:val="6C3F5DB4"/>
    <w:rsid w:val="6C53360D"/>
    <w:rsid w:val="6C553829"/>
    <w:rsid w:val="6C663340"/>
    <w:rsid w:val="6C7F08A6"/>
    <w:rsid w:val="6C845EBC"/>
    <w:rsid w:val="6C991968"/>
    <w:rsid w:val="6CA200F0"/>
    <w:rsid w:val="6CA64CB9"/>
    <w:rsid w:val="6CA67BE1"/>
    <w:rsid w:val="6CB87914"/>
    <w:rsid w:val="6CBA368C"/>
    <w:rsid w:val="6CBD4F2A"/>
    <w:rsid w:val="6CC57BE5"/>
    <w:rsid w:val="6CCA0AEE"/>
    <w:rsid w:val="6CD97FB6"/>
    <w:rsid w:val="6D011DBA"/>
    <w:rsid w:val="6D056FFD"/>
    <w:rsid w:val="6D2673E0"/>
    <w:rsid w:val="6D415B5B"/>
    <w:rsid w:val="6D531D64"/>
    <w:rsid w:val="6D617FAC"/>
    <w:rsid w:val="6D7777CF"/>
    <w:rsid w:val="6DAA381D"/>
    <w:rsid w:val="6DC742B3"/>
    <w:rsid w:val="6DD223F1"/>
    <w:rsid w:val="6DD6789F"/>
    <w:rsid w:val="6DE85FD7"/>
    <w:rsid w:val="6E096679"/>
    <w:rsid w:val="6E1119D2"/>
    <w:rsid w:val="6E14005B"/>
    <w:rsid w:val="6E22598D"/>
    <w:rsid w:val="6E2A4841"/>
    <w:rsid w:val="6E2C05BA"/>
    <w:rsid w:val="6E435A5B"/>
    <w:rsid w:val="6E4B4EE4"/>
    <w:rsid w:val="6E511DCE"/>
    <w:rsid w:val="6E670F07"/>
    <w:rsid w:val="6E711EDB"/>
    <w:rsid w:val="6E885228"/>
    <w:rsid w:val="6E9D3265"/>
    <w:rsid w:val="6EA90670"/>
    <w:rsid w:val="6EB32A89"/>
    <w:rsid w:val="6EC407F2"/>
    <w:rsid w:val="6EE67DB6"/>
    <w:rsid w:val="6EEC608F"/>
    <w:rsid w:val="6EF56BFD"/>
    <w:rsid w:val="6F0B6421"/>
    <w:rsid w:val="6F241291"/>
    <w:rsid w:val="6F6214F1"/>
    <w:rsid w:val="6F631DB9"/>
    <w:rsid w:val="6F6B5112"/>
    <w:rsid w:val="6F854425"/>
    <w:rsid w:val="6F977CB5"/>
    <w:rsid w:val="6FA50B40"/>
    <w:rsid w:val="6FB11998"/>
    <w:rsid w:val="6FB62831"/>
    <w:rsid w:val="6FCB3E2E"/>
    <w:rsid w:val="6FED1F44"/>
    <w:rsid w:val="6FF60E7F"/>
    <w:rsid w:val="6FF6274F"/>
    <w:rsid w:val="70025A76"/>
    <w:rsid w:val="700E61C9"/>
    <w:rsid w:val="70144212"/>
    <w:rsid w:val="701E263C"/>
    <w:rsid w:val="7048237C"/>
    <w:rsid w:val="70566516"/>
    <w:rsid w:val="705F6A24"/>
    <w:rsid w:val="706F16F9"/>
    <w:rsid w:val="70713BD1"/>
    <w:rsid w:val="7077372B"/>
    <w:rsid w:val="708B5A6B"/>
    <w:rsid w:val="70A00DEB"/>
    <w:rsid w:val="70EB650A"/>
    <w:rsid w:val="70F76C5D"/>
    <w:rsid w:val="70FA1D5A"/>
    <w:rsid w:val="7112332E"/>
    <w:rsid w:val="71145A61"/>
    <w:rsid w:val="712B2DAA"/>
    <w:rsid w:val="71381CA7"/>
    <w:rsid w:val="71471039"/>
    <w:rsid w:val="71473C79"/>
    <w:rsid w:val="7147688E"/>
    <w:rsid w:val="71705CD4"/>
    <w:rsid w:val="71B0505E"/>
    <w:rsid w:val="71C54519"/>
    <w:rsid w:val="71CB2566"/>
    <w:rsid w:val="72007D93"/>
    <w:rsid w:val="720535FB"/>
    <w:rsid w:val="72086C48"/>
    <w:rsid w:val="72180B78"/>
    <w:rsid w:val="72676064"/>
    <w:rsid w:val="727F0ABA"/>
    <w:rsid w:val="72A858A4"/>
    <w:rsid w:val="72B666A4"/>
    <w:rsid w:val="72BD5C84"/>
    <w:rsid w:val="72C46090"/>
    <w:rsid w:val="72CB65F3"/>
    <w:rsid w:val="72D056C9"/>
    <w:rsid w:val="72DF3E4C"/>
    <w:rsid w:val="72E66F89"/>
    <w:rsid w:val="72ED3446"/>
    <w:rsid w:val="72F02FB8"/>
    <w:rsid w:val="73016CE4"/>
    <w:rsid w:val="73061D27"/>
    <w:rsid w:val="73165394"/>
    <w:rsid w:val="73225FFC"/>
    <w:rsid w:val="732E26DE"/>
    <w:rsid w:val="734977A3"/>
    <w:rsid w:val="737669E5"/>
    <w:rsid w:val="73852C46"/>
    <w:rsid w:val="739727F9"/>
    <w:rsid w:val="739A5FC5"/>
    <w:rsid w:val="739E24A4"/>
    <w:rsid w:val="73C854B8"/>
    <w:rsid w:val="73CC25A5"/>
    <w:rsid w:val="73D74B24"/>
    <w:rsid w:val="73DB3A20"/>
    <w:rsid w:val="73FD2F24"/>
    <w:rsid w:val="73FD6AC3"/>
    <w:rsid w:val="74100036"/>
    <w:rsid w:val="742F621F"/>
    <w:rsid w:val="7440441F"/>
    <w:rsid w:val="74466AEE"/>
    <w:rsid w:val="746028E0"/>
    <w:rsid w:val="7467234B"/>
    <w:rsid w:val="746D7236"/>
    <w:rsid w:val="74883CC4"/>
    <w:rsid w:val="748F32C8"/>
    <w:rsid w:val="74A82EA8"/>
    <w:rsid w:val="74A87AD3"/>
    <w:rsid w:val="74B66E2F"/>
    <w:rsid w:val="74C72DEA"/>
    <w:rsid w:val="74CC21AE"/>
    <w:rsid w:val="74D07EF1"/>
    <w:rsid w:val="74D36DD2"/>
    <w:rsid w:val="74E47DAA"/>
    <w:rsid w:val="74E7348C"/>
    <w:rsid w:val="74EB6AD9"/>
    <w:rsid w:val="75051D1C"/>
    <w:rsid w:val="751C3136"/>
    <w:rsid w:val="75322959"/>
    <w:rsid w:val="75480753"/>
    <w:rsid w:val="75647827"/>
    <w:rsid w:val="756C467A"/>
    <w:rsid w:val="757A4300"/>
    <w:rsid w:val="7581749B"/>
    <w:rsid w:val="758807CB"/>
    <w:rsid w:val="75956A44"/>
    <w:rsid w:val="75A35605"/>
    <w:rsid w:val="75A77AD9"/>
    <w:rsid w:val="75A82C1C"/>
    <w:rsid w:val="760A445A"/>
    <w:rsid w:val="760C0463"/>
    <w:rsid w:val="76120095"/>
    <w:rsid w:val="76204D8E"/>
    <w:rsid w:val="76397D18"/>
    <w:rsid w:val="764C43BE"/>
    <w:rsid w:val="765406AD"/>
    <w:rsid w:val="76650C10"/>
    <w:rsid w:val="76654669"/>
    <w:rsid w:val="766C59F7"/>
    <w:rsid w:val="767F0F22"/>
    <w:rsid w:val="768B0E67"/>
    <w:rsid w:val="76A809F9"/>
    <w:rsid w:val="76CC293A"/>
    <w:rsid w:val="770420D4"/>
    <w:rsid w:val="771352A9"/>
    <w:rsid w:val="771F28FF"/>
    <w:rsid w:val="77295AC0"/>
    <w:rsid w:val="772C4DFE"/>
    <w:rsid w:val="772E7150"/>
    <w:rsid w:val="773A78A3"/>
    <w:rsid w:val="77470212"/>
    <w:rsid w:val="7760409C"/>
    <w:rsid w:val="7765512B"/>
    <w:rsid w:val="776A6102"/>
    <w:rsid w:val="77707769"/>
    <w:rsid w:val="77784870"/>
    <w:rsid w:val="778925D9"/>
    <w:rsid w:val="77B917D3"/>
    <w:rsid w:val="77C50ABE"/>
    <w:rsid w:val="77C52D42"/>
    <w:rsid w:val="77DE2925"/>
    <w:rsid w:val="77E53041"/>
    <w:rsid w:val="77EC4733"/>
    <w:rsid w:val="77F263D0"/>
    <w:rsid w:val="780A17D0"/>
    <w:rsid w:val="783C764B"/>
    <w:rsid w:val="784011AE"/>
    <w:rsid w:val="78553A83"/>
    <w:rsid w:val="786372CE"/>
    <w:rsid w:val="786A68F2"/>
    <w:rsid w:val="78746DE5"/>
    <w:rsid w:val="78843C75"/>
    <w:rsid w:val="78880AE2"/>
    <w:rsid w:val="78A51694"/>
    <w:rsid w:val="78C2428E"/>
    <w:rsid w:val="78D93B65"/>
    <w:rsid w:val="78EE24F1"/>
    <w:rsid w:val="7948418D"/>
    <w:rsid w:val="795A0263"/>
    <w:rsid w:val="79884CBA"/>
    <w:rsid w:val="798D3C7E"/>
    <w:rsid w:val="798E4C9F"/>
    <w:rsid w:val="79B41C03"/>
    <w:rsid w:val="79DB3703"/>
    <w:rsid w:val="7A0E0F0C"/>
    <w:rsid w:val="7A124B07"/>
    <w:rsid w:val="7A1F0087"/>
    <w:rsid w:val="7A2A00A3"/>
    <w:rsid w:val="7A61783D"/>
    <w:rsid w:val="7A672691"/>
    <w:rsid w:val="7A70636E"/>
    <w:rsid w:val="7A786E84"/>
    <w:rsid w:val="7A84644A"/>
    <w:rsid w:val="7A9E45ED"/>
    <w:rsid w:val="7AA716F4"/>
    <w:rsid w:val="7AC8166A"/>
    <w:rsid w:val="7AD973D3"/>
    <w:rsid w:val="7AE30252"/>
    <w:rsid w:val="7B14578D"/>
    <w:rsid w:val="7B3A7E20"/>
    <w:rsid w:val="7B4C19D4"/>
    <w:rsid w:val="7B6B229D"/>
    <w:rsid w:val="7B7C2BC7"/>
    <w:rsid w:val="7B8B2650"/>
    <w:rsid w:val="7BB35E76"/>
    <w:rsid w:val="7BC10593"/>
    <w:rsid w:val="7BCF61F6"/>
    <w:rsid w:val="7BEB3862"/>
    <w:rsid w:val="7BF007D9"/>
    <w:rsid w:val="7C0641F8"/>
    <w:rsid w:val="7C266648"/>
    <w:rsid w:val="7C2811C5"/>
    <w:rsid w:val="7C3F479B"/>
    <w:rsid w:val="7C46099E"/>
    <w:rsid w:val="7C4D75FB"/>
    <w:rsid w:val="7C4E24BC"/>
    <w:rsid w:val="7CB00608"/>
    <w:rsid w:val="7CEE2B0C"/>
    <w:rsid w:val="7D0F732D"/>
    <w:rsid w:val="7D1B0177"/>
    <w:rsid w:val="7D276AC4"/>
    <w:rsid w:val="7D3B25C7"/>
    <w:rsid w:val="7D6308BF"/>
    <w:rsid w:val="7D7A4E9D"/>
    <w:rsid w:val="7D8C2E23"/>
    <w:rsid w:val="7DAD003D"/>
    <w:rsid w:val="7DBB1012"/>
    <w:rsid w:val="7DCE12A3"/>
    <w:rsid w:val="7DD236A1"/>
    <w:rsid w:val="7DDD27E6"/>
    <w:rsid w:val="7DE84048"/>
    <w:rsid w:val="7DE95B7F"/>
    <w:rsid w:val="7DF05160"/>
    <w:rsid w:val="7DFC60AD"/>
    <w:rsid w:val="7E062BD5"/>
    <w:rsid w:val="7E0D3F64"/>
    <w:rsid w:val="7E2C464B"/>
    <w:rsid w:val="7E437985"/>
    <w:rsid w:val="7E5A5F62"/>
    <w:rsid w:val="7E6163C9"/>
    <w:rsid w:val="7E675269"/>
    <w:rsid w:val="7E7933A7"/>
    <w:rsid w:val="7EAF0B77"/>
    <w:rsid w:val="7EB42631"/>
    <w:rsid w:val="7EBE7F49"/>
    <w:rsid w:val="7ED14F91"/>
    <w:rsid w:val="7ED27099"/>
    <w:rsid w:val="7EEF18BB"/>
    <w:rsid w:val="7F10538E"/>
    <w:rsid w:val="7F340FE7"/>
    <w:rsid w:val="7F380056"/>
    <w:rsid w:val="7F4345CF"/>
    <w:rsid w:val="7F78365F"/>
    <w:rsid w:val="7F8578A0"/>
    <w:rsid w:val="7FAE720E"/>
    <w:rsid w:val="7FB327FC"/>
    <w:rsid w:val="7FB64187"/>
    <w:rsid w:val="7FC11AEE"/>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name="heading 6"/>
    <w:lsdException w:qFormat="1" w:uiPriority="0" w:name="heading 7"/>
    <w:lsdException w:qFormat="1" w:uiPriority="0" w:name="heading 8"/>
    <w:lsdException w:qFormat="1" w:unhideWhenUsed="0" w:uiPriority="0"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nhideWhenUsed="0" w:uiPriority="0" w:name="toc 1"/>
    <w:lsdException w:qFormat="1" w:unhideWhenUsed="0" w:uiPriority="0" w:semiHidden="0" w:name="toc 2"/>
    <w:lsdException w:qFormat="1" w:unhideWhenUsed="0" w:uiPriority="0" w:semiHidden="0" w:name="toc 3"/>
    <w:lsdException w:uiPriority="0" w:name="toc 4"/>
    <w:lsdException w:uiPriority="0" w:name="toc 5"/>
    <w:lsdException w:qFormat="1" w:unhideWhenUsed="0" w:uiPriority="0" w:semiHidden="0" w:name="toc 6"/>
    <w:lsdException w:uiPriority="0" w:name="toc 7"/>
    <w:lsdException w:uiPriority="0" w:name="toc 8"/>
    <w:lsdException w:qFormat="1" w:unhideWhenUsed="0" w:uiPriority="0" w:semiHidden="0" w:name="toc 9"/>
    <w:lsdException w:qFormat="1" w:unhideWhenUsed="0" w:uiPriority="0" w:semiHidden="0" w:name="Normal Indent"/>
    <w:lsdException w:qFormat="1" w:uiPriority="99"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iPriority="0" w:name="index heading"/>
    <w:lsdException w:qFormat="1" w:unhideWhenUsed="0" w:uiPriority="0" w:semiHidden="0" w:name="caption"/>
    <w:lsdException w:uiPriority="0" w:name="table of figures"/>
    <w:lsdException w:uiPriority="0" w:name="envelope address"/>
    <w:lsdException w:uiPriority="0" w:name="envelope return"/>
    <w:lsdException w:qFormat="1" w:uiPriority="99" w:semiHidden="0" w:name="footnote reference"/>
    <w:lsdException w:qFormat="1" w:unhideWhenUsed="0" w:uiPriority="0" w:semiHidden="0" w:name="annotation reference"/>
    <w:lsdException w:uiPriority="0" w:name="line number"/>
    <w:lsdException w:qFormat="1" w:unhideWhenUsed="0" w:uiPriority="0" w:semiHidden="0" w:name="page number"/>
    <w:lsdException w:uiPriority="0" w:name="endnote reference"/>
    <w:lsdException w:uiPriority="0" w:name="endnote text"/>
    <w:lsdException w:unhideWhenUsed="0" w:uiPriority="0" w:semiHidden="0" w:name="table of authorities"/>
    <w:lsdException w:uiPriority="0" w:name="macro"/>
    <w:lsdException w:uiPriority="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iPriority="0" w:name="List 3"/>
    <w:lsdException w:qFormat="1" w:unhideWhenUsed="0" w:uiPriority="0" w:semiHidden="0" w:name="List 4"/>
    <w:lsdException w:qFormat="1"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qFormat="1" w:unhideWhenUsed="0" w:uiPriority="0" w:semiHidden="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uiPriority="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iPriority="99"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styleId="2">
    <w:name w:val="heading 1"/>
    <w:basedOn w:val="1"/>
    <w:next w:val="1"/>
    <w:link w:val="57"/>
    <w:autoRedefine/>
    <w:qFormat/>
    <w:uiPriority w:val="0"/>
    <w:pPr>
      <w:keepNext/>
      <w:jc w:val="center"/>
      <w:outlineLvl w:val="0"/>
    </w:pPr>
    <w:rPr>
      <w:rFonts w:hint="default"/>
      <w:b/>
      <w:bCs/>
      <w:sz w:val="24"/>
      <w:szCs w:val="24"/>
    </w:rPr>
  </w:style>
  <w:style w:type="paragraph" w:styleId="3">
    <w:name w:val="heading 2"/>
    <w:basedOn w:val="1"/>
    <w:next w:val="1"/>
    <w:link w:val="58"/>
    <w:autoRedefine/>
    <w:qFormat/>
    <w:uiPriority w:val="0"/>
    <w:pPr>
      <w:keepNext/>
      <w:keepLines/>
      <w:spacing w:before="260" w:after="260" w:line="416" w:lineRule="auto"/>
      <w:outlineLvl w:val="1"/>
    </w:pPr>
    <w:rPr>
      <w:rFonts w:hint="default" w:ascii="Arial" w:hAnsi="Arial" w:eastAsia="黑体"/>
      <w:b/>
      <w:bCs/>
      <w:sz w:val="32"/>
      <w:szCs w:val="32"/>
    </w:rPr>
  </w:style>
  <w:style w:type="paragraph" w:styleId="4">
    <w:name w:val="heading 3"/>
    <w:basedOn w:val="1"/>
    <w:next w:val="1"/>
    <w:link w:val="59"/>
    <w:autoRedefine/>
    <w:qFormat/>
    <w:uiPriority w:val="0"/>
    <w:pPr>
      <w:keepNext/>
      <w:keepLines/>
      <w:spacing w:before="260" w:after="260" w:line="416" w:lineRule="auto"/>
      <w:outlineLvl w:val="2"/>
    </w:pPr>
    <w:rPr>
      <w:rFonts w:hint="default"/>
      <w:b/>
      <w:bCs/>
      <w:sz w:val="32"/>
      <w:szCs w:val="32"/>
    </w:rPr>
  </w:style>
  <w:style w:type="paragraph" w:styleId="5">
    <w:name w:val="heading 4"/>
    <w:basedOn w:val="1"/>
    <w:next w:val="6"/>
    <w:autoRedefine/>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60"/>
    <w:autoRedefine/>
    <w:qFormat/>
    <w:uiPriority w:val="0"/>
    <w:pPr>
      <w:keepNext/>
      <w:keepLines/>
      <w:spacing w:before="280" w:after="290" w:line="376" w:lineRule="auto"/>
      <w:outlineLvl w:val="4"/>
    </w:pPr>
    <w:rPr>
      <w:rFonts w:hint="default"/>
      <w:b/>
      <w:bCs/>
      <w:sz w:val="28"/>
      <w:szCs w:val="28"/>
    </w:rPr>
  </w:style>
  <w:style w:type="paragraph" w:styleId="8">
    <w:name w:val="heading 9"/>
    <w:basedOn w:val="1"/>
    <w:next w:val="1"/>
    <w:autoRedefine/>
    <w:qFormat/>
    <w:uiPriority w:val="0"/>
    <w:pPr>
      <w:keepNext/>
      <w:keepLines/>
      <w:spacing w:before="240" w:after="64" w:line="317" w:lineRule="auto"/>
      <w:outlineLvl w:val="8"/>
    </w:pPr>
    <w:rPr>
      <w:rFonts w:ascii="Arial" w:hAnsi="Arial" w:eastAsia="黑体"/>
      <w:szCs w:val="22"/>
    </w:rPr>
  </w:style>
  <w:style w:type="character" w:default="1" w:styleId="43">
    <w:name w:val="Default Paragraph Font"/>
    <w:semiHidden/>
    <w:unhideWhenUsed/>
    <w:qFormat/>
    <w:uiPriority w:val="1"/>
  </w:style>
  <w:style w:type="table" w:default="1" w:styleId="41">
    <w:name w:val="Normal Table"/>
    <w:semiHidden/>
    <w:unhideWhenUsed/>
    <w:qFormat/>
    <w:uiPriority w:val="99"/>
    <w:tblPr>
      <w:tblCellMar>
        <w:top w:w="0" w:type="dxa"/>
        <w:left w:w="108" w:type="dxa"/>
        <w:bottom w:w="0" w:type="dxa"/>
        <w:right w:w="108" w:type="dxa"/>
      </w:tblCellMar>
    </w:tblPr>
  </w:style>
  <w:style w:type="paragraph" w:styleId="6">
    <w:name w:val="Plain Text"/>
    <w:basedOn w:val="1"/>
    <w:next w:val="1"/>
    <w:link w:val="62"/>
    <w:autoRedefine/>
    <w:qFormat/>
    <w:uiPriority w:val="0"/>
    <w:pPr>
      <w:spacing w:beforeLines="50" w:afterLines="50" w:line="400" w:lineRule="exact"/>
    </w:pPr>
    <w:rPr>
      <w:rFonts w:hint="default" w:ascii="宋体" w:hAnsi="Courier New"/>
      <w:sz w:val="24"/>
      <w:szCs w:val="24"/>
    </w:rPr>
  </w:style>
  <w:style w:type="paragraph" w:styleId="9">
    <w:name w:val="List Number"/>
    <w:basedOn w:val="1"/>
    <w:autoRedefine/>
    <w:qFormat/>
    <w:uiPriority w:val="0"/>
    <w:pPr>
      <w:widowControl/>
      <w:numPr>
        <w:ilvl w:val="0"/>
        <w:numId w:val="1"/>
      </w:numPr>
      <w:tabs>
        <w:tab w:val="left" w:pos="454"/>
        <w:tab w:val="left" w:pos="720"/>
        <w:tab w:val="clear" w:pos="900"/>
      </w:tabs>
      <w:spacing w:afterLines="50"/>
      <w:ind w:left="454" w:hanging="284"/>
      <w:jc w:val="left"/>
    </w:pPr>
    <w:rPr>
      <w:kern w:val="0"/>
      <w:sz w:val="24"/>
    </w:rPr>
  </w:style>
  <w:style w:type="paragraph" w:styleId="10">
    <w:name w:val="Normal Indent"/>
    <w:basedOn w:val="1"/>
    <w:next w:val="1"/>
    <w:link w:val="61"/>
    <w:autoRedefine/>
    <w:qFormat/>
    <w:uiPriority w:val="0"/>
    <w:pPr>
      <w:ind w:firstLine="420"/>
    </w:pPr>
    <w:rPr>
      <w:rFonts w:hint="default"/>
    </w:rPr>
  </w:style>
  <w:style w:type="paragraph" w:styleId="11">
    <w:name w:val="caption"/>
    <w:basedOn w:val="1"/>
    <w:next w:val="1"/>
    <w:autoRedefine/>
    <w:qFormat/>
    <w:uiPriority w:val="0"/>
    <w:pPr>
      <w:spacing w:before="152" w:after="160"/>
    </w:pPr>
    <w:rPr>
      <w:rFonts w:ascii="Arial" w:hAnsi="Arial" w:eastAsia="黑体" w:cs="Arial"/>
      <w:sz w:val="20"/>
    </w:rPr>
  </w:style>
  <w:style w:type="paragraph" w:styleId="12">
    <w:name w:val="annotation text"/>
    <w:basedOn w:val="1"/>
    <w:next w:val="13"/>
    <w:autoRedefine/>
    <w:semiHidden/>
    <w:qFormat/>
    <w:uiPriority w:val="0"/>
    <w:pPr>
      <w:jc w:val="left"/>
    </w:pPr>
  </w:style>
  <w:style w:type="paragraph" w:styleId="13">
    <w:name w:val="toc 9"/>
    <w:next w:val="1"/>
    <w:autoRedefine/>
    <w:qFormat/>
    <w:uiPriority w:val="0"/>
    <w:pPr>
      <w:wordWrap w:val="0"/>
      <w:ind w:left="2975"/>
      <w:jc w:val="both"/>
    </w:pPr>
    <w:rPr>
      <w:rFonts w:ascii="Calibri" w:hAnsi="Calibri" w:eastAsia="宋体" w:cs="Times New Roman"/>
      <w:sz w:val="21"/>
      <w:lang w:val="en-US" w:eastAsia="zh-CN" w:bidi="ar-SA"/>
    </w:rPr>
  </w:style>
  <w:style w:type="paragraph" w:styleId="14">
    <w:name w:val="Body Text 3"/>
    <w:basedOn w:val="1"/>
    <w:autoRedefine/>
    <w:qFormat/>
    <w:uiPriority w:val="0"/>
    <w:pPr>
      <w:snapToGrid w:val="0"/>
      <w:spacing w:before="50" w:after="50"/>
    </w:pPr>
    <w:rPr>
      <w:rFonts w:hAnsi="宋体" w:eastAsia="仿宋_GB2312"/>
      <w:b/>
      <w:bCs/>
      <w:sz w:val="24"/>
    </w:rPr>
  </w:style>
  <w:style w:type="paragraph" w:styleId="15">
    <w:name w:val="Body Text"/>
    <w:basedOn w:val="1"/>
    <w:next w:val="1"/>
    <w:link w:val="56"/>
    <w:autoRedefine/>
    <w:qFormat/>
    <w:uiPriority w:val="0"/>
    <w:pPr>
      <w:spacing w:after="120"/>
    </w:pPr>
    <w:rPr>
      <w:rFonts w:hint="default"/>
      <w:sz w:val="28"/>
      <w:szCs w:val="24"/>
    </w:rPr>
  </w:style>
  <w:style w:type="paragraph" w:styleId="16">
    <w:name w:val="Body Text Indent"/>
    <w:basedOn w:val="1"/>
    <w:autoRedefine/>
    <w:qFormat/>
    <w:uiPriority w:val="0"/>
    <w:pPr>
      <w:spacing w:line="200" w:lineRule="exact"/>
      <w:ind w:firstLine="301"/>
    </w:pPr>
    <w:rPr>
      <w:rFonts w:ascii="宋体" w:hAnsi="Courier New"/>
      <w:spacing w:val="-4"/>
      <w:sz w:val="18"/>
    </w:rPr>
  </w:style>
  <w:style w:type="paragraph" w:styleId="17">
    <w:name w:val="List Number 3"/>
    <w:basedOn w:val="1"/>
    <w:autoRedefine/>
    <w:qFormat/>
    <w:uiPriority w:val="0"/>
    <w:pPr>
      <w:numPr>
        <w:ilvl w:val="0"/>
        <w:numId w:val="2"/>
      </w:numPr>
    </w:pPr>
  </w:style>
  <w:style w:type="paragraph" w:styleId="18">
    <w:name w:val="List 2"/>
    <w:basedOn w:val="1"/>
    <w:autoRedefine/>
    <w:qFormat/>
    <w:uiPriority w:val="0"/>
    <w:pPr>
      <w:ind w:left="100" w:leftChars="200" w:hanging="200" w:hangingChars="200"/>
    </w:pPr>
    <w:rPr>
      <w:sz w:val="28"/>
    </w:rPr>
  </w:style>
  <w:style w:type="paragraph" w:styleId="19">
    <w:name w:val="Block Text"/>
    <w:basedOn w:val="1"/>
    <w:autoRedefine/>
    <w:unhideWhenUsed/>
    <w:qFormat/>
    <w:uiPriority w:val="99"/>
    <w:pPr>
      <w:spacing w:after="120"/>
      <w:ind w:left="1440" w:leftChars="700" w:right="1440" w:rightChars="700"/>
    </w:pPr>
  </w:style>
  <w:style w:type="paragraph" w:styleId="20">
    <w:name w:val="toc 3"/>
    <w:basedOn w:val="1"/>
    <w:next w:val="1"/>
    <w:autoRedefine/>
    <w:qFormat/>
    <w:uiPriority w:val="0"/>
    <w:pPr>
      <w:ind w:left="840" w:leftChars="400"/>
    </w:pPr>
    <w:rPr>
      <w:rFonts w:ascii="Calibri" w:hAnsi="Calibri"/>
      <w:szCs w:val="22"/>
    </w:rPr>
  </w:style>
  <w:style w:type="paragraph" w:styleId="21">
    <w:name w:val="Date"/>
    <w:basedOn w:val="1"/>
    <w:next w:val="1"/>
    <w:autoRedefine/>
    <w:qFormat/>
    <w:uiPriority w:val="0"/>
    <w:pPr>
      <w:ind w:left="2500" w:leftChars="2500"/>
    </w:pPr>
    <w:rPr>
      <w:rFonts w:eastAsia="楷体_GB2312"/>
      <w:sz w:val="32"/>
    </w:rPr>
  </w:style>
  <w:style w:type="paragraph" w:styleId="22">
    <w:name w:val="Body Text Indent 2"/>
    <w:basedOn w:val="1"/>
    <w:autoRedefine/>
    <w:qFormat/>
    <w:uiPriority w:val="0"/>
    <w:pPr>
      <w:snapToGrid w:val="0"/>
      <w:ind w:firstLine="542" w:firstLineChars="225"/>
    </w:pPr>
    <w:rPr>
      <w:rFonts w:ascii="仿宋_GB2312" w:hAnsi="宋体" w:cs="Arial"/>
      <w:b/>
      <w:bCs/>
      <w:color w:val="000000"/>
      <w:sz w:val="24"/>
    </w:rPr>
  </w:style>
  <w:style w:type="paragraph" w:styleId="23">
    <w:name w:val="Balloon Text"/>
    <w:basedOn w:val="1"/>
    <w:autoRedefine/>
    <w:semiHidden/>
    <w:qFormat/>
    <w:uiPriority w:val="0"/>
    <w:rPr>
      <w:sz w:val="18"/>
      <w:szCs w:val="18"/>
    </w:rPr>
  </w:style>
  <w:style w:type="paragraph" w:styleId="24">
    <w:name w:val="footer"/>
    <w:basedOn w:val="1"/>
    <w:link w:val="63"/>
    <w:autoRedefine/>
    <w:qFormat/>
    <w:uiPriority w:val="0"/>
    <w:pPr>
      <w:tabs>
        <w:tab w:val="center" w:pos="4153"/>
        <w:tab w:val="right" w:pos="8306"/>
      </w:tabs>
      <w:snapToGrid w:val="0"/>
      <w:jc w:val="left"/>
    </w:pPr>
    <w:rPr>
      <w:rFonts w:hint="default" w:eastAsia="黑体"/>
      <w:snapToGrid w:val="0"/>
      <w:kern w:val="0"/>
      <w:sz w:val="18"/>
      <w:szCs w:val="18"/>
    </w:rPr>
  </w:style>
  <w:style w:type="paragraph" w:styleId="25">
    <w:name w:val="header"/>
    <w:basedOn w:val="1"/>
    <w:link w:val="64"/>
    <w:autoRedefine/>
    <w:qFormat/>
    <w:uiPriority w:val="0"/>
    <w:pPr>
      <w:pBdr>
        <w:bottom w:val="single" w:color="auto" w:sz="6" w:space="1"/>
      </w:pBdr>
      <w:tabs>
        <w:tab w:val="center" w:pos="4153"/>
        <w:tab w:val="right" w:pos="8306"/>
      </w:tabs>
      <w:snapToGrid w:val="0"/>
      <w:jc w:val="center"/>
    </w:pPr>
    <w:rPr>
      <w:rFonts w:hint="default" w:eastAsia="仿宋_GB2312"/>
      <w:sz w:val="18"/>
    </w:rPr>
  </w:style>
  <w:style w:type="paragraph" w:styleId="26">
    <w:name w:val="toc 1"/>
    <w:basedOn w:val="1"/>
    <w:next w:val="1"/>
    <w:autoRedefine/>
    <w:semiHidden/>
    <w:qFormat/>
    <w:uiPriority w:val="0"/>
  </w:style>
  <w:style w:type="paragraph" w:styleId="27">
    <w:name w:val="List"/>
    <w:basedOn w:val="1"/>
    <w:autoRedefine/>
    <w:qFormat/>
    <w:uiPriority w:val="0"/>
    <w:pPr>
      <w:ind w:left="200" w:hanging="200" w:hangingChars="200"/>
    </w:pPr>
    <w:rPr>
      <w:sz w:val="28"/>
    </w:rPr>
  </w:style>
  <w:style w:type="paragraph" w:styleId="28">
    <w:name w:val="footnote text"/>
    <w:basedOn w:val="1"/>
    <w:autoRedefine/>
    <w:unhideWhenUsed/>
    <w:qFormat/>
    <w:uiPriority w:val="99"/>
    <w:pPr>
      <w:snapToGrid w:val="0"/>
      <w:jc w:val="left"/>
    </w:pPr>
    <w:rPr>
      <w:sz w:val="18"/>
    </w:rPr>
  </w:style>
  <w:style w:type="paragraph" w:styleId="29">
    <w:name w:val="toc 6"/>
    <w:basedOn w:val="1"/>
    <w:next w:val="1"/>
    <w:autoRedefine/>
    <w:qFormat/>
    <w:uiPriority w:val="0"/>
    <w:pPr>
      <w:ind w:left="1050"/>
      <w:jc w:val="left"/>
    </w:pPr>
    <w:rPr>
      <w:rFonts w:ascii="仿宋_GB2312" w:eastAsia="仿宋_GB2312"/>
      <w:sz w:val="18"/>
      <w:szCs w:val="18"/>
    </w:rPr>
  </w:style>
  <w:style w:type="paragraph" w:styleId="30">
    <w:name w:val="List 5"/>
    <w:basedOn w:val="1"/>
    <w:autoRedefine/>
    <w:qFormat/>
    <w:uiPriority w:val="0"/>
    <w:pPr>
      <w:ind w:left="2100" w:hanging="420"/>
    </w:pPr>
    <w:rPr>
      <w:rFonts w:ascii="Calibri" w:hAnsi="Calibri" w:eastAsia="楷体_GB2312"/>
      <w:sz w:val="32"/>
      <w:szCs w:val="22"/>
    </w:rPr>
  </w:style>
  <w:style w:type="paragraph" w:styleId="31">
    <w:name w:val="Body Text Indent 3"/>
    <w:basedOn w:val="1"/>
    <w:autoRedefine/>
    <w:qFormat/>
    <w:uiPriority w:val="0"/>
    <w:pPr>
      <w:snapToGrid w:val="0"/>
      <w:ind w:firstLine="480" w:firstLineChars="200"/>
      <w:jc w:val="left"/>
    </w:pPr>
    <w:rPr>
      <w:rFonts w:ascii="仿宋_GB2312" w:hAnsi="宋体" w:eastAsia="仿宋_GB2312"/>
      <w:color w:val="000000"/>
      <w:sz w:val="24"/>
    </w:rPr>
  </w:style>
  <w:style w:type="paragraph" w:styleId="32">
    <w:name w:val="toc 2"/>
    <w:basedOn w:val="1"/>
    <w:next w:val="1"/>
    <w:autoRedefine/>
    <w:qFormat/>
    <w:uiPriority w:val="0"/>
    <w:pPr>
      <w:ind w:left="420" w:leftChars="200"/>
    </w:pPr>
    <w:rPr>
      <w:rFonts w:ascii="Calibri" w:hAnsi="Calibri"/>
      <w:szCs w:val="22"/>
    </w:rPr>
  </w:style>
  <w:style w:type="paragraph" w:styleId="33">
    <w:name w:val="Body Text 2"/>
    <w:basedOn w:val="1"/>
    <w:autoRedefine/>
    <w:qFormat/>
    <w:uiPriority w:val="0"/>
    <w:pPr>
      <w:widowControl/>
      <w:snapToGrid w:val="0"/>
      <w:spacing w:before="50" w:afterLines="50" w:line="400" w:lineRule="exact"/>
      <w:jc w:val="left"/>
    </w:pPr>
    <w:rPr>
      <w:rFonts w:ascii="宋体" w:hAnsi="宋体"/>
      <w:color w:val="000000"/>
      <w:sz w:val="24"/>
    </w:rPr>
  </w:style>
  <w:style w:type="paragraph" w:styleId="34">
    <w:name w:val="List 4"/>
    <w:basedOn w:val="1"/>
    <w:autoRedefine/>
    <w:qFormat/>
    <w:uiPriority w:val="0"/>
    <w:pPr>
      <w:ind w:left="1680" w:hanging="420"/>
    </w:pPr>
    <w:rPr>
      <w:rFonts w:ascii="Calibri" w:hAnsi="Calibri" w:eastAsia="楷体_GB2312"/>
      <w:sz w:val="32"/>
      <w:szCs w:val="22"/>
    </w:rPr>
  </w:style>
  <w:style w:type="paragraph" w:styleId="35">
    <w:name w:val="HTML Preformatted"/>
    <w:basedOn w:val="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36">
    <w:name w:val="Normal (Web)"/>
    <w:basedOn w:val="1"/>
    <w:autoRedefine/>
    <w:qFormat/>
    <w:uiPriority w:val="0"/>
    <w:pPr>
      <w:widowControl/>
      <w:spacing w:before="100" w:beforeAutospacing="1" w:after="100" w:afterAutospacing="1"/>
      <w:jc w:val="left"/>
    </w:pPr>
    <w:rPr>
      <w:rFonts w:ascii="宋体" w:hAnsi="宋体"/>
      <w:color w:val="000000"/>
      <w:kern w:val="0"/>
      <w:sz w:val="24"/>
    </w:rPr>
  </w:style>
  <w:style w:type="paragraph" w:styleId="37">
    <w:name w:val="Title"/>
    <w:basedOn w:val="1"/>
    <w:next w:val="1"/>
    <w:autoRedefine/>
    <w:qFormat/>
    <w:uiPriority w:val="0"/>
    <w:pPr>
      <w:spacing w:line="520" w:lineRule="exact"/>
      <w:jc w:val="center"/>
      <w:outlineLvl w:val="3"/>
    </w:pPr>
    <w:rPr>
      <w:rFonts w:ascii="Cambria" w:hAnsi="Cambria"/>
      <w:b/>
      <w:bCs/>
      <w:sz w:val="28"/>
      <w:szCs w:val="32"/>
    </w:rPr>
  </w:style>
  <w:style w:type="paragraph" w:styleId="38">
    <w:name w:val="annotation subject"/>
    <w:basedOn w:val="12"/>
    <w:next w:val="12"/>
    <w:autoRedefine/>
    <w:qFormat/>
    <w:uiPriority w:val="0"/>
    <w:rPr>
      <w:b/>
      <w:bCs/>
    </w:rPr>
  </w:style>
  <w:style w:type="paragraph" w:styleId="39">
    <w:name w:val="Body Text First Indent"/>
    <w:basedOn w:val="15"/>
    <w:next w:val="29"/>
    <w:autoRedefine/>
    <w:qFormat/>
    <w:uiPriority w:val="0"/>
    <w:pPr>
      <w:autoSpaceDE w:val="0"/>
      <w:autoSpaceDN w:val="0"/>
      <w:adjustRightInd w:val="0"/>
      <w:spacing w:line="360" w:lineRule="auto"/>
      <w:ind w:firstLine="420"/>
    </w:pPr>
    <w:rPr>
      <w:rFonts w:ascii="宋体" w:hAnsi="Calibri"/>
      <w:lang w:val="zh-CN"/>
    </w:rPr>
  </w:style>
  <w:style w:type="paragraph" w:styleId="40">
    <w:name w:val="Body Text First Indent 2"/>
    <w:basedOn w:val="16"/>
    <w:next w:val="1"/>
    <w:autoRedefine/>
    <w:qFormat/>
    <w:uiPriority w:val="0"/>
    <w:pPr>
      <w:spacing w:after="120" w:line="240" w:lineRule="auto"/>
      <w:ind w:left="420" w:leftChars="200" w:firstLine="420" w:firstLineChars="200"/>
    </w:pPr>
    <w:rPr>
      <w:rFonts w:ascii="Times New Roman" w:hAnsi="Times New Roman"/>
      <w:spacing w:val="0"/>
      <w:sz w:val="21"/>
      <w:szCs w:val="24"/>
    </w:rPr>
  </w:style>
  <w:style w:type="table" w:styleId="42">
    <w:name w:val="Table Grid"/>
    <w:basedOn w:val="4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44">
    <w:name w:val="Strong"/>
    <w:autoRedefine/>
    <w:qFormat/>
    <w:uiPriority w:val="0"/>
    <w:rPr>
      <w:rFonts w:eastAsia="宋体"/>
      <w:b/>
      <w:bCs/>
      <w:kern w:val="2"/>
      <w:sz w:val="24"/>
      <w:szCs w:val="24"/>
      <w:lang w:val="en-US" w:eastAsia="zh-CN" w:bidi="ar-SA"/>
    </w:rPr>
  </w:style>
  <w:style w:type="character" w:styleId="45">
    <w:name w:val="page number"/>
    <w:autoRedefine/>
    <w:qFormat/>
    <w:uiPriority w:val="0"/>
  </w:style>
  <w:style w:type="character" w:styleId="46">
    <w:name w:val="FollowedHyperlink"/>
    <w:autoRedefine/>
    <w:qFormat/>
    <w:uiPriority w:val="0"/>
    <w:rPr>
      <w:rFonts w:eastAsia="宋体"/>
      <w:color w:val="800080"/>
      <w:kern w:val="2"/>
      <w:sz w:val="24"/>
      <w:szCs w:val="24"/>
      <w:u w:val="single"/>
      <w:lang w:val="en-US" w:eastAsia="zh-CN" w:bidi="ar-SA"/>
    </w:rPr>
  </w:style>
  <w:style w:type="character" w:styleId="47">
    <w:name w:val="Hyperlink"/>
    <w:autoRedefine/>
    <w:qFormat/>
    <w:uiPriority w:val="0"/>
    <w:rPr>
      <w:color w:val="0000FF"/>
      <w:u w:val="single"/>
    </w:rPr>
  </w:style>
  <w:style w:type="character" w:styleId="48">
    <w:name w:val="annotation reference"/>
    <w:autoRedefine/>
    <w:qFormat/>
    <w:uiPriority w:val="0"/>
    <w:rPr>
      <w:rFonts w:eastAsia="宋体"/>
      <w:kern w:val="2"/>
      <w:sz w:val="21"/>
      <w:szCs w:val="21"/>
      <w:lang w:val="en-US" w:eastAsia="zh-CN" w:bidi="ar-SA"/>
    </w:rPr>
  </w:style>
  <w:style w:type="character" w:styleId="49">
    <w:name w:val="footnote reference"/>
    <w:autoRedefine/>
    <w:unhideWhenUsed/>
    <w:qFormat/>
    <w:uiPriority w:val="99"/>
    <w:rPr>
      <w:rFonts w:hint="default" w:ascii="Times New Roman"/>
      <w:sz w:val="24"/>
      <w:vertAlign w:val="superscript"/>
    </w:rPr>
  </w:style>
  <w:style w:type="paragraph" w:customStyle="1" w:styleId="50">
    <w:name w:val="Default"/>
    <w:autoRedefine/>
    <w:qFormat/>
    <w:uiPriority w:val="0"/>
    <w:pPr>
      <w:widowControl w:val="0"/>
      <w:autoSpaceDE w:val="0"/>
      <w:autoSpaceDN w:val="0"/>
      <w:adjustRightInd w:val="0"/>
    </w:pPr>
    <w:rPr>
      <w:rFonts w:ascii="..ì." w:hAnsi="Times New Roman" w:eastAsia="..ì." w:cs="..ì."/>
      <w:color w:val="000000"/>
      <w:sz w:val="24"/>
      <w:szCs w:val="24"/>
      <w:lang w:val="en-US" w:eastAsia="zh-CN" w:bidi="ar-SA"/>
    </w:rPr>
  </w:style>
  <w:style w:type="paragraph" w:customStyle="1" w:styleId="51">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52">
    <w:name w:val="Body Text First Indent1"/>
    <w:basedOn w:val="15"/>
    <w:autoRedefine/>
    <w:qFormat/>
    <w:uiPriority w:val="0"/>
    <w:pPr>
      <w:spacing w:line="312" w:lineRule="auto"/>
      <w:ind w:firstLine="420"/>
    </w:pPr>
    <w:rPr>
      <w:rFonts w:ascii="Calibri" w:hAnsi="Calibri"/>
      <w:sz w:val="32"/>
    </w:rPr>
  </w:style>
  <w:style w:type="paragraph" w:customStyle="1" w:styleId="53">
    <w:name w:val="首行缩进"/>
    <w:basedOn w:val="1"/>
    <w:autoRedefine/>
    <w:qFormat/>
    <w:uiPriority w:val="0"/>
    <w:pPr>
      <w:adjustRightInd w:val="0"/>
      <w:spacing w:line="360" w:lineRule="auto"/>
      <w:ind w:firstLine="480" w:firstLineChars="200"/>
    </w:pPr>
    <w:rPr>
      <w:rFonts w:ascii="宋体"/>
      <w:sz w:val="24"/>
    </w:rPr>
  </w:style>
  <w:style w:type="character" w:customStyle="1" w:styleId="54">
    <w:name w:val="标题 1 Char"/>
    <w:autoRedefine/>
    <w:qFormat/>
    <w:uiPriority w:val="0"/>
    <w:rPr>
      <w:rFonts w:eastAsia="宋体"/>
      <w:b/>
      <w:bCs/>
      <w:kern w:val="2"/>
      <w:sz w:val="24"/>
      <w:szCs w:val="24"/>
      <w:lang w:val="en-US" w:eastAsia="zh-CN" w:bidi="ar-SA"/>
    </w:rPr>
  </w:style>
  <w:style w:type="paragraph" w:customStyle="1" w:styleId="55">
    <w:name w:val="正文文本首行缩进 21"/>
    <w:basedOn w:val="16"/>
    <w:autoRedefine/>
    <w:qFormat/>
    <w:uiPriority w:val="99"/>
    <w:pPr>
      <w:spacing w:line="200" w:lineRule="atLeast"/>
      <w:ind w:firstLine="420"/>
    </w:pPr>
  </w:style>
  <w:style w:type="character" w:customStyle="1" w:styleId="56">
    <w:name w:val="正文文本 字符"/>
    <w:link w:val="15"/>
    <w:autoRedefine/>
    <w:semiHidden/>
    <w:qFormat/>
    <w:locked/>
    <w:uiPriority w:val="0"/>
    <w:rPr>
      <w:rFonts w:eastAsia="宋体"/>
      <w:kern w:val="2"/>
      <w:sz w:val="28"/>
      <w:szCs w:val="24"/>
      <w:lang w:val="en-US" w:eastAsia="zh-CN" w:bidi="ar-SA"/>
    </w:rPr>
  </w:style>
  <w:style w:type="character" w:customStyle="1" w:styleId="57">
    <w:name w:val="标题 1 字符"/>
    <w:link w:val="2"/>
    <w:autoRedefine/>
    <w:qFormat/>
    <w:uiPriority w:val="0"/>
    <w:rPr>
      <w:rFonts w:eastAsia="宋体"/>
      <w:b/>
      <w:bCs/>
      <w:kern w:val="2"/>
      <w:sz w:val="24"/>
      <w:szCs w:val="24"/>
      <w:lang w:val="en-US" w:eastAsia="zh-CN" w:bidi="ar-SA"/>
    </w:rPr>
  </w:style>
  <w:style w:type="character" w:customStyle="1" w:styleId="58">
    <w:name w:val="标题 2 字符"/>
    <w:link w:val="3"/>
    <w:autoRedefine/>
    <w:qFormat/>
    <w:uiPriority w:val="0"/>
    <w:rPr>
      <w:rFonts w:ascii="Arial" w:hAnsi="Arial" w:eastAsia="黑体"/>
      <w:b/>
      <w:bCs/>
      <w:kern w:val="2"/>
      <w:sz w:val="32"/>
      <w:szCs w:val="32"/>
      <w:lang w:val="en-US" w:eastAsia="zh-CN" w:bidi="ar-SA"/>
    </w:rPr>
  </w:style>
  <w:style w:type="character" w:customStyle="1" w:styleId="59">
    <w:name w:val="标题 3 字符"/>
    <w:link w:val="4"/>
    <w:autoRedefine/>
    <w:qFormat/>
    <w:uiPriority w:val="0"/>
    <w:rPr>
      <w:rFonts w:eastAsia="宋体"/>
      <w:b/>
      <w:bCs/>
      <w:kern w:val="2"/>
      <w:sz w:val="32"/>
      <w:szCs w:val="32"/>
      <w:lang w:val="en-US" w:eastAsia="zh-CN" w:bidi="ar-SA"/>
    </w:rPr>
  </w:style>
  <w:style w:type="character" w:customStyle="1" w:styleId="60">
    <w:name w:val="标题 5 字符"/>
    <w:link w:val="7"/>
    <w:autoRedefine/>
    <w:qFormat/>
    <w:uiPriority w:val="0"/>
    <w:rPr>
      <w:rFonts w:eastAsia="宋体"/>
      <w:b/>
      <w:bCs/>
      <w:kern w:val="2"/>
      <w:sz w:val="28"/>
      <w:szCs w:val="28"/>
      <w:lang w:val="en-US" w:eastAsia="zh-CN" w:bidi="ar-SA"/>
    </w:rPr>
  </w:style>
  <w:style w:type="character" w:customStyle="1" w:styleId="61">
    <w:name w:val="正文缩进 字符"/>
    <w:link w:val="10"/>
    <w:autoRedefine/>
    <w:qFormat/>
    <w:uiPriority w:val="0"/>
    <w:rPr>
      <w:rFonts w:eastAsia="宋体"/>
      <w:kern w:val="2"/>
      <w:sz w:val="21"/>
      <w:lang w:val="en-US" w:eastAsia="zh-CN" w:bidi="ar-SA"/>
    </w:rPr>
  </w:style>
  <w:style w:type="character" w:customStyle="1" w:styleId="62">
    <w:name w:val="纯文本 字符"/>
    <w:link w:val="6"/>
    <w:autoRedefine/>
    <w:qFormat/>
    <w:uiPriority w:val="0"/>
    <w:rPr>
      <w:rFonts w:ascii="宋体" w:hAnsi="Courier New" w:eastAsia="宋体"/>
      <w:kern w:val="2"/>
      <w:sz w:val="24"/>
      <w:szCs w:val="24"/>
      <w:lang w:val="en-US" w:eastAsia="zh-CN" w:bidi="ar-SA"/>
    </w:rPr>
  </w:style>
  <w:style w:type="character" w:customStyle="1" w:styleId="63">
    <w:name w:val="页脚 字符"/>
    <w:link w:val="24"/>
    <w:autoRedefine/>
    <w:qFormat/>
    <w:uiPriority w:val="0"/>
    <w:rPr>
      <w:rFonts w:eastAsia="黑体"/>
      <w:snapToGrid w:val="0"/>
      <w:sz w:val="18"/>
      <w:szCs w:val="18"/>
      <w:lang w:val="en-US" w:eastAsia="zh-CN" w:bidi="ar-SA"/>
    </w:rPr>
  </w:style>
  <w:style w:type="character" w:customStyle="1" w:styleId="64">
    <w:name w:val="页眉 字符"/>
    <w:link w:val="25"/>
    <w:autoRedefine/>
    <w:qFormat/>
    <w:uiPriority w:val="0"/>
    <w:rPr>
      <w:rFonts w:eastAsia="仿宋_GB2312"/>
      <w:kern w:val="2"/>
      <w:sz w:val="18"/>
      <w:lang w:val="en-US" w:eastAsia="zh-CN" w:bidi="ar-SA"/>
    </w:rPr>
  </w:style>
  <w:style w:type="character" w:customStyle="1" w:styleId="65">
    <w:name w:val="font41"/>
    <w:autoRedefine/>
    <w:qFormat/>
    <w:uiPriority w:val="0"/>
    <w:rPr>
      <w:rFonts w:hint="eastAsia" w:ascii="宋体" w:hAnsi="宋体" w:eastAsia="宋体" w:cs="宋体"/>
      <w:color w:val="000000"/>
      <w:sz w:val="20"/>
      <w:szCs w:val="20"/>
      <w:u w:val="none"/>
    </w:rPr>
  </w:style>
  <w:style w:type="character" w:customStyle="1" w:styleId="66">
    <w:name w:val="style41"/>
    <w:autoRedefine/>
    <w:qFormat/>
    <w:uiPriority w:val="0"/>
    <w:rPr>
      <w:sz w:val="18"/>
      <w:szCs w:val="18"/>
    </w:rPr>
  </w:style>
  <w:style w:type="character" w:customStyle="1" w:styleId="67">
    <w:name w:val="font01"/>
    <w:autoRedefine/>
    <w:qFormat/>
    <w:uiPriority w:val="0"/>
    <w:rPr>
      <w:rFonts w:hint="eastAsia" w:ascii="宋体" w:hAnsi="宋体" w:eastAsia="宋体" w:cs="宋体"/>
      <w:color w:val="000000"/>
      <w:sz w:val="21"/>
      <w:szCs w:val="21"/>
      <w:u w:val="none"/>
    </w:rPr>
  </w:style>
  <w:style w:type="character" w:customStyle="1" w:styleId="68">
    <w:name w:val="hui121"/>
    <w:autoRedefine/>
    <w:qFormat/>
    <w:uiPriority w:val="0"/>
    <w:rPr>
      <w:rFonts w:eastAsia="宋体"/>
      <w:color w:val="333333"/>
      <w:kern w:val="2"/>
      <w:sz w:val="18"/>
      <w:szCs w:val="18"/>
      <w:lang w:val="en-US" w:eastAsia="zh-CN" w:bidi="ar-SA"/>
    </w:rPr>
  </w:style>
  <w:style w:type="character" w:customStyle="1" w:styleId="69">
    <w:name w:val="class3"/>
    <w:autoRedefine/>
    <w:qFormat/>
    <w:uiPriority w:val="0"/>
  </w:style>
  <w:style w:type="character" w:customStyle="1" w:styleId="70">
    <w:name w:val="font11"/>
    <w:basedOn w:val="43"/>
    <w:autoRedefine/>
    <w:qFormat/>
    <w:uiPriority w:val="0"/>
    <w:rPr>
      <w:rFonts w:hint="eastAsia" w:ascii="宋体" w:hAnsi="宋体" w:eastAsia="宋体" w:cs="宋体"/>
      <w:color w:val="000000"/>
      <w:sz w:val="21"/>
      <w:szCs w:val="21"/>
      <w:u w:val="none"/>
    </w:rPr>
  </w:style>
  <w:style w:type="character" w:customStyle="1" w:styleId="71">
    <w:name w:val="普通文字 Char Char1"/>
    <w:autoRedefine/>
    <w:qFormat/>
    <w:uiPriority w:val="0"/>
    <w:rPr>
      <w:rFonts w:ascii="宋体" w:hAnsi="Courier New"/>
      <w:kern w:val="2"/>
      <w:sz w:val="24"/>
      <w:szCs w:val="24"/>
    </w:rPr>
  </w:style>
  <w:style w:type="character" w:customStyle="1" w:styleId="72">
    <w:name w:val="普通文字 Char Char3"/>
    <w:autoRedefine/>
    <w:qFormat/>
    <w:uiPriority w:val="0"/>
    <w:rPr>
      <w:rFonts w:ascii="宋体" w:hAnsi="Courier New" w:eastAsia="宋体"/>
      <w:kern w:val="2"/>
      <w:sz w:val="24"/>
      <w:szCs w:val="24"/>
      <w:lang w:val="en-US" w:eastAsia="zh-CN" w:bidi="ar-SA"/>
    </w:rPr>
  </w:style>
  <w:style w:type="character" w:customStyle="1" w:styleId="73">
    <w:name w:val="class4"/>
    <w:autoRedefine/>
    <w:qFormat/>
    <w:uiPriority w:val="0"/>
  </w:style>
  <w:style w:type="character" w:customStyle="1" w:styleId="74">
    <w:name w:val="ca-3"/>
    <w:autoRedefine/>
    <w:qFormat/>
    <w:uiPriority w:val="0"/>
    <w:rPr>
      <w:rFonts w:eastAsia="宋体"/>
      <w:kern w:val="2"/>
      <w:sz w:val="24"/>
      <w:szCs w:val="24"/>
      <w:lang w:val="en-US" w:eastAsia="zh-CN" w:bidi="ar-SA"/>
    </w:rPr>
  </w:style>
  <w:style w:type="character" w:customStyle="1" w:styleId="75">
    <w:name w:val="Plain Text Char"/>
    <w:autoRedefine/>
    <w:semiHidden/>
    <w:qFormat/>
    <w:locked/>
    <w:uiPriority w:val="0"/>
    <w:rPr>
      <w:rFonts w:ascii="宋体" w:hAnsi="Courier New" w:eastAsia="宋体" w:cs="Times New Roman"/>
      <w:sz w:val="20"/>
      <w:szCs w:val="20"/>
    </w:rPr>
  </w:style>
  <w:style w:type="character" w:customStyle="1" w:styleId="76">
    <w:name w:val="List Paragraph Char"/>
    <w:link w:val="77"/>
    <w:autoRedefine/>
    <w:qFormat/>
    <w:locked/>
    <w:uiPriority w:val="0"/>
    <w:rPr>
      <w:rFonts w:eastAsia="宋体"/>
      <w:kern w:val="2"/>
      <w:sz w:val="21"/>
      <w:szCs w:val="24"/>
      <w:lang w:val="en-US" w:eastAsia="zh-CN" w:bidi="ar-SA"/>
    </w:rPr>
  </w:style>
  <w:style w:type="paragraph" w:customStyle="1" w:styleId="77">
    <w:name w:val="List Paragraph1"/>
    <w:basedOn w:val="1"/>
    <w:next w:val="1"/>
    <w:link w:val="76"/>
    <w:autoRedefine/>
    <w:qFormat/>
    <w:uiPriority w:val="0"/>
    <w:pPr>
      <w:ind w:firstLine="420" w:firstLineChars="200"/>
    </w:pPr>
    <w:rPr>
      <w:rFonts w:hint="default"/>
      <w:szCs w:val="24"/>
    </w:rPr>
  </w:style>
  <w:style w:type="character" w:customStyle="1" w:styleId="78">
    <w:name w:val="h Char Char"/>
    <w:autoRedefine/>
    <w:qFormat/>
    <w:uiPriority w:val="0"/>
    <w:rPr>
      <w:rFonts w:eastAsia="仿宋_GB2312"/>
      <w:kern w:val="2"/>
      <w:sz w:val="18"/>
      <w:lang w:val="en-US" w:eastAsia="zh-CN" w:bidi="ar-SA"/>
    </w:rPr>
  </w:style>
  <w:style w:type="character" w:customStyle="1" w:styleId="79">
    <w:name w:val="label_list1"/>
    <w:autoRedefine/>
    <w:qFormat/>
    <w:uiPriority w:val="0"/>
  </w:style>
  <w:style w:type="character" w:customStyle="1" w:styleId="80">
    <w:name w:val="普通文字 Char Char2"/>
    <w:autoRedefine/>
    <w:qFormat/>
    <w:uiPriority w:val="0"/>
    <w:rPr>
      <w:rFonts w:ascii="宋体" w:hAnsi="Courier New" w:eastAsia="宋体"/>
      <w:kern w:val="2"/>
      <w:sz w:val="21"/>
      <w:lang w:val="en-US" w:eastAsia="zh-CN" w:bidi="ar-SA"/>
    </w:rPr>
  </w:style>
  <w:style w:type="character" w:customStyle="1" w:styleId="81">
    <w:name w:val="Char Char18"/>
    <w:autoRedefine/>
    <w:qFormat/>
    <w:uiPriority w:val="0"/>
    <w:rPr>
      <w:rFonts w:ascii="宋体" w:eastAsia="宋体"/>
      <w:snapToGrid w:val="0"/>
      <w:color w:val="000000"/>
      <w:kern w:val="28"/>
      <w:sz w:val="28"/>
      <w:lang w:val="en-US" w:eastAsia="zh-CN" w:bidi="ar-SA"/>
    </w:rPr>
  </w:style>
  <w:style w:type="character" w:customStyle="1" w:styleId="82">
    <w:name w:val="font111"/>
    <w:autoRedefine/>
    <w:qFormat/>
    <w:uiPriority w:val="0"/>
    <w:rPr>
      <w:rFonts w:hint="default" w:ascii="Calibri" w:hAnsi="Calibri" w:cs="Calibri"/>
      <w:color w:val="000000"/>
      <w:sz w:val="22"/>
      <w:szCs w:val="22"/>
      <w:u w:val="none"/>
    </w:rPr>
  </w:style>
  <w:style w:type="character" w:customStyle="1" w:styleId="83">
    <w:name w:val="cf01"/>
    <w:autoRedefine/>
    <w:qFormat/>
    <w:uiPriority w:val="0"/>
    <w:rPr>
      <w:rFonts w:hint="eastAsia" w:ascii="Microsoft YaHei UI" w:hAnsi="Microsoft YaHei UI" w:eastAsia="Microsoft YaHei UI"/>
      <w:sz w:val="18"/>
      <w:szCs w:val="18"/>
    </w:rPr>
  </w:style>
  <w:style w:type="character" w:customStyle="1" w:styleId="84">
    <w:name w:val="cf11"/>
    <w:autoRedefine/>
    <w:qFormat/>
    <w:uiPriority w:val="0"/>
    <w:rPr>
      <w:rFonts w:hint="eastAsia" w:ascii="Microsoft YaHei UI" w:hAnsi="Microsoft YaHei UI" w:eastAsia="Microsoft YaHei UI"/>
      <w:sz w:val="18"/>
      <w:szCs w:val="18"/>
    </w:rPr>
  </w:style>
  <w:style w:type="character" w:customStyle="1" w:styleId="85">
    <w:name w:val="fontstyle01"/>
    <w:autoRedefine/>
    <w:qFormat/>
    <w:uiPriority w:val="0"/>
    <w:rPr>
      <w:rFonts w:hint="eastAsia" w:ascii="宋体" w:hAnsi="宋体" w:eastAsia="宋体"/>
      <w:color w:val="000000"/>
      <w:sz w:val="22"/>
      <w:szCs w:val="22"/>
    </w:rPr>
  </w:style>
  <w:style w:type="character" w:customStyle="1" w:styleId="86">
    <w:name w:val="font51"/>
    <w:autoRedefine/>
    <w:qFormat/>
    <w:uiPriority w:val="0"/>
    <w:rPr>
      <w:rFonts w:hint="default" w:ascii="等线" w:hAnsi="等线" w:eastAsia="等线" w:cs="等线"/>
      <w:b/>
      <w:bCs/>
      <w:color w:val="000000"/>
      <w:sz w:val="22"/>
      <w:szCs w:val="22"/>
      <w:u w:val="none"/>
    </w:rPr>
  </w:style>
  <w:style w:type="paragraph" w:customStyle="1" w:styleId="87">
    <w:name w:val="WPSOffice手动目录 1"/>
    <w:autoRedefine/>
    <w:qFormat/>
    <w:uiPriority w:val="0"/>
    <w:rPr>
      <w:rFonts w:ascii="Times New Roman" w:hAnsi="Times New Roman" w:eastAsia="宋体" w:cs="Times New Roman"/>
      <w:lang w:val="en-US" w:eastAsia="zh-CN" w:bidi="ar-SA"/>
    </w:rPr>
  </w:style>
  <w:style w:type="paragraph" w:customStyle="1" w:styleId="88">
    <w:name w:val="lp1"/>
    <w:basedOn w:val="1"/>
    <w:next w:val="77"/>
    <w:autoRedefine/>
    <w:qFormat/>
    <w:uiPriority w:val="34"/>
    <w:pPr>
      <w:widowControl/>
      <w:ind w:left="720"/>
      <w:contextualSpacing/>
      <w:jc w:val="left"/>
    </w:pPr>
    <w:rPr>
      <w:sz w:val="24"/>
      <w:szCs w:val="24"/>
    </w:rPr>
  </w:style>
  <w:style w:type="paragraph" w:customStyle="1" w:styleId="89">
    <w:name w:val="cjk"/>
    <w:basedOn w:val="1"/>
    <w:autoRedefine/>
    <w:qFormat/>
    <w:uiPriority w:val="0"/>
    <w:pPr>
      <w:widowControl/>
      <w:spacing w:line="480" w:lineRule="auto"/>
      <w:jc w:val="left"/>
    </w:pPr>
    <w:rPr>
      <w:rFonts w:ascii="宋体" w:hAnsi="宋体" w:cs="宋体"/>
      <w:kern w:val="0"/>
      <w:sz w:val="24"/>
      <w:szCs w:val="22"/>
    </w:rPr>
  </w:style>
  <w:style w:type="paragraph" w:customStyle="1" w:styleId="90">
    <w:name w:val="表格"/>
    <w:basedOn w:val="1"/>
    <w:autoRedefine/>
    <w:qFormat/>
    <w:uiPriority w:val="0"/>
    <w:pPr>
      <w:snapToGrid w:val="0"/>
      <w:spacing w:line="360" w:lineRule="auto"/>
      <w:ind w:firstLine="42" w:firstLineChars="21"/>
    </w:pPr>
    <w:rPr>
      <w:rFonts w:ascii="宋体" w:hAnsi="宋体"/>
      <w:kern w:val="0"/>
      <w:sz w:val="20"/>
    </w:rPr>
  </w:style>
  <w:style w:type="paragraph" w:customStyle="1" w:styleId="91">
    <w:name w:val="CM14"/>
    <w:basedOn w:val="50"/>
    <w:next w:val="50"/>
    <w:autoRedefine/>
    <w:unhideWhenUsed/>
    <w:qFormat/>
    <w:uiPriority w:val="99"/>
    <w:pPr>
      <w:spacing w:line="546" w:lineRule="atLeast"/>
    </w:pPr>
    <w:rPr>
      <w:rFonts w:hint="eastAsia"/>
    </w:rPr>
  </w:style>
  <w:style w:type="paragraph" w:customStyle="1" w:styleId="92">
    <w:name w:val="目录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93">
    <w:name w:val="目录 711"/>
    <w:next w:val="1"/>
    <w:autoRedefine/>
    <w:qFormat/>
    <w:uiPriority w:val="0"/>
    <w:pPr>
      <w:wordWrap w:val="0"/>
      <w:ind w:left="2550"/>
      <w:jc w:val="both"/>
    </w:pPr>
    <w:rPr>
      <w:rFonts w:ascii="Calibri" w:hAnsi="Calibri" w:eastAsia="宋体" w:cs="Times New Roman"/>
      <w:sz w:val="21"/>
      <w:szCs w:val="22"/>
      <w:lang w:val="en-US" w:eastAsia="zh-CN" w:bidi="ar-SA"/>
    </w:rPr>
  </w:style>
  <w:style w:type="paragraph" w:customStyle="1" w:styleId="94">
    <w:name w:val="_Style 88"/>
    <w:autoRedefine/>
    <w:unhideWhenUsed/>
    <w:qFormat/>
    <w:uiPriority w:val="99"/>
    <w:rPr>
      <w:rFonts w:hint="eastAsia" w:ascii="Times New Roman" w:hAnsi="Times New Roman" w:eastAsia="宋体" w:cs="Times New Roman"/>
      <w:kern w:val="2"/>
      <w:sz w:val="21"/>
      <w:lang w:val="en-US" w:eastAsia="zh-CN" w:bidi="ar-SA"/>
    </w:rPr>
  </w:style>
  <w:style w:type="paragraph" w:customStyle="1" w:styleId="95">
    <w:name w:val="正文1"/>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96">
    <w:name w:val="f1"/>
    <w:basedOn w:val="1"/>
    <w:autoRedefine/>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97">
    <w:name w:val="Medium Grid 1 - Accent 21"/>
    <w:basedOn w:val="1"/>
    <w:autoRedefine/>
    <w:qFormat/>
    <w:uiPriority w:val="0"/>
    <w:pPr>
      <w:spacing w:line="500" w:lineRule="exact"/>
      <w:ind w:firstLine="420" w:firstLineChars="200"/>
    </w:pPr>
    <w:rPr>
      <w:kern w:val="0"/>
      <w:szCs w:val="24"/>
    </w:rPr>
  </w:style>
  <w:style w:type="paragraph" w:styleId="98">
    <w:name w:val="List Paragraph"/>
    <w:basedOn w:val="1"/>
    <w:autoRedefine/>
    <w:qFormat/>
    <w:uiPriority w:val="0"/>
    <w:pPr>
      <w:widowControl/>
      <w:ind w:left="720" w:firstLine="360"/>
      <w:contextualSpacing/>
      <w:jc w:val="left"/>
    </w:pPr>
    <w:rPr>
      <w:rFonts w:ascii="Calibri" w:hAnsi="Calibri"/>
      <w:kern w:val="0"/>
      <w:sz w:val="22"/>
      <w:szCs w:val="22"/>
      <w:lang w:eastAsia="en-US" w:bidi="en-US"/>
    </w:rPr>
  </w:style>
  <w:style w:type="paragraph" w:customStyle="1" w:styleId="99">
    <w:name w:val="Table Paragraph"/>
    <w:basedOn w:val="1"/>
    <w:autoRedefine/>
    <w:qFormat/>
    <w:uiPriority w:val="1"/>
    <w:rPr>
      <w:rFonts w:ascii="宋体" w:hAnsi="宋体" w:cs="宋体"/>
      <w:lang w:val="zh-CN" w:bidi="zh-CN"/>
    </w:rPr>
  </w:style>
  <w:style w:type="paragraph" w:customStyle="1" w:styleId="100">
    <w:name w:val="Normal1"/>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101">
    <w:name w:val="纯文本1"/>
    <w:basedOn w:val="95"/>
    <w:autoRedefine/>
    <w:qFormat/>
    <w:uiPriority w:val="0"/>
    <w:pPr>
      <w:widowControl/>
      <w:jc w:val="left"/>
    </w:pPr>
    <w:rPr>
      <w:rFonts w:ascii="宋体" w:hAnsi="Courier New"/>
    </w:rPr>
  </w:style>
  <w:style w:type="paragraph" w:customStyle="1" w:styleId="102">
    <w:name w:val="内文正文"/>
    <w:autoRedefine/>
    <w:qFormat/>
    <w:uiPriority w:val="0"/>
    <w:pPr>
      <w:autoSpaceDE w:val="0"/>
      <w:autoSpaceDN w:val="0"/>
      <w:spacing w:line="400" w:lineRule="exact"/>
      <w:ind w:firstLine="200" w:firstLineChars="200"/>
      <w:jc w:val="both"/>
      <w:textAlignment w:val="bottom"/>
    </w:pPr>
    <w:rPr>
      <w:rFonts w:ascii="??" w:hAnsi="??" w:eastAsia="??" w:cs="Times New Roman"/>
      <w:sz w:val="21"/>
      <w:szCs w:val="28"/>
      <w:lang w:val="en-US" w:eastAsia="zh-CN" w:bidi="ar-SA"/>
    </w:rPr>
  </w:style>
  <w:style w:type="paragraph" w:customStyle="1" w:styleId="103">
    <w:name w:val="表内文字"/>
    <w:basedOn w:val="1"/>
    <w:autoRedefine/>
    <w:qFormat/>
    <w:uiPriority w:val="0"/>
    <w:pPr>
      <w:tabs>
        <w:tab w:val="left" w:pos="1418"/>
      </w:tabs>
      <w:spacing w:line="360" w:lineRule="auto"/>
      <w:jc w:val="center"/>
    </w:pPr>
    <w:rPr>
      <w:rFonts w:ascii="仿宋_GB2312" w:eastAsia="仿宋_GB2312"/>
      <w:spacing w:val="-20"/>
      <w:kern w:val="0"/>
      <w:sz w:val="24"/>
    </w:rPr>
  </w:style>
  <w:style w:type="paragraph" w:customStyle="1" w:styleId="104">
    <w:name w:val="xl29"/>
    <w:basedOn w:val="1"/>
    <w:autoRedefine/>
    <w:qFormat/>
    <w:uiPriority w:val="0"/>
    <w:pPr>
      <w:widowControl/>
      <w:pBdr>
        <w:bottom w:val="single" w:color="auto" w:sz="4" w:space="0"/>
        <w:right w:val="single" w:color="auto" w:sz="4" w:space="0"/>
      </w:pBdr>
      <w:adjustRightInd w:val="0"/>
      <w:spacing w:before="100" w:beforeAutospacing="1" w:after="100" w:afterAutospacing="1" w:line="312" w:lineRule="atLeast"/>
      <w:textAlignment w:val="baseline"/>
    </w:pPr>
    <w:rPr>
      <w:rFonts w:ascii="宋体" w:hAnsi="宋体"/>
      <w:kern w:val="0"/>
      <w:sz w:val="24"/>
    </w:rPr>
  </w:style>
  <w:style w:type="paragraph" w:customStyle="1" w:styleId="105">
    <w:name w:val="正文 A"/>
    <w:autoRedefine/>
    <w:qFormat/>
    <w:uiPriority w:val="0"/>
    <w:pPr>
      <w:widowControl w:val="0"/>
      <w:pBdr>
        <w:top w:val="none" w:color="FFFFFF" w:sz="0" w:space="31"/>
        <w:left w:val="none" w:color="FFFFFF" w:sz="0" w:space="31"/>
        <w:bottom w:val="none" w:color="FFFFFF" w:sz="0" w:space="31"/>
        <w:right w:val="none" w:color="FFFFFF" w:sz="0" w:space="31"/>
      </w:pBdr>
      <w:jc w:val="both"/>
    </w:pPr>
    <w:rPr>
      <w:rFonts w:ascii="Times New Roman" w:hAnsi="Arial Unicode MS" w:eastAsia="Times New Roman" w:cs="Arial Unicode MS"/>
      <w:color w:val="000000"/>
      <w:kern w:val="2"/>
      <w:sz w:val="21"/>
      <w:szCs w:val="21"/>
      <w:u w:color="000000"/>
      <w:lang w:val="en-US" w:eastAsia="zh-CN" w:bidi="ar-SA"/>
    </w:rPr>
  </w:style>
  <w:style w:type="paragraph" w:customStyle="1" w:styleId="106">
    <w:name w:val="CM19"/>
    <w:basedOn w:val="50"/>
    <w:next w:val="50"/>
    <w:autoRedefine/>
    <w:unhideWhenUsed/>
    <w:qFormat/>
    <w:uiPriority w:val="99"/>
    <w:rPr>
      <w:rFonts w:hint="eastAsia"/>
    </w:rPr>
  </w:style>
  <w:style w:type="paragraph" w:customStyle="1" w:styleId="107">
    <w:name w:val="列出段落1"/>
    <w:basedOn w:val="1"/>
    <w:autoRedefine/>
    <w:qFormat/>
    <w:uiPriority w:val="0"/>
    <w:pPr>
      <w:ind w:firstLine="420" w:firstLineChars="200"/>
    </w:pPr>
    <w:rPr>
      <w:rFonts w:ascii="Calibri" w:hAnsi="Calibri"/>
      <w:szCs w:val="22"/>
    </w:rPr>
  </w:style>
  <w:style w:type="paragraph" w:customStyle="1" w:styleId="108">
    <w:name w:val="1 Char"/>
    <w:basedOn w:val="1"/>
    <w:autoRedefine/>
    <w:qFormat/>
    <w:uiPriority w:val="0"/>
  </w:style>
  <w:style w:type="paragraph" w:customStyle="1" w:styleId="109">
    <w:name w:val="默认段落字体 Para Char Char Char Char"/>
    <w:basedOn w:val="1"/>
    <w:autoRedefine/>
    <w:qFormat/>
    <w:uiPriority w:val="0"/>
    <w:rPr>
      <w:spacing w:val="20"/>
      <w:sz w:val="28"/>
      <w:szCs w:val="21"/>
    </w:rPr>
  </w:style>
  <w:style w:type="paragraph" w:customStyle="1" w:styleId="110">
    <w:name w:val="标题B"/>
    <w:basedOn w:val="3"/>
    <w:autoRedefine/>
    <w:qFormat/>
    <w:uiPriority w:val="0"/>
    <w:pPr>
      <w:adjustRightInd w:val="0"/>
      <w:spacing w:before="100" w:beforeAutospacing="1" w:after="100" w:afterAutospacing="1" w:line="240" w:lineRule="auto"/>
      <w:jc w:val="center"/>
      <w:textAlignment w:val="baseline"/>
    </w:pPr>
    <w:rPr>
      <w:rFonts w:eastAsia="宋体"/>
      <w:kern w:val="0"/>
      <w:sz w:val="28"/>
      <w:szCs w:val="28"/>
    </w:rPr>
  </w:style>
  <w:style w:type="paragraph" w:customStyle="1" w:styleId="111">
    <w:name w:val="样式 正文文本"/>
    <w:basedOn w:val="1"/>
    <w:autoRedefine/>
    <w:qFormat/>
    <w:uiPriority w:val="0"/>
    <w:pPr>
      <w:adjustRightInd w:val="0"/>
      <w:snapToGrid w:val="0"/>
      <w:spacing w:line="400" w:lineRule="exact"/>
      <w:ind w:firstLine="200" w:firstLineChars="200"/>
    </w:pPr>
    <w:rPr>
      <w:rFonts w:ascii="Arial" w:hAnsi="Arial"/>
      <w:color w:val="000000"/>
    </w:rPr>
  </w:style>
  <w:style w:type="paragraph" w:customStyle="1" w:styleId="112">
    <w:name w:val="Char Char Char"/>
    <w:basedOn w:val="1"/>
    <w:autoRedefine/>
    <w:qFormat/>
    <w:uiPriority w:val="0"/>
    <w:rPr>
      <w:rFonts w:ascii="Calibri" w:hAnsi="Calibri"/>
      <w:szCs w:val="22"/>
    </w:rPr>
  </w:style>
  <w:style w:type="paragraph" w:customStyle="1" w:styleId="113">
    <w:name w:val="Char Char Char Char Char Char"/>
    <w:basedOn w:val="1"/>
    <w:autoRedefine/>
    <w:qFormat/>
    <w:uiPriority w:val="0"/>
    <w:rPr>
      <w:rFonts w:ascii="仿宋_GB2312" w:eastAsia="仿宋_GB2312"/>
      <w:b/>
      <w:sz w:val="32"/>
      <w:szCs w:val="32"/>
    </w:rPr>
  </w:style>
  <w:style w:type="paragraph" w:customStyle="1" w:styleId="114">
    <w:name w:val="Blockquote"/>
    <w:basedOn w:val="1"/>
    <w:autoRedefine/>
    <w:qFormat/>
    <w:uiPriority w:val="0"/>
    <w:pPr>
      <w:autoSpaceDE w:val="0"/>
      <w:autoSpaceDN w:val="0"/>
      <w:adjustRightInd w:val="0"/>
      <w:spacing w:before="100" w:after="100"/>
      <w:ind w:left="360" w:right="360"/>
      <w:jc w:val="left"/>
    </w:pPr>
    <w:rPr>
      <w:rFonts w:eastAsia="??"/>
      <w:kern w:val="0"/>
      <w:sz w:val="24"/>
      <w:szCs w:val="28"/>
    </w:rPr>
  </w:style>
  <w:style w:type="paragraph" w:customStyle="1" w:styleId="115">
    <w:name w:val="CM11"/>
    <w:basedOn w:val="50"/>
    <w:next w:val="50"/>
    <w:autoRedefine/>
    <w:unhideWhenUsed/>
    <w:qFormat/>
    <w:uiPriority w:val="99"/>
    <w:pPr>
      <w:spacing w:line="520" w:lineRule="atLeast"/>
    </w:pPr>
    <w:rPr>
      <w:rFonts w:hint="eastAsia"/>
    </w:rPr>
  </w:style>
  <w:style w:type="paragraph" w:customStyle="1" w:styleId="116">
    <w:name w:val="xl24"/>
    <w:basedOn w:val="1"/>
    <w:autoRedefine/>
    <w:qFormat/>
    <w:uiPriority w:val="0"/>
    <w:pPr>
      <w:widowControl/>
      <w:pBdr>
        <w:left w:val="single" w:color="auto" w:sz="4" w:space="0"/>
        <w:bottom w:val="single" w:color="auto" w:sz="4" w:space="0"/>
        <w:right w:val="single" w:color="auto" w:sz="4" w:space="0"/>
      </w:pBdr>
      <w:adjustRightInd w:val="0"/>
      <w:spacing w:before="100" w:beforeAutospacing="1" w:after="100" w:afterAutospacing="1" w:line="312" w:lineRule="atLeast"/>
      <w:jc w:val="center"/>
      <w:textAlignment w:val="top"/>
    </w:pPr>
    <w:rPr>
      <w:rFonts w:ascii="仿宋_GB2312" w:hAnsi="宋体" w:eastAsia="仿宋_GB2312"/>
      <w:kern w:val="0"/>
      <w:sz w:val="24"/>
    </w:rPr>
  </w:style>
  <w:style w:type="paragraph" w:customStyle="1" w:styleId="117">
    <w:name w:val="Char"/>
    <w:basedOn w:val="1"/>
    <w:autoRedefine/>
    <w:qFormat/>
    <w:uiPriority w:val="0"/>
    <w:pPr>
      <w:tabs>
        <w:tab w:val="left" w:pos="1200"/>
      </w:tabs>
      <w:ind w:left="1200" w:hanging="360"/>
    </w:pPr>
    <w:rPr>
      <w:sz w:val="24"/>
    </w:rPr>
  </w:style>
  <w:style w:type="paragraph" w:customStyle="1" w:styleId="118">
    <w:name w:val="UserStyle_0"/>
    <w:next w:val="119"/>
    <w:autoRedefine/>
    <w:qFormat/>
    <w:uiPriority w:val="0"/>
    <w:pPr>
      <w:textAlignment w:val="baseline"/>
    </w:pPr>
    <w:rPr>
      <w:rFonts w:ascii="Arial" w:hAnsi="Arial" w:eastAsia="宋体" w:cs="Times New Roman"/>
      <w:color w:val="000000"/>
      <w:sz w:val="24"/>
      <w:szCs w:val="24"/>
      <w:lang w:val="en-US" w:eastAsia="zh-CN" w:bidi="ar-SA"/>
    </w:rPr>
  </w:style>
  <w:style w:type="paragraph" w:customStyle="1" w:styleId="119">
    <w:name w:val="UserStyle_1"/>
    <w:next w:val="1"/>
    <w:autoRedefine/>
    <w:qFormat/>
    <w:uiPriority w:val="0"/>
    <w:pPr>
      <w:ind w:left="2550"/>
      <w:jc w:val="both"/>
      <w:textAlignment w:val="baseline"/>
    </w:pPr>
    <w:rPr>
      <w:rFonts w:ascii="Times New Roman" w:hAnsi="Times New Roman" w:eastAsia="宋体" w:cs="Times New Roman"/>
      <w:sz w:val="21"/>
      <w:szCs w:val="22"/>
      <w:lang w:val="en-US" w:eastAsia="zh-CN" w:bidi="ar-SA"/>
    </w:rPr>
  </w:style>
  <w:style w:type="paragraph" w:customStyle="1" w:styleId="120">
    <w:name w:val="标题C"/>
    <w:basedOn w:val="4"/>
    <w:autoRedefine/>
    <w:qFormat/>
    <w:uiPriority w:val="0"/>
    <w:pPr>
      <w:adjustRightInd w:val="0"/>
      <w:spacing w:before="100" w:beforeAutospacing="1" w:after="100" w:afterAutospacing="1" w:line="240" w:lineRule="auto"/>
      <w:jc w:val="center"/>
      <w:textAlignment w:val="baseline"/>
    </w:pPr>
    <w:rPr>
      <w:kern w:val="0"/>
      <w:sz w:val="24"/>
      <w:szCs w:val="24"/>
    </w:rPr>
  </w:style>
  <w:style w:type="paragraph" w:customStyle="1" w:styleId="121">
    <w:name w:val="正文2"/>
    <w:basedOn w:val="1"/>
    <w:autoRedefine/>
    <w:qFormat/>
    <w:uiPriority w:val="0"/>
    <w:pPr>
      <w:spacing w:before="156" w:line="360" w:lineRule="auto"/>
      <w:ind w:firstLine="510" w:firstLineChars="200"/>
    </w:pPr>
    <w:rPr>
      <w:sz w:val="24"/>
    </w:rPr>
  </w:style>
  <w:style w:type="paragraph" w:customStyle="1" w:styleId="122">
    <w:name w:val="Proposals body"/>
    <w:basedOn w:val="1"/>
    <w:next w:val="1"/>
    <w:autoRedefine/>
    <w:qFormat/>
    <w:uiPriority w:val="0"/>
    <w:pPr>
      <w:widowControl/>
      <w:spacing w:line="360" w:lineRule="auto"/>
      <w:jc w:val="left"/>
    </w:pPr>
    <w:rPr>
      <w:rFonts w:ascii="宋体"/>
      <w:snapToGrid w:val="0"/>
      <w:color w:val="000000"/>
      <w:kern w:val="0"/>
      <w:sz w:val="24"/>
    </w:rPr>
  </w:style>
  <w:style w:type="paragraph" w:customStyle="1" w:styleId="123">
    <w:name w:val="Plain Text1"/>
    <w:basedOn w:val="100"/>
    <w:autoRedefine/>
    <w:qFormat/>
    <w:uiPriority w:val="0"/>
    <w:pPr>
      <w:widowControl/>
      <w:jc w:val="left"/>
    </w:pPr>
    <w:rPr>
      <w:rFonts w:ascii="宋体" w:hAnsi="Courier New"/>
    </w:rPr>
  </w:style>
  <w:style w:type="paragraph" w:customStyle="1" w:styleId="124">
    <w:name w:val="标题A"/>
    <w:basedOn w:val="2"/>
    <w:autoRedefine/>
    <w:qFormat/>
    <w:uiPriority w:val="0"/>
    <w:pPr>
      <w:keepLines/>
      <w:adjustRightInd w:val="0"/>
      <w:spacing w:before="100" w:beforeAutospacing="1" w:after="60"/>
      <w:textAlignment w:val="baseline"/>
    </w:pPr>
    <w:rPr>
      <w:rFonts w:ascii="Arial" w:hAnsi="Arial"/>
      <w:kern w:val="44"/>
      <w:sz w:val="28"/>
      <w:szCs w:val="44"/>
    </w:rPr>
  </w:style>
  <w:style w:type="paragraph" w:customStyle="1" w:styleId="125">
    <w:name w:val="CM13"/>
    <w:basedOn w:val="50"/>
    <w:next w:val="50"/>
    <w:autoRedefine/>
    <w:unhideWhenUsed/>
    <w:qFormat/>
    <w:uiPriority w:val="99"/>
    <w:pPr>
      <w:spacing w:line="520" w:lineRule="atLeast"/>
    </w:pPr>
    <w:rPr>
      <w:rFonts w:hint="eastAsia"/>
    </w:rPr>
  </w:style>
  <w:style w:type="paragraph" w:customStyle="1" w:styleId="126">
    <w:name w:val="Char1"/>
    <w:basedOn w:val="1"/>
    <w:autoRedefine/>
    <w:qFormat/>
    <w:uiPriority w:val="0"/>
    <w:pPr>
      <w:widowControl/>
      <w:spacing w:after="160" w:line="240" w:lineRule="exact"/>
      <w:jc w:val="left"/>
    </w:pPr>
    <w:rPr>
      <w:rFonts w:ascii="Verdana" w:hAnsi="Verdana" w:eastAsia="仿宋_GB2312"/>
      <w:kern w:val="0"/>
      <w:sz w:val="24"/>
      <w:lang w:eastAsia="en-US"/>
    </w:rPr>
  </w:style>
  <w:style w:type="paragraph" w:customStyle="1" w:styleId="127">
    <w:name w:val="简单回函地址"/>
    <w:basedOn w:val="1"/>
    <w:autoRedefine/>
    <w:qFormat/>
    <w:uiPriority w:val="0"/>
    <w:pPr>
      <w:adjustRightInd w:val="0"/>
      <w:spacing w:line="312" w:lineRule="atLeast"/>
      <w:textAlignment w:val="baseline"/>
    </w:pPr>
    <w:rPr>
      <w:kern w:val="0"/>
    </w:rPr>
  </w:style>
  <w:style w:type="paragraph" w:customStyle="1" w:styleId="128">
    <w:name w:val="xl35"/>
    <w:basedOn w:val="1"/>
    <w:autoRedefine/>
    <w:qFormat/>
    <w:uiPriority w:val="0"/>
    <w:pPr>
      <w:widowControl/>
      <w:spacing w:before="100" w:beforeAutospacing="1" w:after="100" w:afterAutospacing="1"/>
      <w:jc w:val="right"/>
      <w:textAlignment w:val="center"/>
    </w:pPr>
    <w:rPr>
      <w:rFonts w:ascii="宋体" w:hAnsi="宋体"/>
      <w:kern w:val="0"/>
      <w:sz w:val="18"/>
      <w:szCs w:val="18"/>
    </w:rPr>
  </w:style>
  <w:style w:type="paragraph" w:customStyle="1" w:styleId="129">
    <w:name w:val="样式1"/>
    <w:basedOn w:val="1"/>
    <w:autoRedefine/>
    <w:qFormat/>
    <w:uiPriority w:val="0"/>
    <w:pPr>
      <w:spacing w:line="360" w:lineRule="exact"/>
      <w:ind w:firstLine="200" w:firstLineChars="200"/>
    </w:pPr>
    <w:rPr>
      <w:rFonts w:ascii="Arial" w:hAnsi="Arial"/>
    </w:rPr>
  </w:style>
  <w:style w:type="paragraph" w:customStyle="1" w:styleId="130">
    <w:name w:val="正文_13"/>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1">
    <w:name w:val="Char Char Char Char Char Char Char Char Char Char Char Char Char Char Char Char Char Char Char Char Char Char Char Char Char Char Char Char Char1 Char Char Char Char Char Char Char Char Char Char Char Char"/>
    <w:basedOn w:val="1"/>
    <w:autoRedefine/>
    <w:unhideWhenUsed/>
    <w:qFormat/>
    <w:uiPriority w:val="0"/>
    <w:rPr>
      <w:rFonts w:ascii="仿宋_GB2312" w:eastAsia="仿宋_GB2312"/>
      <w:b/>
      <w:sz w:val="32"/>
    </w:rPr>
  </w:style>
  <w:style w:type="paragraph" w:customStyle="1" w:styleId="132">
    <w:name w:val="Normal Indent1"/>
    <w:basedOn w:val="1"/>
    <w:autoRedefine/>
    <w:qFormat/>
    <w:uiPriority w:val="0"/>
    <w:pPr>
      <w:ind w:firstLine="420"/>
    </w:pPr>
  </w:style>
  <w:style w:type="paragraph" w:customStyle="1" w:styleId="133">
    <w:name w:val="正文段"/>
    <w:basedOn w:val="1"/>
    <w:autoRedefine/>
    <w:qFormat/>
    <w:uiPriority w:val="0"/>
    <w:pPr>
      <w:widowControl/>
      <w:snapToGrid w:val="0"/>
      <w:spacing w:afterLines="50"/>
      <w:ind w:firstLine="200" w:firstLineChars="200"/>
    </w:pPr>
    <w:rPr>
      <w:kern w:val="0"/>
      <w:sz w:val="24"/>
    </w:rPr>
  </w:style>
  <w:style w:type="paragraph" w:customStyle="1" w:styleId="134">
    <w:name w:val="默认段落字体 Para Char Char Char Char Char Char Char Char Char1 Char Char Char Char"/>
    <w:basedOn w:val="1"/>
    <w:autoRedefine/>
    <w:qFormat/>
    <w:uiPriority w:val="0"/>
    <w:rPr>
      <w:rFonts w:ascii="Tahoma" w:hAnsi="Tahoma"/>
      <w:sz w:val="24"/>
    </w:rPr>
  </w:style>
  <w:style w:type="paragraph" w:customStyle="1" w:styleId="135">
    <w:name w:val="正文缩进1"/>
    <w:basedOn w:val="136"/>
    <w:next w:val="55"/>
    <w:autoRedefine/>
    <w:qFormat/>
    <w:uiPriority w:val="0"/>
    <w:pPr>
      <w:spacing w:line="480" w:lineRule="exact"/>
    </w:pPr>
    <w:rPr>
      <w:rFonts w:ascii="宋体" w:hAnsi="宋体"/>
      <w:sz w:val="24"/>
    </w:rPr>
  </w:style>
  <w:style w:type="paragraph" w:customStyle="1" w:styleId="136">
    <w:name w:val="正文11"/>
    <w:next w:val="135"/>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37">
    <w:name w:val="文档正文"/>
    <w:basedOn w:val="1"/>
    <w:autoRedefine/>
    <w:qFormat/>
    <w:uiPriority w:val="0"/>
    <w:pPr>
      <w:adjustRightInd w:val="0"/>
      <w:spacing w:line="312" w:lineRule="atLeast"/>
      <w:ind w:firstLine="567"/>
      <w:textAlignment w:val="baseline"/>
    </w:pPr>
    <w:rPr>
      <w:rFonts w:ascii="长城仿宋" w:hAnsi="Calibri" w:eastAsia="长城仿宋"/>
      <w:sz w:val="28"/>
      <w:szCs w:val="22"/>
    </w:rPr>
  </w:style>
  <w:style w:type="paragraph" w:customStyle="1" w:styleId="138">
    <w:name w:val="font5"/>
    <w:basedOn w:val="1"/>
    <w:autoRedefine/>
    <w:qFormat/>
    <w:uiPriority w:val="0"/>
    <w:pPr>
      <w:widowControl/>
      <w:spacing w:before="100" w:beforeAutospacing="1" w:after="100" w:afterAutospacing="1"/>
      <w:jc w:val="left"/>
    </w:pPr>
    <w:rPr>
      <w:rFonts w:ascii="宋体" w:hAnsi="宋体"/>
      <w:kern w:val="0"/>
      <w:sz w:val="18"/>
      <w:szCs w:val="18"/>
    </w:rPr>
  </w:style>
  <w:style w:type="paragraph" w:customStyle="1" w:styleId="139">
    <w:name w:val="p0"/>
    <w:basedOn w:val="1"/>
    <w:autoRedefine/>
    <w:qFormat/>
    <w:uiPriority w:val="0"/>
    <w:pPr>
      <w:widowControl/>
    </w:pPr>
    <w:rPr>
      <w:kern w:val="0"/>
      <w:szCs w:val="21"/>
    </w:rPr>
  </w:style>
  <w:style w:type="character" w:customStyle="1" w:styleId="140">
    <w:name w:val="font21"/>
    <w:autoRedefine/>
    <w:qFormat/>
    <w:uiPriority w:val="0"/>
    <w:rPr>
      <w:rFonts w:hint="eastAsia" w:ascii="宋体" w:hAnsi="宋体" w:eastAsia="宋体" w:cs="宋体"/>
      <w:color w:val="000000"/>
      <w:sz w:val="24"/>
      <w:szCs w:val="24"/>
      <w:u w:val="none"/>
    </w:rPr>
  </w:style>
  <w:style w:type="character" w:customStyle="1" w:styleId="141">
    <w:name w:val="font31"/>
    <w:basedOn w:val="43"/>
    <w:autoRedefine/>
    <w:qFormat/>
    <w:uiPriority w:val="0"/>
    <w:rPr>
      <w:rFonts w:hint="eastAsia" w:ascii="宋体" w:hAnsi="宋体" w:eastAsia="宋体" w:cs="宋体"/>
      <w:b/>
      <w:bCs/>
      <w:color w:val="000000"/>
      <w:sz w:val="24"/>
      <w:szCs w:val="24"/>
      <w:u w:val="none"/>
    </w:rPr>
  </w:style>
  <w:style w:type="paragraph" w:customStyle="1" w:styleId="142">
    <w:name w:val="_Style 1"/>
    <w:basedOn w:val="1"/>
    <w:autoRedefine/>
    <w:qFormat/>
    <w:uiPriority w:val="0"/>
    <w:pPr>
      <w:ind w:firstLine="420"/>
    </w:pPr>
    <w:rPr>
      <w:rFonts w:ascii="Calibri" w:hAnsi="Calibri"/>
      <w:szCs w:val="22"/>
    </w:rPr>
  </w:style>
  <w:style w:type="paragraph" w:customStyle="1" w:styleId="143">
    <w:name w:val="无间隔1"/>
    <w:autoRedefine/>
    <w:qFormat/>
    <w:uiPriority w:val="0"/>
    <w:rPr>
      <w:rFonts w:ascii="Calibri" w:hAnsi="Calibri" w:eastAsia="宋体" w:cs="Times New Roman"/>
      <w:sz w:val="22"/>
      <w:szCs w:val="22"/>
      <w:lang w:val="en-US" w:eastAsia="en-US" w:bidi="ar-SA"/>
    </w:rPr>
  </w:style>
  <w:style w:type="character" w:customStyle="1" w:styleId="144">
    <w:name w:val="font61"/>
    <w:autoRedefine/>
    <w:qFormat/>
    <w:uiPriority w:val="0"/>
    <w:rPr>
      <w:rFonts w:hint="eastAsia" w:ascii="宋体" w:hAnsi="宋体" w:eastAsia="宋体" w:cs="宋体"/>
      <w:color w:val="FF0000"/>
      <w:sz w:val="24"/>
      <w:szCs w:val="24"/>
      <w:u w:val="none"/>
    </w:rPr>
  </w:style>
  <w:style w:type="paragraph" w:customStyle="1" w:styleId="145">
    <w:name w:val="修订1"/>
    <w:autoRedefine/>
    <w:hidden/>
    <w:unhideWhenUsed/>
    <w:qFormat/>
    <w:uiPriority w:val="99"/>
    <w:rPr>
      <w:rFonts w:hint="eastAsia" w:ascii="Times New Roman" w:hAnsi="Times New Roman" w:eastAsia="宋体" w:cs="Times New Roman"/>
      <w:kern w:val="2"/>
      <w:sz w:val="21"/>
      <w:lang w:val="en-US" w:eastAsia="zh-CN" w:bidi="ar-SA"/>
    </w:rPr>
  </w:style>
  <w:style w:type="character" w:customStyle="1" w:styleId="146">
    <w:name w:val="纯文本 字符1"/>
    <w:autoRedefine/>
    <w:qFormat/>
    <w:uiPriority w:val="0"/>
    <w:rPr>
      <w:rFonts w:ascii="宋体" w:hAnsi="Courier New" w:eastAsia="宋体" w:cs="Arial"/>
      <w:snapToGrid w:val="0"/>
      <w:kern w:val="2"/>
      <w:sz w:val="21"/>
      <w:szCs w:val="21"/>
      <w:lang w:val="en-US" w:eastAsia="zh-CN" w:bidi="ar-SA"/>
    </w:rPr>
  </w:style>
  <w:style w:type="table" w:customStyle="1" w:styleId="147">
    <w:name w:val="网格型浅色1"/>
    <w:basedOn w:val="41"/>
    <w:autoRedefine/>
    <w:qFormat/>
    <w:uiPriority w:val="40"/>
    <w:tblPr>
      <w:tblBorders>
        <w:top w:val="single" w:color="BEBEBE" w:themeColor="background1" w:themeShade="BF" w:sz="4" w:space="0"/>
        <w:left w:val="single" w:color="BEBEBE" w:themeColor="background1" w:themeShade="BF" w:sz="4" w:space="0"/>
        <w:bottom w:val="single" w:color="BEBEBE" w:themeColor="background1" w:themeShade="BF" w:sz="4" w:space="0"/>
        <w:right w:val="single" w:color="BEBEBE" w:themeColor="background1" w:themeShade="BF" w:sz="4" w:space="0"/>
        <w:insideH w:val="single" w:color="BEBEBE" w:themeColor="background1" w:themeShade="BF" w:sz="4" w:space="0"/>
        <w:insideV w:val="single" w:color="BEBEBE" w:themeColor="background1" w:themeShade="BF" w:sz="4" w:space="0"/>
      </w:tblBorders>
    </w:tblPr>
  </w:style>
  <w:style w:type="character" w:customStyle="1" w:styleId="148">
    <w:name w:val="NormalCharacter"/>
    <w:autoRedefine/>
    <w:qFormat/>
    <w:uiPriority w:val="0"/>
    <w:rPr>
      <w:kern w:val="2"/>
      <w:sz w:val="21"/>
      <w:szCs w:val="24"/>
      <w:lang w:val="en-US" w:eastAsia="zh-CN" w:bidi="ar-SA"/>
    </w:rPr>
  </w:style>
  <w:style w:type="paragraph" w:customStyle="1" w:styleId="149">
    <w:name w:val="正文空2字"/>
    <w:basedOn w:val="150"/>
    <w:autoRedefine/>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150">
    <w:name w:val="左对齐正文"/>
    <w:autoRedefine/>
    <w:qFormat/>
    <w:uiPriority w:val="99"/>
    <w:rPr>
      <w:rFonts w:ascii="Calibri" w:hAnsi="Calibri" w:eastAsia="仿宋_GB2312" w:cs="Calibri"/>
      <w:kern w:val="2"/>
      <w:sz w:val="32"/>
      <w:szCs w:val="3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3.xml"/><Relationship Id="rId7" Type="http://schemas.openxmlformats.org/officeDocument/2006/relationships/footer" Target="footer2.xml"/><Relationship Id="rId6" Type="http://schemas.openxmlformats.org/officeDocument/2006/relationships/header" Target="header2.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2.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814B8F1D-8149-415F-B1F2-7813D876638C}">
  <ds:schemaRefs/>
</ds:datastoreItem>
</file>

<file path=docProps/app.xml><?xml version="1.0" encoding="utf-8"?>
<Properties xmlns="http://schemas.openxmlformats.org/officeDocument/2006/extended-properties" xmlns:vt="http://schemas.openxmlformats.org/officeDocument/2006/docPropsVTypes">
  <Template>Normal</Template>
  <Company>青鸟杭办</Company>
  <Pages>80</Pages>
  <Words>42278</Words>
  <Characters>45155</Characters>
  <Lines>342</Lines>
  <Paragraphs>96</Paragraphs>
  <TotalTime>18</TotalTime>
  <ScaleCrop>false</ScaleCrop>
  <LinksUpToDate>false</LinksUpToDate>
  <CharactersWithSpaces>48069</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2024-05-07T02:29:00Z</dcterms:created>
  <dc:creator>黄旭明</dc:creator>
  <cp:lastModifiedBy>豪圣</cp:lastModifiedBy>
  <cp:lastPrinted>2019-07-03T10:12:00Z</cp:lastPrinted>
  <dcterms:modified xsi:type="dcterms:W3CDTF">2024-10-10T10:23:29Z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FB4A835FAD91444485646B759A11CD8D_13</vt:lpwstr>
  </property>
</Properties>
</file>