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eastAsia="宋体" w:cs="宋体"/>
          <w:color w:val="auto"/>
          <w:sz w:val="15"/>
          <w:szCs w:val="15"/>
          <w:highlight w:val="none"/>
        </w:rPr>
      </w:pPr>
    </w:p>
    <w:p>
      <w:pPr>
        <w:spacing w:before="600" w:beforeLines="250" w:line="312"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衢州市中心血站</w:t>
      </w:r>
      <w:bookmarkStart w:id="0" w:name="OLE_LINK1"/>
      <w:r>
        <w:rPr>
          <w:rFonts w:hint="eastAsia" w:ascii="宋体" w:hAnsi="宋体" w:cs="宋体"/>
          <w:color w:val="auto"/>
          <w:sz w:val="52"/>
          <w:szCs w:val="52"/>
          <w:highlight w:val="none"/>
          <w:lang w:eastAsia="zh-CN"/>
        </w:rPr>
        <w:t>一次性血液成分分离管路采购项目</w:t>
      </w:r>
      <w:bookmarkEnd w:id="0"/>
    </w:p>
    <w:p>
      <w:pPr>
        <w:pStyle w:val="20"/>
        <w:rPr>
          <w:rFonts w:hint="eastAsia"/>
          <w:color w:val="auto"/>
          <w:highlight w:val="none"/>
        </w:rPr>
      </w:pPr>
    </w:p>
    <w:p>
      <w:pPr>
        <w:spacing w:before="600" w:beforeLines="250" w:line="312" w:lineRule="auto"/>
        <w:jc w:val="center"/>
        <w:rPr>
          <w:rFonts w:hint="eastAsia" w:ascii="宋体" w:hAnsi="宋体" w:eastAsia="宋体" w:cs="宋体"/>
          <w:bCs/>
          <w:color w:val="auto"/>
          <w:sz w:val="90"/>
          <w:szCs w:val="90"/>
          <w:highlight w:val="none"/>
        </w:rPr>
      </w:pPr>
      <w:r>
        <w:rPr>
          <w:rFonts w:hint="eastAsia" w:ascii="宋体" w:hAnsi="宋体" w:eastAsia="宋体" w:cs="宋体"/>
          <w:bCs/>
          <w:color w:val="auto"/>
          <w:sz w:val="96"/>
          <w:szCs w:val="96"/>
          <w:highlight w:val="none"/>
        </w:rPr>
        <w:t>招 标 文 件</w:t>
      </w: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480" w:lineRule="auto"/>
        <w:ind w:left="3531" w:leftChars="912" w:hanging="1616" w:hangingChars="50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bookmarkStart w:id="1" w:name="OLE_LINK3"/>
      <w:r>
        <w:rPr>
          <w:rFonts w:hint="eastAsia" w:ascii="宋体" w:hAnsi="宋体" w:cs="宋体"/>
          <w:color w:val="auto"/>
          <w:sz w:val="32"/>
          <w:szCs w:val="32"/>
          <w:highlight w:val="none"/>
          <w:lang w:eastAsia="zh-CN"/>
        </w:rPr>
        <w:t>一次性血液成分分离管路采购项目</w:t>
      </w:r>
      <w:bookmarkEnd w:id="1"/>
    </w:p>
    <w:p>
      <w:pPr>
        <w:spacing w:line="480" w:lineRule="auto"/>
        <w:ind w:firstLine="1897" w:firstLineChars="59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bookmarkStart w:id="2" w:name="OLE_LINK2"/>
      <w:r>
        <w:rPr>
          <w:rFonts w:hint="eastAsia" w:ascii="宋体" w:hAnsi="宋体" w:cs="宋体"/>
          <w:color w:val="auto"/>
          <w:sz w:val="32"/>
          <w:szCs w:val="32"/>
          <w:highlight w:val="none"/>
          <w:lang w:eastAsia="zh-CN"/>
        </w:rPr>
        <w:t>ZJCT-Z20250002</w:t>
      </w:r>
      <w:bookmarkEnd w:id="2"/>
    </w:p>
    <w:p>
      <w:pPr>
        <w:spacing w:line="480" w:lineRule="auto"/>
        <w:ind w:firstLine="1897" w:firstLineChars="59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eastAsia="zh-CN"/>
        </w:rPr>
        <w:t>衢州市中心血站</w:t>
      </w:r>
    </w:p>
    <w:p>
      <w:pPr>
        <w:spacing w:line="480" w:lineRule="auto"/>
        <w:ind w:firstLine="1897" w:firstLineChars="59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代理机构：浙江省成套工程有限公司</w:t>
      </w:r>
    </w:p>
    <w:p>
      <w:pPr>
        <w:spacing w:line="312" w:lineRule="auto"/>
        <w:jc w:val="center"/>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sectPr>
          <w:headerReference r:id="rId3" w:type="default"/>
          <w:footerReference r:id="rId4" w:type="default"/>
          <w:pgSz w:w="11906" w:h="16838"/>
          <w:pgMar w:top="1389" w:right="1134" w:bottom="1389" w:left="1417" w:header="851" w:footer="992" w:gutter="283"/>
          <w:pgNumType w:start="1"/>
          <w:cols w:space="720" w:num="1"/>
          <w:docGrid w:linePitch="312" w:charSpace="0"/>
        </w:sectPr>
      </w:pPr>
      <w:r>
        <w:rPr>
          <w:rFonts w:hint="eastAsia" w:ascii="宋体" w:hAnsi="宋体" w:cs="宋体"/>
          <w:color w:val="auto"/>
          <w:sz w:val="32"/>
          <w:szCs w:val="32"/>
          <w:highlight w:val="none"/>
          <w:lang w:eastAsia="zh-CN"/>
        </w:rPr>
        <w:t>2025年</w:t>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t>月</w:t>
      </w:r>
    </w:p>
    <w:p>
      <w:pPr>
        <w:snapToGrid w:val="0"/>
        <w:spacing w:line="312" w:lineRule="auto"/>
        <w:jc w:val="center"/>
        <w:rPr>
          <w:rFonts w:hint="eastAsia" w:ascii="宋体" w:hAnsi="宋体" w:eastAsia="宋体" w:cs="宋体"/>
          <w:bCs/>
          <w:color w:val="auto"/>
          <w:sz w:val="28"/>
          <w:szCs w:val="28"/>
          <w:highlight w:val="none"/>
        </w:rPr>
      </w:pPr>
    </w:p>
    <w:p>
      <w:pPr>
        <w:snapToGrid w:val="0"/>
        <w:spacing w:line="312"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目  录</w:t>
      </w:r>
    </w:p>
    <w:p>
      <w:pPr>
        <w:pStyle w:val="15"/>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第二章  投标须知前附表及投标须知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一、 投标须知前附表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"_Toc13996"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二、 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"_Toc24659"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三、 招标文件说明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四、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"_Toc21663"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五、 投标文件的签署及规定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"_Toc5517"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六、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七、 投标无效的情形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"_Toc8559"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八、 串通投标的情形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九、 废标的情形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"_Toc17839"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 开标和评标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十一、 定标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"_Toc18414"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十二、 质疑与投诉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"_Toc29377"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十三、 法律责任</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_Toc29377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十四、 代理服务费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"_Toc23429"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十五、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"_Toc17730"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第三章  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第四章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第五章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"_Toc23244"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lang w:val="zh-CN"/>
        </w:rPr>
        <w:t>第六章</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评标办法及开标程序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9128"/>
        </w:tabs>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"_Toc15603"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lang w:val="zh-CN"/>
        </w:rPr>
        <w:t>第七章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9</w:t>
      </w:r>
    </w:p>
    <w:p>
      <w:pPr>
        <w:snapToGrid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3" w:name="_Toc354491895"/>
      <w:bookmarkStart w:id="4" w:name="_Toc356371429"/>
    </w:p>
    <w:p>
      <w:pPr>
        <w:snapToGrid w:val="0"/>
        <w:spacing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bookmarkStart w:id="5" w:name="_Toc12559"/>
      <w:bookmarkStart w:id="6" w:name="_Toc2041"/>
      <w:r>
        <w:rPr>
          <w:rFonts w:hint="eastAsia" w:ascii="宋体" w:hAnsi="宋体" w:eastAsia="宋体" w:cs="宋体"/>
          <w:bCs/>
          <w:color w:val="auto"/>
          <w:szCs w:val="21"/>
          <w:highlight w:val="none"/>
        </w:rPr>
        <w:t xml:space="preserve">第一章  </w:t>
      </w:r>
      <w:bookmarkEnd w:id="3"/>
      <w:r>
        <w:rPr>
          <w:rFonts w:hint="eastAsia" w:ascii="宋体" w:hAnsi="宋体" w:eastAsia="宋体" w:cs="宋体"/>
          <w:bCs/>
          <w:color w:val="auto"/>
          <w:szCs w:val="21"/>
          <w:highlight w:val="none"/>
        </w:rPr>
        <w:t>招标公告</w:t>
      </w:r>
      <w:bookmarkEnd w:id="4"/>
      <w:bookmarkEnd w:id="5"/>
      <w:bookmarkEnd w:id="6"/>
    </w:p>
    <w:p>
      <w:pPr>
        <w:spacing w:line="312" w:lineRule="auto"/>
        <w:jc w:val="center"/>
        <w:rPr>
          <w:rFonts w:hint="eastAsia" w:ascii="宋体" w:hAnsi="宋体" w:eastAsia="宋体" w:cs="宋体"/>
          <w:b/>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u w:val="single"/>
          <w:lang w:eastAsia="zh-CN"/>
        </w:rPr>
        <w:t>衢州市中心血站</w:t>
      </w:r>
      <w:r>
        <w:rPr>
          <w:rFonts w:hint="eastAsia" w:ascii="宋体" w:hAnsi="宋体" w:cs="宋体"/>
          <w:color w:val="auto"/>
          <w:sz w:val="22"/>
          <w:szCs w:val="22"/>
          <w:highlight w:val="none"/>
          <w:u w:val="single"/>
          <w:lang w:val="en-US" w:eastAsia="zh-CN"/>
        </w:rPr>
        <w:t>一次性血液成分分离管路采购项目</w:t>
      </w:r>
      <w:r>
        <w:rPr>
          <w:rFonts w:hint="eastAsia" w:ascii="宋体" w:hAnsi="宋体" w:eastAsia="宋体" w:cs="宋体"/>
          <w:color w:val="auto"/>
          <w:sz w:val="22"/>
          <w:szCs w:val="22"/>
          <w:highlight w:val="none"/>
        </w:rPr>
        <w:t>的潜在供应商应在</w:t>
      </w:r>
      <w:r>
        <w:rPr>
          <w:rFonts w:hint="eastAsia" w:ascii="宋体" w:hAnsi="宋体" w:eastAsia="宋体" w:cs="宋体"/>
          <w:color w:val="auto"/>
          <w:sz w:val="22"/>
          <w:szCs w:val="22"/>
          <w:highlight w:val="none"/>
          <w:u w:val="single"/>
        </w:rPr>
        <w:t>浙江政府采购网上</w:t>
      </w:r>
      <w:r>
        <w:rPr>
          <w:rFonts w:hint="eastAsia" w:ascii="宋体" w:hAnsi="宋体" w:eastAsia="宋体" w:cs="宋体"/>
          <w:color w:val="auto"/>
          <w:sz w:val="22"/>
          <w:szCs w:val="22"/>
          <w:highlight w:val="none"/>
        </w:rPr>
        <w:t>获取采购文件，并于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2025年</w:t>
      </w:r>
      <w:r>
        <w:rPr>
          <w:rFonts w:hint="eastAsia" w:ascii="宋体" w:hAnsi="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28</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0分</w:t>
      </w:r>
      <w:r>
        <w:rPr>
          <w:rFonts w:hint="eastAsia" w:ascii="宋体" w:hAnsi="宋体" w:eastAsia="宋体" w:cs="宋体"/>
          <w:bCs/>
          <w:color w:val="auto"/>
          <w:sz w:val="22"/>
          <w:szCs w:val="22"/>
          <w:highlight w:val="none"/>
        </w:rPr>
        <w:t>（北京时间）前提交响应文件</w:t>
      </w:r>
      <w:r>
        <w:rPr>
          <w:rFonts w:hint="eastAsia" w:ascii="宋体" w:hAnsi="宋体" w:eastAsia="宋体" w:cs="宋体"/>
          <w:color w:val="auto"/>
          <w:sz w:val="22"/>
          <w:szCs w:val="22"/>
          <w:highlight w:val="none"/>
        </w:rPr>
        <w:t>。</w:t>
      </w:r>
    </w:p>
    <w:p>
      <w:pPr>
        <w:pStyle w:val="4"/>
        <w:spacing w:before="0" w:after="0" w:line="360" w:lineRule="auto"/>
        <w:ind w:firstLine="442" w:firstLineChars="200"/>
        <w:rPr>
          <w:rFonts w:hint="eastAsia" w:ascii="宋体" w:hAnsi="宋体" w:eastAsia="宋体" w:cs="宋体"/>
          <w:b/>
          <w:color w:val="auto"/>
          <w:sz w:val="22"/>
          <w:szCs w:val="22"/>
          <w:highlight w:val="none"/>
        </w:rPr>
      </w:pPr>
      <w:bookmarkStart w:id="7" w:name="_Toc28359012"/>
      <w:bookmarkStart w:id="8" w:name="_Toc35393798"/>
      <w:bookmarkStart w:id="9" w:name="_Toc29280"/>
      <w:bookmarkStart w:id="10" w:name="_Toc35393629"/>
      <w:bookmarkStart w:id="11" w:name="_Toc28359089"/>
      <w:r>
        <w:rPr>
          <w:rFonts w:hint="eastAsia" w:ascii="宋体" w:hAnsi="宋体" w:eastAsia="宋体" w:cs="宋体"/>
          <w:b/>
          <w:color w:val="auto"/>
          <w:sz w:val="22"/>
          <w:szCs w:val="22"/>
          <w:highlight w:val="none"/>
        </w:rPr>
        <w:t>一、项目基本情况</w:t>
      </w:r>
      <w:bookmarkEnd w:id="7"/>
      <w:bookmarkEnd w:id="8"/>
      <w:bookmarkEnd w:id="9"/>
      <w:bookmarkEnd w:id="10"/>
      <w:bookmarkEnd w:id="11"/>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项目编号：</w:t>
      </w:r>
      <w:r>
        <w:rPr>
          <w:rFonts w:hint="eastAsia" w:ascii="宋体" w:hAnsi="宋体" w:cs="宋体"/>
          <w:color w:val="auto"/>
          <w:sz w:val="22"/>
          <w:szCs w:val="22"/>
          <w:highlight w:val="none"/>
          <w:lang w:eastAsia="zh-CN"/>
        </w:rPr>
        <w:t>ZJCT-Z20250002</w:t>
      </w:r>
      <w:r>
        <w:rPr>
          <w:rFonts w:hint="eastAsia" w:ascii="宋体" w:hAnsi="宋体" w:cs="宋体"/>
          <w:color w:val="auto"/>
          <w:sz w:val="22"/>
          <w:szCs w:val="22"/>
          <w:highlight w:val="none"/>
          <w:lang w:val="en-US" w:eastAsia="zh-CN"/>
        </w:rPr>
        <w:t xml:space="preserve"> </w:t>
      </w:r>
    </w:p>
    <w:p>
      <w:pPr>
        <w:spacing w:line="360" w:lineRule="auto"/>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bCs/>
          <w:color w:val="auto"/>
          <w:sz w:val="22"/>
          <w:szCs w:val="22"/>
          <w:highlight w:val="none"/>
          <w:lang w:eastAsia="zh-CN"/>
        </w:rPr>
        <w:t>衢州市中心血站</w:t>
      </w:r>
      <w:r>
        <w:rPr>
          <w:rFonts w:hint="eastAsia" w:ascii="宋体" w:hAnsi="宋体" w:cs="宋体"/>
          <w:bCs/>
          <w:color w:val="auto"/>
          <w:sz w:val="22"/>
          <w:szCs w:val="22"/>
          <w:highlight w:val="none"/>
          <w:lang w:val="en-US" w:eastAsia="zh-CN"/>
        </w:rPr>
        <w:t>一次性血液成分分离管路采购项目</w:t>
      </w:r>
    </w:p>
    <w:p>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采购方式：</w:t>
      </w:r>
      <w:r>
        <w:rPr>
          <w:rFonts w:hint="eastAsia" w:ascii="宋体" w:hAnsi="宋体" w:cs="宋体"/>
          <w:color w:val="auto"/>
          <w:sz w:val="22"/>
          <w:szCs w:val="22"/>
          <w:highlight w:val="none"/>
          <w:lang w:val="en-US" w:eastAsia="zh-CN"/>
        </w:rPr>
        <w:t>公开招标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w:t>
      </w:r>
      <w:r>
        <w:rPr>
          <w:rFonts w:hint="eastAsia" w:ascii="宋体" w:hAnsi="宋体" w:cs="宋体"/>
          <w:color w:val="auto"/>
          <w:sz w:val="22"/>
          <w:szCs w:val="22"/>
          <w:highlight w:val="none"/>
          <w:lang w:val="en-US" w:eastAsia="zh-CN"/>
        </w:rPr>
        <w:t>180.00万元</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w:t>
      </w:r>
      <w:r>
        <w:rPr>
          <w:rFonts w:hint="eastAsia" w:ascii="宋体" w:hAnsi="宋体" w:cs="宋体"/>
          <w:color w:val="auto"/>
          <w:sz w:val="22"/>
          <w:szCs w:val="22"/>
          <w:highlight w:val="none"/>
          <w:lang w:val="en-US" w:eastAsia="zh-CN"/>
        </w:rPr>
        <w:t>/</w:t>
      </w:r>
    </w:p>
    <w:p>
      <w:pPr>
        <w:pStyle w:val="12"/>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采购需求：</w:t>
      </w:r>
    </w:p>
    <w:tbl>
      <w:tblPr>
        <w:tblStyle w:val="22"/>
        <w:tblW w:w="7631" w:type="dxa"/>
        <w:jc w:val="center"/>
        <w:tblLayout w:type="fixed"/>
        <w:tblCellMar>
          <w:top w:w="0" w:type="dxa"/>
          <w:left w:w="108" w:type="dxa"/>
          <w:bottom w:w="0" w:type="dxa"/>
          <w:right w:w="108" w:type="dxa"/>
        </w:tblCellMar>
      </w:tblPr>
      <w:tblGrid>
        <w:gridCol w:w="848"/>
        <w:gridCol w:w="2310"/>
        <w:gridCol w:w="1423"/>
        <w:gridCol w:w="1976"/>
        <w:gridCol w:w="1074"/>
      </w:tblGrid>
      <w:tr>
        <w:tblPrEx>
          <w:tblCellMar>
            <w:top w:w="0" w:type="dxa"/>
            <w:left w:w="108" w:type="dxa"/>
            <w:bottom w:w="0" w:type="dxa"/>
            <w:right w:w="108" w:type="dxa"/>
          </w:tblCellMar>
        </w:tblPrEx>
        <w:trPr>
          <w:trHeight w:val="567" w:hRule="atLeast"/>
          <w:jc w:val="center"/>
        </w:trPr>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标项</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标项名称</w:t>
            </w:r>
          </w:p>
        </w:tc>
        <w:tc>
          <w:tcPr>
            <w:tcW w:w="1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服务期限</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w:t>
            </w:r>
          </w:p>
        </w:tc>
        <w:tc>
          <w:tcPr>
            <w:tcW w:w="107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567" w:hRule="atLeast"/>
          <w:jc w:val="center"/>
        </w:trPr>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lang w:val="en-US" w:eastAsia="zh-CN"/>
              </w:rPr>
              <w:t>一次性血液成分分离管路采购项目</w:t>
            </w:r>
          </w:p>
        </w:tc>
        <w:tc>
          <w:tcPr>
            <w:tcW w:w="14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1年</w:t>
            </w:r>
          </w:p>
        </w:tc>
        <w:tc>
          <w:tcPr>
            <w:tcW w:w="197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180.00万元</w:t>
            </w:r>
          </w:p>
        </w:tc>
        <w:tc>
          <w:tcPr>
            <w:tcW w:w="1074"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bl>
    <w:p>
      <w:pPr>
        <w:pStyle w:val="12"/>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注：详细采购需求见</w:t>
      </w:r>
      <w:r>
        <w:rPr>
          <w:rFonts w:hint="eastAsia" w:hAnsi="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文件第三部分</w:t>
      </w:r>
    </w:p>
    <w:p>
      <w:pPr>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合同履行期限：</w:t>
      </w:r>
      <w:r>
        <w:rPr>
          <w:rFonts w:hint="eastAsia" w:ascii="宋体" w:hAnsi="宋体" w:eastAsia="宋体" w:cs="宋体"/>
          <w:color w:val="auto"/>
          <w:sz w:val="22"/>
          <w:szCs w:val="22"/>
          <w:highlight w:val="none"/>
          <w:lang w:val="en-US" w:eastAsia="zh-CN"/>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w:t>
      </w:r>
      <w:bookmarkStart w:id="12" w:name="_Toc28359013"/>
      <w:bookmarkStart w:id="13" w:name="_Toc35393630"/>
      <w:bookmarkStart w:id="14" w:name="_Toc35393799"/>
      <w:bookmarkStart w:id="15" w:name="_Toc28359090"/>
    </w:p>
    <w:p>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二、申请人的资格要求：</w:t>
      </w:r>
      <w:bookmarkEnd w:id="12"/>
      <w:bookmarkEnd w:id="13"/>
      <w:bookmarkEnd w:id="14"/>
      <w:bookmarkEnd w:id="15"/>
    </w:p>
    <w:p>
      <w:pPr>
        <w:spacing w:line="360" w:lineRule="auto"/>
        <w:ind w:firstLine="440" w:firstLineChars="200"/>
        <w:rPr>
          <w:rFonts w:hint="eastAsia" w:ascii="宋体" w:hAnsi="宋体" w:eastAsia="宋体" w:cs="宋体"/>
          <w:color w:val="auto"/>
          <w:sz w:val="22"/>
          <w:szCs w:val="22"/>
          <w:highlight w:val="none"/>
        </w:rPr>
      </w:pPr>
      <w:bookmarkStart w:id="16" w:name="_Toc28359091"/>
      <w:bookmarkStart w:id="17" w:name="_Toc28359014"/>
      <w:r>
        <w:rPr>
          <w:rFonts w:hint="eastAsia" w:ascii="宋体" w:hAnsi="宋体" w:eastAsia="宋体" w:cs="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w:t>
      </w:r>
      <w:r>
        <w:rPr>
          <w:rFonts w:hint="eastAsia" w:ascii="宋体" w:hAnsi="宋体" w:cs="宋体"/>
          <w:color w:val="auto"/>
          <w:sz w:val="22"/>
          <w:szCs w:val="22"/>
          <w:highlight w:val="none"/>
          <w:lang w:val="en-US" w:eastAsia="zh-CN"/>
        </w:rPr>
        <w:t>无</w:t>
      </w:r>
      <w:r>
        <w:rPr>
          <w:rFonts w:hint="eastAsia" w:ascii="宋体" w:hAnsi="宋体" w:eastAsia="宋体" w:cs="宋体"/>
          <w:color w:val="auto"/>
          <w:sz w:val="22"/>
          <w:szCs w:val="22"/>
          <w:highlight w:val="none"/>
        </w:rPr>
        <w:t>。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提供投标产品有效的《医疗器械产品注册证》或备案表，如非医疗器械产品则无需提供。</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提供供应商有效的《医疗器械经营企业许可证》或医疗器械经营备案凭证，如非第二类、第三类医疗器械产品则无需提供，如果是制造商另须提供《医疗器械生产许可证》。</w:t>
      </w:r>
    </w:p>
    <w:p>
      <w:pPr>
        <w:pStyle w:val="4"/>
        <w:spacing w:before="0" w:after="0" w:line="360" w:lineRule="auto"/>
        <w:ind w:firstLine="442" w:firstLineChars="200"/>
        <w:rPr>
          <w:rFonts w:hint="eastAsia" w:ascii="宋体" w:hAnsi="宋体" w:eastAsia="宋体" w:cs="宋体"/>
          <w:b/>
          <w:color w:val="auto"/>
          <w:sz w:val="22"/>
          <w:szCs w:val="22"/>
          <w:highlight w:val="none"/>
        </w:rPr>
      </w:pPr>
      <w:bookmarkStart w:id="18" w:name="_Toc17427"/>
      <w:bookmarkStart w:id="19" w:name="_Toc35393800"/>
      <w:bookmarkStart w:id="20" w:name="_Toc35393631"/>
      <w:r>
        <w:rPr>
          <w:rFonts w:hint="eastAsia" w:ascii="宋体" w:hAnsi="宋体" w:eastAsia="宋体" w:cs="宋体"/>
          <w:b/>
          <w:color w:val="auto"/>
          <w:sz w:val="22"/>
          <w:szCs w:val="22"/>
          <w:highlight w:val="none"/>
        </w:rPr>
        <w:t>三、获取采购文件</w:t>
      </w:r>
      <w:bookmarkEnd w:id="16"/>
      <w:bookmarkEnd w:id="17"/>
      <w:bookmarkEnd w:id="18"/>
      <w:bookmarkEnd w:id="19"/>
      <w:bookmarkEnd w:id="20"/>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时间：/至</w:t>
      </w: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eastAsia="宋体" w:cs="宋体"/>
          <w:color w:val="auto"/>
          <w:sz w:val="22"/>
          <w:szCs w:val="22"/>
          <w:highlight w:val="none"/>
        </w:rPr>
        <w:t>日 ，每天上午00:00至12:00 ，下午12:00至23:59（北京时间，线上获取法定节假日均可，线下获取文件法定节假日除外）</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地点（网址）：浙江政府采购网（http://zfcg.czt.zj.gov.cn/）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售价（元）：0 </w:t>
      </w:r>
    </w:p>
    <w:p>
      <w:pPr>
        <w:pStyle w:val="4"/>
        <w:spacing w:before="0" w:after="0" w:line="360" w:lineRule="auto"/>
        <w:ind w:firstLine="442" w:firstLineChars="200"/>
        <w:rPr>
          <w:rFonts w:hint="eastAsia" w:ascii="宋体" w:hAnsi="宋体" w:eastAsia="宋体" w:cs="宋体"/>
          <w:b/>
          <w:color w:val="auto"/>
          <w:sz w:val="22"/>
          <w:szCs w:val="22"/>
          <w:highlight w:val="none"/>
        </w:rPr>
      </w:pPr>
      <w:bookmarkStart w:id="21" w:name="_Toc35393801"/>
      <w:bookmarkStart w:id="22" w:name="_Toc28359092"/>
      <w:bookmarkStart w:id="23" w:name="_Toc18004"/>
      <w:bookmarkStart w:id="24" w:name="_Toc28359015"/>
      <w:bookmarkStart w:id="25" w:name="_Toc35393632"/>
      <w:r>
        <w:rPr>
          <w:rFonts w:hint="eastAsia" w:ascii="宋体" w:hAnsi="宋体" w:eastAsia="宋体" w:cs="宋体"/>
          <w:b/>
          <w:color w:val="auto"/>
          <w:sz w:val="22"/>
          <w:szCs w:val="22"/>
          <w:highlight w:val="none"/>
        </w:rPr>
        <w:t>四、</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文件提交</w:t>
      </w:r>
      <w:bookmarkEnd w:id="21"/>
      <w:bookmarkEnd w:id="22"/>
      <w:bookmarkEnd w:id="23"/>
      <w:bookmarkEnd w:id="24"/>
      <w:bookmarkEnd w:id="25"/>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截止时间：</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28</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0分</w:t>
      </w:r>
      <w:r>
        <w:rPr>
          <w:rFonts w:hint="eastAsia" w:ascii="宋体" w:hAnsi="宋体" w:eastAsia="宋体" w:cs="宋体"/>
          <w:bCs/>
          <w:color w:val="auto"/>
          <w:sz w:val="22"/>
          <w:szCs w:val="22"/>
          <w:highlight w:val="none"/>
        </w:rPr>
        <w:t>（北京时间）</w:t>
      </w:r>
    </w:p>
    <w:p>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地点：供应商应于投标文件提交截止时间前按照电子投标要求将电子加密标书上传到“政采云”平台，逾期或未上传成功的将被政府采购云平台拒收。</w:t>
      </w:r>
    </w:p>
    <w:p>
      <w:pPr>
        <w:pStyle w:val="4"/>
        <w:spacing w:before="0" w:after="0" w:line="360" w:lineRule="auto"/>
        <w:ind w:firstLine="442" w:firstLineChars="200"/>
        <w:rPr>
          <w:rFonts w:hint="eastAsia" w:ascii="宋体" w:hAnsi="宋体" w:eastAsia="宋体" w:cs="宋体"/>
          <w:b/>
          <w:color w:val="auto"/>
          <w:sz w:val="22"/>
          <w:szCs w:val="22"/>
          <w:highlight w:val="none"/>
        </w:rPr>
      </w:pPr>
      <w:bookmarkStart w:id="26" w:name="_Toc35393633"/>
      <w:bookmarkStart w:id="27" w:name="_Toc28359016"/>
      <w:bookmarkStart w:id="28" w:name="_Toc28359093"/>
      <w:bookmarkStart w:id="29" w:name="_Toc12084"/>
      <w:bookmarkStart w:id="30" w:name="_Toc35393802"/>
      <w:r>
        <w:rPr>
          <w:rFonts w:hint="eastAsia" w:ascii="宋体" w:hAnsi="宋体" w:eastAsia="宋体" w:cs="宋体"/>
          <w:b/>
          <w:color w:val="auto"/>
          <w:sz w:val="22"/>
          <w:szCs w:val="22"/>
          <w:highlight w:val="none"/>
        </w:rPr>
        <w:t>五、开启</w:t>
      </w:r>
      <w:bookmarkEnd w:id="26"/>
      <w:bookmarkEnd w:id="27"/>
      <w:bookmarkEnd w:id="28"/>
      <w:bookmarkEnd w:id="29"/>
      <w:bookmarkEnd w:id="30"/>
    </w:p>
    <w:p>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2025年</w:t>
      </w:r>
      <w:r>
        <w:rPr>
          <w:rFonts w:hint="eastAsia" w:ascii="宋体" w:hAnsi="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28</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w:t>
      </w:r>
      <w:r>
        <w:rPr>
          <w:rFonts w:hint="eastAsia" w:ascii="宋体" w:hAnsi="宋体" w:eastAsia="宋体" w:cs="宋体"/>
          <w:bCs/>
          <w:color w:val="auto"/>
          <w:sz w:val="22"/>
          <w:szCs w:val="22"/>
          <w:highlight w:val="none"/>
          <w:u w:val="single"/>
        </w:rPr>
        <w:t>0分</w:t>
      </w:r>
      <w:r>
        <w:rPr>
          <w:rFonts w:hint="eastAsia" w:ascii="宋体" w:hAnsi="宋体" w:eastAsia="宋体" w:cs="宋体"/>
          <w:bCs/>
          <w:color w:val="auto"/>
          <w:sz w:val="22"/>
          <w:szCs w:val="22"/>
          <w:highlight w:val="none"/>
        </w:rPr>
        <w:t>（北京时间）</w:t>
      </w:r>
    </w:p>
    <w:p>
      <w:pPr>
        <w:spacing w:line="360" w:lineRule="auto"/>
        <w:ind w:firstLine="440" w:firstLineChars="200"/>
        <w:rPr>
          <w:rFonts w:hint="eastAsia" w:ascii="宋体" w:hAnsi="宋体" w:eastAsia="宋体" w:cs="宋体"/>
          <w:bCs/>
          <w:color w:val="auto"/>
          <w:sz w:val="22"/>
          <w:szCs w:val="22"/>
          <w:highlight w:val="none"/>
          <w:u w:val="single"/>
          <w:lang w:eastAsia="zh-CN"/>
        </w:rPr>
      </w:pPr>
      <w:r>
        <w:rPr>
          <w:rFonts w:hint="eastAsia" w:ascii="宋体" w:hAnsi="宋体" w:eastAsia="宋体" w:cs="宋体"/>
          <w:color w:val="auto"/>
          <w:sz w:val="22"/>
          <w:szCs w:val="22"/>
          <w:highlight w:val="none"/>
        </w:rPr>
        <w:t>地点：</w:t>
      </w:r>
      <w:r>
        <w:rPr>
          <w:rFonts w:hint="eastAsia" w:ascii="宋体" w:hAnsi="宋体" w:eastAsia="宋体" w:cs="宋体"/>
          <w:color w:val="auto"/>
          <w:sz w:val="21"/>
          <w:szCs w:val="21"/>
          <w:highlight w:val="none"/>
          <w:lang w:eastAsia="zh-CN"/>
        </w:rPr>
        <w:t>浙江省成套工程有限公司（衢州市柯城区花园中大道91号鑫港大厦709室）</w:t>
      </w:r>
      <w:r>
        <w:rPr>
          <w:rFonts w:hint="eastAsia" w:ascii="宋体" w:hAnsi="宋体" w:eastAsia="宋体" w:cs="宋体"/>
          <w:color w:val="auto"/>
          <w:sz w:val="22"/>
          <w:szCs w:val="22"/>
          <w:highlight w:val="none"/>
          <w:lang w:eastAsia="zh-CN"/>
        </w:rPr>
        <w:t xml:space="preserve">。 </w:t>
      </w:r>
    </w:p>
    <w:p>
      <w:pPr>
        <w:pStyle w:val="4"/>
        <w:spacing w:before="0" w:after="0" w:line="360" w:lineRule="auto"/>
        <w:ind w:firstLine="442" w:firstLineChars="200"/>
        <w:rPr>
          <w:rFonts w:hint="eastAsia" w:ascii="宋体" w:hAnsi="宋体" w:eastAsia="宋体" w:cs="宋体"/>
          <w:b/>
          <w:color w:val="auto"/>
          <w:sz w:val="22"/>
          <w:szCs w:val="22"/>
          <w:highlight w:val="none"/>
        </w:rPr>
      </w:pPr>
      <w:bookmarkStart w:id="31" w:name="_Toc35393803"/>
      <w:bookmarkStart w:id="32" w:name="_Toc28359094"/>
      <w:bookmarkStart w:id="33" w:name="_Toc35393634"/>
      <w:bookmarkStart w:id="34" w:name="_Toc28359017"/>
      <w:bookmarkStart w:id="35" w:name="_Toc25756"/>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rPr>
        <w:t>、公告期限</w:t>
      </w:r>
      <w:bookmarkEnd w:id="31"/>
      <w:bookmarkEnd w:id="32"/>
      <w:bookmarkEnd w:id="33"/>
      <w:bookmarkEnd w:id="34"/>
      <w:bookmarkEnd w:id="35"/>
    </w:p>
    <w:p>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个工作日。</w:t>
      </w:r>
    </w:p>
    <w:p>
      <w:pPr>
        <w:pStyle w:val="4"/>
        <w:numPr>
          <w:ilvl w:val="0"/>
          <w:numId w:val="0"/>
        </w:numPr>
        <w:spacing w:before="0" w:after="0" w:line="360" w:lineRule="auto"/>
        <w:ind w:firstLine="442" w:firstLineChars="200"/>
        <w:rPr>
          <w:rFonts w:hint="eastAsia" w:ascii="宋体" w:hAnsi="宋体" w:eastAsia="宋体" w:cs="宋体"/>
          <w:b/>
          <w:color w:val="auto"/>
          <w:sz w:val="22"/>
          <w:szCs w:val="22"/>
          <w:highlight w:val="none"/>
        </w:rPr>
      </w:pPr>
      <w:bookmarkStart w:id="36" w:name="_Toc35393804"/>
      <w:bookmarkStart w:id="37" w:name="_Toc35393635"/>
      <w:bookmarkStart w:id="38" w:name="_Toc30589"/>
      <w:r>
        <w:rPr>
          <w:rFonts w:hint="eastAsia" w:ascii="宋体" w:hAnsi="宋体" w:eastAsia="宋体" w:cs="宋体"/>
          <w:b/>
          <w:color w:val="auto"/>
          <w:sz w:val="22"/>
          <w:szCs w:val="22"/>
          <w:highlight w:val="none"/>
          <w:lang w:val="en-US" w:eastAsia="zh-CN"/>
        </w:rPr>
        <w:t>七、</w:t>
      </w:r>
      <w:r>
        <w:rPr>
          <w:rFonts w:hint="eastAsia" w:ascii="宋体" w:hAnsi="宋体" w:eastAsia="宋体" w:cs="宋体"/>
          <w:b/>
          <w:color w:val="auto"/>
          <w:sz w:val="22"/>
          <w:szCs w:val="22"/>
          <w:highlight w:val="none"/>
        </w:rPr>
        <w:t>其他补充事宜</w:t>
      </w:r>
      <w:bookmarkEnd w:id="36"/>
      <w:bookmarkEnd w:id="37"/>
      <w:bookmarkEnd w:id="38"/>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bCs/>
          <w:color w:val="auto"/>
          <w:kern w:val="0"/>
          <w:sz w:val="22"/>
          <w:szCs w:val="22"/>
          <w:highlight w:val="none"/>
        </w:rPr>
        <w:t>1.</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hint="eastAsia" w:ascii="宋体" w:hAnsi="宋体" w:cs="宋体"/>
          <w:color w:val="auto"/>
          <w:szCs w:val="21"/>
          <w:highlight w:val="none"/>
          <w:lang w:eastAsia="zh-CN"/>
        </w:rPr>
        <w:t>2023</w:t>
      </w:r>
      <w:r>
        <w:rPr>
          <w:rFonts w:hint="eastAsia" w:ascii="宋体" w:hAnsi="宋体" w:eastAsia="宋体" w:cs="宋体"/>
          <w:color w:val="auto"/>
          <w:szCs w:val="21"/>
          <w:highlight w:val="none"/>
        </w:rPr>
        <w:t>）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hint="eastAsia" w:ascii="宋体" w:hAnsi="宋体" w:eastAsia="宋体" w:cs="宋体"/>
          <w:bCs/>
          <w:color w:val="auto"/>
          <w:kern w:val="0"/>
          <w:sz w:val="22"/>
          <w:szCs w:val="22"/>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供应商必须先在政府采购云平台进行登记注册，相关事宜请参照（《供应商网上注册操作指南》“浙江政府采购网首页-办事指南-注册-供应商注册申请”），登录政府采购云平台后台依法进行网上自主下载。</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在线投标响应（电子投标）说明</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.1</w:t>
      </w:r>
      <w:r>
        <w:rPr>
          <w:rFonts w:hint="eastAsia" w:ascii="宋体" w:hAnsi="宋体" w:cs="宋体"/>
          <w:color w:val="auto"/>
          <w:szCs w:val="21"/>
          <w:highlight w:val="none"/>
          <w:u w:val="single"/>
        </w:rPr>
        <w:t>本项目通过“政府采购云平台（</w:t>
      </w:r>
      <w:r>
        <w:rPr>
          <w:rFonts w:ascii="宋体" w:hAnsi="宋体" w:cs="宋体"/>
          <w:color w:val="auto"/>
          <w:szCs w:val="21"/>
          <w:highlight w:val="none"/>
          <w:u w:val="single"/>
        </w:rPr>
        <w:t>www.zcygov.cn</w:t>
      </w:r>
      <w:r>
        <w:rPr>
          <w:rFonts w:hint="eastAsia" w:ascii="宋体" w:hAnsi="宋体" w:cs="宋体"/>
          <w:color w:val="auto"/>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“政采云电子交易客户端”请自行前往“浙江政府采购网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电子交易客户端”进行下载；电子投标具体操作流程文档详见网址：</w:t>
      </w:r>
      <w:r>
        <w:rPr>
          <w:rFonts w:ascii="宋体" w:hAnsi="宋体" w:cs="宋体"/>
          <w:color w:val="auto"/>
          <w:szCs w:val="21"/>
          <w:highlight w:val="none"/>
        </w:rPr>
        <w:t>https://help.zcygov.cn/web/site_2/2018/12-28/2573.html</w:t>
      </w:r>
      <w:r>
        <w:rPr>
          <w:rFonts w:hint="eastAsia" w:ascii="宋体" w:hAnsi="宋体" w:cs="宋体"/>
          <w:color w:val="auto"/>
          <w:szCs w:val="21"/>
          <w:highlight w:val="none"/>
        </w:rPr>
        <w:t>；通过“政府采购云平台”参与在线投标时如遇平台技术问题详询</w:t>
      </w:r>
      <w:r>
        <w:rPr>
          <w:rFonts w:ascii="宋体" w:hAnsi="宋体" w:cs="宋体"/>
          <w:color w:val="auto"/>
          <w:szCs w:val="21"/>
          <w:highlight w:val="none"/>
        </w:rPr>
        <w:t>400-881-7190</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.2</w:t>
      </w:r>
      <w:r>
        <w:rPr>
          <w:rFonts w:hint="eastAsia" w:ascii="宋体" w:hAnsi="宋体" w:cs="宋体"/>
          <w:color w:val="auto"/>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Cs w:val="21"/>
          <w:highlight w:val="none"/>
        </w:rPr>
        <w:t>。使用“政采云电子交易客户端”需要提前申领</w:t>
      </w:r>
      <w:r>
        <w:rPr>
          <w:rFonts w:ascii="宋体" w:hAnsi="宋体" w:cs="宋体"/>
          <w:color w:val="auto"/>
          <w:szCs w:val="21"/>
          <w:highlight w:val="none"/>
        </w:rPr>
        <w:t>CA</w:t>
      </w:r>
      <w:r>
        <w:rPr>
          <w:rFonts w:hint="eastAsia" w:ascii="宋体" w:hAnsi="宋体" w:cs="宋体"/>
          <w:color w:val="auto"/>
          <w:szCs w:val="21"/>
          <w:highlight w:val="none"/>
        </w:rPr>
        <w:t>数字证书，申领流程请自行前往“浙江政府采购网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ascii="宋体" w:hAnsi="宋体" w:cs="宋体"/>
          <w:color w:val="auto"/>
          <w:szCs w:val="21"/>
          <w:highlight w:val="none"/>
        </w:rPr>
        <w:t>CA</w:t>
      </w:r>
      <w:r>
        <w:rPr>
          <w:rFonts w:hint="eastAsia" w:ascii="宋体" w:hAnsi="宋体" w:cs="宋体"/>
          <w:color w:val="auto"/>
          <w:szCs w:val="21"/>
          <w:highlight w:val="none"/>
        </w:rPr>
        <w:t>驱动和申领流程</w:t>
      </w:r>
      <w:r>
        <w:rPr>
          <w:rFonts w:hint="eastAsia" w:ascii="宋体" w:hAnsi="宋体" w:cs="宋体"/>
          <w:color w:val="auto"/>
          <w:szCs w:val="21"/>
          <w:highlight w:val="none"/>
        </w:rPr>
        <w:fldChar w:fldCharType="end"/>
      </w:r>
      <w:r>
        <w:rPr>
          <w:rFonts w:hint="eastAsia" w:ascii="宋体" w:hAnsi="宋体" w:cs="宋体"/>
          <w:color w:val="auto"/>
          <w:szCs w:val="21"/>
          <w:highlight w:val="none"/>
        </w:rPr>
        <w:t>”进行查阅；</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.3</w:t>
      </w:r>
      <w:r>
        <w:rPr>
          <w:rFonts w:hint="eastAsia" w:ascii="宋体" w:hAnsi="宋体" w:cs="宋体"/>
          <w:color w:val="auto"/>
          <w:szCs w:val="21"/>
          <w:highlight w:val="none"/>
        </w:rPr>
        <w:t>投标供应商应当在投标文件递交截止时间前，将系统上生成的“电子加密投标文件（即后缀格式为</w:t>
      </w:r>
      <w:r>
        <w:rPr>
          <w:rFonts w:ascii="宋体" w:hAnsi="宋体" w:cs="宋体"/>
          <w:color w:val="auto"/>
          <w:szCs w:val="21"/>
          <w:highlight w:val="none"/>
        </w:rPr>
        <w:t>.jmbs</w:t>
      </w:r>
      <w:r>
        <w:rPr>
          <w:rFonts w:hint="eastAsia" w:ascii="宋体" w:hAnsi="宋体" w:cs="宋体"/>
          <w:color w:val="auto"/>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lang w:val="en-US" w:eastAsia="zh-CN"/>
        </w:rPr>
        <w:t>4</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4"/>
        <w:spacing w:before="0" w:after="0" w:line="360" w:lineRule="auto"/>
        <w:ind w:firstLine="442" w:firstLineChars="200"/>
        <w:rPr>
          <w:rFonts w:hint="eastAsia" w:ascii="宋体" w:hAnsi="宋体" w:eastAsia="宋体" w:cs="宋体"/>
          <w:b/>
          <w:color w:val="auto"/>
          <w:sz w:val="22"/>
          <w:szCs w:val="22"/>
          <w:highlight w:val="none"/>
        </w:rPr>
      </w:pPr>
      <w:bookmarkStart w:id="39" w:name="_Toc28359018"/>
      <w:bookmarkStart w:id="40" w:name="_Toc35393636"/>
      <w:bookmarkStart w:id="41" w:name="_Toc28359095"/>
      <w:bookmarkStart w:id="42" w:name="_Toc35393805"/>
      <w:bookmarkStart w:id="43" w:name="_Toc23548"/>
      <w:r>
        <w:rPr>
          <w:rFonts w:hint="eastAsia" w:ascii="宋体" w:hAnsi="宋体" w:eastAsia="宋体" w:cs="宋体"/>
          <w:b/>
          <w:color w:val="auto"/>
          <w:sz w:val="22"/>
          <w:szCs w:val="22"/>
          <w:highlight w:val="none"/>
          <w:lang w:val="en-US" w:eastAsia="zh-CN"/>
        </w:rPr>
        <w:t>八</w:t>
      </w:r>
      <w:r>
        <w:rPr>
          <w:rFonts w:hint="eastAsia" w:ascii="宋体" w:hAnsi="宋体" w:eastAsia="宋体" w:cs="宋体"/>
          <w:b/>
          <w:color w:val="auto"/>
          <w:sz w:val="22"/>
          <w:szCs w:val="22"/>
          <w:highlight w:val="none"/>
        </w:rPr>
        <w:t>、凡对本次采购提出询问，请按以下方式联系。</w:t>
      </w:r>
      <w:bookmarkEnd w:id="39"/>
      <w:bookmarkEnd w:id="40"/>
      <w:bookmarkEnd w:id="41"/>
      <w:bookmarkEnd w:id="42"/>
      <w:bookmarkEnd w:id="43"/>
    </w:p>
    <w:p>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采购人：</w:t>
      </w:r>
      <w:r>
        <w:rPr>
          <w:rFonts w:hint="eastAsia" w:ascii="宋体" w:hAnsi="宋体" w:cs="宋体"/>
          <w:bCs/>
          <w:color w:val="auto"/>
          <w:sz w:val="22"/>
          <w:szCs w:val="22"/>
          <w:highlight w:val="none"/>
          <w:lang w:eastAsia="zh-CN"/>
        </w:rPr>
        <w:t>衢州市中心血站</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 系 人：</w:t>
      </w:r>
      <w:r>
        <w:rPr>
          <w:rFonts w:hint="eastAsia" w:ascii="宋体" w:hAnsi="宋体" w:cs="宋体"/>
          <w:bCs/>
          <w:color w:val="auto"/>
          <w:sz w:val="22"/>
          <w:szCs w:val="22"/>
          <w:highlight w:val="none"/>
          <w:lang w:val="en-US" w:eastAsia="zh-CN"/>
        </w:rPr>
        <w:t>邱女士</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联系电话：</w:t>
      </w:r>
      <w:r>
        <w:rPr>
          <w:rFonts w:hint="eastAsia" w:ascii="宋体" w:hAnsi="宋体" w:cs="宋体"/>
          <w:color w:val="auto"/>
          <w:szCs w:val="21"/>
          <w:highlight w:val="none"/>
          <w:lang w:eastAsia="zh-CN"/>
        </w:rPr>
        <w:t>0570-8758107</w:t>
      </w:r>
      <w:r>
        <w:rPr>
          <w:rFonts w:hint="eastAsia" w:ascii="宋体" w:hAnsi="宋体" w:cs="宋体"/>
          <w:color w:val="auto"/>
          <w:szCs w:val="21"/>
          <w:highlight w:val="none"/>
        </w:rPr>
        <w:t>　</w:t>
      </w:r>
    </w:p>
    <w:p>
      <w:pPr>
        <w:spacing w:line="360"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质疑受理人：</w:t>
      </w:r>
      <w:bookmarkStart w:id="44" w:name="OLE_LINK5"/>
      <w:r>
        <w:rPr>
          <w:rFonts w:hint="eastAsia" w:ascii="宋体" w:hAnsi="宋体" w:cs="宋体"/>
          <w:bCs/>
          <w:color w:val="auto"/>
          <w:sz w:val="22"/>
          <w:szCs w:val="22"/>
          <w:highlight w:val="none"/>
          <w:lang w:val="en-US" w:eastAsia="zh-CN"/>
        </w:rPr>
        <w:t>郑女士</w:t>
      </w:r>
      <w:bookmarkEnd w:id="44"/>
      <w:r>
        <w:rPr>
          <w:rFonts w:hint="eastAsia" w:ascii="宋体" w:hAnsi="宋体" w:eastAsia="宋体" w:cs="宋体"/>
          <w:bCs/>
          <w:color w:val="auto"/>
          <w:sz w:val="22"/>
          <w:szCs w:val="22"/>
          <w:highlight w:val="none"/>
          <w:lang w:val="en-US" w:eastAsia="zh-CN"/>
        </w:rPr>
        <w:t>，联系电话：</w:t>
      </w:r>
      <w:bookmarkStart w:id="45" w:name="OLE_LINK6"/>
      <w:bookmarkStart w:id="151" w:name="_GoBack"/>
      <w:r>
        <w:rPr>
          <w:rFonts w:hint="eastAsia" w:ascii="宋体" w:hAnsi="宋体" w:cs="宋体"/>
          <w:bCs/>
          <w:color w:val="auto"/>
          <w:sz w:val="22"/>
          <w:szCs w:val="22"/>
          <w:highlight w:val="none"/>
          <w:lang w:val="en-US" w:eastAsia="zh-CN"/>
        </w:rPr>
        <w:t>0570-8758126</w:t>
      </w:r>
      <w:bookmarkEnd w:id="151"/>
      <w:bookmarkEnd w:id="45"/>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采购代理机构名称：浙江省成套工程有限公司</w:t>
      </w:r>
    </w:p>
    <w:p>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项目联系人：吴先生，联系电话：</w:t>
      </w:r>
      <w:r>
        <w:rPr>
          <w:rFonts w:hint="eastAsia" w:ascii="宋体" w:hAnsi="宋体" w:eastAsia="宋体" w:cs="宋体"/>
          <w:bCs/>
          <w:color w:val="auto"/>
          <w:sz w:val="22"/>
          <w:szCs w:val="22"/>
          <w:highlight w:val="none"/>
          <w:lang w:eastAsia="zh-CN"/>
        </w:rPr>
        <w:t>0570-875758</w:t>
      </w:r>
      <w:r>
        <w:rPr>
          <w:rFonts w:hint="eastAsia" w:ascii="宋体" w:hAnsi="宋体" w:eastAsia="宋体" w:cs="宋体"/>
          <w:bCs/>
          <w:color w:val="auto"/>
          <w:sz w:val="22"/>
          <w:szCs w:val="22"/>
          <w:highlight w:val="none"/>
          <w:lang w:val="en-US" w:eastAsia="zh-CN"/>
        </w:rPr>
        <w:t>7/18367054001</w:t>
      </w:r>
    </w:p>
    <w:p>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质疑受理人：</w:t>
      </w:r>
      <w:r>
        <w:rPr>
          <w:rFonts w:hint="eastAsia" w:ascii="宋体" w:hAnsi="宋体" w:cs="宋体"/>
          <w:bCs/>
          <w:color w:val="auto"/>
          <w:sz w:val="22"/>
          <w:szCs w:val="22"/>
          <w:highlight w:val="none"/>
          <w:lang w:val="en-US" w:eastAsia="zh-CN"/>
        </w:rPr>
        <w:t>毛</w:t>
      </w:r>
      <w:r>
        <w:rPr>
          <w:rFonts w:hint="eastAsia" w:ascii="宋体" w:hAnsi="宋体" w:eastAsia="宋体" w:cs="宋体"/>
          <w:bCs/>
          <w:color w:val="auto"/>
          <w:sz w:val="22"/>
          <w:szCs w:val="22"/>
          <w:highlight w:val="none"/>
        </w:rPr>
        <w:t>女士</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联系电话：0570-875758</w:t>
      </w:r>
      <w:r>
        <w:rPr>
          <w:rFonts w:hint="eastAsia" w:ascii="宋体" w:hAnsi="宋体" w:cs="宋体"/>
          <w:bCs/>
          <w:color w:val="auto"/>
          <w:sz w:val="22"/>
          <w:szCs w:val="22"/>
          <w:highlight w:val="none"/>
          <w:lang w:val="en-US" w:eastAsia="zh-CN"/>
        </w:rPr>
        <w:t>9</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传真：0570-8757585</w:t>
      </w:r>
    </w:p>
    <w:p>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同级政府采购监督管理部门名称：</w:t>
      </w:r>
      <w:r>
        <w:rPr>
          <w:rFonts w:hint="eastAsia" w:ascii="宋体" w:hAnsi="宋体" w:eastAsia="宋体" w:cs="宋体"/>
          <w:bCs/>
          <w:color w:val="auto"/>
          <w:sz w:val="22"/>
          <w:szCs w:val="22"/>
          <w:highlight w:val="none"/>
          <w:lang w:eastAsia="zh-CN"/>
        </w:rPr>
        <w:t>衢州市财政局</w:t>
      </w:r>
    </w:p>
    <w:p>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联系人：</w:t>
      </w:r>
      <w:r>
        <w:rPr>
          <w:rFonts w:hint="eastAsia" w:ascii="宋体" w:hAnsi="宋体" w:eastAsia="宋体" w:cs="宋体"/>
          <w:bCs/>
          <w:color w:val="auto"/>
          <w:sz w:val="22"/>
          <w:szCs w:val="22"/>
          <w:highlight w:val="none"/>
          <w:lang w:eastAsia="zh-CN"/>
        </w:rPr>
        <w:t>徐先生</w:t>
      </w:r>
    </w:p>
    <w:p>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监督投诉电话：0570-8757615</w:t>
      </w:r>
    </w:p>
    <w:p>
      <w:pPr>
        <w:spacing w:line="360" w:lineRule="auto"/>
        <w:ind w:firstLine="440" w:firstLineChars="200"/>
        <w:rPr>
          <w:rFonts w:hint="eastAsia" w:ascii="宋体" w:hAnsi="宋体" w:eastAsia="宋体" w:cs="宋体"/>
          <w:bCs/>
          <w:color w:val="auto"/>
          <w:sz w:val="22"/>
          <w:szCs w:val="22"/>
          <w:highlight w:val="none"/>
          <w:lang w:eastAsia="zh-CN"/>
        </w:rPr>
      </w:pPr>
      <w:bookmarkStart w:id="46" w:name="_Toc19792"/>
      <w:r>
        <w:rPr>
          <w:rFonts w:hint="eastAsia" w:ascii="宋体" w:hAnsi="宋体" w:eastAsia="宋体" w:cs="宋体"/>
          <w:bCs/>
          <w:color w:val="auto"/>
          <w:sz w:val="22"/>
          <w:szCs w:val="22"/>
          <w:highlight w:val="none"/>
          <w:lang w:eastAsia="zh-CN"/>
        </w:rPr>
        <w:t>地址：</w:t>
      </w:r>
      <w:bookmarkEnd w:id="46"/>
      <w:r>
        <w:rPr>
          <w:rFonts w:hint="eastAsia" w:ascii="宋体" w:hAnsi="宋体" w:eastAsia="宋体" w:cs="宋体"/>
          <w:bCs/>
          <w:color w:val="auto"/>
          <w:sz w:val="22"/>
          <w:szCs w:val="22"/>
          <w:highlight w:val="none"/>
          <w:lang w:eastAsia="zh-CN"/>
        </w:rPr>
        <w:t xml:space="preserve">衢州市三江东路28号 </w:t>
      </w:r>
    </w:p>
    <w:p>
      <w:pPr>
        <w:pStyle w:val="29"/>
        <w:spacing w:line="312" w:lineRule="auto"/>
        <w:jc w:val="right"/>
        <w:rPr>
          <w:rFonts w:hint="eastAsia" w:ascii="宋体" w:hAnsi="宋体" w:eastAsia="宋体" w:cs="宋体"/>
          <w:color w:val="auto"/>
          <w:sz w:val="21"/>
          <w:szCs w:val="21"/>
          <w:highlight w:val="none"/>
        </w:rPr>
      </w:pPr>
    </w:p>
    <w:p>
      <w:pPr>
        <w:wordWrap w:val="0"/>
        <w:snapToGrid w:val="0"/>
        <w:spacing w:line="312" w:lineRule="auto"/>
        <w:ind w:firstLine="315" w:firstLineChars="150"/>
        <w:jc w:val="right"/>
        <w:rPr>
          <w:rFonts w:hint="eastAsia" w:ascii="宋体" w:hAnsi="宋体" w:eastAsia="宋体" w:cs="宋体"/>
          <w:color w:val="auto"/>
          <w:szCs w:val="21"/>
          <w:highlight w:val="none"/>
        </w:rPr>
      </w:pPr>
      <w:bookmarkStart w:id="47" w:name="_Toc354491896"/>
      <w:bookmarkStart w:id="48" w:name="_Toc322352982"/>
      <w:bookmarkStart w:id="49" w:name="_Toc356371430"/>
      <w:r>
        <w:rPr>
          <w:rFonts w:hint="eastAsia" w:ascii="宋体" w:hAnsi="宋体" w:eastAsia="宋体" w:cs="宋体"/>
          <w:color w:val="auto"/>
          <w:szCs w:val="21"/>
          <w:highlight w:val="none"/>
        </w:rPr>
        <w:t xml:space="preserve">  </w:t>
      </w:r>
    </w:p>
    <w:p>
      <w:pPr>
        <w:snapToGrid w:val="0"/>
        <w:spacing w:before="120" w:beforeLines="50" w:after="120" w:afterLines="50"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br w:type="page"/>
      </w:r>
      <w:bookmarkStart w:id="50" w:name="_Toc31264"/>
      <w:bookmarkStart w:id="51" w:name="_Toc26924"/>
      <w:r>
        <w:rPr>
          <w:rFonts w:hint="eastAsia" w:ascii="宋体" w:hAnsi="宋体" w:eastAsia="宋体" w:cs="宋体"/>
          <w:b/>
          <w:bCs w:val="0"/>
          <w:color w:val="auto"/>
          <w:szCs w:val="21"/>
          <w:highlight w:val="none"/>
        </w:rPr>
        <w:t>第二章  投标</w:t>
      </w:r>
      <w:bookmarkEnd w:id="47"/>
      <w:bookmarkEnd w:id="48"/>
      <w:r>
        <w:rPr>
          <w:rFonts w:hint="eastAsia" w:ascii="宋体" w:hAnsi="宋体" w:eastAsia="宋体" w:cs="宋体"/>
          <w:b/>
          <w:bCs w:val="0"/>
          <w:color w:val="auto"/>
          <w:szCs w:val="21"/>
          <w:highlight w:val="none"/>
        </w:rPr>
        <w:t>须知前附表及投标须知</w:t>
      </w:r>
      <w:bookmarkEnd w:id="49"/>
      <w:bookmarkEnd w:id="50"/>
      <w:bookmarkEnd w:id="51"/>
    </w:p>
    <w:p>
      <w:pPr>
        <w:keepNext w:val="0"/>
        <w:keepLines w:val="0"/>
        <w:pageBreakBefore w:val="0"/>
        <w:widowControl w:val="0"/>
        <w:kinsoku/>
        <w:wordWrap/>
        <w:overflowPunct/>
        <w:topLinePunct w:val="0"/>
        <w:autoSpaceDE/>
        <w:autoSpaceDN/>
        <w:bidi w:val="0"/>
        <w:snapToGrid w:val="0"/>
        <w:spacing w:before="120" w:beforeLines="50" w:after="120" w:afterLines="50" w:line="312" w:lineRule="auto"/>
        <w:ind w:firstLine="422" w:firstLineChars="200"/>
        <w:textAlignment w:val="auto"/>
        <w:outlineLvl w:val="1"/>
        <w:rPr>
          <w:rFonts w:hint="eastAsia" w:ascii="宋体" w:hAnsi="宋体" w:eastAsia="宋体" w:cs="宋体"/>
          <w:b/>
          <w:bCs w:val="0"/>
          <w:color w:val="auto"/>
          <w:szCs w:val="21"/>
          <w:highlight w:val="none"/>
        </w:rPr>
      </w:pPr>
      <w:bookmarkStart w:id="52" w:name="_Toc356371431"/>
      <w:bookmarkStart w:id="53" w:name="_Toc6759"/>
      <w:bookmarkStart w:id="54" w:name="_Toc13978"/>
      <w:r>
        <w:rPr>
          <w:rFonts w:hint="eastAsia" w:ascii="宋体" w:hAnsi="宋体" w:eastAsia="宋体" w:cs="宋体"/>
          <w:b/>
          <w:bCs w:val="0"/>
          <w:color w:val="auto"/>
          <w:szCs w:val="21"/>
          <w:highlight w:val="none"/>
        </w:rPr>
        <w:t>一、投标须知前附表</w:t>
      </w:r>
      <w:bookmarkEnd w:id="52"/>
      <w:bookmarkEnd w:id="53"/>
      <w:bookmarkEnd w:id="54"/>
    </w:p>
    <w:tbl>
      <w:tblPr>
        <w:tblStyle w:val="22"/>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4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 购 人</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ind w:firstLine="210" w:firstLineChars="100"/>
              <w:textAlignment w:val="auto"/>
              <w:rPr>
                <w:rFonts w:hint="eastAsia" w:ascii="宋体" w:hAnsi="宋体" w:eastAsia="宋体" w:cs="宋体"/>
                <w:color w:val="auto"/>
                <w:szCs w:val="21"/>
                <w:highlight w:val="none"/>
                <w:lang w:eastAsia="zh-CN"/>
              </w:rPr>
            </w:pPr>
            <w:r>
              <w:rPr>
                <w:rFonts w:hint="eastAsia" w:hAnsi="宋体" w:cs="宋体"/>
                <w:color w:val="auto"/>
                <w:szCs w:val="21"/>
                <w:highlight w:val="none"/>
                <w:lang w:eastAsia="zh-CN"/>
              </w:rPr>
              <w:t>衢州市中心血站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napToGrid w:val="0"/>
              <w:ind w:firstLine="210" w:firstLineChars="100"/>
              <w:textAlignment w:val="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一次性血液成分分离管路采购项目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预算金额</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00" w:lineRule="exact"/>
              <w:ind w:firstLine="210" w:firstLineChars="100"/>
              <w:textAlignment w:val="auto"/>
              <w:rPr>
                <w:rFonts w:hint="default"/>
                <w:b/>
                <w:bCs/>
                <w:color w:val="auto"/>
                <w:highlight w:val="none"/>
                <w:lang w:val="en-US" w:eastAsia="zh-CN"/>
              </w:rPr>
            </w:pPr>
            <w:r>
              <w:rPr>
                <w:rFonts w:hint="eastAsia" w:hAnsi="宋体" w:cs="宋体"/>
                <w:color w:val="auto"/>
                <w:szCs w:val="21"/>
                <w:highlight w:val="none"/>
                <w:lang w:val="en-US" w:eastAsia="zh-CN"/>
              </w:rPr>
              <w:t>180.00万元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jc w:val="center"/>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服务</w:t>
            </w:r>
            <w:r>
              <w:rPr>
                <w:rFonts w:hint="eastAsia" w:ascii="宋体" w:hAnsi="宋体" w:eastAsia="宋体" w:cs="宋体"/>
                <w:color w:val="auto"/>
                <w:szCs w:val="21"/>
                <w:highlight w:val="none"/>
              </w:rPr>
              <w:t>期</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ind w:firstLine="210" w:firstLineChars="100"/>
              <w:textAlignment w:val="auto"/>
              <w:rPr>
                <w:rFonts w:hint="default" w:ascii="宋体" w:hAnsi="宋体" w:eastAsia="宋体" w:cs="宋体"/>
                <w:color w:val="auto"/>
                <w:szCs w:val="21"/>
                <w:highlight w:val="none"/>
                <w:lang w:val="en-US" w:eastAsia="zh-CN"/>
              </w:rPr>
            </w:pPr>
            <w:r>
              <w:rPr>
                <w:rFonts w:hint="eastAsia" w:hAnsi="宋体"/>
                <w:color w:val="auto"/>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投标文件的签章</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w:t>
            </w:r>
          </w:p>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编制及形式</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（1）“电子加密投标文件”是指通过“政采云电子交易客户端”完成投标文件编制后生成并加密的数据电文形式的投标文件。</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（2）“备份投标文件”是指与“电子加密投标文件”同时生成的数据电文形式的电子文件（备份标书），其他方式编制的备份投标文件视为无效备份投标文件。</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（3）投标文件编制参照政采云平台供应商项目采购-电子招投标操作指南（网址：</w:t>
            </w:r>
            <w:r>
              <w:rPr>
                <w:rFonts w:hint="eastAsia" w:ascii="宋体" w:hAnsi="宋体" w:eastAsia="宋体" w:cs="宋体"/>
                <w:color w:val="auto"/>
                <w:spacing w:val="-20"/>
                <w:szCs w:val="21"/>
                <w:highlight w:val="none"/>
              </w:rPr>
              <w:fldChar w:fldCharType="begin"/>
            </w:r>
            <w:r>
              <w:rPr>
                <w:rFonts w:hint="eastAsia" w:ascii="宋体" w:hAnsi="宋体" w:eastAsia="宋体" w:cs="宋体"/>
                <w:color w:val="auto"/>
                <w:spacing w:val="-20"/>
                <w:szCs w:val="21"/>
                <w:highlight w:val="none"/>
              </w:rPr>
              <w:instrText xml:space="preserve"> HYPERLINK "https://help.zcygov.cn/web/site_2/2018/12-28/2573.html）" </w:instrText>
            </w:r>
            <w:r>
              <w:rPr>
                <w:rFonts w:hint="eastAsia" w:ascii="宋体" w:hAnsi="宋体" w:eastAsia="宋体" w:cs="宋体"/>
                <w:color w:val="auto"/>
                <w:spacing w:val="-20"/>
                <w:szCs w:val="21"/>
                <w:highlight w:val="none"/>
              </w:rPr>
              <w:fldChar w:fldCharType="separate"/>
            </w:r>
            <w:r>
              <w:rPr>
                <w:rStyle w:val="26"/>
                <w:rFonts w:hint="eastAsia" w:ascii="宋体" w:hAnsi="宋体" w:eastAsia="宋体" w:cs="宋体"/>
                <w:color w:val="auto"/>
                <w:spacing w:val="-20"/>
                <w:szCs w:val="21"/>
                <w:highlight w:val="none"/>
              </w:rPr>
              <w:t>https://</w:t>
            </w:r>
            <w:r>
              <w:rPr>
                <w:rStyle w:val="26"/>
                <w:rFonts w:hint="eastAsia" w:ascii="宋体" w:hAnsi="宋体" w:eastAsia="宋体" w:cs="宋体"/>
                <w:color w:val="auto"/>
                <w:spacing w:val="-17"/>
                <w:szCs w:val="21"/>
                <w:highlight w:val="none"/>
              </w:rPr>
              <w:t>help.zcygov.cn/web/site_2/2018/12-28/2573.html</w:t>
            </w:r>
            <w:r>
              <w:rPr>
                <w:rStyle w:val="26"/>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rPr>
              <w:fldChar w:fldCharType="end"/>
            </w:r>
          </w:p>
          <w:p>
            <w:pPr>
              <w:keepNext w:val="0"/>
              <w:keepLines w:val="0"/>
              <w:pageBreakBefore w:val="0"/>
              <w:kinsoku/>
              <w:overflowPunct/>
              <w:topLinePunct w:val="0"/>
              <w:bidi w:val="0"/>
              <w:snapToGrid w:val="0"/>
              <w:spacing w:line="312" w:lineRule="auto"/>
              <w:ind w:firstLine="420" w:firstLineChars="200"/>
              <w:textAlignment w:val="auto"/>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）每个标项单独评标，供应商可投其中的一个标项也可投多个标项(如投多个标项，投标文件必须按标项分别做投标文件）。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w:t>
            </w:r>
          </w:p>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上传和递交</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int="eastAsia" w:hAnsi="宋体" w:cs="宋体"/>
                <w:color w:val="auto"/>
                <w:szCs w:val="21"/>
                <w:highlight w:val="none"/>
              </w:rPr>
              <w:t>（</w:t>
            </w:r>
            <w:r>
              <w:rPr>
                <w:rFonts w:hAnsi="宋体" w:cs="宋体"/>
                <w:color w:val="auto"/>
                <w:szCs w:val="21"/>
                <w:highlight w:val="none"/>
              </w:rPr>
              <w:t>1</w:t>
            </w:r>
            <w:r>
              <w:rPr>
                <w:rFonts w:hint="eastAsia" w:hAnsi="宋体" w:cs="宋体"/>
                <w:color w:val="auto"/>
                <w:szCs w:val="21"/>
                <w:highlight w:val="none"/>
              </w:rPr>
              <w:t>）“电子加密投标文件”的上传、递交：</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Ansi="宋体" w:cs="宋体"/>
                <w:color w:val="auto"/>
                <w:szCs w:val="21"/>
                <w:highlight w:val="none"/>
              </w:rPr>
              <w:t>a.</w:t>
            </w:r>
            <w:r>
              <w:rPr>
                <w:rFonts w:hint="eastAsia" w:hAnsi="宋体" w:cs="宋体"/>
                <w:color w:val="auto"/>
                <w:szCs w:val="21"/>
                <w:highlight w:val="none"/>
              </w:rPr>
              <w:t>投标供应商应在投标截止时间前将“电子加密投标文件”成功上传递交至“政府采购云平台”，否则投标无效。</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Ansi="宋体" w:cs="宋体"/>
                <w:color w:val="auto"/>
                <w:szCs w:val="21"/>
                <w:highlight w:val="none"/>
              </w:rPr>
              <w:t>b.</w:t>
            </w:r>
            <w:r>
              <w:rPr>
                <w:rFonts w:hint="eastAsia" w:hAnsi="宋体" w:cs="宋体"/>
                <w:color w:val="auto"/>
                <w:szCs w:val="21"/>
                <w:highlight w:val="none"/>
              </w:rPr>
              <w:t>“电子加密投标文件”成功上传递交后，供应商可自行打印投标文件接收回执。</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int="eastAsia" w:hAnsi="宋体" w:cs="宋体"/>
                <w:color w:val="auto"/>
                <w:szCs w:val="21"/>
                <w:highlight w:val="none"/>
              </w:rPr>
              <w:t>（</w:t>
            </w:r>
            <w:r>
              <w:rPr>
                <w:rFonts w:hAnsi="宋体" w:cs="宋体"/>
                <w:color w:val="auto"/>
                <w:szCs w:val="21"/>
                <w:highlight w:val="none"/>
              </w:rPr>
              <w:t>2</w:t>
            </w:r>
            <w:r>
              <w:rPr>
                <w:rFonts w:hint="eastAsia" w:hAnsi="宋体" w:cs="宋体"/>
                <w:color w:val="auto"/>
                <w:szCs w:val="21"/>
                <w:highlight w:val="none"/>
              </w:rPr>
              <w:t>）“备份投标文件”的递交：</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Ansi="宋体" w:cs="宋体"/>
                <w:color w:val="auto"/>
                <w:szCs w:val="21"/>
                <w:highlight w:val="none"/>
              </w:rPr>
              <w:t>a.</w:t>
            </w:r>
            <w:r>
              <w:rPr>
                <w:rFonts w:hint="eastAsia" w:hAnsi="宋体" w:cs="宋体"/>
                <w:color w:val="auto"/>
                <w:szCs w:val="21"/>
                <w:highlight w:val="none"/>
              </w:rPr>
              <w:t>投标供应商在“政府采购云平台”完成“电子加密投标文件”的上传递交后，还可以在投标截止时间前将“备份投标文件”（一份）采用邮箱发送至项目负责人邮箱（</w:t>
            </w:r>
            <w:r>
              <w:rPr>
                <w:rFonts w:hAnsi="宋体" w:cs="宋体"/>
                <w:color w:val="auto"/>
                <w:szCs w:val="21"/>
                <w:highlight w:val="none"/>
              </w:rPr>
              <w:t>3477872623@qq.com</w:t>
            </w:r>
            <w:r>
              <w:rPr>
                <w:rFonts w:hint="eastAsia" w:hAnsi="宋体" w:cs="宋体"/>
                <w:color w:val="auto"/>
                <w:szCs w:val="21"/>
                <w:highlight w:val="none"/>
              </w:rPr>
              <w:t>），逾期发送至邮箱的“备份投标文件”将不予接收；解密</w:t>
            </w:r>
            <w:r>
              <w:rPr>
                <w:rFonts w:hAnsi="宋体" w:cs="宋体"/>
                <w:color w:val="auto"/>
                <w:szCs w:val="21"/>
                <w:highlight w:val="none"/>
              </w:rPr>
              <w:t>CA</w:t>
            </w:r>
            <w:r>
              <w:rPr>
                <w:rFonts w:hint="eastAsia" w:hAnsi="宋体" w:cs="宋体"/>
                <w:color w:val="auto"/>
                <w:szCs w:val="21"/>
                <w:highlight w:val="none"/>
              </w:rPr>
              <w:t>必须是上传并制作电子投标文件</w:t>
            </w:r>
            <w:r>
              <w:rPr>
                <w:rFonts w:hAnsi="宋体" w:cs="宋体"/>
                <w:color w:val="auto"/>
                <w:szCs w:val="21"/>
                <w:highlight w:val="none"/>
              </w:rPr>
              <w:t>CA</w:t>
            </w:r>
            <w:r>
              <w:rPr>
                <w:rFonts w:hint="eastAsia" w:hAnsi="宋体" w:cs="宋体"/>
                <w:color w:val="auto"/>
                <w:szCs w:val="21"/>
                <w:highlight w:val="none"/>
              </w:rPr>
              <w:t>锁。</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int="eastAsia" w:ascii="宋体" w:hAnsi="宋体" w:eastAsia="宋体" w:cs="宋体"/>
                <w:color w:val="auto"/>
                <w:szCs w:val="21"/>
                <w:highlight w:val="none"/>
              </w:rPr>
            </w:pPr>
            <w:r>
              <w:rPr>
                <w:rFonts w:hAnsi="宋体" w:cs="宋体"/>
                <w:color w:val="auto"/>
                <w:szCs w:val="21"/>
                <w:highlight w:val="none"/>
              </w:rPr>
              <w:t>b.</w:t>
            </w:r>
            <w:r>
              <w:rPr>
                <w:rFonts w:hint="eastAsia" w:hAnsi="宋体" w:cs="宋体"/>
                <w:color w:val="auto"/>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电子加密投标文件的解密和异常情况处理</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int="eastAsia" w:hAnsi="宋体" w:cs="宋体"/>
                <w:color w:val="auto"/>
                <w:szCs w:val="21"/>
                <w:highlight w:val="none"/>
              </w:rPr>
              <w:t>（</w:t>
            </w:r>
            <w:r>
              <w:rPr>
                <w:rFonts w:hAnsi="宋体" w:cs="宋体"/>
                <w:color w:val="auto"/>
                <w:szCs w:val="21"/>
                <w:highlight w:val="none"/>
              </w:rPr>
              <w:t>1</w:t>
            </w:r>
            <w:r>
              <w:rPr>
                <w:rFonts w:hint="eastAsia" w:hAnsi="宋体" w:cs="宋体"/>
                <w:color w:val="auto"/>
                <w:szCs w:val="21"/>
                <w:highlight w:val="none"/>
              </w:rPr>
              <w:t>）开标后，采购组织机构将向各投标供应商发出“电子加密投标文件”的解密通知，各投标供应商代表应当在接到解密通知后</w:t>
            </w:r>
            <w:r>
              <w:rPr>
                <w:rFonts w:hAnsi="宋体" w:cs="宋体"/>
                <w:color w:val="auto"/>
                <w:szCs w:val="21"/>
                <w:highlight w:val="none"/>
              </w:rPr>
              <w:t>30</w:t>
            </w:r>
            <w:r>
              <w:rPr>
                <w:rFonts w:hint="eastAsia" w:hAnsi="宋体" w:cs="宋体"/>
                <w:color w:val="auto"/>
                <w:szCs w:val="21"/>
                <w:highlight w:val="none"/>
              </w:rPr>
              <w:t>分钟内自行完成“电子加密投标文件”的在线解密。</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Ansi="宋体" w:cs="宋体"/>
                <w:color w:val="auto"/>
                <w:szCs w:val="21"/>
                <w:highlight w:val="none"/>
              </w:rPr>
            </w:pPr>
            <w:r>
              <w:rPr>
                <w:rFonts w:hint="eastAsia" w:hAnsi="宋体" w:cs="宋体"/>
                <w:color w:val="auto"/>
                <w:szCs w:val="21"/>
                <w:highlight w:val="none"/>
              </w:rPr>
              <w:t>（</w:t>
            </w:r>
            <w:r>
              <w:rPr>
                <w:rFonts w:hAnsi="宋体" w:cs="宋体"/>
                <w:color w:val="auto"/>
                <w:szCs w:val="21"/>
                <w:highlight w:val="none"/>
              </w:rPr>
              <w:t>2</w:t>
            </w:r>
            <w:r>
              <w:rPr>
                <w:rFonts w:hint="eastAsia" w:hAnsi="宋体" w:cs="宋体"/>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int="eastAsia" w:ascii="宋体" w:hAnsi="宋体" w:eastAsia="宋体" w:cs="宋体"/>
                <w:color w:val="auto"/>
                <w:szCs w:val="21"/>
                <w:highlight w:val="none"/>
              </w:rPr>
            </w:pPr>
            <w:r>
              <w:rPr>
                <w:rFonts w:hint="eastAsia" w:hAnsi="宋体" w:cs="宋体"/>
                <w:color w:val="auto"/>
                <w:szCs w:val="21"/>
                <w:highlight w:val="none"/>
              </w:rPr>
              <w:t>（</w:t>
            </w:r>
            <w:r>
              <w:rPr>
                <w:rFonts w:hAnsi="宋体" w:cs="宋体"/>
                <w:color w:val="auto"/>
                <w:szCs w:val="21"/>
                <w:highlight w:val="none"/>
              </w:rPr>
              <w:t>3</w:t>
            </w:r>
            <w:r>
              <w:rPr>
                <w:rFonts w:hint="eastAsia" w:hAnsi="宋体" w:cs="宋体"/>
                <w:color w:val="auto"/>
                <w:szCs w:val="21"/>
                <w:highlight w:val="none"/>
              </w:rPr>
              <w:t>）投标截止时间前，投标供应商仅递交了“备份投标文件”而未将电子加密投标文件上传至“政府采购云平台”的，投标无效。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w:t>
            </w:r>
          </w:p>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截止时间</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40" w:lineRule="exact"/>
              <w:textAlignment w:val="auto"/>
              <w:rPr>
                <w:rFonts w:hint="eastAsia" w:ascii="宋体" w:hAnsi="宋体" w:eastAsia="宋体" w:cs="宋体"/>
                <w:color w:val="auto"/>
                <w:szCs w:val="21"/>
                <w:highlight w:val="none"/>
              </w:rPr>
            </w:pPr>
            <w:r>
              <w:rPr>
                <w:rFonts w:hint="eastAsia" w:hAnsi="宋体" w:cs="宋体"/>
                <w:color w:val="auto"/>
                <w:szCs w:val="21"/>
                <w:highlight w:val="none"/>
                <w:lang w:eastAsia="zh-CN"/>
              </w:rPr>
              <w:t>2025年</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hAnsi="宋体" w:cs="宋体"/>
                <w:color w:val="auto"/>
                <w:szCs w:val="21"/>
                <w:highlight w:val="none"/>
                <w:lang w:val="en-US" w:eastAsia="zh-CN"/>
              </w:rPr>
              <w:t>28</w:t>
            </w:r>
            <w:r>
              <w:rPr>
                <w:rFonts w:hint="eastAsia" w:ascii="宋体" w:hAnsi="宋体" w:eastAsia="宋体" w:cs="宋体"/>
                <w:color w:val="auto"/>
                <w:szCs w:val="21"/>
                <w:highlight w:val="none"/>
              </w:rPr>
              <w:t>日</w:t>
            </w:r>
            <w:r>
              <w:rPr>
                <w:rFonts w:hint="eastAsia" w:hAnsi="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开标地点</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2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浙江省成套工程有限公司</w:t>
            </w:r>
            <w:r>
              <w:rPr>
                <w:rFonts w:hint="eastAsia" w:ascii="宋体" w:hAnsi="宋体" w:eastAsia="宋体" w:cs="宋体"/>
                <w:color w:val="auto"/>
                <w:spacing w:val="-6"/>
                <w:szCs w:val="21"/>
                <w:highlight w:val="none"/>
              </w:rPr>
              <w:t>（衢州市花园中大道91号鑫港大厦7楼709室）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40" w:lineRule="exact"/>
              <w:textAlignment w:val="auto"/>
              <w:rPr>
                <w:rFonts w:hint="eastAsia" w:ascii="宋体" w:hAnsi="宋体" w:eastAsia="宋体" w:cs="宋体"/>
                <w:color w:val="auto"/>
                <w:szCs w:val="21"/>
                <w:highlight w:val="none"/>
              </w:rPr>
            </w:pPr>
            <w:r>
              <w:rPr>
                <w:rFonts w:hint="eastAsia" w:hAnsi="宋体" w:cs="宋体"/>
                <w:color w:val="auto"/>
                <w:szCs w:val="21"/>
                <w:highlight w:val="none"/>
                <w:lang w:eastAsia="zh-CN"/>
              </w:rPr>
              <w:t>2025年</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hAnsi="宋体" w:cs="宋体"/>
                <w:color w:val="auto"/>
                <w:szCs w:val="21"/>
                <w:highlight w:val="none"/>
                <w:lang w:val="en-US" w:eastAsia="zh-CN"/>
              </w:rPr>
              <w:t>28</w:t>
            </w:r>
            <w:r>
              <w:rPr>
                <w:rFonts w:hint="eastAsia" w:ascii="宋体" w:hAnsi="宋体" w:eastAsia="宋体" w:cs="宋体"/>
                <w:color w:val="auto"/>
                <w:szCs w:val="21"/>
                <w:highlight w:val="none"/>
                <w:lang w:eastAsia="zh-CN"/>
              </w:rPr>
              <w:t>日</w:t>
            </w:r>
            <w:r>
              <w:rPr>
                <w:rFonts w:hint="eastAsia" w:hAnsi="宋体" w:cs="宋体"/>
                <w:color w:val="auto"/>
                <w:szCs w:val="21"/>
                <w:highlight w:val="none"/>
                <w:lang w:val="en-US" w:eastAsia="zh-CN"/>
              </w:rPr>
              <w:t>10</w:t>
            </w:r>
            <w:r>
              <w:rPr>
                <w:rFonts w:hint="eastAsia" w:ascii="宋体" w:hAnsi="宋体" w:eastAsia="宋体" w:cs="宋体"/>
                <w:color w:val="auto"/>
                <w:szCs w:val="21"/>
                <w:highlight w:val="none"/>
                <w:lang w:eastAsia="zh-CN"/>
              </w:rPr>
              <w:t>时30分</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履约保证金交纳</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eastAsia="宋体" w:cs="宋体"/>
                <w:color w:val="auto"/>
                <w:szCs w:val="21"/>
                <w:highlight w:val="none"/>
                <w:lang w:val="zh-CN" w:eastAsia="zh-CN"/>
              </w:rPr>
            </w:pPr>
            <w:r>
              <w:rPr>
                <w:rFonts w:hint="eastAsia"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pacing w:line="2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eastAsia="zh-CN"/>
              </w:rPr>
              <w:t>衢州市中心血站</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 系 人：邱女士，联系电话：0570-8758107　</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质疑受理人：郑女士，联系电话：0570-8758126</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采购代理机构名称：浙江省成套工程有限公司</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吴</w:t>
            </w:r>
            <w:r>
              <w:rPr>
                <w:rFonts w:hint="eastAsia" w:ascii="宋体" w:hAnsi="宋体" w:eastAsia="宋体" w:cs="宋体"/>
                <w:color w:val="auto"/>
                <w:szCs w:val="21"/>
                <w:highlight w:val="none"/>
                <w:lang w:val="en-US" w:eastAsia="zh-CN"/>
              </w:rPr>
              <w:t>先生</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联系电话：0570-8757</w:t>
            </w:r>
            <w:r>
              <w:rPr>
                <w:rFonts w:hint="eastAsia" w:ascii="宋体" w:hAnsi="宋体" w:eastAsia="宋体" w:cs="宋体"/>
                <w:color w:val="auto"/>
                <w:szCs w:val="21"/>
                <w:highlight w:val="none"/>
                <w:lang w:eastAsia="zh-CN"/>
              </w:rPr>
              <w:t>58</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18367054001</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传真：0570-8757585</w:t>
            </w:r>
          </w:p>
          <w:p>
            <w:pPr>
              <w:keepNext w:val="0"/>
              <w:keepLines w:val="0"/>
              <w:pageBreakBefore w:val="0"/>
              <w:widowControl w:val="0"/>
              <w:tabs>
                <w:tab w:val="left" w:pos="0"/>
              </w:tabs>
              <w:kinsoku/>
              <w:wordWrap/>
              <w:overflowPunct/>
              <w:topLinePunct w:val="0"/>
              <w:autoSpaceDE/>
              <w:autoSpaceDN/>
              <w:bidi w:val="0"/>
              <w:snapToGrid w:val="0"/>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地点：衢州市西区花园中大道91号鑫港大厦7楼709室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注意事项</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根据《关于在政府采购活动中查询及使用信用记录有关问题的通知》财库[2016]125号的规定：</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（1）采购人或采购代理机构将对本项目供应商的信用记录进行查询。查询渠道为信用中国网站（www.creditchina.gov.cn）、中国政府采购网（www.ccgp.gov.cn）。</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（2）截止时点：提交投标文件（响应文件）截止时间前3年内。</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（3）查询记录和证据的留存：信用信息查询记录和证据以网页截图等方式留存。</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204"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采购公告，更正公告，中标公示发布网址</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http://www.zjzf</w:t>
            </w:r>
            <w:bookmarkStart w:id="55" w:name="_Hlt165275729"/>
            <w:bookmarkStart w:id="56" w:name="_Hlt165275728"/>
            <w:r>
              <w:rPr>
                <w:rFonts w:hint="eastAsia" w:ascii="宋体" w:hAnsi="宋体" w:eastAsia="宋体" w:cs="宋体"/>
                <w:color w:val="auto"/>
                <w:szCs w:val="21"/>
                <w:highlight w:val="none"/>
              </w:rPr>
              <w:t>c</w:t>
            </w:r>
            <w:bookmarkEnd w:id="55"/>
            <w:bookmarkEnd w:id="56"/>
            <w:r>
              <w:rPr>
                <w:rFonts w:hint="eastAsia" w:ascii="宋体" w:hAnsi="宋体" w:eastAsia="宋体" w:cs="宋体"/>
                <w:color w:val="auto"/>
                <w:szCs w:val="21"/>
                <w:highlight w:val="none"/>
              </w:rPr>
              <w:t>g</w:t>
            </w:r>
            <w:bookmarkStart w:id="57" w:name="_Hlt165275712"/>
            <w:bookmarkStart w:id="58" w:name="_Hlt165275713"/>
            <w:r>
              <w:rPr>
                <w:rFonts w:hint="eastAsia" w:ascii="宋体" w:hAnsi="宋体" w:eastAsia="宋体" w:cs="宋体"/>
                <w:color w:val="auto"/>
                <w:szCs w:val="21"/>
                <w:highlight w:val="none"/>
              </w:rPr>
              <w:t>.</w:t>
            </w:r>
            <w:bookmarkEnd w:id="57"/>
            <w:bookmarkEnd w:id="58"/>
            <w:r>
              <w:rPr>
                <w:rFonts w:hint="eastAsia" w:ascii="宋体" w:hAnsi="宋体" w:eastAsia="宋体" w:cs="宋体"/>
                <w:color w:val="auto"/>
                <w:szCs w:val="21"/>
                <w:highlight w:val="none"/>
              </w:rPr>
              <w:t>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rPr>
            </w:pPr>
            <w:bookmarkStart w:id="59" w:name="_Toc13996"/>
            <w:bookmarkStart w:id="60" w:name="_Toc356371433"/>
            <w:bookmarkStart w:id="61" w:name="_Toc16402"/>
            <w:bookmarkStart w:id="62" w:name="_Toc17416"/>
            <w:bookmarkStart w:id="63" w:name="_Toc356371435"/>
            <w:r>
              <w:rPr>
                <w:rFonts w:hint="eastAsia" w:ascii="宋体" w:hAnsi="宋体" w:eastAsia="宋体" w:cs="宋体"/>
                <w:color w:val="auto"/>
                <w:szCs w:val="21"/>
                <w:highlight w:val="none"/>
                <w:lang w:val="en-US" w:eastAsia="zh-CN"/>
              </w:rPr>
              <w:t>20</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中标候选人数量</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eastAsia="宋体" w:cs="宋体"/>
                <w:color w:val="auto"/>
                <w:szCs w:val="21"/>
                <w:highlight w:val="none"/>
              </w:rPr>
            </w:pPr>
            <w:r>
              <w:rPr>
                <w:rFonts w:hint="eastAsia" w:ascii="宋体" w:hAnsi="宋体" w:cs="宋体"/>
                <w:b w:val="0"/>
                <w:bCs w:val="0"/>
                <w:color w:val="auto"/>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hAnsi="宋体" w:cs="宋体"/>
                <w:color w:val="auto"/>
                <w:szCs w:val="21"/>
                <w:highlight w:val="none"/>
                <w:lang w:val="en-US" w:eastAsia="zh-CN"/>
              </w:rPr>
              <w:t>1</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支持中小企业发展</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在政府采购活动中，投标人提供的货物、工程或者服务符合下列情形的，享受中小企业扶持政策：</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2.1在货物采购项目中，货物由中小企业制造，即货物由中小企业生产且使用该中小企业商号或者注册商标；</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2.2在工程采购项目中，工程由中小企业承建，即工程施工单位为中小企业；</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2.3在服务采购项目中，服务由中小企业承接，即提供服务的人员为中小企业依照《中华人民共和国劳动合同法》订立劳动合同的从业人员。</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在货物采购项目中，投标人提供的货物既有中小企业制造货物，也有大型企业制造货物的，不享受中小企业扶持政策。</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hAnsi="宋体" w:cs="宋体"/>
                <w:color w:val="auto"/>
                <w:szCs w:val="21"/>
                <w:highlight w:val="none"/>
                <w:lang w:val="en-US" w:eastAsia="zh-CN"/>
              </w:rPr>
              <w:t>1</w:t>
            </w:r>
            <w:r>
              <w:rPr>
                <w:rFonts w:hint="eastAsia" w:ascii="宋体" w:hAnsi="宋体" w:eastAsia="宋体" w:cs="宋体"/>
                <w:color w:val="auto"/>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hAnsi="宋体" w:cs="宋体"/>
                <w:color w:val="auto"/>
                <w:szCs w:val="21"/>
                <w:highlight w:val="none"/>
                <w:lang w:val="en-US" w:eastAsia="zh-CN"/>
              </w:rPr>
              <w:t>4</w:t>
            </w:r>
            <w:r>
              <w:rPr>
                <w:rFonts w:hint="eastAsia" w:ascii="宋体" w:hAnsi="宋体" w:eastAsia="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符合《关于促进残疾人就业政府采购政策的通知》（财库〔2017〕141号）规定的条件并提供《残疾人福利性单位声明函》（附件1）的残疾人福利性单位视同小型、微型企业；</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2"/>
              <w:keepNext w:val="0"/>
              <w:keepLines w:val="0"/>
              <w:pageBreakBefore w:val="0"/>
              <w:widowControl w:val="0"/>
              <w:kinsoku/>
              <w:wordWrap/>
              <w:overflowPunct/>
              <w:topLinePunct w:val="0"/>
              <w:autoSpaceDE/>
              <w:autoSpaceDN/>
              <w:bidi w:val="0"/>
              <w:snapToGrid w:val="0"/>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w:t>
            </w:r>
            <w:r>
              <w:rPr>
                <w:rFonts w:hint="eastAsia" w:ascii="宋体" w:hAnsi="宋体" w:eastAsia="宋体" w:cs="宋体"/>
                <w:color w:val="auto"/>
                <w:highlight w:val="none"/>
              </w:rPr>
              <w:t>给大型企业。</w:t>
            </w:r>
          </w:p>
          <w:p>
            <w:pPr>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标的名称：</w:t>
            </w:r>
            <w:r>
              <w:rPr>
                <w:rFonts w:hint="eastAsia" w:ascii="宋体" w:hAnsi="宋体" w:cs="宋体"/>
                <w:b/>
                <w:bCs/>
                <w:color w:val="auto"/>
                <w:sz w:val="21"/>
                <w:szCs w:val="21"/>
                <w:highlight w:val="none"/>
                <w:lang w:val="zh-CN" w:eastAsia="zh-Hans"/>
              </w:rPr>
              <w:t>衢州市中心血站</w:t>
            </w:r>
            <w:r>
              <w:rPr>
                <w:rFonts w:hint="eastAsia" w:ascii="宋体" w:hAnsi="宋体" w:cs="宋体"/>
                <w:b/>
                <w:bCs/>
                <w:color w:val="auto"/>
                <w:sz w:val="21"/>
                <w:szCs w:val="21"/>
                <w:highlight w:val="none"/>
                <w:lang w:val="en-US" w:eastAsia="zh-CN"/>
              </w:rPr>
              <w:t>一次性血液成分分离管路采购项目</w:t>
            </w:r>
            <w:r>
              <w:rPr>
                <w:rFonts w:hint="eastAsia" w:ascii="宋体" w:hAnsi="宋体" w:eastAsia="宋体" w:cs="宋体"/>
                <w:b/>
                <w:bCs/>
                <w:color w:val="auto"/>
                <w:sz w:val="21"/>
                <w:szCs w:val="21"/>
                <w:highlight w:val="none"/>
                <w:lang w:val="zh-CN"/>
              </w:rPr>
              <w:t>，所属行业：</w:t>
            </w:r>
            <w:r>
              <w:rPr>
                <w:rFonts w:hint="eastAsia" w:ascii="宋体" w:hAnsi="宋体" w:cs="宋体"/>
                <w:b/>
                <w:bCs/>
                <w:color w:val="auto"/>
                <w:sz w:val="21"/>
                <w:szCs w:val="21"/>
                <w:highlight w:val="none"/>
                <w:lang w:val="en-US" w:eastAsia="zh-CN"/>
              </w:rPr>
              <w:t>工业</w:t>
            </w:r>
            <w:r>
              <w:rPr>
                <w:rFonts w:hint="eastAsia" w:ascii="宋体" w:hAnsi="宋体" w:eastAsia="宋体" w:cs="宋体"/>
                <w:b/>
                <w:bCs/>
                <w:color w:val="auto"/>
                <w:sz w:val="21"/>
                <w:szCs w:val="21"/>
                <w:highlight w:val="none"/>
                <w:lang w:val="en-US" w:eastAsia="zh-CN"/>
              </w:rPr>
              <w:t>行业</w:t>
            </w:r>
            <w:r>
              <w:rPr>
                <w:rFonts w:hint="eastAsia" w:ascii="宋体" w:hAnsi="宋体" w:eastAsia="宋体" w:cs="宋体"/>
                <w:b/>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22</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 w:val="22"/>
                <w:szCs w:val="22"/>
                <w:highlight w:val="none"/>
              </w:rPr>
              <w:t>支持绿色发展</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napToGrid w:val="0"/>
                <w:color w:val="auto"/>
                <w:sz w:val="22"/>
                <w:szCs w:val="22"/>
                <w:highlight w:val="none"/>
              </w:rPr>
              <w:t>3</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keepNext w:val="0"/>
              <w:keepLines w:val="0"/>
              <w:pageBreakBefore w:val="0"/>
              <w:widowControl w:val="0"/>
              <w:kinsoku/>
              <w:wordWrap/>
              <w:overflowPunct/>
              <w:topLinePunct w:val="0"/>
              <w:autoSpaceDE/>
              <w:autoSpaceDN/>
              <w:bidi w:val="0"/>
              <w:snapToGrid w:val="0"/>
              <w:jc w:val="center"/>
              <w:textAlignment w:val="auto"/>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23</w:t>
            </w:r>
          </w:p>
        </w:tc>
        <w:tc>
          <w:tcPr>
            <w:tcW w:w="17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 w:val="22"/>
                <w:szCs w:val="22"/>
                <w:highlight w:val="none"/>
              </w:rPr>
              <w:t>支持创新发展</w:t>
            </w:r>
          </w:p>
        </w:tc>
        <w:tc>
          <w:tcPr>
            <w:tcW w:w="7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采购人优先采购被认定为首台套产品和“制造精品”的自主创新产品。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napToGrid w:val="0"/>
                <w:color w:val="auto"/>
                <w:sz w:val="22"/>
                <w:szCs w:val="22"/>
                <w:highlight w:val="none"/>
              </w:rPr>
              <w:t>2</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bl>
    <w:p>
      <w:pPr>
        <w:snapToGrid w:val="0"/>
        <w:spacing w:before="48" w:beforeLines="20" w:after="48" w:afterLines="20"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二、投标须知</w:t>
      </w:r>
      <w:bookmarkEnd w:id="59"/>
      <w:bookmarkEnd w:id="60"/>
      <w:bookmarkEnd w:id="61"/>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本招标文件仅适用于本次招标采购项目的招标、投标、评标、定标、验收、合同履约、付款等行为。</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“采购代理机构”系指组织本次招标的浙江省成套工程有限公司。</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“采购人”系指提出本次采购的委托单位：</w:t>
      </w:r>
      <w:r>
        <w:rPr>
          <w:rFonts w:hint="eastAsia" w:ascii="宋体" w:hAnsi="宋体" w:cs="宋体"/>
          <w:color w:val="auto"/>
          <w:szCs w:val="21"/>
          <w:highlight w:val="none"/>
          <w:lang w:eastAsia="zh-CN"/>
        </w:rPr>
        <w:t>衢州市中心血站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“投标人”系指向招标方提交投标文件的供应商。</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 系指投标人按投标文件规定向采购人提供的各类设备、软件、技术资料及使用手册等。</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“服务”系指根据本合同规定，中标人必须承担安装、调试、技术协助、培训以及其他类似的义务。</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“▲”系指实质性要求条款。</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投标委托</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投标人代表须具有身份证明文件。</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转包与分包</w:t>
      </w:r>
    </w:p>
    <w:p>
      <w:pPr>
        <w:snapToGrid w:val="0"/>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本项目不允许转包。分包须经采购人书面同意后方可实施。</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b/>
          <w:color w:val="auto"/>
          <w:szCs w:val="21"/>
          <w:highlight w:val="none"/>
        </w:rPr>
      </w:pPr>
      <w:bookmarkStart w:id="64" w:name="_Toc15235"/>
      <w:bookmarkStart w:id="65" w:name="_Toc24659"/>
      <w:bookmarkStart w:id="66" w:name="_Toc356371434"/>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▲投标人投标所使用的资格、信誉、荣誉、业绩与企业认证必须为本法人所拥有。</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三、招标文件说明</w:t>
      </w:r>
      <w:bookmarkEnd w:id="64"/>
      <w:bookmarkEnd w:id="65"/>
      <w:bookmarkEnd w:id="66"/>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招标文件的组成</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招标公告；</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投标须知前附表及投标须知；</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采购内容及要求；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合同文本；</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应提交的有关格式范例；</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评标办法及开标程序。</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招标文件的澄清及修改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7" w:name="_Toc31995"/>
      <w:r>
        <w:rPr>
          <w:rFonts w:hint="eastAsia" w:ascii="宋体" w:hAnsi="宋体" w:eastAsia="宋体" w:cs="宋体"/>
          <w:color w:val="auto"/>
          <w:szCs w:val="21"/>
          <w:highlight w:val="none"/>
        </w:rPr>
        <w:t>四、投标文件的编制</w:t>
      </w:r>
      <w:bookmarkEnd w:id="62"/>
      <w:bookmarkEnd w:id="63"/>
      <w:bookmarkEnd w:id="67"/>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投标文件及供应商与采购有关的来往通知，函件和文件均应使用中文。</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供应商应按本文件中提供的文件格式、内容和要求制作投标文件。</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▲投标文件应分为【资格文件】、【商务技术文件】和【报价文件】。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（1）具有参与政府采购活动一般资格条件的声明函</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）有效的投标人《企业法人营业执照》； </w:t>
      </w:r>
    </w:p>
    <w:p>
      <w:pPr>
        <w:snapToGrid w:val="0"/>
        <w:spacing w:line="312"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投标人有效的《医疗器械经营企业许可证》或医疗器械经营备案凭证；</w:t>
      </w:r>
    </w:p>
    <w:p>
      <w:pPr>
        <w:snapToGrid w:val="0"/>
        <w:spacing w:line="312" w:lineRule="auto"/>
        <w:ind w:firstLine="420" w:firstLineChars="200"/>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）投标产品《医疗器械产品注册证》或备案表；</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）法定代表人授权委托书（授权代表人参加时提供，格式见第五章）；</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）法定代表人身份证明（法定代表人参加时提供，格式见第五章）；</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）法定代表人或授权代表人身份证扫描件</w:t>
      </w:r>
      <w:r>
        <w:rPr>
          <w:rFonts w:hint="eastAsia" w:ascii="宋体" w:hAnsi="宋体" w:cs="宋体"/>
          <w:color w:val="auto"/>
          <w:szCs w:val="21"/>
          <w:highlight w:val="none"/>
          <w:lang w:eastAsia="zh-CN"/>
        </w:rPr>
        <w:t>；</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自评分表（由投标人自行编制）；</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技术支持及服务承诺书</w:t>
      </w:r>
      <w:r>
        <w:rPr>
          <w:rFonts w:hint="eastAsia" w:ascii="宋体" w:hAnsi="宋体" w:eastAsia="宋体" w:cs="宋体"/>
          <w:color w:val="auto"/>
          <w:szCs w:val="21"/>
          <w:highlight w:val="none"/>
        </w:rPr>
        <w:t>（格式见第五章）</w:t>
      </w:r>
      <w:r>
        <w:rPr>
          <w:rFonts w:hint="eastAsia" w:ascii="宋体" w:hAnsi="宋体" w:eastAsia="宋体" w:cs="宋体"/>
          <w:color w:val="auto"/>
          <w:szCs w:val="21"/>
          <w:highlight w:val="none"/>
          <w:lang w:val="zh-CN"/>
        </w:rPr>
        <w:t>；</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投标人的类似成功案例的业绩证明文件</w:t>
      </w:r>
      <w:r>
        <w:rPr>
          <w:rFonts w:hint="eastAsia" w:ascii="宋体" w:hAnsi="宋体" w:eastAsia="宋体" w:cs="宋体"/>
          <w:color w:val="auto"/>
          <w:szCs w:val="21"/>
          <w:highlight w:val="none"/>
        </w:rPr>
        <w:t>（格式见第五章）</w:t>
      </w:r>
      <w:r>
        <w:rPr>
          <w:rFonts w:hint="eastAsia" w:ascii="宋体" w:hAnsi="宋体" w:eastAsia="宋体" w:cs="宋体"/>
          <w:color w:val="auto"/>
          <w:szCs w:val="21"/>
          <w:highlight w:val="none"/>
          <w:lang w:val="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企业相关资质证书复印件</w:t>
      </w:r>
      <w:r>
        <w:rPr>
          <w:rFonts w:hint="eastAsia" w:ascii="宋体" w:hAnsi="宋体" w:eastAsia="宋体" w:cs="宋体"/>
          <w:color w:val="auto"/>
          <w:szCs w:val="21"/>
          <w:highlight w:val="none"/>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有关资格、信誉、荣誉的证明材料复印件</w:t>
      </w:r>
      <w:r>
        <w:rPr>
          <w:rFonts w:hint="eastAsia" w:ascii="宋体" w:hAnsi="宋体" w:eastAsia="宋体" w:cs="宋体"/>
          <w:color w:val="auto"/>
          <w:szCs w:val="21"/>
          <w:highlight w:val="none"/>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技术偏离说明表（格式见第五章）；</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根据评分标准</w:t>
      </w:r>
      <w:r>
        <w:rPr>
          <w:rFonts w:hint="eastAsia" w:ascii="宋体" w:hAnsi="宋体" w:eastAsia="宋体" w:cs="宋体"/>
          <w:color w:val="auto"/>
          <w:szCs w:val="21"/>
          <w:highlight w:val="none"/>
        </w:rPr>
        <w:t>认为需要的其他</w:t>
      </w:r>
      <w:r>
        <w:rPr>
          <w:rFonts w:hint="eastAsia" w:ascii="宋体" w:hAnsi="宋体" w:eastAsia="宋体" w:cs="宋体"/>
          <w:color w:val="auto"/>
          <w:szCs w:val="21"/>
          <w:highlight w:val="none"/>
          <w:lang w:eastAsia="zh-CN"/>
        </w:rPr>
        <w:t>技术商务</w:t>
      </w:r>
      <w:r>
        <w:rPr>
          <w:rFonts w:hint="eastAsia" w:ascii="宋体" w:hAnsi="宋体" w:eastAsia="宋体" w:cs="宋体"/>
          <w:color w:val="auto"/>
          <w:szCs w:val="21"/>
          <w:highlight w:val="none"/>
        </w:rPr>
        <w:t>资料。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）开标一览表（格式见第五章）；</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投标产品报价明细表（格式见第五章）</w:t>
      </w:r>
      <w:r>
        <w:rPr>
          <w:rFonts w:hint="eastAsia" w:ascii="宋体" w:hAnsi="宋体" w:eastAsia="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）监狱和戒毒企业应提供由省级以上监狱管理局、戒毒管理局（含新疆生产建设兵团）出具的属于监狱企业的证明文件；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监狱和戒毒企业</w:t>
      </w:r>
      <w:r>
        <w:rPr>
          <w:rFonts w:hint="eastAsia" w:ascii="宋体" w:hAnsi="宋体" w:eastAsia="宋体" w:cs="宋体"/>
          <w:color w:val="auto"/>
          <w:szCs w:val="21"/>
          <w:highlight w:val="none"/>
          <w:lang w:val="en-GB"/>
        </w:rPr>
        <w:t>政策情况表》；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）残疾人福利性单位应提供残疾人福利性单位声明函；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残疾人福利单位提供</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color w:val="auto"/>
          <w:highlight w:val="none"/>
        </w:rPr>
      </w:pPr>
      <w:r>
        <w:rPr>
          <w:rFonts w:hint="eastAsia" w:ascii="宋体" w:hAnsi="宋体" w:eastAsia="宋体" w:cs="宋体"/>
          <w:color w:val="auto"/>
          <w:szCs w:val="21"/>
          <w:highlight w:val="none"/>
          <w:lang w:val="en-GB"/>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残疾人福利性单位</w:t>
      </w:r>
      <w:r>
        <w:rPr>
          <w:rFonts w:hint="eastAsia" w:ascii="宋体" w:hAnsi="宋体" w:eastAsia="宋体" w:cs="宋体"/>
          <w:color w:val="auto"/>
          <w:szCs w:val="21"/>
          <w:highlight w:val="none"/>
          <w:lang w:val="en-GB"/>
        </w:rPr>
        <w:t>政策情况表》</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残疾人福利单位提供</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投标人认为需要提供的其他商务资料。</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投标文件内容填写说明 </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供应商必须保证投标文件所提供的全部资料真实可靠，并接受采购人对其中任何资料进一步审查的要求。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《开标一览表》为</w:t>
      </w:r>
      <w:r>
        <w:rPr>
          <w:rFonts w:hint="eastAsia" w:ascii="宋体" w:hAnsi="宋体" w:eastAsia="宋体" w:cs="宋体"/>
          <w:color w:val="auto"/>
          <w:spacing w:val="-6"/>
          <w:szCs w:val="21"/>
          <w:highlight w:val="none"/>
        </w:rPr>
        <w:t>在开标仪式上唱标的内容，要求按格式填写、统一规范，不得自行增减内容。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投标文件须对招标文件中的内容做出实质性的和完整的响应，否则其投标将被拒绝。如果投标</w:t>
      </w:r>
      <w:r>
        <w:rPr>
          <w:rFonts w:hint="eastAsia" w:ascii="宋体" w:hAnsi="宋体" w:eastAsia="宋体" w:cs="宋体"/>
          <w:color w:val="auto"/>
          <w:spacing w:val="-6"/>
          <w:szCs w:val="21"/>
          <w:highlight w:val="none"/>
        </w:rPr>
        <w:t>文件填报的内容资料不详，或没有提供招标文件中所要求的全部资料及数据，将会导致投标被拒绝。</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w:t>
      </w:r>
      <w:r>
        <w:rPr>
          <w:rFonts w:hint="eastAsia" w:ascii="宋体" w:hAnsi="宋体" w:eastAsia="宋体" w:cs="宋体"/>
          <w:color w:val="auto"/>
          <w:spacing w:val="-6"/>
          <w:szCs w:val="21"/>
          <w:highlight w:val="none"/>
        </w:rPr>
        <w:t>标文件不得涂改和增删，如有错漏必须修改，修改处须由法定代表人或授权委托人签字或盖章。</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由于字迹模糊或表达不清引起的后果由投标人负责。</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投标报价应按招标文件中相关附表格式填写。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投标人所报的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在本项目合同执行过程中是固定的，不论其他任何原因，未经招标人认可，不得以任何理由予以变更。投标人在投标报价时应充分考虑上述原则。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投标文件只允许有一个报价，有选择的或有条件的报价将不予接受。</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▲投标文件从投标文件递交截止之日起，有效期为90天；</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8" w:name="_Toc14685"/>
      <w:bookmarkStart w:id="69" w:name="_Toc21663"/>
      <w:r>
        <w:rPr>
          <w:rFonts w:hint="eastAsia" w:ascii="宋体" w:hAnsi="宋体" w:eastAsia="宋体" w:cs="宋体"/>
          <w:color w:val="auto"/>
          <w:szCs w:val="21"/>
          <w:highlight w:val="none"/>
        </w:rPr>
        <w:t>五、投标文件的签署及规定</w:t>
      </w:r>
      <w:bookmarkEnd w:id="68"/>
      <w:bookmarkEnd w:id="69"/>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《投标文件》的签章：见《前附表》。</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0" w:name="_Toc5517"/>
      <w:bookmarkStart w:id="71" w:name="_Toc356371437"/>
      <w:bookmarkStart w:id="72" w:name="_Toc28256"/>
      <w:r>
        <w:rPr>
          <w:rFonts w:hint="eastAsia" w:ascii="宋体" w:hAnsi="宋体" w:eastAsia="宋体" w:cs="宋体"/>
          <w:color w:val="auto"/>
          <w:szCs w:val="21"/>
          <w:highlight w:val="none"/>
        </w:rPr>
        <w:t>六、投标文件的递交</w:t>
      </w:r>
      <w:bookmarkEnd w:id="70"/>
      <w:bookmarkEnd w:id="71"/>
      <w:bookmarkEnd w:id="72"/>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递交投标文件截止期</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投标供应商应在投标截止时间前将“电子加密投标文件”成功上传递交至“政府采购云平台”，否则投标无效。</w:t>
      </w:r>
    </w:p>
    <w:p>
      <w:pPr>
        <w:numPr>
          <w:ilvl w:val="2"/>
          <w:numId w:val="3"/>
        </w:numPr>
        <w:snapToGrid w:val="0"/>
        <w:spacing w:line="312"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“电子加密投标文件”成功上传递交后，供应商可自行打印投标文件接收回执。</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投标文件的修改和撤销</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在递交投标文件截止时间后，供应商不得对其投标文件做任何修改。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递交投标文件截止时间后，供应商不得撤回其投标文件。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3" w:name="_Toc2881"/>
      <w:bookmarkStart w:id="74" w:name="_Toc18724"/>
      <w:bookmarkStart w:id="75" w:name="_Toc356371438"/>
      <w:r>
        <w:rPr>
          <w:rFonts w:hint="eastAsia" w:ascii="宋体" w:hAnsi="宋体" w:eastAsia="宋体" w:cs="宋体"/>
          <w:color w:val="auto"/>
          <w:szCs w:val="21"/>
          <w:highlight w:val="none"/>
        </w:rPr>
        <w:t>七、投标无效的情形</w:t>
      </w:r>
      <w:bookmarkEnd w:id="73"/>
      <w:bookmarkEnd w:id="74"/>
      <w:bookmarkEnd w:id="75"/>
    </w:p>
    <w:p>
      <w:pPr>
        <w:numPr>
          <w:ilvl w:val="1"/>
          <w:numId w:val="3"/>
        </w:numPr>
        <w:snapToGrid w:val="0"/>
        <w:spacing w:line="312" w:lineRule="auto"/>
        <w:ind w:firstLine="420" w:firstLineChars="200"/>
        <w:rPr>
          <w:rFonts w:hint="eastAsia" w:ascii="宋体" w:hAnsi="宋体" w:eastAsia="宋体" w:cs="宋体"/>
          <w:color w:val="auto"/>
          <w:szCs w:val="21"/>
          <w:highlight w:val="none"/>
        </w:rPr>
      </w:pPr>
      <w:bookmarkStart w:id="76" w:name="_Toc356371439"/>
      <w:r>
        <w:rPr>
          <w:rFonts w:hint="eastAsia" w:ascii="宋体" w:hAnsi="宋体" w:eastAsia="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不具备招标文件规定资格要求；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投标文件未按招标文件要求签署、盖章的，未有效授权的；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招标文件中有▲处条款投标人未作实质性响应的；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资格文件或商务技术文件中包含报价的；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投标文件关键内容字迹模糊、无法辨认的；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投标文件含有采购人不能接受的附加条件的；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报价超出招标文件中规定的预算金额或者最高限价的；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提供虚假材料谋取中标的；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投标人串通投标的；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电子投标文件解密失败的，且未在规定时间内提交电子备份投标文件的；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仅提交“备份投标文件”的；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电子投标文件未按规定要求提供电子签章的；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电子备份投标文件启用后，未按规定要求提供电子签章的；</w:t>
      </w:r>
    </w:p>
    <w:p>
      <w:pPr>
        <w:numPr>
          <w:ilvl w:val="2"/>
          <w:numId w:val="3"/>
        </w:numPr>
        <w:snapToGrid w:val="0"/>
        <w:spacing w:line="312" w:lineRule="auto"/>
        <w:ind w:firstLine="420" w:firstLineChars="200"/>
        <w:rPr>
          <w:rFonts w:hint="eastAsia" w:ascii="宋体" w:hAnsi="宋体" w:cs="宋体"/>
          <w:color w:val="auto"/>
          <w:szCs w:val="21"/>
          <w:highlight w:val="none"/>
        </w:rPr>
      </w:pPr>
      <w:bookmarkStart w:id="77" w:name="OLE_LINK18"/>
      <w:r>
        <w:rPr>
          <w:rFonts w:hint="eastAsia" w:ascii="宋体" w:hAnsi="宋体" w:cs="宋体"/>
          <w:color w:val="auto"/>
          <w:szCs w:val="21"/>
          <w:highlight w:val="none"/>
        </w:rPr>
        <w:t>不同投标人的上传的投标文件MAC地址相同、计算机硬盘序列号相同；</w:t>
      </w:r>
    </w:p>
    <w:p>
      <w:pPr>
        <w:numPr>
          <w:ilvl w:val="2"/>
          <w:numId w:val="3"/>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不同投标人的上传的投标文件细节错误一致且无合理解释；</w:t>
      </w:r>
    </w:p>
    <w:bookmarkEnd w:id="77"/>
    <w:p>
      <w:pPr>
        <w:numPr>
          <w:ilvl w:val="2"/>
          <w:numId w:val="3"/>
        </w:numPr>
        <w:snapToGrid w:val="0"/>
        <w:spacing w:line="312" w:lineRule="auto"/>
        <w:ind w:firstLine="422" w:firstLineChars="200"/>
        <w:rPr>
          <w:rFonts w:hint="eastAsia" w:ascii="宋体" w:hAnsi="宋体" w:cs="宋体"/>
          <w:b/>
          <w:bCs/>
          <w:color w:val="auto"/>
          <w:szCs w:val="21"/>
          <w:highlight w:val="none"/>
        </w:rPr>
      </w:pPr>
      <w:bookmarkStart w:id="78" w:name="OLE_LINK17"/>
      <w:r>
        <w:rPr>
          <w:rFonts w:hint="eastAsia" w:ascii="宋体" w:hAnsi="宋体" w:cs="宋体"/>
          <w:b/>
          <w:bCs/>
          <w:color w:val="auto"/>
          <w:szCs w:val="21"/>
          <w:highlight w:val="none"/>
        </w:rPr>
        <w:t>商务技术得分低于商务技术总分60%的；</w:t>
      </w:r>
    </w:p>
    <w:bookmarkEnd w:id="78"/>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9" w:name="_Toc8559"/>
      <w:bookmarkStart w:id="80" w:name="串通投标的情形"/>
      <w:r>
        <w:rPr>
          <w:rFonts w:hint="eastAsia" w:ascii="宋体" w:hAnsi="宋体" w:eastAsia="宋体" w:cs="宋体"/>
          <w:color w:val="auto"/>
          <w:szCs w:val="21"/>
          <w:highlight w:val="none"/>
        </w:rPr>
        <w:t>八、串通投标的情形</w:t>
      </w:r>
      <w:bookmarkEnd w:id="79"/>
    </w:p>
    <w:bookmarkEnd w:id="80"/>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21.不同投标人的投标文件由同一单位或者个人编制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21.1不同投标人委托同一单位或者个人办理投标事宜；</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21.2不同投标人的投标文件载明的项目管理成员或者联系人员为同一人；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21.3不同投标人的投标文件异常一致或者投标报价呈规律性差异；</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21.4不同投标人的投标文件相互混装。</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1" w:name="_Toc31946"/>
      <w:bookmarkStart w:id="82" w:name="_Toc359592368"/>
      <w:bookmarkStart w:id="83" w:name="_Toc20496"/>
      <w:r>
        <w:rPr>
          <w:rFonts w:hint="eastAsia" w:ascii="宋体" w:hAnsi="宋体" w:eastAsia="宋体" w:cs="宋体"/>
          <w:color w:val="auto"/>
          <w:szCs w:val="21"/>
          <w:highlight w:val="none"/>
        </w:rPr>
        <w:t>九、废标的情形</w:t>
      </w:r>
      <w:bookmarkEnd w:id="81"/>
      <w:bookmarkEnd w:id="82"/>
      <w:bookmarkEnd w:id="83"/>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22.2出现影响采购</w:t>
      </w:r>
      <w:r>
        <w:rPr>
          <w:rFonts w:hint="eastAsia" w:ascii="宋体" w:hAnsi="宋体" w:cs="宋体"/>
          <w:color w:val="auto"/>
          <w:szCs w:val="21"/>
          <w:highlight w:val="none"/>
          <w:lang w:val="en-US" w:eastAsia="zh-CN"/>
        </w:rPr>
        <w:t>公正</w:t>
      </w:r>
      <w:r>
        <w:rPr>
          <w:rFonts w:hint="eastAsia" w:ascii="宋体" w:hAnsi="宋体" w:eastAsia="宋体" w:cs="宋体"/>
          <w:color w:val="auto"/>
          <w:szCs w:val="21"/>
          <w:highlight w:val="none"/>
        </w:rPr>
        <w:t>的违法、违规行为的；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22.3投标人的报价均超过了采购预算（最高限价），采购人不能支付的；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4" w:name="_Toc446"/>
      <w:bookmarkStart w:id="85" w:name="_Toc17839"/>
      <w:r>
        <w:rPr>
          <w:rFonts w:hint="eastAsia" w:ascii="宋体" w:hAnsi="宋体" w:eastAsia="宋体" w:cs="宋体"/>
          <w:color w:val="auto"/>
          <w:szCs w:val="21"/>
          <w:highlight w:val="none"/>
        </w:rPr>
        <w:t>十、开标</w:t>
      </w:r>
      <w:bookmarkEnd w:id="76"/>
      <w:r>
        <w:rPr>
          <w:rFonts w:hint="eastAsia" w:ascii="宋体" w:hAnsi="宋体" w:eastAsia="宋体" w:cs="宋体"/>
          <w:color w:val="auto"/>
          <w:szCs w:val="21"/>
          <w:highlight w:val="none"/>
        </w:rPr>
        <w:t>和评标</w:t>
      </w:r>
      <w:bookmarkEnd w:id="84"/>
      <w:bookmarkEnd w:id="85"/>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23.开标形式</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24.开标准备</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24.1开标的准备工作由采购组织机构负责落实；</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25.开标流程（两阶段）</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25.1开标第一阶段</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（3）开启投标文件，进入资格审查；</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25.2开标大会第二阶段</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w:t>
      </w:r>
      <w:r>
        <w:rPr>
          <w:rFonts w:hint="eastAsia" w:ascii="宋体" w:hAnsi="宋体" w:eastAsia="宋体" w:cs="宋体"/>
          <w:color w:val="auto"/>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eastAsia="宋体" w:cs="宋体"/>
          <w:color w:val="auto"/>
          <w:szCs w:val="21"/>
          <w:highlight w:val="none"/>
        </w:rPr>
      </w:pPr>
      <w:bookmarkStart w:id="86" w:name="_Toc24550037"/>
      <w:bookmarkStart w:id="87" w:name="_Toc33194393"/>
      <w:r>
        <w:rPr>
          <w:rFonts w:hint="eastAsia" w:ascii="宋体" w:hAnsi="宋体" w:eastAsia="宋体" w:cs="宋体"/>
          <w:color w:val="auto"/>
          <w:szCs w:val="21"/>
          <w:highlight w:val="none"/>
        </w:rPr>
        <w:t>26.投标供应商资格审查</w:t>
      </w:r>
      <w:bookmarkEnd w:id="86"/>
      <w:bookmarkEnd w:id="87"/>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27.评标委员会</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27.2在评标期间，若有需要投标人应派代表参加询标。</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28.对投标文件的审查和响应性的确定</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29.算术错误将按以下方法更正</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29.2投标文件的大写金额和小写金额不一致的，以大写金额为准；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29.4总价金额与按单价汇总金额不一致的，以单价金额计算结果为准；同时出现两种以上不一致的，</w:t>
      </w:r>
      <w:r>
        <w:rPr>
          <w:rFonts w:hint="eastAsia" w:ascii="宋体" w:hAnsi="宋体" w:eastAsia="宋体" w:cs="宋体"/>
          <w:color w:val="auto"/>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对不同文字文本投标文件的解释发生异议的，以中文文本为准。</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30.评标</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31.保密</w:t>
      </w:r>
    </w:p>
    <w:p>
      <w:pPr>
        <w:snapToGrid w:val="0"/>
        <w:spacing w:line="312" w:lineRule="auto"/>
        <w:ind w:firstLine="420" w:firstLineChars="200"/>
        <w:rPr>
          <w:rFonts w:hint="eastAsia" w:ascii="宋体" w:hAnsi="宋体" w:eastAsia="宋体" w:cs="宋体"/>
          <w:color w:val="auto"/>
          <w:szCs w:val="21"/>
          <w:highlight w:val="none"/>
        </w:rPr>
      </w:pPr>
      <w:bookmarkStart w:id="88" w:name="_Toc356371440"/>
      <w:r>
        <w:rPr>
          <w:rFonts w:hint="eastAsia" w:ascii="宋体" w:hAnsi="宋体" w:eastAsia="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31.2投标人对评标、比较</w:t>
      </w:r>
      <w:r>
        <w:rPr>
          <w:rFonts w:hint="eastAsia" w:ascii="宋体" w:hAnsi="宋体" w:eastAsia="宋体" w:cs="宋体"/>
          <w:color w:val="auto"/>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32.可中止电子交易活动的情形</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32.1电子交易平台发生故障而无法登录访问的；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32.2电子交易平台应用或数据库出现错误，不能进行正常操作的；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32.3电子交易平台发现严重安全漏洞，有潜在泄密危险的；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32.4病毒发作导致不能进行正常操作的；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32.5其他无法保证电子交易的公平、公正和安全的情况。</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eastAsia="宋体" w:cs="宋体"/>
          <w:bCs/>
          <w:color w:val="auto"/>
          <w:szCs w:val="21"/>
          <w:highlight w:val="none"/>
        </w:rPr>
      </w:pPr>
      <w:bookmarkStart w:id="89" w:name="_Toc784"/>
      <w:r>
        <w:rPr>
          <w:rFonts w:hint="eastAsia" w:ascii="宋体" w:hAnsi="宋体" w:eastAsia="宋体" w:cs="宋体"/>
          <w:bCs/>
          <w:color w:val="auto"/>
          <w:szCs w:val="21"/>
          <w:highlight w:val="none"/>
        </w:rPr>
        <w:t>十一、定标</w:t>
      </w:r>
      <w:bookmarkEnd w:id="89"/>
    </w:p>
    <w:bookmarkEnd w:id="88"/>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33.中标通知和合同授予</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90" w:name="质疑与投诉"/>
      <w:bookmarkStart w:id="91" w:name="_Toc18414"/>
      <w:bookmarkStart w:id="92" w:name="_Toc356371441"/>
      <w:bookmarkStart w:id="93" w:name="_Toc10212"/>
      <w:r>
        <w:rPr>
          <w:rFonts w:hint="eastAsia" w:ascii="宋体" w:hAnsi="宋体" w:eastAsia="宋体" w:cs="宋体"/>
          <w:color w:val="auto"/>
          <w:szCs w:val="21"/>
          <w:highlight w:val="none"/>
        </w:rPr>
        <w:t>十二、质疑与投诉</w:t>
      </w:r>
      <w:bookmarkEnd w:id="90"/>
      <w:bookmarkEnd w:id="91"/>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根据《中华人民共和国政府采购法》、《中华人民共和国政府采购法实施条例》、</w:t>
      </w:r>
      <w:r>
        <w:rPr>
          <w:rFonts w:hint="eastAsia" w:ascii="宋体" w:hAnsi="宋体" w:eastAsia="宋体" w:cs="宋体"/>
          <w:color w:val="auto"/>
          <w:szCs w:val="21"/>
          <w:highlight w:val="none"/>
        </w:rPr>
        <w:t>《政府采购质疑和投诉办法》</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财政部令第94号</w:t>
      </w:r>
      <w:r>
        <w:rPr>
          <w:rFonts w:hint="eastAsia" w:ascii="宋体" w:hAnsi="宋体" w:eastAsia="宋体" w:cs="宋体"/>
          <w:color w:val="auto"/>
          <w:szCs w:val="21"/>
          <w:highlight w:val="none"/>
          <w:lang w:val="zh-CN"/>
        </w:rPr>
        <w:t>)，政府采购供应商可以依法提起质疑和投诉。</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35.供应商询问</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36.供应商质疑</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36.2对采购过程提出质疑的，为各采购程序环节结束之日。</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36.3对中标结果提出质疑的，为中标结果公告期限届满之日。</w:t>
      </w:r>
    </w:p>
    <w:p>
      <w:pPr>
        <w:snapToGrid w:val="0"/>
        <w:spacing w:line="312" w:lineRule="auto"/>
        <w:ind w:firstLine="420" w:firstLineChars="200"/>
        <w:rPr>
          <w:rFonts w:hint="default" w:ascii="宋体" w:hAnsi="宋体" w:eastAsia="宋体" w:cs="宋体"/>
          <w:color w:val="auto"/>
          <w:spacing w:val="-17"/>
          <w:szCs w:val="21"/>
          <w:highlight w:val="none"/>
          <w:lang w:val="en-US" w:eastAsia="zh-CN"/>
        </w:rPr>
      </w:pPr>
      <w:r>
        <w:rPr>
          <w:rFonts w:hint="eastAsia" w:ascii="宋体" w:hAnsi="宋体" w:eastAsia="宋体" w:cs="宋体"/>
          <w:color w:val="auto"/>
          <w:szCs w:val="21"/>
          <w:highlight w:val="none"/>
        </w:rPr>
        <w:t>36.4供应商质疑应当有明确的请求和必要的证明材料。供应商提交的质疑书需一式三份，由法定代表人签字（或盖章）并加盖单位公章。质疑书格式范本详见</w:t>
      </w:r>
      <w:r>
        <w:rPr>
          <w:rFonts w:hint="eastAsia" w:ascii="宋体" w:hAnsi="宋体" w:cs="宋体"/>
          <w:color w:val="auto"/>
          <w:szCs w:val="21"/>
          <w:highlight w:val="none"/>
          <w:lang w:val="en-US" w:eastAsia="zh-CN"/>
        </w:rPr>
        <w:t>浙江省政府采购网下载专区。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37.供应商投诉</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37.1质疑供应商对采购机构的答复不满意或者采购机构未在规定的时间内作出答复的，可以在答复期满后十五个工作日内向同级政府采购监督管理部门提出投诉。</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94" w:name="_Toc29377"/>
      <w:r>
        <w:rPr>
          <w:rFonts w:hint="eastAsia" w:ascii="宋体" w:hAnsi="宋体" w:eastAsia="宋体" w:cs="宋体"/>
          <w:color w:val="auto"/>
          <w:szCs w:val="21"/>
          <w:highlight w:val="none"/>
        </w:rPr>
        <w:t>十三、法律责任</w:t>
      </w:r>
      <w:bookmarkEnd w:id="92"/>
      <w:bookmarkEnd w:id="93"/>
      <w:bookmarkEnd w:id="94"/>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38.1提供虚假材料谋取中标的；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38.2采取不正当手段诋毁、排挤其他投标人的；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38.3与采购人、采购代理机构、其他投标人恶意串通的；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38.4向采购人、采购代理机构行贿或者提供其他不正当利益的；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95" w:name="_Toc29877"/>
      <w:r>
        <w:rPr>
          <w:rFonts w:hint="eastAsia" w:ascii="宋体" w:hAnsi="宋体" w:eastAsia="宋体" w:cs="宋体"/>
          <w:color w:val="auto"/>
          <w:szCs w:val="21"/>
          <w:highlight w:val="none"/>
        </w:rPr>
        <w:t>十四、代理服务费</w:t>
      </w:r>
      <w:bookmarkEnd w:id="95"/>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39.招标代理服务费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论证费</w:t>
      </w:r>
      <w:r>
        <w:rPr>
          <w:rFonts w:hint="eastAsia" w:ascii="宋体" w:hAnsi="宋体" w:eastAsia="宋体" w:cs="宋体"/>
          <w:color w:val="auto"/>
          <w:szCs w:val="21"/>
          <w:highlight w:val="none"/>
        </w:rPr>
        <w:t xml:space="preserve">由中标单位支付，由招标代理人在发中标通知书时按中标金额向中标单位一次性收取。  </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40.招标代理服务收费标准按</w:t>
      </w:r>
      <w:bookmarkStart w:id="96" w:name="OLE_LINK4"/>
      <w:r>
        <w:rPr>
          <w:rFonts w:hint="eastAsia" w:ascii="宋体" w:hAnsi="宋体" w:eastAsia="宋体" w:cs="宋体"/>
          <w:color w:val="auto"/>
          <w:szCs w:val="21"/>
          <w:highlight w:val="none"/>
        </w:rPr>
        <w:t>国家发展计划委员会计价格</w:t>
      </w:r>
      <w:r>
        <w:rPr>
          <w:rFonts w:hint="eastAsia" w:ascii="宋体" w:hAnsi="宋体" w:eastAsia="宋体" w:cs="宋体"/>
          <w:color w:val="auto"/>
          <w:szCs w:val="21"/>
          <w:highlight w:val="none"/>
          <w:lang w:eastAsia="zh-CN"/>
        </w:rPr>
        <w:t>[2002]1980号文件收取</w:t>
      </w:r>
      <w:bookmarkEnd w:id="96"/>
      <w:r>
        <w:rPr>
          <w:rFonts w:hint="eastAsia" w:ascii="宋体" w:hAnsi="宋体" w:eastAsia="宋体" w:cs="宋体"/>
          <w:color w:val="auto"/>
          <w:szCs w:val="21"/>
          <w:highlight w:val="none"/>
        </w:rPr>
        <w:t>，按差额定率累进法计算。</w:t>
      </w:r>
    </w:p>
    <w:p>
      <w:pPr>
        <w:snapToGrid w:val="0"/>
        <w:spacing w:line="312"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招标代理服务收费标准</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eastAsia="宋体" w:cs="宋体"/>
                <w:color w:val="auto"/>
                <w:szCs w:val="21"/>
                <w:highlight w:val="none"/>
              </w:rPr>
            </w:pPr>
          </w:p>
          <w:p>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bl>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41.服务费以人民币收取。</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97" w:name="_Toc23429"/>
      <w:bookmarkStart w:id="98" w:name="_Toc356371442"/>
      <w:bookmarkStart w:id="99" w:name="_Toc14136"/>
      <w:r>
        <w:rPr>
          <w:rFonts w:hint="eastAsia" w:ascii="宋体" w:hAnsi="宋体" w:eastAsia="宋体" w:cs="宋体"/>
          <w:color w:val="auto"/>
          <w:szCs w:val="21"/>
          <w:highlight w:val="none"/>
        </w:rPr>
        <w:t>十五、其他</w:t>
      </w:r>
      <w:bookmarkEnd w:id="97"/>
      <w:bookmarkEnd w:id="98"/>
      <w:bookmarkEnd w:id="99"/>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.解释权：本招标文件是依据《政府采购法》及有关规定编制的，解释权属采购人。</w:t>
      </w:r>
    </w:p>
    <w:p>
      <w:pPr>
        <w:spacing w:line="312" w:lineRule="auto"/>
        <w:rPr>
          <w:rFonts w:hint="eastAsia" w:ascii="宋体" w:hAnsi="宋体" w:eastAsia="宋体" w:cs="宋体"/>
          <w:color w:val="auto"/>
          <w:szCs w:val="21"/>
          <w:highlight w:val="none"/>
        </w:rPr>
        <w:sectPr>
          <w:headerReference r:id="rId5" w:type="default"/>
          <w:footerReference r:id="rId6" w:type="default"/>
          <w:pgSz w:w="11906" w:h="16838"/>
          <w:pgMar w:top="1389" w:right="1247" w:bottom="1389" w:left="1247" w:header="851" w:footer="992" w:gutter="284"/>
          <w:pgNumType w:start="1"/>
          <w:cols w:space="720" w:num="1"/>
          <w:docGrid w:linePitch="312" w:charSpace="0"/>
        </w:sectPr>
      </w:pPr>
    </w:p>
    <w:p>
      <w:pPr>
        <w:snapToGrid w:val="0"/>
        <w:spacing w:line="312" w:lineRule="auto"/>
        <w:jc w:val="center"/>
        <w:outlineLvl w:val="0"/>
        <w:rPr>
          <w:rFonts w:hint="eastAsia" w:ascii="宋体" w:hAnsi="宋体" w:eastAsia="宋体" w:cs="宋体"/>
          <w:b/>
          <w:bCs w:val="0"/>
          <w:color w:val="auto"/>
          <w:szCs w:val="21"/>
          <w:highlight w:val="none"/>
        </w:rPr>
      </w:pPr>
      <w:bookmarkStart w:id="100" w:name="_Toc354401531"/>
      <w:bookmarkStart w:id="101" w:name="_Toc350256314"/>
      <w:bookmarkStart w:id="102" w:name="_Toc322352983"/>
      <w:bookmarkStart w:id="103" w:name="_Toc17730"/>
      <w:bookmarkStart w:id="104" w:name="_Toc26454"/>
      <w:r>
        <w:rPr>
          <w:rFonts w:hint="eastAsia" w:ascii="宋体" w:hAnsi="宋体" w:eastAsia="宋体" w:cs="宋体"/>
          <w:b/>
          <w:bCs w:val="0"/>
          <w:color w:val="auto"/>
          <w:szCs w:val="21"/>
          <w:highlight w:val="none"/>
        </w:rPr>
        <w:t>第三章  采购内容及要求</w:t>
      </w:r>
      <w:bookmarkEnd w:id="100"/>
      <w:bookmarkEnd w:id="101"/>
      <w:bookmarkEnd w:id="102"/>
      <w:bookmarkEnd w:id="103"/>
      <w:bookmarkEnd w:id="104"/>
    </w:p>
    <w:p>
      <w:pPr>
        <w:snapToGrid w:val="0"/>
        <w:spacing w:line="312" w:lineRule="auto"/>
        <w:jc w:val="center"/>
        <w:outlineLvl w:val="0"/>
        <w:rPr>
          <w:rFonts w:hint="eastAsia" w:ascii="宋体" w:hAnsi="宋体" w:eastAsia="宋体" w:cs="宋体"/>
          <w:bCs/>
          <w:color w:val="auto"/>
          <w:szCs w:val="21"/>
          <w:highlight w:val="none"/>
        </w:rPr>
      </w:pPr>
      <w:bookmarkStart w:id="105" w:name="_Toc350256315"/>
      <w:bookmarkStart w:id="106" w:name="_Toc15447"/>
      <w:bookmarkStart w:id="107" w:name="_Toc354401534"/>
      <w:bookmarkStart w:id="108" w:name="_Toc10473"/>
      <w:bookmarkStart w:id="109" w:name="_Toc322352984"/>
    </w:p>
    <w:p>
      <w:pPr>
        <w:keepNext w:val="0"/>
        <w:keepLines w:val="0"/>
        <w:pageBreakBefore w:val="0"/>
        <w:tabs>
          <w:tab w:val="left" w:pos="0"/>
          <w:tab w:val="left" w:pos="900"/>
          <w:tab w:val="left" w:pos="7020"/>
          <w:tab w:val="left" w:pos="8460"/>
        </w:tabs>
        <w:kinsoku/>
        <w:overflowPunct/>
        <w:topLinePunct w:val="0"/>
        <w:bidi w:val="0"/>
        <w:adjustRightInd/>
        <w:snapToGrid w:val="0"/>
        <w:spacing w:line="360" w:lineRule="auto"/>
        <w:ind w:right="0" w:rightChars="0" w:firstLine="422" w:firstLineChars="200"/>
        <w:outlineLvl w:val="1"/>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一、</w:t>
      </w:r>
      <w:r>
        <w:rPr>
          <w:rFonts w:hint="eastAsia" w:ascii="宋体" w:hAnsi="宋体"/>
          <w:b/>
          <w:bCs/>
          <w:color w:val="auto"/>
          <w:sz w:val="21"/>
          <w:szCs w:val="21"/>
          <w:highlight w:val="none"/>
          <w:lang w:val="en-US" w:eastAsia="zh-CN"/>
        </w:rPr>
        <w:t>采购内容</w:t>
      </w:r>
    </w:p>
    <w:tbl>
      <w:tblPr>
        <w:tblStyle w:val="22"/>
        <w:tblW w:w="7631" w:type="dxa"/>
        <w:jc w:val="center"/>
        <w:tblLayout w:type="fixed"/>
        <w:tblCellMar>
          <w:top w:w="0" w:type="dxa"/>
          <w:left w:w="108" w:type="dxa"/>
          <w:bottom w:w="0" w:type="dxa"/>
          <w:right w:w="108" w:type="dxa"/>
        </w:tblCellMar>
      </w:tblPr>
      <w:tblGrid>
        <w:gridCol w:w="848"/>
        <w:gridCol w:w="2310"/>
        <w:gridCol w:w="1423"/>
        <w:gridCol w:w="1976"/>
        <w:gridCol w:w="1074"/>
      </w:tblGrid>
      <w:tr>
        <w:tblPrEx>
          <w:tblCellMar>
            <w:top w:w="0" w:type="dxa"/>
            <w:left w:w="108" w:type="dxa"/>
            <w:bottom w:w="0" w:type="dxa"/>
            <w:right w:w="108" w:type="dxa"/>
          </w:tblCellMar>
        </w:tblPrEx>
        <w:trPr>
          <w:trHeight w:val="567" w:hRule="atLeast"/>
          <w:jc w:val="center"/>
        </w:trPr>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标项</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标项名称</w:t>
            </w:r>
          </w:p>
        </w:tc>
        <w:tc>
          <w:tcPr>
            <w:tcW w:w="1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服务期限</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w:t>
            </w:r>
          </w:p>
        </w:tc>
        <w:tc>
          <w:tcPr>
            <w:tcW w:w="107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567" w:hRule="atLeast"/>
          <w:jc w:val="center"/>
        </w:trPr>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lang w:val="en-US" w:eastAsia="zh-CN"/>
              </w:rPr>
              <w:t>一次性血液成分分离管路采购项目</w:t>
            </w:r>
          </w:p>
        </w:tc>
        <w:tc>
          <w:tcPr>
            <w:tcW w:w="142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1年</w:t>
            </w:r>
          </w:p>
        </w:tc>
        <w:tc>
          <w:tcPr>
            <w:tcW w:w="197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180.00万元</w:t>
            </w:r>
          </w:p>
        </w:tc>
        <w:tc>
          <w:tcPr>
            <w:tcW w:w="1074"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bl>
    <w:p>
      <w:pPr>
        <w:keepNext w:val="0"/>
        <w:keepLines w:val="0"/>
        <w:pageBreakBefore w:val="0"/>
        <w:numPr>
          <w:ilvl w:val="0"/>
          <w:numId w:val="0"/>
        </w:numPr>
        <w:kinsoku/>
        <w:overflowPunct/>
        <w:topLinePunct w:val="0"/>
        <w:bidi w:val="0"/>
        <w:adjustRightInd/>
        <w:snapToGrid w:val="0"/>
        <w:spacing w:line="360" w:lineRule="auto"/>
        <w:ind w:right="0" w:rightChars="0"/>
        <w:jc w:val="left"/>
        <w:outlineLvl w:val="0"/>
        <w:rPr>
          <w:rFonts w:hint="default" w:hAnsi="宋体"/>
          <w:b/>
          <w:bCs/>
          <w:color w:val="auto"/>
          <w:sz w:val="21"/>
          <w:szCs w:val="21"/>
          <w:highlight w:val="none"/>
          <w:lang w:val="en-US" w:eastAsia="zh-CN"/>
        </w:rPr>
      </w:pPr>
      <w:r>
        <w:rPr>
          <w:rFonts w:hint="eastAsia" w:hAnsi="宋体"/>
          <w:b/>
          <w:bCs/>
          <w:color w:val="auto"/>
          <w:sz w:val="21"/>
          <w:szCs w:val="21"/>
          <w:highlight w:val="none"/>
          <w:lang w:val="en-US" w:eastAsia="zh-CN"/>
        </w:rPr>
        <w:t>注：本项目已经进口论证，允许采购进口产品。</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.耗材外包装为密封防压包装。</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.管路灭菌方式:辐照灭菌、环氧乙烷灭菌。</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.同一款耗材可实现采集单份和双份血小板。</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.管路具有独立的全血留样袋、成品取样器。</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.具备单独采集血小板和单独采集血浆的功能，还具备可同时采集血小板和血浆的功能。</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.血小板收集袋要求：袋体厚薄均匀，透气性能好，在22-24摄氏度、不间断震荡条件下可保存血小板5天。</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.采集保存末期的血小板产品质量参数要满足GB 18469-2012《全血及成分血质量要求》，其采集的单人份血小板治疗量（≥2.5×10</w:t>
      </w:r>
      <w:r>
        <w:rPr>
          <w:rFonts w:hint="eastAsia" w:ascii="宋体" w:hAnsi="宋体" w:eastAsia="宋体" w:cs="宋体"/>
          <w:color w:val="auto"/>
          <w:szCs w:val="21"/>
          <w:highlight w:val="none"/>
          <w:vertAlign w:val="superscript"/>
          <w:lang w:val="en-US" w:eastAsia="zh-CN"/>
        </w:rPr>
        <w:t>11</w:t>
      </w:r>
      <w:r>
        <w:rPr>
          <w:rFonts w:hint="eastAsia" w:ascii="宋体" w:hAnsi="宋体" w:eastAsia="宋体" w:cs="宋体"/>
          <w:color w:val="auto"/>
          <w:szCs w:val="21"/>
          <w:highlight w:val="none"/>
          <w:lang w:val="en-US" w:eastAsia="zh-CN"/>
        </w:rPr>
        <w:t>/袋），采集的双人份血小板治疗量（≥5.0×10</w:t>
      </w:r>
      <w:r>
        <w:rPr>
          <w:rFonts w:hint="eastAsia" w:ascii="宋体" w:hAnsi="宋体" w:eastAsia="宋体" w:cs="宋体"/>
          <w:color w:val="auto"/>
          <w:szCs w:val="21"/>
          <w:highlight w:val="none"/>
          <w:vertAlign w:val="superscript"/>
          <w:lang w:val="en-US" w:eastAsia="zh-CN"/>
        </w:rPr>
        <w:t>11</w:t>
      </w:r>
      <w:r>
        <w:rPr>
          <w:rFonts w:hint="eastAsia" w:ascii="宋体" w:hAnsi="宋体" w:eastAsia="宋体" w:cs="宋体"/>
          <w:color w:val="auto"/>
          <w:szCs w:val="21"/>
          <w:highlight w:val="none"/>
          <w:lang w:val="en-US" w:eastAsia="zh-CN"/>
        </w:rPr>
        <w:t>/袋），其中白细胞混入量≤5.0×10</w:t>
      </w:r>
      <w:r>
        <w:rPr>
          <w:rFonts w:hint="eastAsia" w:ascii="宋体" w:hAnsi="宋体" w:eastAsia="宋体" w:cs="宋体"/>
          <w:color w:val="auto"/>
          <w:szCs w:val="21"/>
          <w:highlight w:val="none"/>
          <w:vertAlign w:val="superscript"/>
          <w:lang w:val="en-US" w:eastAsia="zh-CN"/>
        </w:rPr>
        <w:t>8</w:t>
      </w:r>
      <w:r>
        <w:rPr>
          <w:rFonts w:hint="eastAsia" w:ascii="宋体" w:hAnsi="宋体" w:eastAsia="宋体" w:cs="宋体"/>
          <w:color w:val="auto"/>
          <w:szCs w:val="21"/>
          <w:highlight w:val="none"/>
          <w:lang w:val="en-US" w:eastAsia="zh-CN"/>
        </w:rPr>
        <w:t>/袋，红细胞混入量≤8.0×10</w:t>
      </w:r>
      <w:r>
        <w:rPr>
          <w:rFonts w:hint="eastAsia" w:ascii="宋体" w:hAnsi="宋体" w:eastAsia="宋体" w:cs="宋体"/>
          <w:color w:val="auto"/>
          <w:szCs w:val="21"/>
          <w:highlight w:val="none"/>
          <w:vertAlign w:val="superscript"/>
          <w:lang w:val="en-US" w:eastAsia="zh-CN"/>
        </w:rPr>
        <w:t>9</w:t>
      </w:r>
      <w:r>
        <w:rPr>
          <w:rFonts w:hint="eastAsia" w:ascii="宋体" w:hAnsi="宋体" w:eastAsia="宋体" w:cs="宋体"/>
          <w:color w:val="auto"/>
          <w:szCs w:val="21"/>
          <w:highlight w:val="none"/>
          <w:lang w:val="en-US" w:eastAsia="zh-CN"/>
        </w:rPr>
        <w:t>/袋。</w:t>
      </w:r>
    </w:p>
    <w:p>
      <w:pPr>
        <w:keepNext w:val="0"/>
        <w:keepLines w:val="0"/>
        <w:pageBreakBefore w:val="0"/>
        <w:kinsoku/>
        <w:overflowPunct/>
        <w:topLinePunct w:val="0"/>
        <w:bidi w:val="0"/>
        <w:adjustRightInd/>
        <w:snapToGrid w:val="0"/>
        <w:spacing w:line="360" w:lineRule="auto"/>
        <w:ind w:right="0" w:rightChars="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.为原装进口，具有中华人民共和国食品药品监督管理局（SFDA）颁发的医疗器械注册证。随货有批检报告。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en-US" w:eastAsia="zh-CN"/>
        </w:rPr>
        <w:t>须适配</w:t>
      </w:r>
      <w:r>
        <w:rPr>
          <w:rFonts w:hint="eastAsia" w:ascii="宋体" w:hAnsi="宋体" w:cs="宋体"/>
          <w:color w:val="auto"/>
          <w:szCs w:val="21"/>
          <w:highlight w:val="none"/>
          <w:lang w:val="en-US" w:eastAsia="zh-CN"/>
        </w:rPr>
        <w:t>Amicus</w:t>
      </w:r>
      <w:r>
        <w:rPr>
          <w:rFonts w:hint="eastAsia" w:ascii="宋体" w:hAnsi="宋体" w:eastAsia="宋体" w:cs="宋体"/>
          <w:color w:val="auto"/>
          <w:szCs w:val="21"/>
          <w:highlight w:val="none"/>
          <w:lang w:val="en-US" w:eastAsia="zh-CN"/>
        </w:rPr>
        <w:t>采集设备</w:t>
      </w:r>
      <w:r>
        <w:rPr>
          <w:rFonts w:hint="eastAsia" w:ascii="宋体" w:hAnsi="宋体" w:cs="宋体"/>
          <w:color w:val="auto"/>
          <w:szCs w:val="21"/>
          <w:highlight w:val="none"/>
          <w:lang w:val="en-US" w:eastAsia="zh-CN"/>
        </w:rPr>
        <w:t>使用</w:t>
      </w:r>
      <w:r>
        <w:rPr>
          <w:rFonts w:hint="eastAsia" w:ascii="宋体" w:hAnsi="宋体" w:eastAsia="宋体" w:cs="宋体"/>
          <w:b w:val="0"/>
          <w:bCs w:val="0"/>
          <w:color w:val="auto"/>
          <w:sz w:val="21"/>
          <w:szCs w:val="21"/>
          <w:highlight w:val="none"/>
          <w:lang w:val="en-US" w:eastAsia="zh-CN"/>
        </w:rPr>
        <w:t>。</w:t>
      </w:r>
    </w:p>
    <w:p>
      <w:pPr>
        <w:keepNext w:val="0"/>
        <w:keepLines w:val="0"/>
        <w:pageBreakBefore w:val="0"/>
        <w:numPr>
          <w:ilvl w:val="0"/>
          <w:numId w:val="4"/>
        </w:numPr>
        <w:kinsoku/>
        <w:overflowPunct/>
        <w:topLinePunct w:val="0"/>
        <w:bidi w:val="0"/>
        <w:adjustRightInd/>
        <w:snapToGrid w:val="0"/>
        <w:spacing w:line="360" w:lineRule="auto"/>
        <w:ind w:right="0" w:rightChars="0" w:firstLine="422" w:firstLineChars="200"/>
        <w:jc w:val="left"/>
        <w:outlineLvl w:val="0"/>
        <w:rPr>
          <w:rFonts w:hint="eastAsia" w:hAnsi="宋体"/>
          <w:b/>
          <w:bCs/>
          <w:color w:val="auto"/>
          <w:sz w:val="21"/>
          <w:szCs w:val="21"/>
          <w:highlight w:val="none"/>
          <w:lang w:val="en-US" w:eastAsia="zh-CN"/>
        </w:rPr>
      </w:pPr>
      <w:r>
        <w:rPr>
          <w:rFonts w:hint="eastAsia" w:hAnsi="宋体"/>
          <w:b/>
          <w:bCs/>
          <w:color w:val="auto"/>
          <w:sz w:val="21"/>
          <w:szCs w:val="21"/>
          <w:highlight w:val="none"/>
          <w:lang w:val="en-US" w:eastAsia="zh-CN"/>
        </w:rPr>
        <w:t>最高限价</w:t>
      </w:r>
    </w:p>
    <w:tbl>
      <w:tblPr>
        <w:tblStyle w:val="23"/>
        <w:tblW w:w="9311"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381"/>
        <w:gridCol w:w="1326"/>
        <w:gridCol w:w="2135"/>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3381" w:type="dxa"/>
            <w:vAlign w:val="center"/>
          </w:tcPr>
          <w:p>
            <w:pPr>
              <w:keepNext w:val="0"/>
              <w:keepLines w:val="0"/>
              <w:pageBreakBefore w:val="0"/>
              <w:kinsoku/>
              <w:overflowPunct/>
              <w:topLinePunct w:val="0"/>
              <w:bidi w:val="0"/>
              <w:adjustRightInd/>
              <w:spacing w:line="360" w:lineRule="auto"/>
              <w:ind w:right="0" w:right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产品名称</w:t>
            </w:r>
          </w:p>
        </w:tc>
        <w:tc>
          <w:tcPr>
            <w:tcW w:w="1326" w:type="dxa"/>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单位</w:t>
            </w:r>
          </w:p>
        </w:tc>
        <w:tc>
          <w:tcPr>
            <w:tcW w:w="2135" w:type="dxa"/>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年平均采购数量</w:t>
            </w:r>
          </w:p>
        </w:tc>
        <w:tc>
          <w:tcPr>
            <w:tcW w:w="1788" w:type="dxa"/>
            <w:vAlign w:val="center"/>
          </w:tcPr>
          <w:p>
            <w:pPr>
              <w:keepNext w:val="0"/>
              <w:keepLines w:val="0"/>
              <w:pageBreakBefore w:val="0"/>
              <w:kinsoku/>
              <w:overflowPunct/>
              <w:topLinePunct w:val="0"/>
              <w:bidi w:val="0"/>
              <w:adjustRightInd/>
              <w:spacing w:line="360" w:lineRule="auto"/>
              <w:ind w:right="0"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单价</w:t>
            </w:r>
            <w:r>
              <w:rPr>
                <w:rFonts w:hint="eastAsia" w:ascii="宋体" w:hAnsi="宋体" w:eastAsia="宋体" w:cs="宋体"/>
                <w:b/>
                <w:bCs/>
                <w:color w:val="auto"/>
                <w:sz w:val="21"/>
                <w:szCs w:val="21"/>
                <w:highlight w:val="none"/>
                <w:lang w:val="en-US" w:eastAsia="zh-CN"/>
              </w:rPr>
              <w:t>最高限价</w:t>
            </w:r>
          </w:p>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（元/</w:t>
            </w:r>
            <w:r>
              <w:rPr>
                <w:rFonts w:hint="eastAsia" w:ascii="宋体" w:hAnsi="宋体" w:cs="宋体"/>
                <w:b/>
                <w:bCs/>
                <w:color w:val="auto"/>
                <w:sz w:val="21"/>
                <w:szCs w:val="21"/>
                <w:highlight w:val="none"/>
                <w:lang w:val="en-US" w:eastAsia="zh-CN"/>
              </w:rPr>
              <w:t>套</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81" w:type="dxa"/>
            <w:vAlign w:val="center"/>
          </w:tcPr>
          <w:p>
            <w:pPr>
              <w:keepNext w:val="0"/>
              <w:keepLines w:val="0"/>
              <w:pageBreakBefore w:val="0"/>
              <w:kinsoku/>
              <w:overflowPunct/>
              <w:topLinePunct w:val="0"/>
              <w:bidi w:val="0"/>
              <w:adjustRightInd/>
              <w:spacing w:line="360" w:lineRule="auto"/>
              <w:ind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Cs/>
                <w:color w:val="auto"/>
                <w:sz w:val="21"/>
                <w:szCs w:val="21"/>
                <w:highlight w:val="none"/>
              </w:rPr>
              <w:t>1</w:t>
            </w:r>
          </w:p>
        </w:tc>
        <w:tc>
          <w:tcPr>
            <w:tcW w:w="3381" w:type="dxa"/>
            <w:vAlign w:val="center"/>
          </w:tcPr>
          <w:p>
            <w:pPr>
              <w:keepNext w:val="0"/>
              <w:keepLines w:val="0"/>
              <w:pageBreakBefore w:val="0"/>
              <w:widowControl/>
              <w:suppressLineNumbers w:val="0"/>
              <w:kinsoku/>
              <w:overflowPunct/>
              <w:topLinePunct w:val="0"/>
              <w:bidi w:val="0"/>
              <w:adjustRightInd/>
              <w:spacing w:line="360" w:lineRule="auto"/>
              <w:ind w:right="0" w:rightChars="0"/>
              <w:jc w:val="center"/>
              <w:textAlignment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机采成分分离管路</w:t>
            </w:r>
          </w:p>
        </w:tc>
        <w:tc>
          <w:tcPr>
            <w:tcW w:w="1326" w:type="dxa"/>
            <w:vAlign w:val="center"/>
          </w:tcPr>
          <w:p>
            <w:pPr>
              <w:keepNext w:val="0"/>
              <w:keepLines w:val="0"/>
              <w:pageBreakBefore w:val="0"/>
              <w:widowControl/>
              <w:suppressLineNumbers w:val="0"/>
              <w:kinsoku/>
              <w:overflowPunct/>
              <w:topLinePunct w:val="0"/>
              <w:bidi w:val="0"/>
              <w:adjustRightInd/>
              <w:spacing w:line="360" w:lineRule="auto"/>
              <w:ind w:right="0" w:rightChars="0"/>
              <w:jc w:val="center"/>
              <w:textAlignment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套</w:t>
            </w:r>
          </w:p>
        </w:tc>
        <w:tc>
          <w:tcPr>
            <w:tcW w:w="2135" w:type="dxa"/>
            <w:vAlign w:val="center"/>
          </w:tcPr>
          <w:p>
            <w:pPr>
              <w:keepNext w:val="0"/>
              <w:keepLines w:val="0"/>
              <w:pageBreakBefore w:val="0"/>
              <w:widowControl/>
              <w:suppressLineNumbers w:val="0"/>
              <w:kinsoku/>
              <w:overflowPunct/>
              <w:topLinePunct w:val="0"/>
              <w:bidi w:val="0"/>
              <w:adjustRightInd/>
              <w:spacing w:line="360" w:lineRule="auto"/>
              <w:ind w:right="0" w:rightChars="0"/>
              <w:jc w:val="center"/>
              <w:textAlignment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2000</w:t>
            </w:r>
          </w:p>
        </w:tc>
        <w:tc>
          <w:tcPr>
            <w:tcW w:w="1788" w:type="dxa"/>
            <w:vAlign w:val="center"/>
          </w:tcPr>
          <w:p>
            <w:pPr>
              <w:keepNext w:val="0"/>
              <w:keepLines w:val="0"/>
              <w:pageBreakBefore w:val="0"/>
              <w:widowControl/>
              <w:suppressLineNumbers w:val="0"/>
              <w:kinsoku/>
              <w:overflowPunct/>
              <w:topLinePunct w:val="0"/>
              <w:bidi w:val="0"/>
              <w:adjustRightInd/>
              <w:spacing w:line="360" w:lineRule="auto"/>
              <w:ind w:right="0" w:rightChars="0"/>
              <w:jc w:val="center"/>
              <w:textAlignment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900</w:t>
            </w:r>
          </w:p>
        </w:tc>
      </w:tr>
    </w:tbl>
    <w:p>
      <w:pPr>
        <w:keepNext w:val="0"/>
        <w:keepLines w:val="0"/>
        <w:pageBreakBefore w:val="0"/>
        <w:numPr>
          <w:ilvl w:val="0"/>
          <w:numId w:val="0"/>
        </w:numPr>
        <w:kinsoku/>
        <w:overflowPunct/>
        <w:topLinePunct w:val="0"/>
        <w:bidi w:val="0"/>
        <w:adjustRightInd/>
        <w:snapToGrid w:val="0"/>
        <w:spacing w:line="360" w:lineRule="auto"/>
        <w:ind w:right="0" w:rightChars="0" w:firstLine="422" w:firstLineChars="200"/>
        <w:jc w:val="left"/>
        <w:outlineLvl w:val="0"/>
        <w:rPr>
          <w:rFonts w:hint="eastAsia" w:ascii="Times New Roman" w:hAnsi="宋体" w:eastAsia="宋体" w:cs="Times New Roman"/>
          <w:b/>
          <w:bCs/>
          <w:color w:val="auto"/>
          <w:sz w:val="21"/>
          <w:szCs w:val="21"/>
          <w:highlight w:val="none"/>
          <w:lang w:val="en-US" w:eastAsia="zh-CN"/>
        </w:rPr>
      </w:pPr>
      <w:r>
        <w:rPr>
          <w:rFonts w:hint="eastAsia" w:cs="Calibri"/>
          <w:b/>
          <w:bCs/>
          <w:color w:val="auto"/>
          <w:sz w:val="21"/>
          <w:szCs w:val="21"/>
          <w:highlight w:val="none"/>
          <w:lang w:val="en-US" w:eastAsia="zh-CN"/>
        </w:rPr>
        <w:t>四、</w:t>
      </w:r>
      <w:r>
        <w:rPr>
          <w:rFonts w:hint="eastAsia" w:ascii="Times New Roman" w:hAnsi="宋体" w:eastAsia="宋体" w:cs="Times New Roman"/>
          <w:b/>
          <w:bCs/>
          <w:color w:val="auto"/>
          <w:sz w:val="21"/>
          <w:szCs w:val="21"/>
          <w:highlight w:val="none"/>
          <w:lang w:val="en-US" w:eastAsia="zh-CN"/>
        </w:rPr>
        <w:t>商务要求</w:t>
      </w:r>
    </w:p>
    <w:tbl>
      <w:tblPr>
        <w:tblStyle w:val="22"/>
        <w:tblW w:w="945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8749"/>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w:t>
            </w:r>
          </w:p>
        </w:tc>
        <w:tc>
          <w:tcPr>
            <w:tcW w:w="8749" w:type="dxa"/>
            <w:noWrap w:val="0"/>
            <w:vAlign w:val="center"/>
          </w:tcPr>
          <w:p>
            <w:pPr>
              <w:keepNext w:val="0"/>
              <w:keepLines w:val="0"/>
              <w:pageBreakBefore w:val="0"/>
              <w:kinsoku/>
              <w:overflowPunct/>
              <w:topLinePunct w:val="0"/>
              <w:bidi w:val="0"/>
              <w:adjustRightInd/>
              <w:spacing w:line="360" w:lineRule="auto"/>
              <w:ind w:right="0" w:rightChars="0"/>
              <w:contextualSpacing/>
              <w:rPr>
                <w:rFonts w:ascii="宋体" w:hAnsi="宋体" w:cs="宋体"/>
                <w:color w:val="auto"/>
                <w:szCs w:val="21"/>
                <w:highlight w:val="none"/>
              </w:rPr>
            </w:pPr>
            <w:r>
              <w:rPr>
                <w:rFonts w:hint="eastAsia" w:ascii="宋体" w:hAnsi="宋体" w:cs="宋体"/>
                <w:color w:val="auto"/>
                <w:szCs w:val="21"/>
                <w:highlight w:val="none"/>
              </w:rPr>
              <w:t>交货时间及地点：</w:t>
            </w:r>
          </w:p>
          <w:p>
            <w:pPr>
              <w:keepNext w:val="0"/>
              <w:keepLines w:val="0"/>
              <w:pageBreakBefore w:val="0"/>
              <w:kinsoku/>
              <w:overflowPunct/>
              <w:topLinePunct w:val="0"/>
              <w:bidi w:val="0"/>
              <w:adjustRightInd/>
              <w:spacing w:line="360" w:lineRule="auto"/>
              <w:ind w:right="0" w:rightChars="0"/>
              <w:contextualSpacing/>
              <w:rPr>
                <w:rFonts w:ascii="宋体" w:hAnsi="宋体" w:cs="宋体"/>
                <w:color w:val="auto"/>
                <w:szCs w:val="21"/>
                <w:highlight w:val="none"/>
              </w:rPr>
            </w:pPr>
            <w:r>
              <w:rPr>
                <w:rFonts w:hint="eastAsia" w:ascii="宋体" w:hAnsi="宋体" w:cs="宋体"/>
                <w:color w:val="auto"/>
                <w:szCs w:val="21"/>
                <w:highlight w:val="none"/>
              </w:rPr>
              <w:t>1、交货期：</w:t>
            </w:r>
            <w:r>
              <w:rPr>
                <w:rFonts w:hint="eastAsia" w:ascii="宋体" w:hAnsi="宋体" w:cs="宋体"/>
                <w:color w:val="auto"/>
                <w:highlight w:val="none"/>
              </w:rPr>
              <w:t>按批次供货，接到采购人需求后</w:t>
            </w:r>
            <w:r>
              <w:rPr>
                <w:rFonts w:ascii="宋体" w:hAnsi="宋体"/>
                <w:color w:val="auto"/>
                <w:highlight w:val="none"/>
              </w:rPr>
              <w:t>2</w:t>
            </w:r>
            <w:r>
              <w:rPr>
                <w:rFonts w:hint="eastAsia" w:ascii="宋体" w:hAnsi="宋体" w:cs="宋体"/>
                <w:color w:val="auto"/>
                <w:highlight w:val="none"/>
              </w:rPr>
              <w:t>周内，到货后存放到采购人指定地点。</w:t>
            </w:r>
          </w:p>
          <w:p>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货物剩余有效期时长不得少于于半年。</w:t>
            </w:r>
          </w:p>
          <w:p>
            <w:pPr>
              <w:keepNext w:val="0"/>
              <w:keepLines w:val="0"/>
              <w:pageBreakBefore w:val="0"/>
              <w:kinsoku/>
              <w:overflowPunct/>
              <w:topLinePunct w:val="0"/>
              <w:bidi w:val="0"/>
              <w:adjustRightInd/>
              <w:spacing w:line="360" w:lineRule="auto"/>
              <w:ind w:right="0" w:rightChars="0"/>
              <w:contextualSpacing/>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交货地点：</w:t>
            </w:r>
            <w:r>
              <w:rPr>
                <w:rFonts w:hint="eastAsia" w:ascii="宋体" w:hAnsi="宋体" w:cs="宋体"/>
                <w:bCs/>
                <w:color w:val="auto"/>
                <w:szCs w:val="21"/>
                <w:highlight w:val="none"/>
              </w:rPr>
              <w:t>具体由采购人指定</w:t>
            </w:r>
            <w:r>
              <w:rPr>
                <w:rFonts w:hint="eastAsia" w:ascii="宋体" w:hAnsi="宋体" w:cs="宋体"/>
                <w:bCs/>
                <w:color w:val="auto"/>
                <w:szCs w:val="21"/>
                <w:highlight w:val="none"/>
                <w:lang w:val="en-US" w:eastAsia="zh-CN"/>
              </w:rPr>
              <w:t>衢州市</w:t>
            </w:r>
            <w:r>
              <w:rPr>
                <w:rFonts w:hint="eastAsia" w:ascii="宋体" w:hAnsi="宋体" w:cs="宋体"/>
                <w:bCs/>
                <w:color w:val="auto"/>
                <w:szCs w:val="21"/>
                <w:highlight w:val="none"/>
              </w:rPr>
              <w:t>内地点。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8749" w:type="dxa"/>
            <w:noWrap w:val="0"/>
            <w:vAlign w:val="center"/>
          </w:tcPr>
          <w:p>
            <w:pPr>
              <w:keepNext w:val="0"/>
              <w:keepLines w:val="0"/>
              <w:pageBreakBefore w:val="0"/>
              <w:kinsoku/>
              <w:wordWrap w:val="0"/>
              <w:overflowPunct/>
              <w:topLinePunct w:val="0"/>
              <w:autoSpaceDE w:val="0"/>
              <w:autoSpaceDN w:val="0"/>
              <w:bidi w:val="0"/>
              <w:adjustRightInd/>
              <w:snapToGrid w:val="0"/>
              <w:spacing w:line="360" w:lineRule="auto"/>
              <w:ind w:right="0" w:rightChars="0"/>
              <w:textAlignment w:val="bottom"/>
              <w:rPr>
                <w:rFonts w:hint="eastAsia" w:ascii="宋体" w:hAnsi="宋体"/>
                <w:color w:val="auto"/>
                <w:szCs w:val="21"/>
                <w:highlight w:val="none"/>
              </w:rPr>
            </w:pPr>
            <w:r>
              <w:rPr>
                <w:rFonts w:ascii="宋体" w:hAnsi="宋体"/>
                <w:color w:val="auto"/>
                <w:szCs w:val="21"/>
                <w:highlight w:val="none"/>
              </w:rPr>
              <w:t>质量标准：</w:t>
            </w:r>
            <w:r>
              <w:rPr>
                <w:rFonts w:hint="eastAsia" w:ascii="宋体" w:hAnsi="宋体"/>
                <w:color w:val="auto"/>
                <w:szCs w:val="21"/>
                <w:highlight w:val="none"/>
              </w:rPr>
              <w:t>达到国家相关质量验收标准</w:t>
            </w:r>
            <w:r>
              <w:rPr>
                <w:rFonts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8749" w:type="dxa"/>
            <w:noWrap w:val="0"/>
            <w:vAlign w:val="center"/>
          </w:tcPr>
          <w:p>
            <w:pPr>
              <w:keepNext w:val="0"/>
              <w:keepLines w:val="0"/>
              <w:pageBreakBefore w:val="0"/>
              <w:kinsoku/>
              <w:overflowPunct/>
              <w:topLinePunct w:val="0"/>
              <w:bidi w:val="0"/>
              <w:adjustRightInd/>
              <w:spacing w:line="360" w:lineRule="auto"/>
              <w:ind w:right="0" w:rightChars="0"/>
              <w:rPr>
                <w:rFonts w:ascii="宋体" w:hAnsi="宋体"/>
                <w:bCs/>
                <w:color w:val="auto"/>
                <w:szCs w:val="21"/>
                <w:highlight w:val="none"/>
              </w:rPr>
            </w:pPr>
            <w:r>
              <w:rPr>
                <w:rFonts w:hint="eastAsia" w:ascii="宋体" w:hAnsi="宋体"/>
                <w:color w:val="auto"/>
                <w:szCs w:val="21"/>
                <w:highlight w:val="none"/>
              </w:rPr>
              <w:t>验收</w:t>
            </w:r>
            <w:r>
              <w:rPr>
                <w:rFonts w:ascii="宋体" w:hAnsi="宋体"/>
                <w:color w:val="auto"/>
                <w:szCs w:val="21"/>
                <w:highlight w:val="none"/>
              </w:rPr>
              <w:t>：</w:t>
            </w:r>
            <w:r>
              <w:rPr>
                <w:rFonts w:hint="eastAsia" w:ascii="宋体" w:hAnsi="宋体"/>
                <w:bCs/>
                <w:color w:val="auto"/>
                <w:szCs w:val="21"/>
                <w:highlight w:val="none"/>
              </w:rPr>
              <w:t>验收在采购人指定地点进行。</w:t>
            </w:r>
          </w:p>
          <w:p>
            <w:pPr>
              <w:keepNext w:val="0"/>
              <w:keepLines w:val="0"/>
              <w:pageBreakBefore w:val="0"/>
              <w:kinsoku/>
              <w:wordWrap w:val="0"/>
              <w:overflowPunct/>
              <w:topLinePunct w:val="0"/>
              <w:bidi w:val="0"/>
              <w:adjustRightInd/>
              <w:spacing w:line="360" w:lineRule="auto"/>
              <w:ind w:right="0" w:rightChars="0"/>
              <w:rPr>
                <w:rFonts w:hint="eastAsia" w:ascii="宋体" w:hAnsi="宋体"/>
                <w:color w:val="auto"/>
                <w:szCs w:val="21"/>
                <w:highlight w:val="none"/>
              </w:rPr>
            </w:pPr>
            <w:r>
              <w:rPr>
                <w:rFonts w:hint="eastAsia" w:ascii="宋体" w:hAnsi="宋体"/>
                <w:bCs/>
                <w:color w:val="auto"/>
                <w:szCs w:val="21"/>
                <w:highlight w:val="none"/>
              </w:rPr>
              <w:t>采购人根据采购文件和</w:t>
            </w:r>
            <w:r>
              <w:rPr>
                <w:rFonts w:ascii="宋体" w:hAnsi="宋体"/>
                <w:bCs/>
                <w:color w:val="auto"/>
                <w:szCs w:val="21"/>
                <w:highlight w:val="none"/>
              </w:rPr>
              <w:t>投标人</w:t>
            </w:r>
            <w:r>
              <w:rPr>
                <w:rFonts w:hint="eastAsia" w:ascii="宋体" w:hAnsi="宋体"/>
                <w:bCs/>
                <w:color w:val="auto"/>
                <w:szCs w:val="21"/>
                <w:highlight w:val="none"/>
              </w:rPr>
              <w:t>提供的投标文件及</w:t>
            </w:r>
            <w:r>
              <w:rPr>
                <w:rFonts w:ascii="宋体" w:hAnsi="宋体"/>
                <w:bCs/>
                <w:color w:val="auto"/>
                <w:szCs w:val="21"/>
                <w:highlight w:val="none"/>
              </w:rPr>
              <w:t>投标人</w:t>
            </w:r>
            <w:r>
              <w:rPr>
                <w:rFonts w:hint="eastAsia" w:ascii="宋体" w:hAnsi="宋体"/>
                <w:bCs/>
                <w:color w:val="auto"/>
                <w:szCs w:val="21"/>
                <w:highlight w:val="none"/>
              </w:rPr>
              <w:t>和采购人签订的政府采购合同为标准进行验收。</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color w:val="auto"/>
                <w:szCs w:val="21"/>
                <w:highlight w:val="none"/>
              </w:rPr>
            </w:pPr>
            <w:r>
              <w:rPr>
                <w:rFonts w:ascii="宋体" w:hAnsi="宋体"/>
                <w:color w:val="auto"/>
                <w:szCs w:val="21"/>
                <w:highlight w:val="none"/>
              </w:rPr>
              <w:t>4</w:t>
            </w:r>
          </w:p>
        </w:tc>
        <w:tc>
          <w:tcPr>
            <w:tcW w:w="8749" w:type="dxa"/>
            <w:noWrap w:val="0"/>
            <w:vAlign w:val="center"/>
          </w:tcPr>
          <w:p>
            <w:pPr>
              <w:keepNext w:val="0"/>
              <w:keepLines w:val="0"/>
              <w:pageBreakBefore w:val="0"/>
              <w:kinsoku/>
              <w:wordWrap w:val="0"/>
              <w:overflowPunct/>
              <w:topLinePunct w:val="0"/>
              <w:bidi w:val="0"/>
              <w:adjustRightInd/>
              <w:spacing w:line="360" w:lineRule="auto"/>
              <w:ind w:right="0" w:rightChars="0"/>
              <w:rPr>
                <w:rFonts w:ascii="宋体" w:hAnsi="宋体" w:cs="宋体"/>
                <w:color w:val="auto"/>
                <w:szCs w:val="21"/>
                <w:highlight w:val="none"/>
              </w:rPr>
            </w:pPr>
            <w:r>
              <w:rPr>
                <w:rFonts w:hint="eastAsia" w:ascii="宋体" w:hAnsi="宋体" w:cs="宋体"/>
                <w:color w:val="auto"/>
                <w:szCs w:val="21"/>
                <w:highlight w:val="none"/>
              </w:rPr>
              <w:t>产品及服务质量保证：</w:t>
            </w:r>
          </w:p>
          <w:p>
            <w:pPr>
              <w:keepNext w:val="0"/>
              <w:keepLines w:val="0"/>
              <w:pageBreakBefore w:val="0"/>
              <w:kinsoku/>
              <w:wordWrap w:val="0"/>
              <w:overflowPunct/>
              <w:topLinePunct w:val="0"/>
              <w:bidi w:val="0"/>
              <w:adjustRightInd/>
              <w:spacing w:line="360" w:lineRule="auto"/>
              <w:ind w:right="0" w:rightChars="0"/>
              <w:rPr>
                <w:rFonts w:hint="eastAsia" w:ascii="宋体" w:hAnsi="宋体"/>
                <w:bCs/>
                <w:color w:val="auto"/>
                <w:szCs w:val="21"/>
                <w:highlight w:val="none"/>
              </w:rPr>
            </w:pPr>
            <w:r>
              <w:rPr>
                <w:rFonts w:hint="eastAsia" w:ascii="宋体" w:hAnsi="宋体"/>
                <w:bCs/>
                <w:color w:val="auto"/>
                <w:szCs w:val="21"/>
                <w:highlight w:val="none"/>
              </w:rPr>
              <w:t>如发生所供的商品与合同不符，采购人有权拒收或退货,由此产生的一切责任和后果由投标人承担。</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p>
        </w:tc>
        <w:tc>
          <w:tcPr>
            <w:tcW w:w="8749" w:type="dxa"/>
            <w:noWrap w:val="0"/>
            <w:vAlign w:val="center"/>
          </w:tcPr>
          <w:p>
            <w:pPr>
              <w:keepNext w:val="0"/>
              <w:keepLines w:val="0"/>
              <w:pageBreakBefore w:val="0"/>
              <w:kinsoku/>
              <w:overflowPunct/>
              <w:topLinePunct w:val="0"/>
              <w:bidi w:val="0"/>
              <w:adjustRightInd/>
              <w:spacing w:line="360" w:lineRule="auto"/>
              <w:ind w:right="0" w:rightChars="0"/>
              <w:contextualSpacing/>
              <w:rPr>
                <w:rFonts w:ascii="宋体" w:hAnsi="宋体" w:cs="宋体"/>
                <w:color w:val="auto"/>
                <w:szCs w:val="21"/>
                <w:highlight w:val="none"/>
              </w:rPr>
            </w:pPr>
            <w:r>
              <w:rPr>
                <w:rFonts w:hint="eastAsia" w:ascii="宋体" w:hAnsi="宋体" w:cs="宋体"/>
                <w:color w:val="auto"/>
                <w:szCs w:val="21"/>
                <w:highlight w:val="none"/>
              </w:rPr>
              <w:t>结算</w:t>
            </w:r>
            <w:r>
              <w:rPr>
                <w:rFonts w:ascii="宋体" w:hAnsi="宋体" w:cs="宋体"/>
                <w:color w:val="auto"/>
                <w:szCs w:val="21"/>
                <w:highlight w:val="none"/>
              </w:rPr>
              <w:t>方式</w:t>
            </w:r>
            <w:r>
              <w:rPr>
                <w:rFonts w:hint="eastAsia" w:ascii="宋体" w:hAnsi="宋体" w:cs="宋体"/>
                <w:color w:val="auto"/>
                <w:szCs w:val="21"/>
                <w:highlight w:val="none"/>
              </w:rPr>
              <w:t>：按</w:t>
            </w:r>
            <w:r>
              <w:rPr>
                <w:rFonts w:hint="eastAsia" w:ascii="宋体" w:hAnsi="宋体"/>
                <w:color w:val="auto"/>
                <w:szCs w:val="21"/>
                <w:highlight w:val="none"/>
              </w:rPr>
              <w:t>机采血小板</w:t>
            </w:r>
            <w:r>
              <w:rPr>
                <w:rFonts w:hint="eastAsia"/>
                <w:color w:val="auto"/>
                <w:highlight w:val="none"/>
                <w:lang w:val="en-US" w:eastAsia="zh-CN"/>
              </w:rPr>
              <w:t>一次性血液成分分离管路</w:t>
            </w:r>
            <w:r>
              <w:rPr>
                <w:rFonts w:ascii="宋体" w:hAnsi="宋体" w:cs="宋体"/>
                <w:color w:val="auto"/>
                <w:szCs w:val="21"/>
                <w:highlight w:val="none"/>
              </w:rPr>
              <w:t>数量</w:t>
            </w:r>
            <w:r>
              <w:rPr>
                <w:rFonts w:hint="eastAsia" w:ascii="宋体" w:hAnsi="宋体"/>
                <w:color w:val="auto"/>
                <w:szCs w:val="21"/>
                <w:highlight w:val="none"/>
              </w:rPr>
              <w:t>进行按实</w:t>
            </w:r>
            <w:r>
              <w:rPr>
                <w:rFonts w:ascii="宋体" w:hAnsi="宋体"/>
                <w:color w:val="auto"/>
                <w:szCs w:val="21"/>
                <w:highlight w:val="none"/>
              </w:rPr>
              <w:t>结算，</w:t>
            </w:r>
            <w:r>
              <w:rPr>
                <w:rFonts w:hint="eastAsia" w:ascii="宋体" w:hAnsi="宋体"/>
                <w:color w:val="auto"/>
                <w:szCs w:val="21"/>
                <w:highlight w:val="none"/>
              </w:rPr>
              <w:t>结算</w:t>
            </w:r>
            <w:r>
              <w:rPr>
                <w:rFonts w:ascii="宋体" w:hAnsi="宋体"/>
                <w:color w:val="auto"/>
                <w:szCs w:val="21"/>
                <w:highlight w:val="none"/>
              </w:rPr>
              <w:t>时保持单价不变。</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8749" w:type="dxa"/>
            <w:noWrap w:val="0"/>
            <w:vAlign w:val="center"/>
          </w:tcPr>
          <w:p>
            <w:pPr>
              <w:keepNext w:val="0"/>
              <w:keepLines w:val="0"/>
              <w:pageBreakBefore w:val="0"/>
              <w:kinsoku/>
              <w:wordWrap w:val="0"/>
              <w:overflowPunct/>
              <w:topLinePunct w:val="0"/>
              <w:bidi w:val="0"/>
              <w:adjustRightInd/>
              <w:spacing w:line="360" w:lineRule="auto"/>
              <w:ind w:right="0" w:rightChars="0"/>
              <w:rPr>
                <w:rFonts w:hint="eastAsia"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r>
              <w:rPr>
                <w:rFonts w:hint="eastAsia" w:ascii="宋体" w:hAnsi="宋体"/>
                <w:color w:val="auto"/>
                <w:szCs w:val="21"/>
                <w:highlight w:val="none"/>
              </w:rPr>
              <w:t>无</w:t>
            </w:r>
            <w:r>
              <w:rPr>
                <w:rFonts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color w:val="auto"/>
                <w:szCs w:val="21"/>
                <w:highlight w:val="none"/>
              </w:rPr>
            </w:pPr>
            <w:r>
              <w:rPr>
                <w:rFonts w:hint="eastAsia" w:ascii="宋体" w:hAnsi="宋体"/>
                <w:color w:val="auto"/>
                <w:szCs w:val="21"/>
                <w:highlight w:val="none"/>
                <w:lang w:val="en-US" w:eastAsia="zh-CN"/>
              </w:rPr>
              <w:t>7</w:t>
            </w:r>
          </w:p>
        </w:tc>
        <w:tc>
          <w:tcPr>
            <w:tcW w:w="8749" w:type="dxa"/>
            <w:noWrap w:val="0"/>
            <w:vAlign w:val="center"/>
          </w:tcPr>
          <w:p>
            <w:pPr>
              <w:keepNext w:val="0"/>
              <w:keepLines w:val="0"/>
              <w:pageBreakBefore w:val="0"/>
              <w:kinsoku/>
              <w:wordWrap w:val="0"/>
              <w:overflowPunct/>
              <w:topLinePunct w:val="0"/>
              <w:autoSpaceDE/>
              <w:autoSpaceDN/>
              <w:bidi w:val="0"/>
              <w:adjustRightInd/>
              <w:snapToGrid/>
              <w:spacing w:line="360" w:lineRule="auto"/>
              <w:ind w:right="0" w:rightChars="0"/>
              <w:textAlignment w:val="auto"/>
              <w:rPr>
                <w:rFonts w:hint="eastAsia" w:ascii="宋体" w:hAnsi="宋体"/>
                <w:bCs/>
                <w:color w:val="auto"/>
                <w:szCs w:val="21"/>
                <w:highlight w:val="none"/>
              </w:rPr>
            </w:pPr>
            <w:r>
              <w:rPr>
                <w:rFonts w:hint="eastAsia" w:ascii="宋体" w:hAnsi="宋体"/>
                <w:bCs/>
                <w:color w:val="auto"/>
                <w:szCs w:val="21"/>
                <w:highlight w:val="none"/>
              </w:rPr>
              <w:t>质保期</w:t>
            </w:r>
            <w:r>
              <w:rPr>
                <w:rFonts w:ascii="宋体" w:hAnsi="宋体"/>
                <w:bCs/>
                <w:color w:val="auto"/>
                <w:szCs w:val="21"/>
                <w:highlight w:val="none"/>
              </w:rPr>
              <w:t>：</w:t>
            </w:r>
          </w:p>
          <w:p>
            <w:pPr>
              <w:keepNext w:val="0"/>
              <w:keepLines w:val="0"/>
              <w:pageBreakBefore w:val="0"/>
              <w:kinsoku/>
              <w:wordWrap w:val="0"/>
              <w:overflowPunct/>
              <w:topLinePunct w:val="0"/>
              <w:autoSpaceDE/>
              <w:autoSpaceDN/>
              <w:bidi w:val="0"/>
              <w:adjustRightInd/>
              <w:snapToGrid/>
              <w:spacing w:line="360" w:lineRule="auto"/>
              <w:ind w:right="0" w:rightChars="0"/>
              <w:textAlignment w:val="auto"/>
              <w:rPr>
                <w:rFonts w:ascii="宋体" w:hAnsi="宋体"/>
                <w:bCs/>
                <w:color w:val="auto"/>
                <w:szCs w:val="21"/>
                <w:highlight w:val="none"/>
              </w:rPr>
            </w:pPr>
            <w:r>
              <w:rPr>
                <w:rFonts w:hint="eastAsia" w:ascii="宋体" w:hAnsi="宋体"/>
                <w:bCs/>
                <w:color w:val="auto"/>
                <w:szCs w:val="21"/>
                <w:highlight w:val="none"/>
              </w:rPr>
              <w:t>质量保证期（或保修期）：货物办理正式移交使用手续后24个月。</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Times New Roman"/>
                <w:bCs/>
                <w:color w:val="auto"/>
                <w:szCs w:val="21"/>
                <w:highlight w:val="none"/>
                <w:lang w:val="en-US" w:eastAsia="zh-CN"/>
              </w:rPr>
            </w:pPr>
            <w:r>
              <w:rPr>
                <w:rFonts w:hint="eastAsia" w:ascii="宋体" w:hAnsi="宋体"/>
                <w:bCs/>
                <w:color w:val="auto"/>
                <w:szCs w:val="21"/>
                <w:highlight w:val="none"/>
              </w:rPr>
              <w:t>质保期内</w:t>
            </w:r>
            <w:r>
              <w:rPr>
                <w:rFonts w:hint="eastAsia" w:ascii="宋体" w:hAnsi="宋体"/>
                <w:bCs/>
                <w:color w:val="auto"/>
                <w:szCs w:val="21"/>
                <w:highlight w:val="none"/>
                <w:lang w:val="en-US" w:eastAsia="zh-CN"/>
              </w:rPr>
              <w:t>由于货物质量原因造成的耗材报废，由中标方免费提供更换</w:t>
            </w:r>
            <w:r>
              <w:rPr>
                <w:rFonts w:hint="eastAsia" w:ascii="宋体" w:hAnsi="宋体"/>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keepNext w:val="0"/>
              <w:keepLines w:val="0"/>
              <w:pageBreakBefore w:val="0"/>
              <w:kinsoku/>
              <w:wordWrap w:val="0"/>
              <w:overflowPunct/>
              <w:topLinePunct w:val="0"/>
              <w:bidi w:val="0"/>
              <w:adjustRightInd/>
              <w:spacing w:line="360" w:lineRule="auto"/>
              <w:ind w:right="0" w:rightChars="0"/>
              <w:jc w:val="center"/>
              <w:rPr>
                <w:rFonts w:hint="eastAsia" w:ascii="宋体" w:hAnsi="宋体"/>
                <w:color w:val="auto"/>
                <w:szCs w:val="21"/>
                <w:highlight w:val="none"/>
              </w:rPr>
            </w:pPr>
            <w:r>
              <w:rPr>
                <w:rFonts w:hint="eastAsia" w:ascii="宋体" w:hAnsi="宋体" w:cs="Times New Roman"/>
                <w:bCs/>
                <w:color w:val="auto"/>
                <w:szCs w:val="21"/>
                <w:highlight w:val="none"/>
                <w:lang w:val="en-US" w:eastAsia="zh-CN"/>
              </w:rPr>
              <w:t>8</w:t>
            </w:r>
          </w:p>
        </w:tc>
        <w:tc>
          <w:tcPr>
            <w:tcW w:w="87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售后服务要求：</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（1）质保期内，承诺提供免备件费、免人工费、免服务费等服务，并采取一切措施保证血站正常使用。</w:t>
            </w:r>
          </w:p>
        </w:tc>
      </w:tr>
    </w:tbl>
    <w:p>
      <w:pPr>
        <w:keepNext w:val="0"/>
        <w:keepLines w:val="0"/>
        <w:pageBreakBefore w:val="0"/>
        <w:kinsoku/>
        <w:overflowPunct/>
        <w:topLinePunct w:val="0"/>
        <w:bidi w:val="0"/>
        <w:adjustRightInd/>
        <w:snapToGrid w:val="0"/>
        <w:spacing w:line="360" w:lineRule="auto"/>
        <w:ind w:right="0" w:rightChars="0"/>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adjustRightInd/>
        <w:snapToGrid w:val="0"/>
        <w:spacing w:line="360" w:lineRule="auto"/>
        <w:ind w:right="0" w:rightChars="0"/>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pStyle w:val="2"/>
        <w:rPr>
          <w:rFonts w:hint="eastAsia" w:ascii="宋体" w:hAnsi="宋体" w:eastAsia="宋体" w:cs="宋体"/>
          <w:b/>
          <w:bCs w:val="0"/>
          <w:color w:val="auto"/>
          <w:szCs w:val="21"/>
          <w:highlight w:val="none"/>
        </w:rPr>
      </w:pPr>
    </w:p>
    <w:p>
      <w:pPr>
        <w:rPr>
          <w:rFonts w:hint="eastAsia" w:ascii="宋体" w:hAnsi="宋体" w:eastAsia="宋体" w:cs="宋体"/>
          <w:b/>
          <w:bCs w:val="0"/>
          <w:color w:val="auto"/>
          <w:szCs w:val="21"/>
          <w:highlight w:val="none"/>
        </w:rPr>
      </w:pPr>
    </w:p>
    <w:p>
      <w:pPr>
        <w:pStyle w:val="3"/>
        <w:rPr>
          <w:rFonts w:hint="eastAsia" w:ascii="宋体" w:hAnsi="宋体" w:eastAsia="宋体" w:cs="宋体"/>
          <w:b/>
          <w:bCs w:val="0"/>
          <w:color w:val="auto"/>
          <w:szCs w:val="21"/>
          <w:highlight w:val="none"/>
        </w:rPr>
      </w:pPr>
    </w:p>
    <w:p>
      <w:pPr>
        <w:rPr>
          <w:rFonts w:hint="eastAsia" w:ascii="宋体" w:hAnsi="宋体" w:eastAsia="宋体" w:cs="宋体"/>
          <w:b/>
          <w:bCs w:val="0"/>
          <w:color w:val="auto"/>
          <w:szCs w:val="21"/>
          <w:highlight w:val="none"/>
        </w:rPr>
      </w:pPr>
    </w:p>
    <w:p>
      <w:pPr>
        <w:pStyle w:val="3"/>
        <w:rPr>
          <w:rFonts w:hint="eastAsia" w:ascii="宋体" w:hAnsi="宋体" w:eastAsia="宋体" w:cs="宋体"/>
          <w:b/>
          <w:bCs w:val="0"/>
          <w:color w:val="auto"/>
          <w:szCs w:val="21"/>
          <w:highlight w:val="none"/>
        </w:rPr>
      </w:pPr>
    </w:p>
    <w:p>
      <w:pPr>
        <w:rPr>
          <w:rFonts w:hint="eastAsia" w:ascii="宋体" w:hAnsi="宋体" w:eastAsia="宋体" w:cs="宋体"/>
          <w:b/>
          <w:bCs w:val="0"/>
          <w:color w:val="auto"/>
          <w:szCs w:val="21"/>
          <w:highlight w:val="none"/>
        </w:rPr>
      </w:pPr>
    </w:p>
    <w:p>
      <w:pPr>
        <w:pStyle w:val="3"/>
        <w:rPr>
          <w:rFonts w:hint="eastAsia"/>
          <w:color w:val="auto"/>
          <w:highlight w:val="none"/>
        </w:rPr>
      </w:pPr>
    </w:p>
    <w:p>
      <w:pPr>
        <w:rPr>
          <w:rFonts w:hint="eastAsia" w:ascii="宋体" w:hAnsi="宋体" w:eastAsia="宋体" w:cs="宋体"/>
          <w:b/>
          <w:bCs w:val="0"/>
          <w:color w:val="auto"/>
          <w:szCs w:val="21"/>
          <w:highlight w:val="none"/>
        </w:rPr>
      </w:pPr>
    </w:p>
    <w:p>
      <w:pPr>
        <w:rPr>
          <w:rFonts w:hint="eastAsia"/>
          <w:color w:val="auto"/>
          <w:highlight w:val="none"/>
        </w:rPr>
      </w:pPr>
    </w:p>
    <w:p>
      <w:pPr>
        <w:rPr>
          <w:rFonts w:hint="eastAsia" w:ascii="宋体" w:hAnsi="宋体" w:eastAsia="宋体" w:cs="宋体"/>
          <w:b/>
          <w:bCs w:val="0"/>
          <w:color w:val="auto"/>
          <w:szCs w:val="21"/>
          <w:highlight w:val="none"/>
        </w:rPr>
      </w:pPr>
    </w:p>
    <w:p>
      <w:pPr>
        <w:pStyle w:val="2"/>
        <w:rPr>
          <w:rFonts w:hint="eastAsia" w:ascii="宋体" w:hAnsi="宋体" w:eastAsia="宋体" w:cs="宋体"/>
          <w:b w:val="0"/>
          <w:bCs w:val="0"/>
          <w:color w:val="auto"/>
          <w:spacing w:val="0"/>
          <w:kern w:val="2"/>
          <w:sz w:val="21"/>
          <w:szCs w:val="21"/>
          <w:highlight w:val="none"/>
          <w:lang w:val="en-US" w:eastAsia="zh-CN" w:bidi="ar-SA"/>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br w:type="page"/>
      </w: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 </w:t>
      </w:r>
      <w:bookmarkEnd w:id="105"/>
      <w:bookmarkEnd w:id="106"/>
      <w:bookmarkEnd w:id="107"/>
      <w:bookmarkEnd w:id="108"/>
      <w:bookmarkEnd w:id="109"/>
      <w:bookmarkStart w:id="110" w:name="_Toc7538"/>
      <w:r>
        <w:rPr>
          <w:rFonts w:hint="eastAsia" w:ascii="宋体" w:hAnsi="宋体" w:eastAsia="宋体" w:cs="宋体"/>
          <w:b/>
          <w:bCs w:val="0"/>
          <w:color w:val="auto"/>
          <w:szCs w:val="21"/>
          <w:highlight w:val="none"/>
        </w:rPr>
        <w:t>第四章  合同</w:t>
      </w:r>
      <w:r>
        <w:rPr>
          <w:rFonts w:hint="eastAsia" w:ascii="宋体" w:hAnsi="宋体" w:cs="宋体"/>
          <w:b/>
          <w:bCs w:val="0"/>
          <w:color w:val="auto"/>
          <w:szCs w:val="21"/>
          <w:highlight w:val="none"/>
          <w:lang w:val="en-US" w:eastAsia="zh-CN"/>
        </w:rPr>
        <w:t>主要</w:t>
      </w:r>
      <w:r>
        <w:rPr>
          <w:rFonts w:hint="eastAsia" w:ascii="宋体" w:hAnsi="宋体" w:eastAsia="宋体" w:cs="宋体"/>
          <w:b/>
          <w:bCs w:val="0"/>
          <w:color w:val="auto"/>
          <w:szCs w:val="21"/>
          <w:highlight w:val="none"/>
        </w:rPr>
        <w:t>条款</w:t>
      </w:r>
      <w:bookmarkEnd w:id="110"/>
    </w:p>
    <w:p>
      <w:pPr>
        <w:pStyle w:val="41"/>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（最终合同以双方签订为准）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甲方通过 </w:t>
      </w:r>
      <w:r>
        <w:rPr>
          <w:rFonts w:hint="eastAsia" w:ascii="宋体" w:hAnsi="宋体" w:eastAsia="宋体" w:cs="宋体"/>
          <w:color w:val="auto"/>
          <w:sz w:val="21"/>
          <w:szCs w:val="21"/>
          <w:highlight w:val="none"/>
          <w:u w:val="single"/>
          <w:lang w:val="en-US" w:eastAsia="zh-CN"/>
        </w:rPr>
        <w:t>公开招标</w:t>
      </w:r>
      <w:r>
        <w:rPr>
          <w:rFonts w:hint="eastAsia" w:ascii="宋体" w:hAnsi="宋体" w:eastAsia="宋体" w:cs="宋体"/>
          <w:color w:val="auto"/>
          <w:sz w:val="21"/>
          <w:szCs w:val="21"/>
          <w:highlight w:val="none"/>
        </w:rPr>
        <w:t xml:space="preserve"> 采购方式，确定乙方为</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衢州市中心血站</w:t>
      </w:r>
      <w:r>
        <w:rPr>
          <w:rFonts w:hint="eastAsia"/>
          <w:color w:val="auto"/>
          <w:highlight w:val="none"/>
          <w:u w:val="single"/>
          <w:lang w:val="en-US" w:eastAsia="zh-CN"/>
        </w:rPr>
        <w:t>一次性血液成分分离管路采购项目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采购项目（项目编号：</w:t>
      </w:r>
      <w:r>
        <w:rPr>
          <w:rFonts w:hint="eastAsia" w:ascii="宋体" w:hAnsi="宋体" w:cs="宋体"/>
          <w:color w:val="auto"/>
          <w:sz w:val="21"/>
          <w:szCs w:val="21"/>
          <w:highlight w:val="none"/>
          <w:u w:val="single"/>
          <w:lang w:val="en-US" w:eastAsia="zh-CN"/>
        </w:rPr>
        <w:t>ZJCT-Z20250002</w:t>
      </w:r>
      <w:r>
        <w:rPr>
          <w:rFonts w:hint="eastAsia" w:ascii="宋体" w:hAnsi="宋体" w:eastAsia="宋体" w:cs="宋体"/>
          <w:color w:val="auto"/>
          <w:sz w:val="21"/>
          <w:szCs w:val="21"/>
          <w:highlight w:val="none"/>
        </w:rPr>
        <w:t>）供应商。为了保护甲、乙双方合法权益，根据《中华人民共和国民法典》及项目招标结果和招标文件的要求，本着友好合作、平等互利原则，经协商一致，特签订本合同。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、合同文件的优先次序</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合同文件如存在歧义或不一致则根据以下优先次序来判断：</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合同书及合同补充条款或说明 </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中标通知书</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承诺书（含询标记录和优惠条款）</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投标文件</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形成合同的其他有关文件</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作为本合同不可分割的组成部分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原则上</w:t>
      </w:r>
      <w:r>
        <w:rPr>
          <w:rFonts w:hint="eastAsia" w:ascii="宋体" w:hAnsi="宋体" w:eastAsia="宋体" w:cs="宋体"/>
          <w:color w:val="auto"/>
          <w:sz w:val="21"/>
          <w:szCs w:val="21"/>
          <w:highlight w:val="none"/>
        </w:rPr>
        <w:t>应认为是互相补充和解释的</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二、产品要求</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1.本次采购的清单详见附件。</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2.乙方应按</w:t>
      </w:r>
      <w:r>
        <w:rPr>
          <w:rFonts w:hint="eastAsia" w:ascii="宋体" w:hAnsi="宋体" w:eastAsia="宋体" w:cs="宋体"/>
          <w:color w:val="auto"/>
          <w:sz w:val="21"/>
          <w:szCs w:val="21"/>
          <w:highlight w:val="none"/>
        </w:rPr>
        <w:t>甲方要求的品牌规格型号，保证产品质量，</w:t>
      </w:r>
      <w:r>
        <w:rPr>
          <w:rFonts w:hint="eastAsia" w:ascii="宋体" w:hAnsi="宋体" w:eastAsia="宋体" w:cs="宋体"/>
          <w:color w:val="auto"/>
          <w:sz w:val="21"/>
          <w:szCs w:val="21"/>
          <w:highlight w:val="none"/>
          <w:lang w:val="en-US" w:eastAsia="zh-CN"/>
        </w:rPr>
        <w:t>不得供应假冒伪劣</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3.乙方向甲方提供</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包装应完整、牢固、标记清晰、全</w:t>
      </w:r>
      <w:r>
        <w:rPr>
          <w:rFonts w:hint="eastAsia" w:ascii="宋体" w:hAnsi="宋体" w:eastAsia="宋体" w:cs="宋体"/>
          <w:color w:val="auto"/>
          <w:sz w:val="21"/>
          <w:szCs w:val="21"/>
          <w:highlight w:val="none"/>
        </w:rPr>
        <w:t>新合格的产品</w:t>
      </w:r>
      <w:r>
        <w:rPr>
          <w:rFonts w:hint="eastAsia" w:ascii="宋体" w:hAnsi="宋体" w:eastAsia="宋体" w:cs="宋体"/>
          <w:color w:val="auto"/>
          <w:sz w:val="21"/>
          <w:szCs w:val="21"/>
          <w:highlight w:val="none"/>
          <w:lang w:val="en-US" w:eastAsia="zh-CN"/>
        </w:rPr>
        <w:t>，且符合货物运输要求。</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.项目开展之前乙方免费提供仪器和各项目的校准服务，并出具相应报告。</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三、合同期限</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服务期限为</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从合同签订后生效后开始计算满</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年或者该项目配套</w:t>
      </w:r>
      <w:r>
        <w:rPr>
          <w:rFonts w:hint="eastAsia"/>
          <w:color w:val="auto"/>
          <w:highlight w:val="none"/>
          <w:lang w:val="en-US" w:eastAsia="zh-CN"/>
        </w:rPr>
        <w:t>血液成分分离管路</w:t>
      </w:r>
      <w:r>
        <w:rPr>
          <w:rFonts w:hint="eastAsia" w:ascii="宋体" w:hAnsi="宋体" w:eastAsia="宋体" w:cs="宋体"/>
          <w:color w:val="auto"/>
          <w:sz w:val="21"/>
          <w:szCs w:val="21"/>
          <w:highlight w:val="none"/>
        </w:rPr>
        <w:t xml:space="preserve">采购量达到预算值，任一条件达到即视为合作期结束。本项目年采购预算为人民币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cs="宋体"/>
          <w:color w:val="auto"/>
          <w:sz w:val="21"/>
          <w:szCs w:val="21"/>
          <w:highlight w:val="none"/>
          <w:lang w:val="en-US" w:eastAsia="zh-CN"/>
        </w:rPr>
        <w:t>1800</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运输及交货验收</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运输：乙方应按照</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运输行业规范要求进行运输及配送，发运的</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要与订单相符，且销售清单随货同行。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2.交货期：乙方接到甲方的采购通知后，应在甲方规定的时间内将相应</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按要求的数量及时送达指定的地点，到货时有效期应当保证为12个月以上（特殊情况除外）。</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3.交货地点：甲方指定地点，如遇甲方到乙方仓库提货，应当当场清点核对数量、批号，检查外包装完整，无异样后提货。</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验收</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（1）甲方收到</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时，应对到货单进行甲乙双方核实验收，如发现数量不符或</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包装不完整、异常时，应当场开箱检查。发现</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出现短少、污染、破损等情况，甲方应当场拒收</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，并做好相关记录。</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为冷藏、易碎、贵重等特殊</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，应优先核对验收入库。</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（3）如遇</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数量太多无法当场验收，甲方可以在送货单上签收所收到的件数，做初步验收，事后及时再次核对验收，如有差错，于3个工作日内以书面形式通知乙方业务员，进行调货处理。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五、退货及处理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退、换、补货</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（1）甲方发现数量不符或</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包装不完整、污染等异常时，乙方应做退货处理。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有效期三个月内，甲方有退货需求的，乙方应给予退货处理。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（3）甲方对乙方</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检验合格入库后，由于甲方在销售过程中对</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储存及运输管理不善等原因造成的</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污染、破损、短少、过期等，乙方不予退、换、补货。</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2.退回</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收取方式</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乙方送货员凭销售人员开具的退货通知单向甲方提取退货。</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破损、短少处理程序</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验收时存在异常情况（破损、污染、短少、近效期等），甲方在货到后3个工作日内以书面形式向乙方提出处理意见。并提供详细资料，包括：</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名称、规格、生产厂家、批号、有效期、到货日期、应到数量及实到数量等。</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（2）甲方对乙方错发、错运、甲方错收、溢收的</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应妥善保管，并及时通知乙方销售业务人员。</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（3）甲方在到货后3个工作日内发现</w:t>
      </w:r>
      <w:r>
        <w:rPr>
          <w:rFonts w:hint="eastAsia" w:ascii="宋体" w:hAnsi="宋体" w:cs="宋体"/>
          <w:color w:val="auto"/>
          <w:sz w:val="21"/>
          <w:szCs w:val="21"/>
          <w:highlight w:val="none"/>
          <w:lang w:val="en-US" w:eastAsia="zh-CN"/>
        </w:rPr>
        <w:t>物品</w:t>
      </w:r>
      <w:r>
        <w:rPr>
          <w:rFonts w:hint="eastAsia" w:ascii="宋体" w:hAnsi="宋体" w:eastAsia="宋体" w:cs="宋体"/>
          <w:color w:val="auto"/>
          <w:sz w:val="21"/>
          <w:szCs w:val="21"/>
          <w:highlight w:val="none"/>
          <w:lang w:val="en-US" w:eastAsia="zh-CN"/>
        </w:rPr>
        <w:t>原箱（件）短少，要作出现场记录，查明到货日期或原发货单号码，并附原装箱单、合格证等，由相关部门出具证明并附详细的书面说明，且加盖甲方单位收货专用章或业务专用章，并将相关资料发给乙方的销售人员。</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、货款支付</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1.财务入账后 </w:t>
      </w:r>
      <w:r>
        <w:rPr>
          <w:rFonts w:hint="eastAsia" w:ascii="宋体" w:hAnsi="宋体" w:eastAsia="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lang w:val="en-US" w:eastAsia="zh-CN"/>
        </w:rPr>
        <w:t>个月内支付（遇质量问题等特殊情况除外）。</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本项目无须缴纳履约保证金。</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、违约终止合同及赔偿</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甲方在乙方存在如下违约情况时，有权单方面终止全部或部分合同，并保留进一步追究乙方责任的权利（包括经济赔偿）。</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（1）乙方未能履行合同规定的义务；</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（2）有严重影响甲方的正常工作及形象的行为；</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（3）与招标文件不符合的做法，或履行其投标文件的承诺。</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乙方如要提前终止合同，需提前3个月书面通知甲方，并征得甲方同意，否则继续按本合同履行。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除不可抗力外以，如发生乙方不能履行合同义务，或甲方发生中途终止合同等情况，应及时以书面形式通知对方。经双方协商可终止部分或全部合同的，双方无需承担违约责任。</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4.违约方对其违约行为所造成的损失承担赔偿责任，包括但不限于为挽回损失所支出的仲裁费、律师费、保全费、差旅费、保险费、公告费等。</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2.不可抗力事件延续</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十、破产终止合同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如果乙方破产或无服务能力时，甲方可在任何时候以书面形式通知乙方终止合同。该终止合同的行为将不损害或影响甲方已经采取或将要采取的补救措施的权利。</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、仲裁</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双方在履行合同中所发生的一切争议，应通过协商解决。如协商不成，应向甲方住所地所在的仲裁机构提交仲裁。</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在仲裁期间，除正在进行仲裁的部份外，本合同其他部份应继续执行。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仲裁费用除仲裁机构另行有裁决外，由败诉方承担。</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、其他约定条款</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合同期内，试剂、耗材测试单价如高于同期</w:t>
      </w:r>
      <w:r>
        <w:rPr>
          <w:rFonts w:hint="eastAsia" w:ascii="宋体" w:hAnsi="宋体" w:eastAsia="宋体" w:cs="宋体"/>
          <w:color w:val="auto"/>
          <w:sz w:val="21"/>
          <w:szCs w:val="21"/>
          <w:highlight w:val="none"/>
          <w:lang w:val="en-US" w:eastAsia="zh-CN"/>
        </w:rPr>
        <w:t>衢州</w:t>
      </w:r>
      <w:r>
        <w:rPr>
          <w:rFonts w:hint="eastAsia" w:ascii="宋体" w:hAnsi="宋体" w:eastAsia="宋体" w:cs="宋体"/>
          <w:color w:val="auto"/>
          <w:sz w:val="21"/>
          <w:szCs w:val="21"/>
          <w:highlight w:val="none"/>
        </w:rPr>
        <w:t>市其他市级及以下相同产品的采购价格，则测试单价调整到</w:t>
      </w:r>
      <w:r>
        <w:rPr>
          <w:rFonts w:hint="eastAsia" w:ascii="宋体" w:hAnsi="宋体" w:eastAsia="宋体" w:cs="宋体"/>
          <w:color w:val="auto"/>
          <w:sz w:val="21"/>
          <w:szCs w:val="21"/>
          <w:highlight w:val="none"/>
          <w:lang w:eastAsia="zh-CN"/>
        </w:rPr>
        <w:t>衢州</w:t>
      </w:r>
      <w:r>
        <w:rPr>
          <w:rFonts w:hint="eastAsia" w:ascii="宋体" w:hAnsi="宋体" w:eastAsia="宋体" w:cs="宋体"/>
          <w:color w:val="auto"/>
          <w:sz w:val="21"/>
          <w:szCs w:val="21"/>
          <w:highlight w:val="none"/>
        </w:rPr>
        <w:t>市其他市级及以下相同产品的采购价格</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货物送达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耗品），需要提供冷链溯源证据。</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甲方对货物的外包装完好性、数量、规格、厂家、生产批号、灭菌日期（灭菌批号）、有效期、注册证、冷链溯源证明等信息进行核对无误后进行入库验收。若验收不合格，供应商必须更换货物，并且赔偿由此给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造成的损失；入库记录为入库验收的唯一有效凭证，入库验收时间以入库记录时间为准。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乙方发生一次下列情况之一，必须及时对货物进行处理；若造成甲方损失的，乙方应赔偿损失；如多次（三次或三次以上）发生的，甲方有权终止合同：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入库验收和使用中发现货物达不到产品的验收要求、功能性能要求或甲方使用要求；</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不按时供货；</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在使用过程中发生医疗器械不良事件或质量问题；</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交货时，货物已过保质期。</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乙方发生下列情况之一，甲方有权终止合同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同时承担由第三方替代履行所产生费用</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供应商的任一资质证书（含执行本合同须提供的相关证书）已过有效期的且无法提供新的资质证书；</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乙方在产品经销过程中，有违法违纪行为的；</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货物发生质量问题且乙方无法解决。</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特别约定：</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合同期间如遇政策性原因导致合同无法履行，则合同自行终止，其他未尽事宜，以乙方承诺书和投标文件响应为准。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、合同生效及其他</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份，双方签字盖章后生效，违约及其处罚按民法典及本合同有关条款执行。</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合同执行中，如需修改或补充合同内容，经协商，双方应签署书面修改或补充协议。该协议将作为合同不可分割的一部分。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十六、其它</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招标文件、补充文件、投标文件及答疑纪要、中标通知书等作为本合同的附件，与本合同具有同等法律效力。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合同附件</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本合同相关的配置清单、试剂、耗材价格表；合同附件是本合同不可分割的一部分，具有同等法律效力。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其它约定：未尽事宜以投标文件和承诺书为准。</w:t>
      </w:r>
    </w:p>
    <w:p>
      <w:pPr>
        <w:keepNext w:val="0"/>
        <w:keepLines w:val="0"/>
        <w:pageBreakBefore w:val="0"/>
        <w:widowControl w:val="0"/>
        <w:kinsoku/>
        <w:wordWrap/>
        <w:overflowPunct/>
        <w:topLinePunct w:val="0"/>
        <w:autoSpaceDE/>
        <w:autoSpaceDN/>
        <w:bidi w:val="0"/>
        <w:adjustRightInd/>
        <w:snapToGrid/>
        <w:spacing w:line="360" w:lineRule="auto"/>
        <w:ind w:firstLine="514" w:firstLineChars="2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以上协议未尽之处，双方协商解决。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5909" w:leftChars="114" w:hanging="5670" w:hangingChars="27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法定（授权）代表人（签字）：            法定（授权）代表人（签字）：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                                联系人：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                              联系电话：</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签署日期：                              签署日期：</w:t>
      </w:r>
    </w:p>
    <w:p>
      <w:pPr>
        <w:rPr>
          <w:rFonts w:hint="eastAsia" w:ascii="宋体" w:hAnsi="宋体" w:eastAsia="宋体" w:cs="宋体"/>
          <w:b/>
          <w:bCs w:val="0"/>
          <w:color w:val="auto"/>
          <w:szCs w:val="21"/>
          <w:highlight w:val="none"/>
        </w:rPr>
      </w:pPr>
      <w:bookmarkStart w:id="111" w:name="_Toc3822"/>
      <w:bookmarkStart w:id="112" w:name="_Toc15536"/>
      <w:bookmarkStart w:id="113" w:name="_Toc354491899"/>
      <w:bookmarkStart w:id="114" w:name="_Toc322352985"/>
      <w:bookmarkStart w:id="115" w:name="_Toc356371458"/>
      <w:r>
        <w:rPr>
          <w:rFonts w:hint="eastAsia" w:ascii="宋体" w:hAnsi="宋体" w:eastAsia="宋体" w:cs="宋体"/>
          <w:b/>
          <w:bCs w:val="0"/>
          <w:color w:val="auto"/>
          <w:szCs w:val="21"/>
          <w:highlight w:val="none"/>
        </w:rPr>
        <w:br w:type="page"/>
      </w:r>
    </w:p>
    <w:p>
      <w:pPr>
        <w:snapToGrid w:val="0"/>
        <w:spacing w:line="432" w:lineRule="auto"/>
        <w:jc w:val="center"/>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第五章  应提交的有关格式范例</w:t>
      </w:r>
      <w:bookmarkEnd w:id="111"/>
      <w:bookmarkEnd w:id="112"/>
      <w:bookmarkEnd w:id="113"/>
      <w:bookmarkEnd w:id="114"/>
      <w:bookmarkEnd w:id="115"/>
    </w:p>
    <w:p>
      <w:pPr>
        <w:snapToGrid w:val="0"/>
        <w:spacing w:line="432" w:lineRule="auto"/>
        <w:jc w:val="center"/>
        <w:outlineLvl w:val="1"/>
        <w:rPr>
          <w:rFonts w:hint="eastAsia" w:ascii="宋体" w:hAnsi="宋体" w:eastAsia="宋体" w:cs="宋体"/>
          <w:color w:val="auto"/>
          <w:sz w:val="28"/>
          <w:szCs w:val="28"/>
          <w:highlight w:val="none"/>
        </w:rPr>
      </w:pPr>
      <w:bookmarkStart w:id="116" w:name="_Toc13045"/>
      <w:bookmarkStart w:id="117" w:name="_Toc13877"/>
      <w:r>
        <w:rPr>
          <w:rStyle w:val="30"/>
          <w:rFonts w:hint="eastAsia" w:ascii="宋体" w:hAnsi="宋体" w:eastAsia="宋体" w:cs="宋体"/>
          <w:b/>
          <w:bCs/>
          <w:color w:val="auto"/>
          <w:sz w:val="21"/>
          <w:szCs w:val="21"/>
          <w:highlight w:val="none"/>
        </w:rPr>
        <w:t>一、投标文件封面</w:t>
      </w:r>
      <w:bookmarkEnd w:id="116"/>
      <w:bookmarkEnd w:id="117"/>
    </w:p>
    <w:p>
      <w:pPr>
        <w:spacing w:line="312" w:lineRule="auto"/>
        <w:ind w:left="1800" w:leftChars="857"/>
        <w:jc w:val="right"/>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312" w:lineRule="auto"/>
        <w:ind w:firstLine="280" w:firstLineChars="100"/>
        <w:rPr>
          <w:rFonts w:hint="eastAsia" w:ascii="宋体" w:hAnsi="宋体" w:eastAsia="宋体" w:cs="宋体"/>
          <w:color w:val="auto"/>
          <w:sz w:val="28"/>
          <w:szCs w:val="28"/>
          <w:highlight w:val="none"/>
        </w:rPr>
      </w:pPr>
    </w:p>
    <w:p>
      <w:pPr>
        <w:spacing w:line="312"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资 格 文 件</w:t>
      </w:r>
    </w:p>
    <w:p>
      <w:pPr>
        <w:snapToGrid w:val="0"/>
        <w:spacing w:line="312"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bookmarkStart w:id="118" w:name="_Toc357410801"/>
      <w:r>
        <w:rPr>
          <w:rFonts w:hint="eastAsia" w:ascii="宋体" w:hAnsi="宋体" w:eastAsia="宋体" w:cs="宋体"/>
          <w:color w:val="auto"/>
          <w:sz w:val="32"/>
          <w:szCs w:val="32"/>
          <w:highlight w:val="none"/>
        </w:rPr>
        <w:t>商务技术文件、报价文件）</w:t>
      </w:r>
      <w:bookmarkEnd w:id="118"/>
    </w:p>
    <w:p>
      <w:pPr>
        <w:pStyle w:val="29"/>
        <w:rPr>
          <w:rFonts w:hint="eastAsia" w:ascii="宋体" w:hAnsi="宋体" w:eastAsia="宋体" w:cs="宋体"/>
          <w:color w:val="auto"/>
          <w:sz w:val="32"/>
          <w:szCs w:val="32"/>
          <w:highlight w:val="none"/>
        </w:rPr>
      </w:pPr>
    </w:p>
    <w:p>
      <w:pPr>
        <w:pStyle w:val="29"/>
        <w:rPr>
          <w:rFonts w:hint="eastAsia" w:ascii="宋体" w:hAnsi="宋体" w:eastAsia="宋体" w:cs="宋体"/>
          <w:color w:val="auto"/>
          <w:sz w:val="32"/>
          <w:szCs w:val="32"/>
          <w:highlight w:val="none"/>
        </w:rPr>
      </w:pPr>
    </w:p>
    <w:p>
      <w:pPr>
        <w:pStyle w:val="29"/>
        <w:rPr>
          <w:rFonts w:hint="eastAsia" w:ascii="宋体" w:hAnsi="宋体" w:eastAsia="宋体" w:cs="宋体"/>
          <w:color w:val="auto"/>
          <w:sz w:val="32"/>
          <w:szCs w:val="32"/>
          <w:highlight w:val="none"/>
        </w:rPr>
      </w:pPr>
    </w:p>
    <w:p>
      <w:pPr>
        <w:pStyle w:val="29"/>
        <w:rPr>
          <w:rFonts w:hint="eastAsia" w:ascii="宋体" w:hAnsi="宋体" w:eastAsia="宋体" w:cs="宋体"/>
          <w:color w:val="auto"/>
          <w:sz w:val="32"/>
          <w:szCs w:val="32"/>
          <w:highlight w:val="none"/>
        </w:rPr>
      </w:pPr>
    </w:p>
    <w:p>
      <w:pPr>
        <w:pStyle w:val="29"/>
        <w:rPr>
          <w:rFonts w:hint="eastAsia" w:ascii="宋体" w:hAnsi="宋体" w:eastAsia="宋体" w:cs="宋体"/>
          <w:color w:val="auto"/>
          <w:sz w:val="32"/>
          <w:szCs w:val="32"/>
          <w:highlight w:val="none"/>
        </w:rPr>
      </w:pPr>
    </w:p>
    <w:p>
      <w:pPr>
        <w:snapToGrid w:val="0"/>
        <w:spacing w:line="312" w:lineRule="auto"/>
        <w:ind w:firstLine="1962" w:firstLineChars="698"/>
        <w:rPr>
          <w:rFonts w:hint="eastAsia" w:ascii="宋体" w:hAnsi="宋体" w:eastAsia="宋体" w:cs="宋体"/>
          <w:b/>
          <w:color w:val="auto"/>
          <w:sz w:val="28"/>
          <w:szCs w:val="28"/>
          <w:highlight w:val="none"/>
        </w:rPr>
      </w:pPr>
    </w:p>
    <w:p>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19" w:name="_Toc357410802"/>
      <w:r>
        <w:rPr>
          <w:rFonts w:hint="eastAsia" w:ascii="宋体" w:hAnsi="宋体" w:eastAsia="宋体" w:cs="宋体"/>
          <w:color w:val="auto"/>
          <w:sz w:val="28"/>
          <w:szCs w:val="28"/>
          <w:highlight w:val="none"/>
        </w:rPr>
        <w:t>项目名称：</w:t>
      </w:r>
      <w:bookmarkEnd w:id="119"/>
      <w:r>
        <w:rPr>
          <w:rFonts w:hint="eastAsia" w:ascii="宋体" w:hAnsi="宋体" w:eastAsia="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20" w:name="_Toc357410803"/>
      <w:r>
        <w:rPr>
          <w:rFonts w:hint="eastAsia" w:ascii="宋体" w:hAnsi="宋体" w:eastAsia="宋体" w:cs="宋体"/>
          <w:color w:val="auto"/>
          <w:sz w:val="28"/>
          <w:szCs w:val="28"/>
          <w:highlight w:val="none"/>
        </w:rPr>
        <w:t>项目编号：</w:t>
      </w:r>
      <w:bookmarkEnd w:id="120"/>
      <w:r>
        <w:rPr>
          <w:rFonts w:hint="eastAsia" w:ascii="宋体" w:hAnsi="宋体" w:eastAsia="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eastAsia="宋体" w:cs="宋体"/>
          <w:color w:val="auto"/>
          <w:sz w:val="28"/>
          <w:szCs w:val="28"/>
          <w:highlight w:val="none"/>
        </w:rPr>
      </w:pPr>
      <w:bookmarkStart w:id="121" w:name="_Toc357410804"/>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bookmarkEnd w:id="121"/>
    </w:p>
    <w:p>
      <w:pPr>
        <w:snapToGrid w:val="0"/>
        <w:spacing w:line="480" w:lineRule="auto"/>
        <w:ind w:firstLine="2318" w:firstLineChars="828"/>
        <w:jc w:val="left"/>
        <w:rPr>
          <w:rFonts w:hint="eastAsia" w:ascii="宋体" w:hAnsi="宋体" w:eastAsia="宋体" w:cs="宋体"/>
          <w:color w:val="auto"/>
          <w:szCs w:val="21"/>
          <w:highlight w:val="none"/>
        </w:rPr>
        <w:sectPr>
          <w:headerReference r:id="rId8" w:type="first"/>
          <w:footerReference r:id="rId11" w:type="first"/>
          <w:footerReference r:id="rId9" w:type="default"/>
          <w:headerReference r:id="rId7" w:type="even"/>
          <w:footerReference r:id="rId10" w:type="even"/>
          <w:pgSz w:w="11906" w:h="16838"/>
          <w:pgMar w:top="1389" w:right="1247" w:bottom="1389" w:left="1247" w:header="851" w:footer="992" w:gutter="284"/>
          <w:cols w:space="720" w:num="1"/>
          <w:docGrid w:linePitch="312" w:charSpace="0"/>
        </w:sectPr>
      </w:pPr>
      <w:bookmarkStart w:id="122" w:name="_Toc357410805"/>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22"/>
    </w:p>
    <w:p>
      <w:pPr>
        <w:spacing w:line="312" w:lineRule="auto"/>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二、资格文件</w:t>
      </w:r>
    </w:p>
    <w:p>
      <w:pPr>
        <w:spacing w:line="312" w:lineRule="auto"/>
        <w:jc w:val="center"/>
        <w:rPr>
          <w:rFonts w:hint="eastAsia" w:ascii="宋体" w:hAnsi="宋体" w:cs="宋体"/>
          <w:b/>
          <w:color w:val="auto"/>
          <w:szCs w:val="21"/>
          <w:highlight w:val="none"/>
        </w:rPr>
      </w:pPr>
      <w:r>
        <w:rPr>
          <w:rFonts w:hint="eastAsia" w:ascii="宋体" w:hAnsi="宋体" w:eastAsia="宋体" w:cs="宋体"/>
          <w:b/>
          <w:bCs w:val="0"/>
          <w:color w:val="auto"/>
          <w:sz w:val="21"/>
          <w:szCs w:val="21"/>
          <w:highlight w:val="none"/>
        </w:rPr>
        <w:t xml:space="preserve">1 </w:t>
      </w:r>
      <w:r>
        <w:rPr>
          <w:rFonts w:hint="eastAsia" w:ascii="宋体" w:hAnsi="宋体" w:cs="宋体"/>
          <w:b/>
          <w:color w:val="auto"/>
          <w:szCs w:val="21"/>
          <w:highlight w:val="none"/>
        </w:rPr>
        <w:t>具有参与政府采购活动</w:t>
      </w:r>
      <w:r>
        <w:rPr>
          <w:rFonts w:hint="eastAsia" w:ascii="宋体" w:hAnsi="宋体" w:cs="宋体"/>
          <w:b/>
          <w:color w:val="auto"/>
          <w:szCs w:val="21"/>
          <w:highlight w:val="none"/>
          <w:lang w:val="en-US" w:eastAsia="zh-CN"/>
        </w:rPr>
        <w:t>一般</w:t>
      </w:r>
      <w:r>
        <w:rPr>
          <w:rFonts w:hint="eastAsia" w:ascii="宋体" w:hAnsi="宋体" w:cs="宋体"/>
          <w:b/>
          <w:color w:val="auto"/>
          <w:szCs w:val="21"/>
          <w:highlight w:val="none"/>
        </w:rPr>
        <w:t>资格条件的声明函</w:t>
      </w:r>
    </w:p>
    <w:p>
      <w:pPr>
        <w:pStyle w:val="21"/>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衢州市中心血站</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浙江省成套工程有限公司：</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政府采购活动，郑重承诺：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pPr>
        <w:pStyle w:val="21"/>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如有虚假，采购人可取消我方任何资格（投标/中标/签订合同），我方对此无任何异议。</w:t>
      </w:r>
    </w:p>
    <w:p>
      <w:pPr>
        <w:keepNext w:val="0"/>
        <w:keepLines w:val="0"/>
        <w:pageBreakBefore w:val="0"/>
        <w:widowControl w:val="0"/>
        <w:kinsoku/>
        <w:wordWrap/>
        <w:overflowPunct/>
        <w:topLinePunct w:val="0"/>
        <w:autoSpaceDE/>
        <w:autoSpaceDN/>
        <w:bidi w:val="0"/>
        <w:spacing w:line="500" w:lineRule="exact"/>
        <w:jc w:val="center"/>
        <w:textAlignment w:val="auto"/>
        <w:rPr>
          <w:rStyle w:val="30"/>
          <w:rFonts w:hint="eastAsia" w:ascii="宋体" w:hAnsi="宋体" w:eastAsia="宋体" w:cs="宋体"/>
          <w:b w:val="0"/>
          <w:color w:val="auto"/>
          <w:sz w:val="21"/>
          <w:szCs w:val="21"/>
          <w:highlight w:val="none"/>
        </w:rPr>
      </w:pPr>
    </w:p>
    <w:p>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法定代表人或授权代表人（签字或盖章）：                                   </w:t>
      </w:r>
    </w:p>
    <w:p>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19"/>
        <w:rPr>
          <w:rFonts w:hint="eastAsia" w:ascii="宋体" w:hAnsi="宋体" w:eastAsia="宋体" w:cs="宋体"/>
          <w:color w:val="auto"/>
          <w:sz w:val="21"/>
          <w:szCs w:val="21"/>
          <w:highlight w:val="none"/>
        </w:rPr>
      </w:pPr>
    </w:p>
    <w:p>
      <w:pPr>
        <w:spacing w:line="312" w:lineRule="auto"/>
        <w:jc w:val="center"/>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注：附信用中国网站（www.creditchina.gov.cn）、中国政府采购网（www.ccgp.gov.cn）查询结果截图。</w:t>
      </w:r>
    </w:p>
    <w:p>
      <w:pPr>
        <w:spacing w:line="312" w:lineRule="auto"/>
        <w:jc w:val="center"/>
        <w:rPr>
          <w:rStyle w:val="30"/>
          <w:rFonts w:hint="eastAsia" w:ascii="仿宋_GB2312" w:hAnsi="仿宋_GB2312" w:eastAsia="仿宋_GB2312" w:cs="仿宋_GB2312"/>
          <w:color w:val="auto"/>
          <w:sz w:val="28"/>
          <w:szCs w:val="28"/>
          <w:highlight w:val="none"/>
        </w:rPr>
      </w:pPr>
    </w:p>
    <w:p>
      <w:pPr>
        <w:spacing w:line="312" w:lineRule="auto"/>
        <w:jc w:val="center"/>
        <w:rPr>
          <w:rStyle w:val="30"/>
          <w:rFonts w:hint="eastAsia" w:ascii="仿宋_GB2312" w:hAnsi="仿宋_GB2312" w:eastAsia="仿宋_GB2312" w:cs="仿宋_GB2312"/>
          <w:color w:val="auto"/>
          <w:sz w:val="28"/>
          <w:szCs w:val="28"/>
          <w:highlight w:val="none"/>
        </w:rPr>
      </w:pPr>
    </w:p>
    <w:p>
      <w:pPr>
        <w:spacing w:line="312" w:lineRule="auto"/>
        <w:jc w:val="center"/>
        <w:rPr>
          <w:rStyle w:val="30"/>
          <w:rFonts w:hint="eastAsia" w:ascii="仿宋_GB2312" w:hAnsi="仿宋_GB2312" w:eastAsia="仿宋_GB2312" w:cs="仿宋_GB2312"/>
          <w:color w:val="auto"/>
          <w:sz w:val="28"/>
          <w:szCs w:val="28"/>
          <w:highlight w:val="none"/>
        </w:rPr>
      </w:pPr>
    </w:p>
    <w:p>
      <w:pPr>
        <w:spacing w:line="312" w:lineRule="auto"/>
        <w:jc w:val="center"/>
        <w:rPr>
          <w:rStyle w:val="30"/>
          <w:rFonts w:hint="eastAsia" w:ascii="仿宋_GB2312" w:hAnsi="仿宋_GB2312" w:eastAsia="仿宋_GB2312" w:cs="仿宋_GB2312"/>
          <w:color w:val="auto"/>
          <w:sz w:val="28"/>
          <w:szCs w:val="28"/>
          <w:highlight w:val="none"/>
        </w:rPr>
      </w:pPr>
    </w:p>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法定代表人授权书</w:t>
      </w:r>
    </w:p>
    <w:p>
      <w:pPr>
        <w:spacing w:before="240" w:beforeLines="100"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衢州市中心血站</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（投标人全称）法定代表人授权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（全权代表姓名）为全权代表，参加贵方组织的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项目（项目编号：</w:t>
      </w:r>
      <w:r>
        <w:rPr>
          <w:rFonts w:hint="eastAsia" w:ascii="宋体" w:hAnsi="宋体" w:cs="宋体"/>
          <w:color w:val="auto"/>
          <w:szCs w:val="21"/>
          <w:highlight w:val="none"/>
          <w:lang w:eastAsia="zh-CN"/>
        </w:rPr>
        <w:t>ZJCT-Z20250002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，并全权处理采购活动中的一切事宜。</w:t>
      </w:r>
    </w:p>
    <w:p>
      <w:pPr>
        <w:pStyle w:val="29"/>
        <w:rPr>
          <w:rFonts w:hint="eastAsia" w:ascii="宋体" w:hAnsi="宋体" w:eastAsia="宋体" w:cs="宋体"/>
          <w:color w:val="auto"/>
          <w:highlight w:val="none"/>
        </w:rPr>
      </w:pPr>
    </w:p>
    <w:p>
      <w:pPr>
        <w:pStyle w:val="29"/>
        <w:rPr>
          <w:rFonts w:hint="eastAsia" w:ascii="宋体" w:hAnsi="宋体" w:eastAsia="宋体" w:cs="宋体"/>
          <w:color w:val="auto"/>
          <w:highlight w:val="none"/>
        </w:rPr>
      </w:pPr>
    </w:p>
    <w:p>
      <w:pPr>
        <w:wordWrap w:val="0"/>
        <w:spacing w:before="120" w:beforeLines="50" w:after="120" w:afterLines="50"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法定代表人签字或盖章：               </w:t>
      </w:r>
    </w:p>
    <w:p>
      <w:pPr>
        <w:wordWrap w:val="0"/>
        <w:spacing w:before="120" w:beforeLines="50" w:after="120" w:afterLines="50"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val="en-US" w:eastAsia="zh-CN"/>
        </w:rPr>
        <w:t>盖</w:t>
      </w:r>
      <w:r>
        <w:rPr>
          <w:rFonts w:hint="eastAsia" w:ascii="宋体" w:hAnsi="宋体" w:eastAsia="宋体" w:cs="宋体"/>
          <w:color w:val="auto"/>
          <w:szCs w:val="21"/>
          <w:highlight w:val="none"/>
        </w:rPr>
        <w:t xml:space="preserve">章）：               </w:t>
      </w:r>
    </w:p>
    <w:p>
      <w:pPr>
        <w:wordWrap w:val="0"/>
        <w:spacing w:before="120" w:beforeLines="50" w:after="120" w:afterLines="50"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授权代表人姓名：             性别：</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                       职称：</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传真：</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spacing w:line="312" w:lineRule="auto"/>
        <w:jc w:val="center"/>
        <w:rPr>
          <w:rFonts w:hint="eastAsia" w:ascii="宋体" w:hAnsi="宋体" w:eastAsia="宋体" w:cs="宋体"/>
          <w:b/>
          <w:color w:val="auto"/>
          <w:szCs w:val="21"/>
          <w:highlight w:val="none"/>
        </w:rPr>
      </w:pPr>
    </w:p>
    <w:p>
      <w:pPr>
        <w:spacing w:line="312" w:lineRule="auto"/>
        <w:jc w:val="center"/>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2</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法定代表人身份证明</w:t>
      </w:r>
    </w:p>
    <w:p>
      <w:pPr>
        <w:pStyle w:val="29"/>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    别：</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    务：</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12" w:lineRule="auto"/>
        <w:rPr>
          <w:rFonts w:hint="eastAsia" w:ascii="宋体" w:hAnsi="宋体" w:eastAsia="宋体" w:cs="宋体"/>
          <w:color w:val="auto"/>
          <w:szCs w:val="21"/>
          <w:highlight w:val="none"/>
        </w:rPr>
      </w:pPr>
    </w:p>
    <w:p>
      <w:pPr>
        <w:spacing w:line="312" w:lineRule="auto"/>
        <w:rPr>
          <w:rFonts w:hint="eastAsia" w:ascii="宋体" w:hAnsi="宋体" w:eastAsia="宋体" w:cs="宋体"/>
          <w:color w:val="auto"/>
          <w:szCs w:val="21"/>
          <w:highlight w:val="none"/>
        </w:rPr>
      </w:pPr>
    </w:p>
    <w:p>
      <w:pPr>
        <w:spacing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autoSpaceDE w:val="0"/>
        <w:autoSpaceDN w:val="0"/>
        <w:adjustRightInd w:val="0"/>
        <w:spacing w:line="360" w:lineRule="auto"/>
        <w:ind w:firstLine="4464" w:firstLineChars="21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rPr>
        <w:br w:type="page"/>
      </w:r>
    </w:p>
    <w:p>
      <w:pPr>
        <w:pStyle w:val="2"/>
        <w:keepNext w:val="0"/>
        <w:keepLines w:val="0"/>
        <w:pageBreakBefore w:val="0"/>
        <w:kinsoku/>
        <w:overflowPunct/>
        <w:topLinePunct w:val="0"/>
        <w:bidi w:val="0"/>
        <w:spacing w:line="312" w:lineRule="auto"/>
        <w:ind w:left="0" w:leftChars="0" w:firstLine="11466" w:firstLineChars="1904"/>
        <w:textAlignment w:val="auto"/>
        <w:rPr>
          <w:rFonts w:hint="eastAsia" w:ascii="宋体" w:hAnsi="宋体" w:cs="宋体"/>
          <w:color w:val="auto"/>
          <w:szCs w:val="21"/>
          <w:highlight w:val="none"/>
        </w:rPr>
        <w:sectPr>
          <w:pgSz w:w="11906" w:h="16838"/>
          <w:pgMar w:top="1389" w:right="1417" w:bottom="1389" w:left="1134" w:header="851" w:footer="992" w:gutter="283"/>
          <w:pgNumType w:fmt="decimal"/>
          <w:cols w:space="720" w:num="1"/>
          <w:docGrid w:linePitch="312" w:charSpace="0"/>
        </w:sectPr>
      </w:pPr>
      <w:bookmarkStart w:id="123" w:name="_Toc15630533"/>
    </w:p>
    <w:p>
      <w:pPr>
        <w:spacing w:after="240" w:afterLines="100"/>
        <w:jc w:val="center"/>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三、商务技术文件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方正小标宋_GBK" w:hAnsi="方正小标宋_GBK" w:eastAsia="方正小标宋_GBK" w:cs="方正小标宋_GBK"/>
          <w:bCs/>
          <w:color w:val="auto"/>
          <w:szCs w:val="21"/>
          <w:highlight w:val="none"/>
        </w:rPr>
      </w:pP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en-US" w:eastAsia="zh-CN"/>
        </w:rPr>
        <w:t xml:space="preserve"> 投标人的类似成功案例的业绩证明文件</w:t>
      </w:r>
    </w:p>
    <w:tbl>
      <w:tblPr>
        <w:tblStyle w:val="22"/>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bl>
    <w:p>
      <w:pPr>
        <w:keepNext w:val="0"/>
        <w:keepLines w:val="0"/>
        <w:pageBreakBefore w:val="0"/>
        <w:widowControl/>
        <w:kinsoku/>
        <w:overflowPunct/>
        <w:topLinePunct w:val="0"/>
        <w:bidi w:val="0"/>
        <w:spacing w:line="312" w:lineRule="auto"/>
        <w:textAlignment w:val="auto"/>
        <w:rPr>
          <w:rFonts w:hint="eastAsia" w:ascii="宋体"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投标人（盖章）：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default" w:ascii="宋体" w:hAnsi="宋体" w:cs="宋体"/>
          <w:color w:val="auto"/>
          <w:szCs w:val="21"/>
          <w:highlight w:val="none"/>
        </w:rPr>
        <w:t xml:space="preserve"> </w:t>
      </w:r>
      <w:r>
        <w:rPr>
          <w:rFonts w:hint="eastAsia" w:ascii="宋体" w:hAnsi="宋体" w:cs="宋体"/>
          <w:color w:val="auto"/>
          <w:szCs w:val="21"/>
          <w:highlight w:val="none"/>
        </w:rPr>
        <w:t xml:space="preserve">                     </w:t>
      </w:r>
    </w:p>
    <w:p>
      <w:pPr>
        <w:pStyle w:val="31"/>
        <w:keepNext w:val="0"/>
        <w:keepLines w:val="0"/>
        <w:pageBreakBefore w:val="0"/>
        <w:kinsoku/>
        <w:wordWrap w:val="0"/>
        <w:overflowPunct/>
        <w:topLinePunct w:val="0"/>
        <w:bidi w:val="0"/>
        <w:spacing w:line="312" w:lineRule="auto"/>
        <w:ind w:firstLine="0" w:firstLineChars="0"/>
        <w:jc w:val="right"/>
        <w:textAlignment w:val="auto"/>
        <w:rPr>
          <w:rFonts w:hint="eastAsia" w:ascii="宋体" w:eastAsia="宋体" w:cs="宋体"/>
          <w:color w:val="auto"/>
          <w:sz w:val="21"/>
          <w:szCs w:val="21"/>
          <w:highlight w:val="none"/>
        </w:rPr>
        <w:sectPr>
          <w:pgSz w:w="16838" w:h="11906" w:orient="landscape"/>
          <w:pgMar w:top="1134" w:right="1389" w:bottom="1417" w:left="1389" w:header="851" w:footer="992" w:gutter="283"/>
          <w:pgNumType w:fmt="decimal"/>
          <w:cols w:space="720" w:num="1"/>
          <w:docGrid w:linePitch="312" w:charSpace="0"/>
        </w:sectPr>
      </w:pPr>
      <w:r>
        <w:rPr>
          <w:rFonts w:hint="eastAsia" w:asci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技术偏离说明表</w:t>
      </w:r>
    </w:p>
    <w:tbl>
      <w:tblPr>
        <w:tblStyle w:val="22"/>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610"/>
        <w:gridCol w:w="2141"/>
        <w:gridCol w:w="207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1" w:type="dxa"/>
            <w:noWrap w:val="0"/>
            <w:vAlign w:val="center"/>
          </w:tcPr>
          <w:p>
            <w:pPr>
              <w:keepNext w:val="0"/>
              <w:keepLines w:val="0"/>
              <w:pageBreakBefore w:val="0"/>
              <w:kinsoku/>
              <w:overflowPunct/>
              <w:topLinePunct w:val="0"/>
              <w:bidi w:val="0"/>
              <w:snapToGrid w:val="0"/>
              <w:spacing w:line="312" w:lineRule="auto"/>
              <w:ind w:firstLine="105" w:firstLineChars="50"/>
              <w:textAlignment w:val="auto"/>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序号</w:t>
            </w:r>
          </w:p>
        </w:tc>
        <w:tc>
          <w:tcPr>
            <w:tcW w:w="2610"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招标文件</w:t>
            </w:r>
          </w:p>
          <w:p>
            <w:pPr>
              <w:keepNext w:val="0"/>
              <w:keepLines w:val="0"/>
              <w:pageBreakBefore w:val="0"/>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规范要求</w:t>
            </w:r>
          </w:p>
        </w:tc>
        <w:tc>
          <w:tcPr>
            <w:tcW w:w="21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投标文件</w:t>
            </w:r>
          </w:p>
          <w:p>
            <w:pPr>
              <w:keepNext w:val="0"/>
              <w:keepLines w:val="0"/>
              <w:pageBreakBefore w:val="0"/>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对应规范</w:t>
            </w:r>
          </w:p>
        </w:tc>
        <w:tc>
          <w:tcPr>
            <w:tcW w:w="2073"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偏离情况</w:t>
            </w:r>
          </w:p>
        </w:tc>
        <w:tc>
          <w:tcPr>
            <w:tcW w:w="141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610"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1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073"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141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610"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1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073"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141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610"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1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073"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141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610"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1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073"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141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610"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14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2073"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c>
          <w:tcPr>
            <w:tcW w:w="1411" w:type="dxa"/>
            <w:noWrap w:val="0"/>
            <w:vAlign w:val="center"/>
          </w:tcPr>
          <w:p>
            <w:pPr>
              <w:keepNext w:val="0"/>
              <w:keepLines w:val="0"/>
              <w:pageBreakBefore w:val="0"/>
              <w:kinsoku/>
              <w:overflowPunct/>
              <w:topLinePunct w:val="0"/>
              <w:bidi w:val="0"/>
              <w:spacing w:line="312" w:lineRule="auto"/>
              <w:jc w:val="center"/>
              <w:textAlignment w:val="auto"/>
              <w:rPr>
                <w:rFonts w:hint="eastAsia" w:ascii="宋体" w:hAnsi="宋体" w:cs="宋体"/>
                <w:color w:val="auto"/>
                <w:szCs w:val="21"/>
                <w:highlight w:val="none"/>
              </w:rPr>
            </w:pPr>
          </w:p>
        </w:tc>
      </w:tr>
    </w:tbl>
    <w:p>
      <w:pPr>
        <w:pStyle w:val="12"/>
        <w:keepNext w:val="0"/>
        <w:keepLines w:val="0"/>
        <w:pageBreakBefore w:val="0"/>
        <w:kinsoku/>
        <w:overflowPunct/>
        <w:topLinePunct w:val="0"/>
        <w:bidi w:val="0"/>
        <w:spacing w:line="312" w:lineRule="auto"/>
        <w:textAlignment w:val="auto"/>
        <w:rPr>
          <w:rFonts w:hint="eastAsia" w:hAnsi="宋体" w:cs="宋体"/>
          <w:color w:val="auto"/>
          <w:szCs w:val="21"/>
          <w:highlight w:val="none"/>
        </w:rPr>
      </w:pPr>
      <w:r>
        <w:rPr>
          <w:rFonts w:hint="eastAsia" w:hAnsi="宋体" w:cs="宋体"/>
          <w:color w:val="auto"/>
          <w:szCs w:val="21"/>
          <w:highlight w:val="none"/>
        </w:rPr>
        <w:t>注：</w:t>
      </w:r>
    </w:p>
    <w:p>
      <w:pPr>
        <w:pStyle w:val="12"/>
        <w:keepNext w:val="0"/>
        <w:keepLines w:val="0"/>
        <w:pageBreakBefore w:val="0"/>
        <w:kinsoku/>
        <w:overflowPunct/>
        <w:topLinePunct w:val="0"/>
        <w:bidi w:val="0"/>
        <w:spacing w:line="312" w:lineRule="auto"/>
        <w:ind w:firstLine="420" w:firstLineChars="200"/>
        <w:textAlignment w:val="auto"/>
        <w:rPr>
          <w:rFonts w:hint="eastAsia" w:hAnsi="宋体" w:eastAsia="宋体" w:cs="宋体"/>
          <w:color w:val="auto"/>
          <w:szCs w:val="21"/>
          <w:highlight w:val="none"/>
          <w:lang w:eastAsia="zh-CN"/>
        </w:rPr>
      </w:pPr>
      <w:r>
        <w:rPr>
          <w:rFonts w:hint="eastAsia" w:hAnsi="宋体" w:cs="宋体"/>
          <w:color w:val="auto"/>
          <w:szCs w:val="21"/>
          <w:highlight w:val="none"/>
        </w:rPr>
        <w:t>1.与“技术参数及要求部分”逐条对应</w:t>
      </w:r>
      <w:r>
        <w:rPr>
          <w:rFonts w:hint="eastAsia" w:hAnsi="宋体" w:cs="宋体"/>
          <w:color w:val="auto"/>
          <w:szCs w:val="21"/>
          <w:highlight w:val="none"/>
          <w:lang w:eastAsia="zh-CN"/>
        </w:rPr>
        <w:t>；</w:t>
      </w:r>
    </w:p>
    <w:p>
      <w:pPr>
        <w:pStyle w:val="12"/>
        <w:keepNext w:val="0"/>
        <w:keepLines w:val="0"/>
        <w:pageBreakBefore w:val="0"/>
        <w:kinsoku/>
        <w:overflowPunct/>
        <w:topLinePunct w:val="0"/>
        <w:bidi w:val="0"/>
        <w:spacing w:line="312" w:lineRule="auto"/>
        <w:ind w:firstLine="420" w:firstLineChars="200"/>
        <w:textAlignment w:val="auto"/>
        <w:rPr>
          <w:rFonts w:hint="eastAsia" w:hAnsi="宋体" w:eastAsia="宋体" w:cs="宋体"/>
          <w:color w:val="auto"/>
          <w:szCs w:val="21"/>
          <w:highlight w:val="none"/>
          <w:lang w:eastAsia="zh-CN"/>
        </w:rPr>
      </w:pPr>
      <w:r>
        <w:rPr>
          <w:rFonts w:hint="eastAsia" w:hAnsi="宋体" w:cs="宋体"/>
          <w:color w:val="auto"/>
          <w:szCs w:val="21"/>
          <w:highlight w:val="none"/>
        </w:rPr>
        <w:t>2.“偏离情况”栏填写：“正偏离”或“负偏离”或“符合”</w:t>
      </w:r>
      <w:r>
        <w:rPr>
          <w:rFonts w:hint="eastAsia" w:hAnsi="宋体" w:cs="宋体"/>
          <w:color w:val="auto"/>
          <w:szCs w:val="21"/>
          <w:highlight w:val="none"/>
          <w:lang w:eastAsia="zh-CN"/>
        </w:rPr>
        <w:t>；</w:t>
      </w:r>
    </w:p>
    <w:p>
      <w:pPr>
        <w:pStyle w:val="12"/>
        <w:keepNext w:val="0"/>
        <w:keepLines w:val="0"/>
        <w:pageBreakBefore w:val="0"/>
        <w:kinsoku/>
        <w:overflowPunct/>
        <w:topLinePunct w:val="0"/>
        <w:bidi w:val="0"/>
        <w:spacing w:line="312" w:lineRule="auto"/>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3.如有免费提供的增值功能请在本表中说明。</w:t>
      </w:r>
    </w:p>
    <w:p>
      <w:pPr>
        <w:keepNext w:val="0"/>
        <w:keepLines w:val="0"/>
        <w:pageBreakBefore w:val="0"/>
        <w:kinsoku/>
        <w:overflowPunct/>
        <w:topLinePunct w:val="0"/>
        <w:bidi w:val="0"/>
        <w:adjustRightInd w:val="0"/>
        <w:snapToGrid w:val="0"/>
        <w:spacing w:line="312" w:lineRule="auto"/>
        <w:ind w:left="482" w:hanging="482"/>
        <w:jc w:val="left"/>
        <w:textAlignment w:val="auto"/>
        <w:rPr>
          <w:rFonts w:hint="eastAsia" w:ascii="宋体" w:hAnsi="宋体" w:cs="宋体"/>
          <w:color w:val="auto"/>
          <w:szCs w:val="21"/>
          <w:highlight w:val="none"/>
        </w:rPr>
      </w:pPr>
    </w:p>
    <w:p>
      <w:pPr>
        <w:pStyle w:val="2"/>
        <w:keepNext w:val="0"/>
        <w:keepLines w:val="0"/>
        <w:pageBreakBefore w:val="0"/>
        <w:kinsoku/>
        <w:overflowPunct/>
        <w:topLinePunct w:val="0"/>
        <w:bidi w:val="0"/>
        <w:spacing w:line="312" w:lineRule="auto"/>
        <w:textAlignment w:val="auto"/>
        <w:rPr>
          <w:rFonts w:hint="eastAsia"/>
          <w:color w:val="auto"/>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投标人（盖章）：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pStyle w:val="12"/>
        <w:spacing w:line="312" w:lineRule="auto"/>
        <w:ind w:firstLine="5880" w:firstLineChars="2800"/>
        <w:rPr>
          <w:rFonts w:hint="eastAsia" w:ascii="宋体" w:hAnsi="宋体" w:eastAsia="宋体" w:cs="宋体"/>
          <w:b/>
          <w:bCs/>
          <w:color w:val="auto"/>
          <w:szCs w:val="21"/>
          <w:highlight w:val="none"/>
        </w:rPr>
      </w:pP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p>
    <w:p>
      <w:pPr>
        <w:pStyle w:val="12"/>
        <w:spacing w:line="312" w:lineRule="auto"/>
        <w:ind w:firstLine="630" w:firstLineChars="300"/>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pStyle w:val="3"/>
        <w:wordWrap/>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四、报价文件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 开标一览表</w:t>
      </w:r>
    </w:p>
    <w:p>
      <w:pPr>
        <w:pStyle w:val="12"/>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pStyle w:val="12"/>
        <w:keepNext w:val="0"/>
        <w:keepLines w:val="0"/>
        <w:pageBreakBefore w:val="0"/>
        <w:kinsoku/>
        <w:overflowPunct/>
        <w:topLinePunct w:val="0"/>
        <w:bidi w:val="0"/>
        <w:spacing w:line="312" w:lineRule="auto"/>
        <w:ind w:firstLine="420" w:firstLineChars="200"/>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项目名称：</w:t>
      </w:r>
    </w:p>
    <w:p>
      <w:pPr>
        <w:pStyle w:val="1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ascii="黑体" w:hAnsi="黑体" w:eastAsia="黑体" w:cs="黑体"/>
          <w:b w:val="0"/>
          <w:bCs/>
          <w:color w:val="auto"/>
          <w:szCs w:val="21"/>
          <w:highlight w:val="none"/>
        </w:rPr>
        <w:t>招标编号：</w:t>
      </w:r>
      <w:r>
        <w:rPr>
          <w:rFonts w:hint="eastAsia" w:hAnsi="宋体" w:cs="宋体"/>
          <w:b w:val="0"/>
          <w:bCs/>
          <w:color w:val="auto"/>
          <w:szCs w:val="21"/>
          <w:highlight w:val="none"/>
        </w:rPr>
        <w:t xml:space="preserve">                                                            单位：元</w:t>
      </w:r>
    </w:p>
    <w:tbl>
      <w:tblPr>
        <w:tblStyle w:val="22"/>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8" w:hRule="atLeast"/>
        </w:trPr>
        <w:tc>
          <w:tcPr>
            <w:tcW w:w="864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left="-2" w:leftChars="-1"/>
              <w:rPr>
                <w:rFonts w:hint="eastAsia" w:ascii="宋体" w:hAnsi="宋体"/>
                <w:color w:val="auto"/>
                <w:sz w:val="21"/>
                <w:szCs w:val="21"/>
                <w:highlight w:val="none"/>
              </w:rPr>
            </w:pPr>
            <w:r>
              <w:rPr>
                <w:rFonts w:ascii="宋体" w:hAnsi="宋体"/>
                <w:color w:val="auto"/>
                <w:sz w:val="21"/>
                <w:szCs w:val="21"/>
                <w:highlight w:val="none"/>
              </w:rPr>
              <w:t>说明：</w:t>
            </w:r>
          </w:p>
          <w:p>
            <w:pPr>
              <w:spacing w:line="360" w:lineRule="auto"/>
              <w:ind w:left="-2" w:leftChars="-1" w:firstLine="420" w:firstLineChars="200"/>
              <w:rPr>
                <w:rFonts w:ascii="宋体" w:hAnsi="宋体"/>
                <w:color w:val="auto"/>
                <w:sz w:val="21"/>
                <w:szCs w:val="21"/>
                <w:highlight w:val="none"/>
              </w:rPr>
            </w:pPr>
            <w:r>
              <w:rPr>
                <w:rFonts w:hint="eastAsia" w:ascii="宋体" w:hAnsi="宋体"/>
                <w:color w:val="auto"/>
                <w:sz w:val="21"/>
                <w:szCs w:val="21"/>
                <w:highlight w:val="none"/>
              </w:rPr>
              <w:t>有关本项目实施所需的购置费、运输费、安装调试费、售后服务及维护费、税金等所涉及的一切费用均计入报价。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名称</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内容</w:t>
            </w:r>
          </w:p>
        </w:tc>
        <w:tc>
          <w:tcPr>
            <w:tcW w:w="144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2520"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投标</w:t>
            </w:r>
            <w:r>
              <w:rPr>
                <w:rFonts w:hint="eastAsia" w:ascii="宋体" w:hAnsi="宋体"/>
                <w:color w:val="auto"/>
                <w:sz w:val="21"/>
                <w:szCs w:val="21"/>
                <w:highlight w:val="none"/>
                <w:lang w:val="en-US" w:eastAsia="zh-CN"/>
              </w:rPr>
              <w:t>报</w:t>
            </w:r>
            <w:r>
              <w:rPr>
                <w:rFonts w:hint="eastAsia" w:ascii="宋体" w:hAnsi="宋体"/>
                <w:color w:val="auto"/>
                <w:sz w:val="21"/>
                <w:szCs w:val="21"/>
                <w:highlight w:val="none"/>
              </w:rPr>
              <w:t>价（元</w:t>
            </w:r>
            <w:r>
              <w:rPr>
                <w:rFonts w:hint="eastAsia" w:ascii="宋体" w:hAnsi="宋体"/>
                <w:color w:val="auto"/>
                <w:sz w:val="21"/>
                <w:szCs w:val="21"/>
                <w:highlight w:val="none"/>
                <w:lang w:val="en-US" w:eastAsia="zh-CN"/>
              </w:rPr>
              <w:t>/套</w:t>
            </w:r>
            <w:r>
              <w:rPr>
                <w:rFonts w:hint="eastAsia" w:ascii="宋体" w:hAnsi="宋体"/>
                <w:color w:val="auto"/>
                <w:sz w:val="21"/>
                <w:szCs w:val="21"/>
                <w:highlight w:val="none"/>
              </w:rPr>
              <w:t>）</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大写：</w:t>
            </w:r>
          </w:p>
        </w:tc>
        <w:tc>
          <w:tcPr>
            <w:tcW w:w="1440" w:type="dxa"/>
            <w:vMerge w:val="restart"/>
            <w:tcBorders>
              <w:top w:val="single" w:color="auto" w:sz="4" w:space="0"/>
              <w:left w:val="single" w:color="auto" w:sz="8" w:space="0"/>
              <w:right w:val="single" w:color="auto" w:sz="4" w:space="0"/>
            </w:tcBorders>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olor w:val="auto"/>
                <w:sz w:val="21"/>
                <w:szCs w:val="21"/>
                <w:highlight w:val="none"/>
              </w:rPr>
            </w:pPr>
          </w:p>
        </w:tc>
        <w:tc>
          <w:tcPr>
            <w:tcW w:w="252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小写：</w:t>
            </w:r>
          </w:p>
        </w:tc>
        <w:tc>
          <w:tcPr>
            <w:tcW w:w="1440" w:type="dxa"/>
            <w:vMerge w:val="continue"/>
            <w:tcBorders>
              <w:left w:val="single" w:color="auto" w:sz="8" w:space="0"/>
              <w:bottom w:val="single" w:color="auto" w:sz="4" w:space="0"/>
              <w:right w:val="single" w:color="auto" w:sz="4" w:space="0"/>
            </w:tcBorders>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noWrap w:val="0"/>
            <w:vAlign w:val="center"/>
          </w:tcPr>
          <w:p>
            <w:pPr>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备注</w:t>
            </w:r>
          </w:p>
        </w:tc>
        <w:tc>
          <w:tcPr>
            <w:tcW w:w="3600" w:type="dxa"/>
            <w:tcBorders>
              <w:top w:val="single" w:color="auto" w:sz="4" w:space="0"/>
              <w:left w:val="single" w:color="auto" w:sz="4" w:space="0"/>
              <w:right w:val="single" w:color="auto" w:sz="8" w:space="0"/>
            </w:tcBorders>
            <w:noWrap w:val="0"/>
            <w:vAlign w:val="center"/>
          </w:tcPr>
          <w:p>
            <w:pPr>
              <w:rPr>
                <w:rFonts w:hint="eastAsia" w:ascii="宋体" w:hAnsi="宋体"/>
                <w:color w:val="auto"/>
                <w:sz w:val="21"/>
                <w:szCs w:val="21"/>
                <w:highlight w:val="none"/>
              </w:rPr>
            </w:pPr>
          </w:p>
        </w:tc>
        <w:tc>
          <w:tcPr>
            <w:tcW w:w="1440" w:type="dxa"/>
            <w:tcBorders>
              <w:top w:val="single" w:color="auto" w:sz="4" w:space="0"/>
              <w:left w:val="single" w:color="auto" w:sz="8" w:space="0"/>
              <w:right w:val="single" w:color="auto" w:sz="4" w:space="0"/>
            </w:tcBorders>
            <w:noWrap w:val="0"/>
            <w:vAlign w:val="center"/>
          </w:tcPr>
          <w:p>
            <w:pPr>
              <w:rPr>
                <w:rFonts w:hint="eastAsia"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pPr>
        <w:pStyle w:val="12"/>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pStyle w:val="12"/>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投标人（盖章）：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sectPr>
          <w:pgSz w:w="11906" w:h="16838"/>
          <w:pgMar w:top="1389" w:right="1417" w:bottom="1389" w:left="1134" w:header="851" w:footer="992" w:gutter="283"/>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 投标廉洁承诺书</w:t>
      </w:r>
      <w:bookmarkEnd w:id="123"/>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2.向评标专家行贿，以不正当手段谋取中标。</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29"/>
        <w:rPr>
          <w:rFonts w:hint="eastAsia" w:ascii="宋体" w:hAnsi="宋体" w:eastAsia="宋体" w:cs="宋体"/>
          <w:color w:val="auto"/>
          <w:szCs w:val="21"/>
          <w:highlight w:val="none"/>
        </w:rPr>
      </w:pPr>
    </w:p>
    <w:p>
      <w:pPr>
        <w:pStyle w:val="29"/>
        <w:rPr>
          <w:rFonts w:hint="eastAsia" w:ascii="宋体" w:hAnsi="宋体" w:eastAsia="宋体" w:cs="宋体"/>
          <w:color w:val="auto"/>
          <w:szCs w:val="21"/>
          <w:highlight w:val="none"/>
        </w:rPr>
      </w:pPr>
    </w:p>
    <w:p>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pPr>
        <w:wordWrap w:val="0"/>
        <w:adjustRightInd w:val="0"/>
        <w:snapToGrid w:val="0"/>
        <w:spacing w:line="700" w:lineRule="exact"/>
        <w:ind w:firstLine="3780" w:firstLineChars="18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法定代表人或授权代表人（签字）：                  </w:t>
      </w:r>
    </w:p>
    <w:p>
      <w:pPr>
        <w:wordWrap w:val="0"/>
        <w:adjustRightInd w:val="0"/>
        <w:snapToGrid w:val="0"/>
        <w:spacing w:line="700" w:lineRule="exact"/>
        <w:ind w:left="481" w:leftChars="229" w:firstLine="3517" w:firstLineChars="167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本次投标项目：                  </w:t>
      </w:r>
    </w:p>
    <w:p>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p>
    <w:p>
      <w:pPr>
        <w:adjustRightInd w:val="0"/>
        <w:snapToGrid w:val="0"/>
        <w:spacing w:line="312" w:lineRule="auto"/>
        <w:ind w:firstLine="420" w:firstLineChars="200"/>
        <w:rPr>
          <w:rFonts w:hint="eastAsia" w:ascii="宋体" w:hAnsi="宋体" w:eastAsia="宋体" w:cs="宋体"/>
          <w:color w:val="auto"/>
          <w:szCs w:val="21"/>
          <w:highlight w:val="none"/>
        </w:rPr>
      </w:pPr>
    </w:p>
    <w:p>
      <w:pPr>
        <w:snapToGrid w:val="0"/>
        <w:spacing w:line="312" w:lineRule="auto"/>
        <w:jc w:val="center"/>
        <w:outlineLvl w:val="0"/>
        <w:rPr>
          <w:rFonts w:hint="eastAsia" w:ascii="宋体" w:hAnsi="宋体" w:eastAsia="宋体" w:cs="宋体"/>
          <w:bCs/>
          <w:color w:val="auto"/>
          <w:szCs w:val="21"/>
          <w:highlight w:val="none"/>
          <w:lang w:val="zh-CN"/>
        </w:rPr>
      </w:pPr>
      <w:bookmarkStart w:id="124" w:name="_Toc354401539"/>
      <w:bookmarkStart w:id="125" w:name="_Toc350256317"/>
      <w:bookmarkStart w:id="126" w:name="_Toc322352986"/>
      <w:bookmarkStart w:id="127" w:name="_Toc316887628"/>
      <w:bookmarkStart w:id="128" w:name="_Toc23244"/>
      <w:bookmarkStart w:id="129" w:name="_Toc8789"/>
    </w:p>
    <w:p>
      <w:pPr>
        <w:pStyle w:val="29"/>
        <w:rPr>
          <w:rFonts w:hint="eastAsia" w:ascii="宋体" w:hAnsi="宋体" w:eastAsia="宋体" w:cs="宋体"/>
          <w:color w:val="auto"/>
          <w:highlight w:val="none"/>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pStyle w:val="2"/>
        <w:rPr>
          <w:rFonts w:hint="eastAsia" w:ascii="宋体" w:hAnsi="宋体" w:eastAsia="宋体" w:cs="宋体"/>
          <w:color w:val="auto"/>
          <w:szCs w:val="21"/>
          <w:highlight w:val="none"/>
          <w:lang w:val="zh-CN"/>
        </w:rPr>
      </w:pPr>
    </w:p>
    <w:p>
      <w:pPr>
        <w:snapToGrid w:val="0"/>
        <w:spacing w:line="312" w:lineRule="auto"/>
        <w:outlineLvl w:val="0"/>
        <w:rPr>
          <w:rFonts w:hint="eastAsia" w:ascii="宋体" w:hAnsi="宋体" w:eastAsia="宋体" w:cs="宋体"/>
          <w:bCs/>
          <w:color w:val="auto"/>
          <w:szCs w:val="21"/>
          <w:highlight w:val="none"/>
          <w:lang w:val="zh-CN"/>
        </w:rPr>
      </w:pPr>
    </w:p>
    <w:p>
      <w:pPr>
        <w:pStyle w:val="27"/>
        <w:rPr>
          <w:rFonts w:hint="eastAsia"/>
          <w:color w:val="auto"/>
          <w:highlight w:val="none"/>
          <w:lang w:val="zh-CN"/>
        </w:rPr>
      </w:pPr>
    </w:p>
    <w:p>
      <w:pPr>
        <w:pStyle w:val="27"/>
        <w:rPr>
          <w:rFonts w:hint="eastAsia" w:ascii="宋体" w:hAnsi="宋体" w:eastAsia="宋体" w:cs="宋体"/>
          <w:bCs/>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val="zh-CN"/>
        </w:rPr>
        <w:t>第六章</w:t>
      </w:r>
      <w:r>
        <w:rPr>
          <w:rFonts w:hint="eastAsia" w:ascii="宋体" w:hAnsi="宋体" w:eastAsia="宋体" w:cs="宋体"/>
          <w:b/>
          <w:bCs w:val="0"/>
          <w:color w:val="auto"/>
          <w:szCs w:val="21"/>
          <w:highlight w:val="none"/>
        </w:rPr>
        <w:t xml:space="preserve">  </w:t>
      </w:r>
      <w:r>
        <w:rPr>
          <w:rFonts w:hint="eastAsia" w:ascii="宋体" w:hAnsi="宋体" w:eastAsia="宋体" w:cs="宋体"/>
          <w:b/>
          <w:bCs w:val="0"/>
          <w:color w:val="auto"/>
          <w:szCs w:val="21"/>
          <w:highlight w:val="none"/>
          <w:lang w:val="zh-CN"/>
        </w:rPr>
        <w:t>评标办法及开标程序</w:t>
      </w:r>
      <w:bookmarkEnd w:id="124"/>
      <w:bookmarkEnd w:id="125"/>
      <w:bookmarkEnd w:id="126"/>
      <w:bookmarkEnd w:id="127"/>
      <w:bookmarkEnd w:id="128"/>
      <w:bookmarkEnd w:id="129"/>
    </w:p>
    <w:p>
      <w:pPr>
        <w:keepNext w:val="0"/>
        <w:keepLines w:val="0"/>
        <w:pageBreakBefore w:val="0"/>
        <w:kinsoku/>
        <w:wordWrap/>
        <w:overflowPunct/>
        <w:topLinePunct w:val="0"/>
        <w:autoSpaceDE w:val="0"/>
        <w:autoSpaceDN w:val="0"/>
        <w:bidi w:val="0"/>
        <w:adjustRightInd w:val="0"/>
        <w:snapToGrid w:val="0"/>
        <w:spacing w:line="360" w:lineRule="auto"/>
        <w:ind w:left="425"/>
        <w:textAlignment w:val="auto"/>
        <w:outlineLvl w:val="1"/>
        <w:rPr>
          <w:rFonts w:hint="eastAsia" w:ascii="宋体" w:hAnsi="宋体" w:eastAsia="宋体" w:cs="宋体"/>
          <w:color w:val="auto"/>
          <w:szCs w:val="21"/>
          <w:highlight w:val="none"/>
          <w:lang w:val="zh-CN"/>
        </w:rPr>
      </w:pPr>
      <w:bookmarkStart w:id="130" w:name="_Toc27253"/>
      <w:bookmarkStart w:id="131" w:name="_Toc28916"/>
      <w:r>
        <w:rPr>
          <w:rFonts w:hint="eastAsia" w:ascii="宋体" w:hAnsi="宋体" w:eastAsia="宋体" w:cs="宋体"/>
          <w:color w:val="auto"/>
          <w:szCs w:val="21"/>
          <w:highlight w:val="none"/>
          <w:lang w:val="zh-CN"/>
        </w:rPr>
        <w:t>一、评标委员会的组成</w:t>
      </w:r>
      <w:bookmarkEnd w:id="130"/>
      <w:bookmarkEnd w:id="131"/>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1.评标委员会由5人组成，由采购人依法组建。</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keepNext w:val="0"/>
        <w:keepLines w:val="0"/>
        <w:pageBreakBefore w:val="0"/>
        <w:kinsoku/>
        <w:wordWrap/>
        <w:overflowPunct/>
        <w:topLinePunct w:val="0"/>
        <w:autoSpaceDE w:val="0"/>
        <w:autoSpaceDN w:val="0"/>
        <w:bidi w:val="0"/>
        <w:adjustRightInd w:val="0"/>
        <w:snapToGrid w:val="0"/>
        <w:spacing w:line="360" w:lineRule="auto"/>
        <w:ind w:left="425"/>
        <w:textAlignment w:val="auto"/>
        <w:outlineLvl w:val="1"/>
        <w:rPr>
          <w:rFonts w:hint="eastAsia" w:ascii="宋体" w:hAnsi="宋体" w:eastAsia="宋体" w:cs="宋体"/>
          <w:color w:val="auto"/>
          <w:szCs w:val="21"/>
          <w:highlight w:val="none"/>
          <w:lang w:val="zh-CN"/>
        </w:rPr>
      </w:pPr>
      <w:bookmarkStart w:id="132" w:name="_Toc3720"/>
      <w:bookmarkStart w:id="133" w:name="_Toc7455"/>
      <w:r>
        <w:rPr>
          <w:rFonts w:hint="eastAsia" w:ascii="宋体" w:hAnsi="宋体" w:eastAsia="宋体" w:cs="宋体"/>
          <w:color w:val="auto"/>
          <w:szCs w:val="21"/>
          <w:highlight w:val="none"/>
          <w:lang w:val="zh-CN"/>
        </w:rPr>
        <w:t>二、评标原则</w:t>
      </w:r>
      <w:bookmarkEnd w:id="132"/>
      <w:bookmarkEnd w:id="133"/>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1.投标人得分由技术商务分和报价分合计组成，满分为100分。</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2.技术商务分与报价分合计得分最高者为第一中标候选人，总分相同时，价格低者优先，</w:t>
      </w:r>
      <w:r>
        <w:rPr>
          <w:rFonts w:hint="eastAsia" w:ascii="宋体" w:hAnsi="宋体" w:eastAsia="宋体" w:cs="宋体"/>
          <w:color w:val="auto"/>
          <w:szCs w:val="21"/>
          <w:highlight w:val="none"/>
          <w:lang w:val="zh-CN"/>
        </w:rPr>
        <w:t>若最高总得分与报价均相同时，由采购人当场随机抽签选定第一中标候选人</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4.中标结果经采购人确认并经公示1个工作日无异议，采购代理机构发出《中标通知书》。</w:t>
      </w:r>
    </w:p>
    <w:p>
      <w:pPr>
        <w:keepNext w:val="0"/>
        <w:keepLines w:val="0"/>
        <w:pageBreakBefore w:val="0"/>
        <w:kinsoku/>
        <w:wordWrap/>
        <w:overflowPunct/>
        <w:topLinePunct w:val="0"/>
        <w:autoSpaceDE w:val="0"/>
        <w:autoSpaceDN w:val="0"/>
        <w:bidi w:val="0"/>
        <w:adjustRightInd w:val="0"/>
        <w:snapToGrid w:val="0"/>
        <w:spacing w:line="360" w:lineRule="auto"/>
        <w:ind w:left="425"/>
        <w:textAlignment w:val="auto"/>
        <w:outlineLvl w:val="1"/>
        <w:rPr>
          <w:rFonts w:hint="eastAsia" w:ascii="宋体" w:hAnsi="宋体" w:eastAsia="宋体" w:cs="宋体"/>
          <w:color w:val="auto"/>
          <w:szCs w:val="21"/>
          <w:highlight w:val="none"/>
          <w:lang w:val="zh-CN"/>
        </w:rPr>
      </w:pPr>
      <w:bookmarkStart w:id="134" w:name="_Toc6886"/>
      <w:bookmarkStart w:id="135" w:name="_Toc4702"/>
      <w:r>
        <w:rPr>
          <w:rFonts w:hint="eastAsia" w:ascii="宋体" w:hAnsi="宋体" w:eastAsia="宋体" w:cs="宋体"/>
          <w:color w:val="auto"/>
          <w:szCs w:val="21"/>
          <w:highlight w:val="none"/>
          <w:lang w:val="zh-CN"/>
        </w:rPr>
        <w:t>三、注意事项</w:t>
      </w:r>
      <w:bookmarkEnd w:id="134"/>
      <w:bookmarkEnd w:id="135"/>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keepNext w:val="0"/>
        <w:keepLines w:val="0"/>
        <w:pageBreakBefore w:val="0"/>
        <w:kinsoku/>
        <w:wordWrap/>
        <w:overflowPunct/>
        <w:topLinePunct w:val="0"/>
        <w:autoSpaceDE w:val="0"/>
        <w:autoSpaceDN w:val="0"/>
        <w:bidi w:val="0"/>
        <w:adjustRightInd w:val="0"/>
        <w:snapToGrid w:val="0"/>
        <w:spacing w:line="360" w:lineRule="auto"/>
        <w:ind w:left="425"/>
        <w:textAlignment w:val="auto"/>
        <w:outlineLvl w:val="1"/>
        <w:rPr>
          <w:rFonts w:hint="eastAsia"/>
          <w:color w:val="auto"/>
          <w:highlight w:val="none"/>
        </w:rPr>
      </w:pPr>
      <w:r>
        <w:rPr>
          <w:rFonts w:hint="eastAsia" w:ascii="宋体" w:hAnsi="宋体" w:eastAsia="宋体" w:cs="宋体"/>
          <w:color w:val="auto"/>
          <w:szCs w:val="21"/>
          <w:highlight w:val="none"/>
          <w:lang w:val="zh-CN"/>
        </w:rPr>
        <w:t>四、评分标准</w:t>
      </w:r>
    </w:p>
    <w:tbl>
      <w:tblPr>
        <w:tblStyle w:val="23"/>
        <w:tblW w:w="939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861"/>
        <w:gridCol w:w="81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D6DCE5" w:themeFill="text2" w:themeFillTint="32"/>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bookmarkStart w:id="136" w:name="_Toc13363"/>
            <w:bookmarkStart w:id="137" w:name="_Toc3287"/>
            <w:bookmarkStart w:id="138" w:name="_Toc356371476"/>
            <w:r>
              <w:rPr>
                <w:rFonts w:hint="eastAsia"/>
                <w:color w:val="auto"/>
                <w:sz w:val="21"/>
                <w:szCs w:val="21"/>
                <w:highlight w:val="none"/>
              </w:rPr>
              <w:t>序号</w:t>
            </w:r>
          </w:p>
        </w:tc>
        <w:tc>
          <w:tcPr>
            <w:tcW w:w="6861" w:type="dxa"/>
            <w:shd w:val="clear" w:color="auto" w:fill="D6DCE5" w:themeFill="text2" w:themeFillTint="32"/>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r>
              <w:rPr>
                <w:rFonts w:hint="eastAsia"/>
                <w:color w:val="auto"/>
                <w:sz w:val="21"/>
                <w:szCs w:val="21"/>
                <w:highlight w:val="none"/>
              </w:rPr>
              <w:t>评标标准</w:t>
            </w:r>
          </w:p>
        </w:tc>
        <w:tc>
          <w:tcPr>
            <w:tcW w:w="818" w:type="dxa"/>
            <w:shd w:val="clear" w:color="auto" w:fill="D6DCE5" w:themeFill="text2" w:themeFillTint="32"/>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r>
              <w:rPr>
                <w:rFonts w:hint="eastAsia"/>
                <w:color w:val="auto"/>
                <w:sz w:val="21"/>
                <w:szCs w:val="21"/>
                <w:highlight w:val="none"/>
              </w:rPr>
              <w:t>权重</w:t>
            </w:r>
          </w:p>
        </w:tc>
        <w:tc>
          <w:tcPr>
            <w:tcW w:w="1070" w:type="dxa"/>
            <w:shd w:val="clear" w:color="auto" w:fill="D6DCE5" w:themeFill="text2" w:themeFillTint="32"/>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r>
              <w:rPr>
                <w:rFonts w:hint="eastAsia"/>
                <w:color w:val="auto"/>
                <w:sz w:val="21"/>
                <w:szCs w:val="21"/>
                <w:highlight w:val="none"/>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r>
              <w:rPr>
                <w:rFonts w:hint="eastAsia"/>
                <w:color w:val="auto"/>
                <w:sz w:val="21"/>
                <w:szCs w:val="21"/>
                <w:highlight w:val="none"/>
              </w:rPr>
              <w:t>1</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color w:val="auto"/>
                <w:sz w:val="21"/>
                <w:szCs w:val="21"/>
                <w:highlight w:val="none"/>
              </w:rPr>
            </w:pPr>
            <w:r>
              <w:rPr>
                <w:rFonts w:hint="eastAsia"/>
                <w:color w:val="auto"/>
                <w:sz w:val="21"/>
                <w:szCs w:val="21"/>
                <w:highlight w:val="none"/>
              </w:rPr>
              <w:t>投标人自202</w:t>
            </w:r>
            <w:r>
              <w:rPr>
                <w:rFonts w:hint="eastAsia"/>
                <w:color w:val="auto"/>
                <w:sz w:val="21"/>
                <w:szCs w:val="21"/>
                <w:highlight w:val="none"/>
                <w:lang w:val="en-US" w:eastAsia="zh-CN"/>
              </w:rPr>
              <w:t>1</w:t>
            </w:r>
            <w:r>
              <w:rPr>
                <w:rFonts w:hint="eastAsia"/>
                <w:color w:val="auto"/>
                <w:sz w:val="21"/>
                <w:szCs w:val="21"/>
                <w:highlight w:val="none"/>
              </w:rPr>
              <w:t>年1月1日（以合同签订时间为准）以来</w:t>
            </w:r>
            <w:r>
              <w:rPr>
                <w:rFonts w:hint="eastAsia"/>
                <w:color w:val="auto"/>
                <w:sz w:val="21"/>
                <w:szCs w:val="21"/>
                <w:highlight w:val="none"/>
                <w:lang w:val="en-US" w:eastAsia="zh-CN"/>
              </w:rPr>
              <w:t>所投产品</w:t>
            </w:r>
            <w:r>
              <w:rPr>
                <w:rFonts w:hint="eastAsia"/>
                <w:color w:val="auto"/>
                <w:sz w:val="21"/>
                <w:szCs w:val="21"/>
                <w:highlight w:val="none"/>
              </w:rPr>
              <w:t>在国内的供货业绩，1个得1分，满分3分。</w:t>
            </w:r>
          </w:p>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以投标文件中所附清晰可辩的合同复印件为评分依据，</w:t>
            </w:r>
            <w:r>
              <w:rPr>
                <w:rFonts w:hint="eastAsia"/>
                <w:color w:val="auto"/>
                <w:sz w:val="21"/>
                <w:szCs w:val="21"/>
                <w:highlight w:val="none"/>
                <w:lang w:val="en-US" w:eastAsia="zh-CN"/>
              </w:rPr>
              <w:t>未体现合同内容（签订时间，产品型号）</w:t>
            </w:r>
            <w:r>
              <w:rPr>
                <w:rFonts w:hint="eastAsia"/>
                <w:color w:val="auto"/>
                <w:sz w:val="21"/>
                <w:szCs w:val="21"/>
                <w:highlight w:val="none"/>
              </w:rPr>
              <w:t>不得分。</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3</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r>
              <w:rPr>
                <w:rFonts w:hint="eastAsia"/>
                <w:color w:val="auto"/>
                <w:sz w:val="21"/>
                <w:szCs w:val="21"/>
                <w:highlight w:val="none"/>
              </w:rPr>
              <w:t>2</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color w:val="auto"/>
                <w:sz w:val="21"/>
                <w:szCs w:val="21"/>
                <w:highlight w:val="none"/>
              </w:rPr>
            </w:pPr>
            <w:r>
              <w:rPr>
                <w:rFonts w:hint="eastAsia"/>
                <w:color w:val="auto"/>
                <w:sz w:val="21"/>
                <w:szCs w:val="21"/>
                <w:highlight w:val="none"/>
              </w:rPr>
              <w:t>投标人具有质量管理体系认证证书，环境管理体系认证证书，职业健康安全管理体系证书，每个得1分，最高3分。（需提供有效的相关证书复印件作为评分依据，未提供不得分）。</w:t>
            </w:r>
          </w:p>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注：供应商提供有效的相应证书复印件并加盖公章，评审小组根据全国认证认可信息公共服务平台（http://cx.cnca.cn/）核实后进行评分。未提供或不符合以上条件不得分。</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3</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3</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hint="eastAsia"/>
                <w:color w:val="auto"/>
                <w:sz w:val="21"/>
                <w:szCs w:val="21"/>
                <w:highlight w:val="none"/>
              </w:rPr>
            </w:pPr>
            <w:r>
              <w:rPr>
                <w:rFonts w:hint="eastAsia"/>
                <w:color w:val="auto"/>
                <w:sz w:val="21"/>
                <w:szCs w:val="21"/>
                <w:highlight w:val="none"/>
              </w:rPr>
              <w:t>投标产品技术参数与需求的吻合程度和偏差情况等内容进行综合评审。投标产品性能、功能，技术参数清晰明确，完全满足采购文件要求的，得14分，每负偏离或缺少一项扣2分。</w:t>
            </w:r>
          </w:p>
          <w:p>
            <w:pPr>
              <w:keepNext w:val="0"/>
              <w:keepLines w:val="0"/>
              <w:pageBreakBefore w:val="0"/>
              <w:kinsoku/>
              <w:wordWrap/>
              <w:overflowPunct/>
              <w:topLinePunct w:val="0"/>
              <w:bidi w:val="0"/>
              <w:spacing w:line="360" w:lineRule="auto"/>
              <w:jc w:val="left"/>
              <w:textAlignment w:val="auto"/>
              <w:rPr>
                <w:rFonts w:hint="eastAsia"/>
                <w:color w:val="auto"/>
                <w:sz w:val="21"/>
                <w:szCs w:val="21"/>
                <w:highlight w:val="none"/>
              </w:rPr>
            </w:pPr>
            <w:r>
              <w:rPr>
                <w:rFonts w:hint="eastAsia"/>
                <w:color w:val="auto"/>
                <w:sz w:val="21"/>
                <w:szCs w:val="21"/>
                <w:highlight w:val="none"/>
              </w:rPr>
              <w:t>备注：供应商需如实填写商务技术偏离表，否则供应商自行承担因技术参数不符合采购文件要求的风险；</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i w:val="0"/>
                <w:iCs w:val="0"/>
                <w:color w:val="auto"/>
                <w:kern w:val="2"/>
                <w:sz w:val="21"/>
                <w:szCs w:val="21"/>
                <w:highlight w:val="none"/>
                <w:u w:val="none"/>
                <w:lang w:val="en-US" w:eastAsia="zh-CN" w:bidi="ar"/>
              </w:rPr>
            </w:pPr>
            <w:r>
              <w:rPr>
                <w:rFonts w:hint="default" w:ascii="宋体" w:hAnsi="宋体" w:eastAsia="宋体" w:cs="宋体"/>
                <w:i w:val="0"/>
                <w:iCs w:val="0"/>
                <w:color w:val="auto"/>
                <w:kern w:val="2"/>
                <w:sz w:val="21"/>
                <w:szCs w:val="21"/>
                <w:highlight w:val="none"/>
                <w:u w:val="none"/>
                <w:lang w:val="en-US" w:eastAsia="zh-CN" w:bidi="ar"/>
              </w:rPr>
              <w:t>14</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i w:val="0"/>
                <w:iCs w:val="0"/>
                <w:color w:val="auto"/>
                <w:kern w:val="2"/>
                <w:sz w:val="21"/>
                <w:szCs w:val="21"/>
                <w:highlight w:val="none"/>
                <w:u w:val="none"/>
                <w:lang w:val="en-US" w:eastAsia="zh-CN" w:bidi="ar"/>
              </w:rPr>
            </w:pPr>
            <w:r>
              <w:rPr>
                <w:rFonts w:hint="default" w:ascii="宋体" w:hAnsi="宋体" w:eastAsia="宋体" w:cs="宋体"/>
                <w:i w:val="0"/>
                <w:iCs w:val="0"/>
                <w:color w:val="auto"/>
                <w:kern w:val="2"/>
                <w:sz w:val="21"/>
                <w:szCs w:val="21"/>
                <w:highlight w:val="none"/>
                <w:u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keepNext w:val="0"/>
              <w:keepLines w:val="0"/>
              <w:pageBreakBefore w:val="0"/>
              <w:kinsoku/>
              <w:wordWrap/>
              <w:overflowPunct/>
              <w:topLinePunct w:val="0"/>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4</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针对本项目的供货、验收方案进行评审。【打分分值范围：5、4、3、2、1、0】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根据投标供应商提供的整体实施方案进行评审。【打分分值范围：5、4、3、2、1、0】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6</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根据投标供应商提供的质量保证措施及承诺进行评审。【打分分值范围：5、4、3、2、1、0】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7</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根据投标供应商提供的供货保证措施及承诺进行评审。【打分分值范围：5、4、3、2、1、0】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color w:val="auto"/>
                <w:sz w:val="21"/>
                <w:szCs w:val="21"/>
                <w:highlight w:val="none"/>
              </w:rPr>
            </w:pPr>
            <w:r>
              <w:rPr>
                <w:rFonts w:hint="default" w:ascii="宋体" w:hAnsi="宋体" w:eastAsia="宋体" w:cs="宋体"/>
                <w:i w:val="0"/>
                <w:iCs w:val="0"/>
                <w:color w:val="auto"/>
                <w:kern w:val="2"/>
                <w:sz w:val="21"/>
                <w:szCs w:val="21"/>
                <w:highlight w:val="none"/>
                <w:u w:val="none"/>
                <w:lang w:val="en-US" w:eastAsia="zh-CN" w:bidi="ar"/>
              </w:rPr>
              <w:t>8</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拟投入团队人员的人数、专业匹配度、技术实力、经验及人力资源安排的合理性等进行评审；【打分分值范围：5、4、3、2、1、0】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color w:val="auto"/>
                <w:sz w:val="21"/>
                <w:szCs w:val="21"/>
                <w:highlight w:val="none"/>
              </w:rPr>
            </w:pPr>
            <w:r>
              <w:rPr>
                <w:rFonts w:hint="default" w:ascii="宋体" w:hAnsi="宋体" w:eastAsia="宋体" w:cs="宋体"/>
                <w:i w:val="0"/>
                <w:iCs w:val="0"/>
                <w:color w:val="auto"/>
                <w:kern w:val="2"/>
                <w:sz w:val="21"/>
                <w:szCs w:val="21"/>
                <w:highlight w:val="none"/>
                <w:u w:val="none"/>
                <w:lang w:val="en-US" w:eastAsia="zh-CN" w:bidi="ar"/>
              </w:rPr>
              <w:t>9</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根据投标人服务响应情况以及具体响应方案进行评审。【打分分值范围：5、4、3、2、1、0】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color w:val="auto"/>
                <w:sz w:val="21"/>
                <w:szCs w:val="21"/>
                <w:highlight w:val="none"/>
              </w:rPr>
            </w:pPr>
            <w:r>
              <w:rPr>
                <w:rFonts w:hint="default" w:ascii="宋体" w:hAnsi="宋体" w:eastAsia="宋体" w:cs="宋体"/>
                <w:i w:val="0"/>
                <w:iCs w:val="0"/>
                <w:color w:val="auto"/>
                <w:kern w:val="2"/>
                <w:sz w:val="21"/>
                <w:szCs w:val="21"/>
                <w:highlight w:val="none"/>
                <w:u w:val="none"/>
                <w:lang w:val="en-US" w:eastAsia="zh-CN" w:bidi="ar"/>
              </w:rPr>
              <w:t>10</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针对本项目的应急措施方案进行评审。【打分分值范围：5、4、3、2、1、0】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5</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color w:val="auto"/>
                <w:sz w:val="21"/>
                <w:szCs w:val="21"/>
                <w:highlight w:val="none"/>
              </w:rPr>
            </w:pPr>
            <w:r>
              <w:rPr>
                <w:rFonts w:hint="default" w:ascii="宋体" w:hAnsi="宋体" w:eastAsia="宋体" w:cs="宋体"/>
                <w:i w:val="0"/>
                <w:iCs w:val="0"/>
                <w:color w:val="auto"/>
                <w:kern w:val="2"/>
                <w:sz w:val="21"/>
                <w:szCs w:val="21"/>
                <w:highlight w:val="none"/>
                <w:u w:val="none"/>
                <w:lang w:val="en-US" w:eastAsia="zh-CN" w:bidi="ar"/>
              </w:rPr>
              <w:t>11</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根据投标人管理制度进行综合评审：包括但不限于内部管理制度、责任制度、管理运作制度、考核制度、反馈资料、文件资料等档案的建立与管理等内容综合评审。【打分分值范围：4、3、2、1、0】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2"/>
                <w:sz w:val="21"/>
                <w:szCs w:val="21"/>
                <w:highlight w:val="none"/>
                <w:u w:val="none"/>
                <w:lang w:val="en-US" w:eastAsia="zh-CN" w:bidi="ar"/>
              </w:rPr>
              <w:t>4</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color w:val="auto"/>
                <w:sz w:val="21"/>
                <w:szCs w:val="21"/>
                <w:highlight w:val="none"/>
              </w:rPr>
            </w:pPr>
            <w:r>
              <w:rPr>
                <w:rFonts w:hint="default" w:ascii="宋体" w:hAnsi="宋体" w:eastAsia="宋体" w:cs="宋体"/>
                <w:i w:val="0"/>
                <w:iCs w:val="0"/>
                <w:color w:val="auto"/>
                <w:kern w:val="2"/>
                <w:sz w:val="21"/>
                <w:szCs w:val="21"/>
                <w:highlight w:val="none"/>
                <w:u w:val="none"/>
                <w:lang w:val="en-US" w:eastAsia="zh-CN" w:bidi="ar"/>
              </w:rPr>
              <w:t>12</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投标人提供的售后服务方案及</w:t>
            </w:r>
            <w:r>
              <w:rPr>
                <w:rFonts w:hint="eastAsia"/>
                <w:color w:val="auto"/>
                <w:sz w:val="21"/>
                <w:szCs w:val="21"/>
                <w:highlight w:val="none"/>
                <w:lang w:val="en-US" w:eastAsia="zh-CN"/>
              </w:rPr>
              <w:t>赔付制度</w:t>
            </w:r>
            <w:r>
              <w:rPr>
                <w:rFonts w:hint="eastAsia"/>
                <w:color w:val="auto"/>
                <w:sz w:val="21"/>
                <w:szCs w:val="21"/>
                <w:highlight w:val="none"/>
              </w:rPr>
              <w:t>进行评审。【打分分值范围：4、3、2、1、0】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2"/>
                <w:sz w:val="21"/>
                <w:szCs w:val="21"/>
                <w:highlight w:val="none"/>
                <w:u w:val="none"/>
                <w:lang w:val="en-US" w:eastAsia="zh-CN" w:bidi="ar"/>
              </w:rPr>
              <w:t>4</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eastAsia"/>
                <w:color w:val="auto"/>
                <w:sz w:val="21"/>
                <w:szCs w:val="21"/>
                <w:highlight w:val="none"/>
              </w:rPr>
            </w:pPr>
            <w:r>
              <w:rPr>
                <w:rFonts w:hint="default" w:ascii="宋体" w:hAnsi="宋体" w:eastAsia="宋体" w:cs="宋体"/>
                <w:i w:val="0"/>
                <w:iCs w:val="0"/>
                <w:color w:val="auto"/>
                <w:kern w:val="2"/>
                <w:sz w:val="21"/>
                <w:szCs w:val="21"/>
                <w:highlight w:val="none"/>
                <w:u w:val="none"/>
                <w:lang w:val="en-US" w:eastAsia="zh-CN" w:bidi="ar"/>
              </w:rPr>
              <w:t>13</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根据本项目成果验收方案及保障措施</w:t>
            </w:r>
            <w:r>
              <w:rPr>
                <w:rFonts w:hint="eastAsia"/>
                <w:color w:val="auto"/>
                <w:sz w:val="21"/>
                <w:szCs w:val="21"/>
                <w:highlight w:val="none"/>
                <w:lang w:eastAsia="zh-CN"/>
              </w:rPr>
              <w:t>。</w:t>
            </w:r>
            <w:r>
              <w:rPr>
                <w:rFonts w:hint="eastAsia"/>
                <w:color w:val="auto"/>
                <w:sz w:val="21"/>
                <w:szCs w:val="21"/>
                <w:highlight w:val="none"/>
              </w:rPr>
              <w:t>【打分分值范围：4、3、2、1、0】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2"/>
                <w:sz w:val="21"/>
                <w:szCs w:val="21"/>
                <w:highlight w:val="none"/>
                <w:u w:val="none"/>
                <w:lang w:val="en-US" w:eastAsia="zh-CN" w:bidi="ar"/>
              </w:rPr>
              <w:t>4</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i w:val="0"/>
                <w:iCs w:val="0"/>
                <w:color w:val="auto"/>
                <w:kern w:val="2"/>
                <w:sz w:val="21"/>
                <w:szCs w:val="21"/>
                <w:highlight w:val="none"/>
                <w:u w:val="none"/>
                <w:lang w:val="en-US" w:eastAsia="zh-CN" w:bidi="ar"/>
              </w:rPr>
            </w:pPr>
            <w:r>
              <w:rPr>
                <w:rFonts w:hint="default"/>
                <w:color w:val="auto"/>
                <w:sz w:val="21"/>
                <w:szCs w:val="21"/>
                <w:highlight w:val="none"/>
                <w:lang w:val="en-US" w:eastAsia="zh-CN"/>
              </w:rPr>
              <w:t>14</w:t>
            </w:r>
          </w:p>
        </w:tc>
        <w:tc>
          <w:tcPr>
            <w:tcW w:w="6861" w:type="dxa"/>
            <w:shd w:val="clear" w:color="auto" w:fill="auto"/>
            <w:vAlign w:val="center"/>
          </w:tcPr>
          <w:p>
            <w:pPr>
              <w:keepNext w:val="0"/>
              <w:keepLines w:val="0"/>
              <w:pageBreakBefore w:val="0"/>
              <w:kinsoku/>
              <w:wordWrap/>
              <w:overflowPunct/>
              <w:topLinePunct w:val="0"/>
              <w:bidi w:val="0"/>
              <w:spacing w:line="360" w:lineRule="auto"/>
              <w:jc w:val="lef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根据投标人提供的针对本项目的增值服务方案进行评审。</w:t>
            </w:r>
            <w:r>
              <w:rPr>
                <w:rFonts w:hint="eastAsia"/>
                <w:color w:val="auto"/>
                <w:sz w:val="21"/>
                <w:szCs w:val="21"/>
                <w:highlight w:val="none"/>
              </w:rPr>
              <w:t>【打分分值范围：3、2、1、0】</w:t>
            </w:r>
          </w:p>
        </w:tc>
        <w:tc>
          <w:tcPr>
            <w:tcW w:w="818"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i w:val="0"/>
                <w:iCs w:val="0"/>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
              </w:rPr>
              <w:t>3</w:t>
            </w:r>
          </w:p>
        </w:tc>
        <w:tc>
          <w:tcPr>
            <w:tcW w:w="1070" w:type="dxa"/>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auto"/>
              <w:rPr>
                <w:rFonts w:hint="default" w:ascii="宋体" w:hAnsi="宋体" w:eastAsia="宋体" w:cs="宋体"/>
                <w:i w:val="0"/>
                <w:iCs w:val="0"/>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kinsoku/>
              <w:wordWrap/>
              <w:overflowPunct/>
              <w:topLinePunct w:val="0"/>
              <w:bidi w:val="0"/>
              <w:spacing w:line="36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6861" w:type="dxa"/>
            <w:vAlign w:val="center"/>
          </w:tcPr>
          <w:p>
            <w:pPr>
              <w:keepNext w:val="0"/>
              <w:keepLines w:val="0"/>
              <w:pageBreakBefore w:val="0"/>
              <w:kinsoku/>
              <w:wordWrap/>
              <w:overflowPunct/>
              <w:topLinePunct w:val="0"/>
              <w:bidi w:val="0"/>
              <w:spacing w:line="360" w:lineRule="auto"/>
              <w:jc w:val="left"/>
              <w:textAlignment w:val="auto"/>
              <w:rPr>
                <w:color w:val="auto"/>
                <w:sz w:val="21"/>
                <w:szCs w:val="21"/>
                <w:highlight w:val="none"/>
              </w:rPr>
            </w:pPr>
            <w:r>
              <w:rPr>
                <w:rFonts w:hint="eastAsia"/>
                <w:color w:val="auto"/>
                <w:sz w:val="21"/>
                <w:szCs w:val="21"/>
                <w:highlight w:val="none"/>
              </w:rPr>
              <w:t>有效投标报价的最低价作为评标基准价，其最低报价为满分；按［投标报价得分</w:t>
            </w:r>
            <w:r>
              <w:rPr>
                <w:color w:val="auto"/>
                <w:sz w:val="21"/>
                <w:szCs w:val="21"/>
                <w:highlight w:val="none"/>
              </w:rPr>
              <w:t>=（评标基准价/投标报价）*</w:t>
            </w:r>
            <w:r>
              <w:rPr>
                <w:rFonts w:hint="eastAsia"/>
                <w:color w:val="auto"/>
                <w:sz w:val="21"/>
                <w:szCs w:val="21"/>
                <w:highlight w:val="none"/>
              </w:rPr>
              <w:t>权重</w:t>
            </w:r>
            <w:r>
              <w:rPr>
                <w:color w:val="auto"/>
                <w:sz w:val="21"/>
                <w:szCs w:val="21"/>
                <w:highlight w:val="none"/>
              </w:rPr>
              <w:t>］的计算公式计算。</w:t>
            </w:r>
          </w:p>
          <w:p>
            <w:pPr>
              <w:keepNext w:val="0"/>
              <w:keepLines w:val="0"/>
              <w:pageBreakBefore w:val="0"/>
              <w:kinsoku/>
              <w:wordWrap/>
              <w:overflowPunct/>
              <w:topLinePunct w:val="0"/>
              <w:bidi w:val="0"/>
              <w:spacing w:line="360" w:lineRule="auto"/>
              <w:jc w:val="left"/>
              <w:textAlignment w:val="auto"/>
              <w:rPr>
                <w:color w:val="auto"/>
                <w:sz w:val="21"/>
                <w:szCs w:val="21"/>
                <w:highlight w:val="none"/>
              </w:rPr>
            </w:pPr>
            <w:r>
              <w:rPr>
                <w:color w:val="auto"/>
                <w:sz w:val="21"/>
                <w:szCs w:val="21"/>
                <w:highlight w:val="none"/>
              </w:rPr>
              <w:t>评标过程中，不得去掉报价中的最高报价和最低报价。</w:t>
            </w:r>
          </w:p>
          <w:p>
            <w:pPr>
              <w:keepNext w:val="0"/>
              <w:keepLines w:val="0"/>
              <w:pageBreakBefore w:val="0"/>
              <w:kinsoku/>
              <w:wordWrap/>
              <w:overflowPunct/>
              <w:topLinePunct w:val="0"/>
              <w:bidi w:val="0"/>
              <w:spacing w:line="360" w:lineRule="auto"/>
              <w:jc w:val="left"/>
              <w:textAlignment w:val="auto"/>
              <w:rPr>
                <w:color w:val="auto"/>
                <w:sz w:val="21"/>
                <w:szCs w:val="21"/>
                <w:highlight w:val="none"/>
              </w:rPr>
            </w:pPr>
            <w:r>
              <w:rPr>
                <w:rFonts w:hint="eastAsia"/>
                <w:color w:val="auto"/>
                <w:sz w:val="21"/>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olor w:val="auto"/>
                <w:sz w:val="21"/>
                <w:szCs w:val="21"/>
                <w:highlight w:val="none"/>
                <w:lang w:val="en-US" w:eastAsia="zh-CN"/>
              </w:rPr>
              <w:t>4</w:t>
            </w:r>
            <w:r>
              <w:rPr>
                <w:rFonts w:hint="eastAsia"/>
                <w:color w:val="auto"/>
                <w:sz w:val="21"/>
                <w:szCs w:val="21"/>
                <w:highlight w:val="none"/>
              </w:rPr>
              <w:t>%的扣除，用扣除后的价格参加评审。</w:t>
            </w:r>
          </w:p>
        </w:tc>
        <w:tc>
          <w:tcPr>
            <w:tcW w:w="818" w:type="dxa"/>
            <w:vAlign w:val="center"/>
          </w:tcPr>
          <w:p>
            <w:pPr>
              <w:keepNext w:val="0"/>
              <w:keepLines w:val="0"/>
              <w:pageBreakBefore w:val="0"/>
              <w:kinsoku/>
              <w:wordWrap/>
              <w:overflowPunct/>
              <w:topLinePunct w:val="0"/>
              <w:bidi w:val="0"/>
              <w:spacing w:line="36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30</w:t>
            </w:r>
          </w:p>
        </w:tc>
        <w:tc>
          <w:tcPr>
            <w:tcW w:w="1070" w:type="dxa"/>
            <w:vAlign w:val="center"/>
          </w:tcPr>
          <w:p>
            <w:pPr>
              <w:keepNext w:val="0"/>
              <w:keepLines w:val="0"/>
              <w:pageBreakBefore w:val="0"/>
              <w:kinsoku/>
              <w:wordWrap/>
              <w:overflowPunct/>
              <w:topLinePunct w:val="0"/>
              <w:bidi w:val="0"/>
              <w:spacing w:line="360" w:lineRule="auto"/>
              <w:jc w:val="center"/>
              <w:textAlignment w:val="auto"/>
              <w:rPr>
                <w:color w:val="auto"/>
                <w:sz w:val="21"/>
                <w:szCs w:val="21"/>
                <w:highlight w:val="none"/>
              </w:rPr>
            </w:pPr>
            <w:r>
              <w:rPr>
                <w:rFonts w:hint="eastAsia"/>
                <w:color w:val="auto"/>
                <w:sz w:val="21"/>
                <w:szCs w:val="21"/>
                <w:highlight w:val="none"/>
              </w:rPr>
              <w:t>客观分</w:t>
            </w:r>
          </w:p>
        </w:tc>
      </w:tr>
    </w:tbl>
    <w:p>
      <w:pPr>
        <w:keepNext w:val="0"/>
        <w:keepLines w:val="0"/>
        <w:pageBreakBefore w:val="0"/>
        <w:kinsoku/>
        <w:wordWrap/>
        <w:overflowPunct/>
        <w:topLinePunct w:val="0"/>
        <w:autoSpaceDE w:val="0"/>
        <w:autoSpaceDN w:val="0"/>
        <w:bidi w:val="0"/>
        <w:adjustRightInd w:val="0"/>
        <w:snapToGrid w:val="0"/>
        <w:spacing w:line="360" w:lineRule="auto"/>
        <w:ind w:left="425"/>
        <w:textAlignment w:val="auto"/>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五、开评标程序</w:t>
      </w:r>
      <w:bookmarkEnd w:id="136"/>
      <w:bookmarkEnd w:id="137"/>
      <w:bookmarkEnd w:id="138"/>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rPr>
      </w:pPr>
      <w:bookmarkStart w:id="139" w:name="_Toc31486"/>
      <w:r>
        <w:rPr>
          <w:rFonts w:hint="eastAsia" w:ascii="宋体" w:hAnsi="宋体" w:eastAsia="宋体" w:cs="宋体"/>
          <w:color w:val="auto"/>
          <w:szCs w:val="21"/>
          <w:highlight w:val="none"/>
        </w:rPr>
        <w:t>1.开标第一阶段</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（3开启投标文件，进入资格审查；</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（4开启资格审查通过的投标供应商的商务技术文件进入符合性审查、商务技术评审；</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2.开标大会第二阶段</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bookmarkEnd w:id="139"/>
    <w:p>
      <w:pPr>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br w:type="page"/>
      </w:r>
    </w:p>
    <w:p>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val="zh-CN"/>
        </w:rPr>
        <w:t>第七章</w:t>
      </w:r>
      <w:bookmarkStart w:id="140" w:name="_Toc28042"/>
      <w:r>
        <w:rPr>
          <w:rFonts w:hint="eastAsia" w:ascii="宋体" w:hAnsi="宋体" w:eastAsia="宋体" w:cs="宋体"/>
          <w:b/>
          <w:bCs w:val="0"/>
          <w:color w:val="auto"/>
          <w:szCs w:val="21"/>
          <w:highlight w:val="none"/>
          <w:lang w:val="zh-CN"/>
        </w:rPr>
        <w:t xml:space="preserve">  </w:t>
      </w:r>
      <w:r>
        <w:rPr>
          <w:rFonts w:hint="eastAsia" w:ascii="宋体" w:hAnsi="宋体" w:eastAsia="宋体" w:cs="宋体"/>
          <w:b/>
          <w:bCs w:val="0"/>
          <w:color w:val="auto"/>
          <w:szCs w:val="21"/>
          <w:highlight w:val="none"/>
          <w:lang w:val="zh-CN" w:eastAsia="zh-CN"/>
        </w:rPr>
        <w:t>附件</w:t>
      </w:r>
      <w:bookmarkEnd w:id="140"/>
    </w:p>
    <w:p>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附件1：质疑函范本及制作说明</w:t>
      </w:r>
    </w:p>
    <w:p>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eastAsia="宋体" w:cs="宋体"/>
          <w:b/>
          <w:color w:val="auto"/>
          <w:spacing w:val="6"/>
          <w:sz w:val="21"/>
          <w:szCs w:val="21"/>
          <w:highlight w:val="none"/>
        </w:rPr>
      </w:pPr>
    </w:p>
    <w:p>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：投诉书范本及制作说明</w:t>
      </w: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outlineLvl w:val="9"/>
        <w:rPr>
          <w:rFonts w:hint="eastAsia" w:ascii="宋体" w:hAnsi="宋体" w:eastAsia="宋体" w:cs="宋体"/>
          <w:b/>
          <w:color w:val="auto"/>
          <w:spacing w:val="6"/>
          <w:sz w:val="21"/>
          <w:szCs w:val="21"/>
          <w:highlight w:val="none"/>
        </w:rPr>
      </w:pPr>
    </w:p>
    <w:p>
      <w:pPr>
        <w:rPr>
          <w:rFonts w:hint="eastAsia"/>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w:t>
      </w:r>
      <w:r>
        <w:rPr>
          <w:rFonts w:hint="eastAsia" w:ascii="宋体" w:hAnsi="宋体" w:eastAsia="宋体" w:cs="宋体"/>
          <w:b/>
          <w:bCs/>
          <w:color w:val="auto"/>
          <w:sz w:val="21"/>
          <w:szCs w:val="21"/>
          <w:highlight w:val="none"/>
        </w:rPr>
        <w:t>业务专用章使用说明函</w:t>
      </w:r>
    </w:p>
    <w:p>
      <w:pPr>
        <w:spacing w:line="360" w:lineRule="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right="480"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pStyle w:val="20"/>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20"/>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20"/>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20"/>
        <w:rPr>
          <w:rFonts w:hint="eastAsia" w:ascii="宋体" w:hAnsi="宋体" w:eastAsia="宋体" w:cs="宋体"/>
          <w:b/>
          <w:color w:val="auto"/>
          <w:spacing w:val="6"/>
          <w:sz w:val="21"/>
          <w:szCs w:val="21"/>
          <w:highlight w:val="none"/>
        </w:rPr>
      </w:pPr>
    </w:p>
    <w:p>
      <w:pPr>
        <w:pStyle w:val="20"/>
        <w:rPr>
          <w:rFonts w:hint="eastAsia" w:ascii="宋体" w:hAnsi="宋体" w:eastAsia="宋体" w:cs="宋体"/>
          <w:color w:val="auto"/>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lang w:val="zh-CN"/>
        </w:rPr>
        <w:t>联合协议</w:t>
      </w:r>
    </w:p>
    <w:p>
      <w:pPr>
        <w:keepNext w:val="0"/>
        <w:keepLines w:val="0"/>
        <w:pageBreakBefore w:val="0"/>
        <w:widowControl/>
        <w:kinsoku/>
        <w:wordWrap/>
        <w:overflowPunct/>
        <w:topLinePunct w:val="0"/>
        <w:autoSpaceDE/>
        <w:autoSpaceDN/>
        <w:bidi w:val="0"/>
        <w:adjustRightInd w:val="0"/>
        <w:spacing w:line="336" w:lineRule="auto"/>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w:t>
      </w:r>
      <w:r>
        <w:rPr>
          <w:rFonts w:hint="eastAsia" w:ascii="宋体" w:hAnsi="宋体" w:cs="宋体"/>
          <w:b/>
          <w:color w:val="auto"/>
          <w:sz w:val="21"/>
          <w:szCs w:val="21"/>
          <w:highlight w:val="none"/>
          <w:lang w:val="en-US" w:eastAsia="zh-CN"/>
        </w:rPr>
        <w:t>若</w:t>
      </w:r>
      <w:r>
        <w:rPr>
          <w:rFonts w:hint="eastAsia" w:ascii="宋体" w:hAnsi="宋体" w:eastAsia="宋体" w:cs="宋体"/>
          <w:b/>
          <w:color w:val="auto"/>
          <w:sz w:val="21"/>
          <w:szCs w:val="21"/>
          <w:highlight w:val="none"/>
        </w:rPr>
        <w:t>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141" w:name="_Hlk101131882"/>
      <w:r>
        <w:rPr>
          <w:rFonts w:hint="eastAsia" w:ascii="宋体" w:hAnsi="宋体" w:eastAsia="宋体" w:cs="宋体"/>
          <w:color w:val="auto"/>
          <w:kern w:val="0"/>
          <w:sz w:val="21"/>
          <w:szCs w:val="21"/>
          <w:highlight w:val="none"/>
          <w:u w:val="single"/>
        </w:rPr>
        <w:t>联合体成员X,……</w:t>
      </w:r>
      <w:bookmarkEnd w:id="141"/>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142" w:name="_Hlk101133598"/>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142"/>
      <w:r>
        <w:rPr>
          <w:rFonts w:hint="eastAsia" w:ascii="宋体" w:hAnsi="宋体" w:eastAsia="宋体" w:cs="宋体"/>
          <w:b/>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pacing w:line="336" w:lineRule="auto"/>
        <w:ind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143"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143"/>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36" w:lineRule="auto"/>
        <w:ind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336" w:lineRule="auto"/>
        <w:ind w:right="0"/>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pPr>
        <w:keepNext w:val="0"/>
        <w:keepLines w:val="0"/>
        <w:pageBreakBefore w:val="0"/>
        <w:kinsoku/>
        <w:wordWrap/>
        <w:overflowPunct/>
        <w:topLinePunct w:val="0"/>
        <w:autoSpaceDE/>
        <w:autoSpaceDN/>
        <w:bidi w:val="0"/>
        <w:adjustRightInd w:val="0"/>
        <w:spacing w:line="336"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autoSpaceDE w:val="0"/>
        <w:autoSpaceDN w:val="0"/>
        <w:jc w:val="center"/>
        <w:rPr>
          <w:rFonts w:hint="eastAsia" w:ascii="宋体" w:hAnsi="宋体" w:eastAsia="宋体" w:cs="宋体"/>
          <w:b/>
          <w:color w:val="auto"/>
          <w:spacing w:val="6"/>
          <w:sz w:val="21"/>
          <w:szCs w:val="21"/>
          <w:highlight w:val="none"/>
        </w:rPr>
      </w:pPr>
    </w:p>
    <w:p>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rPr>
        <w:t>分包意向协议</w:t>
      </w:r>
    </w:p>
    <w:p>
      <w:pPr>
        <w:pageBreakBefore w:val="0"/>
        <w:widowControl/>
        <w:kinsoku/>
        <w:wordWrap/>
        <w:overflowPunct/>
        <w:topLinePunct w:val="0"/>
        <w:autoSpaceDE/>
        <w:autoSpaceDN/>
        <w:bidi w:val="0"/>
        <w:adjustRightInd/>
        <w:spacing w:line="360" w:lineRule="auto"/>
        <w:ind w:left="0" w:leftChars="0" w:right="0"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pPr>
        <w:pStyle w:val="4"/>
        <w:pageBreakBefore w:val="0"/>
        <w:tabs>
          <w:tab w:val="left" w:pos="432"/>
        </w:tabs>
        <w:kinsoku/>
        <w:wordWrap/>
        <w:overflowPunct/>
        <w:topLinePunct w:val="0"/>
        <w:autoSpaceDE/>
        <w:autoSpaceDN/>
        <w:bidi w:val="0"/>
        <w:adjustRightInd/>
        <w:spacing w:before="0" w:after="0" w:line="360" w:lineRule="auto"/>
        <w:ind w:left="0" w:leftChars="0" w:right="0" w:firstLine="622" w:firstLineChars="295"/>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pPr>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pPr>
        <w:pageBreakBefore w:val="0"/>
        <w:kinsoku/>
        <w:wordWrap/>
        <w:overflowPunct/>
        <w:topLinePunct w:val="0"/>
        <w:autoSpaceDE/>
        <w:autoSpaceDN/>
        <w:bidi w:val="0"/>
        <w:adjustRightInd/>
        <w:snapToGrid w:val="0"/>
        <w:spacing w:line="360" w:lineRule="auto"/>
        <w:ind w:left="0" w:leftChars="0" w:right="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                                           投标人名称(电子签名)：</w:t>
      </w:r>
    </w:p>
    <w:p>
      <w:pPr>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分包供应商名称(电子签名/公章)：</w:t>
      </w:r>
    </w:p>
    <w:p>
      <w:pPr>
        <w:pageBreakBefore w:val="0"/>
        <w:kinsoku/>
        <w:wordWrap/>
        <w:overflowPunct/>
        <w:topLinePunct w:val="0"/>
        <w:autoSpaceDE/>
        <w:autoSpaceDN/>
        <w:bidi w:val="0"/>
        <w:adjustRightInd/>
        <w:snapToGrid w:val="0"/>
        <w:spacing w:line="360" w:lineRule="auto"/>
        <w:ind w:left="0" w:leftChars="0" w:right="0"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w:t>
      </w:r>
      <w:bookmarkStart w:id="144" w:name="OLE_LINK14"/>
      <w:bookmarkStart w:id="145" w:name="OLE_LINK13"/>
      <w:r>
        <w:rPr>
          <w:rFonts w:hint="eastAsia" w:ascii="宋体" w:hAnsi="宋体" w:eastAsia="宋体" w:cs="宋体"/>
          <w:b/>
          <w:color w:val="auto"/>
          <w:spacing w:val="6"/>
          <w:sz w:val="21"/>
          <w:szCs w:val="21"/>
          <w:highlight w:val="none"/>
        </w:rPr>
        <w:t>残疾人福利性单位声明函</w:t>
      </w:r>
    </w:p>
    <w:bookmarkEnd w:id="144"/>
    <w:bookmarkEnd w:id="145"/>
    <w:p>
      <w:pPr>
        <w:spacing w:line="360" w:lineRule="auto"/>
        <w:rPr>
          <w:rFonts w:hint="eastAsia" w:ascii="宋体" w:hAnsi="宋体" w:eastAsia="宋体" w:cs="宋体"/>
          <w:b/>
          <w:color w:val="auto"/>
          <w:spacing w:val="6"/>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_单位的_</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pStyle w:val="2"/>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r>
        <w:rPr>
          <w:rFonts w:hint="eastAsia" w:ascii="宋体" w:hAnsi="宋体" w:eastAsia="宋体" w:cs="宋体"/>
          <w:b/>
          <w:color w:val="auto"/>
          <w:kern w:val="0"/>
          <w:sz w:val="21"/>
          <w:szCs w:val="21"/>
          <w:highlight w:val="none"/>
          <w:lang w:val="en-US" w:eastAsia="zh-CN"/>
        </w:rPr>
        <w:t>7</w:t>
      </w:r>
      <w:r>
        <w:rPr>
          <w:rFonts w:hint="eastAsia" w:ascii="宋体" w:hAnsi="宋体" w:eastAsia="宋体" w:cs="宋体"/>
          <w:b/>
          <w:color w:val="auto"/>
          <w:kern w:val="0"/>
          <w:sz w:val="21"/>
          <w:szCs w:val="21"/>
          <w:highlight w:val="none"/>
        </w:rPr>
        <w:t>：中小企业声明函</w:t>
      </w:r>
    </w:p>
    <w:p>
      <w:pPr>
        <w:jc w:val="center"/>
        <w:rPr>
          <w:rFonts w:hint="eastAsia" w:ascii="宋体" w:hAnsi="宋体" w:cs="宋体"/>
          <w:b/>
          <w:bCs/>
          <w:color w:val="auto"/>
          <w:sz w:val="24"/>
          <w:szCs w:val="24"/>
          <w:highlight w:val="none"/>
        </w:rPr>
      </w:pPr>
      <w:bookmarkStart w:id="146" w:name="_Toc28112"/>
      <w:bookmarkStart w:id="147" w:name="_Toc22203"/>
      <w:bookmarkStart w:id="148" w:name="_Toc29144"/>
      <w:bookmarkStart w:id="149" w:name="_Toc8441"/>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中小企业声明函（货物）</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12" w:lineRule="auto"/>
        <w:ind w:firstLine="3255" w:firstLineChars="155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pPr>
        <w:keepNext w:val="0"/>
        <w:keepLines w:val="0"/>
        <w:pageBreakBefore w:val="0"/>
        <w:widowControl w:val="0"/>
        <w:kinsoku/>
        <w:wordWrap/>
        <w:overflowPunct/>
        <w:topLinePunct w:val="0"/>
        <w:autoSpaceDE/>
        <w:autoSpaceDN/>
        <w:bidi w:val="0"/>
        <w:adjustRightInd/>
        <w:snapToGrid/>
        <w:spacing w:line="312" w:lineRule="auto"/>
        <w:ind w:firstLine="3255" w:firstLineChars="1550"/>
        <w:textAlignment w:val="auto"/>
        <w:rPr>
          <w:rFonts w:hint="eastAsia" w:ascii="宋体" w:hAnsi="宋体" w:cs="宋体"/>
          <w:color w:val="auto"/>
          <w:szCs w:val="21"/>
          <w:highlight w:val="none"/>
        </w:rPr>
      </w:pPr>
      <w:r>
        <w:rPr>
          <w:rFonts w:hint="eastAsia" w:ascii="宋体" w:hAnsi="宋体" w:cs="宋体"/>
          <w:color w:val="auto"/>
          <w:szCs w:val="21"/>
          <w:highlight w:val="none"/>
        </w:rPr>
        <w:t>日 期：</w:t>
      </w:r>
    </w:p>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color w:val="auto"/>
          <w:sz w:val="21"/>
          <w:szCs w:val="21"/>
          <w:highlight w:val="none"/>
        </w:rPr>
      </w:pP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cs="宋体"/>
          <w:b/>
          <w:bCs/>
          <w:color w:val="auto"/>
          <w:sz w:val="21"/>
          <w:szCs w:val="21"/>
          <w:highlight w:val="none"/>
        </w:rPr>
      </w:pPr>
      <w:r>
        <w:rPr>
          <w:rFonts w:hint="eastAsia" w:ascii="宋体" w:hAnsi="宋体"/>
          <w:color w:val="auto"/>
          <w:sz w:val="21"/>
          <w:szCs w:val="21"/>
          <w:highlight w:val="none"/>
        </w:rPr>
        <w:t>注：1 从业人员、营业收入、资产总额填报上一年度数据，无上一年度数据的新成立企业可不填报。</w:t>
      </w:r>
    </w:p>
    <w:bookmarkEnd w:id="146"/>
    <w:bookmarkEnd w:id="147"/>
    <w:bookmarkEnd w:id="148"/>
    <w:bookmarkEnd w:id="149"/>
    <w:p>
      <w:pPr>
        <w:keepNext w:val="0"/>
        <w:keepLines w:val="0"/>
        <w:pageBreakBefore w:val="0"/>
        <w:widowControl w:val="0"/>
        <w:kinsoku/>
        <w:wordWrap/>
        <w:overflowPunct/>
        <w:topLinePunct w:val="0"/>
        <w:autoSpaceDE/>
        <w:autoSpaceDN/>
        <w:bidi w:val="0"/>
        <w:adjustRightInd/>
        <w:snapToGrid/>
        <w:spacing w:line="312"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312" w:lineRule="auto"/>
        <w:ind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国家统计局  </w:t>
      </w:r>
    </w:p>
    <w:p>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2017年12月28日</w:t>
      </w:r>
    </w:p>
    <w:p>
      <w:pPr>
        <w:pStyle w:val="2"/>
        <w:rPr>
          <w:rFonts w:hint="eastAsia" w:ascii="宋体" w:hAnsi="宋体" w:eastAsia="宋体" w:cs="宋体"/>
          <w:color w:val="auto"/>
          <w:sz w:val="21"/>
          <w:szCs w:val="21"/>
          <w:highlight w:val="none"/>
          <w:lang w:val="en-US" w:eastAsia="zh-CN"/>
        </w:rPr>
      </w:pP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附表：统计上大中小微型企业划分标准</w:t>
      </w:r>
    </w:p>
    <w:p>
      <w:pPr>
        <w:widowControl/>
        <w:jc w:val="left"/>
        <w:rPr>
          <w:rFonts w:hint="eastAsia" w:ascii="宋体" w:hAnsi="宋体" w:eastAsia="宋体" w:cs="宋体"/>
          <w:color w:val="auto"/>
          <w:kern w:val="0"/>
          <w:sz w:val="21"/>
          <w:szCs w:val="21"/>
          <w:highlight w:val="none"/>
        </w:rPr>
      </w:pP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统计上大中小微型企业划分标准</w:t>
      </w:r>
    </w:p>
    <w:tbl>
      <w:tblPr>
        <w:tblStyle w:val="2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软件和信息技术服务业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 　　</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3.企业划分指标以现行统计制度为准。</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（3）资产总额，采用资产总计代替。</w:t>
      </w:r>
    </w:p>
    <w:p>
      <w:pPr>
        <w:widowControl/>
        <w:jc w:val="left"/>
        <w:rPr>
          <w:rFonts w:hint="eastAsia" w:ascii="宋体" w:hAnsi="宋体" w:eastAsia="宋体" w:cs="宋体"/>
          <w:color w:val="auto"/>
          <w:kern w:val="0"/>
          <w:sz w:val="21"/>
          <w:szCs w:val="21"/>
          <w:highlight w:val="none"/>
        </w:rPr>
      </w:pP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《统计上大中小微型企业划分办法（2017）》修订说明</w:t>
      </w:r>
    </w:p>
    <w:p>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一、修订背景</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二、修订主要内容</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中国人民银行中国银行业监督管理委员会</w:t>
      </w:r>
    </w:p>
    <w:p>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中国证券监督管理委员会中国保险监督管理委员会</w:t>
      </w:r>
    </w:p>
    <w:p>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国家统计局关于印发《金融业企业划型标准规定》的通知</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附件：金融业企业划型标准规定</w:t>
      </w: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金融业企业划型标准规定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十一、本规定自发布之日起实施。</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附：金融业企业划型标准</w:t>
      </w:r>
    </w:p>
    <w:p>
      <w:pPr>
        <w:widowControl/>
        <w:shd w:val="clear" w:color="auto" w:fill="FFFFFF"/>
        <w:spacing w:before="150" w:line="600" w:lineRule="atLeast"/>
        <w:jc w:val="center"/>
        <w:textAlignment w:val="baseline"/>
        <w:outlineLvl w:val="0"/>
        <w:rPr>
          <w:rFonts w:hint="eastAsia" w:ascii="宋体" w:hAnsi="宋体" w:eastAsia="宋体" w:cs="宋体"/>
          <w:b/>
          <w:bCs/>
          <w:color w:val="auto"/>
          <w:kern w:val="0"/>
          <w:sz w:val="21"/>
          <w:szCs w:val="21"/>
          <w:highlight w:val="none"/>
        </w:rPr>
      </w:pPr>
      <w:bookmarkStart w:id="150" w:name="_Toc30191"/>
      <w:r>
        <w:rPr>
          <w:rFonts w:hint="eastAsia" w:ascii="宋体" w:hAnsi="宋体" w:eastAsia="宋体" w:cs="宋体"/>
          <w:b/>
          <w:bCs/>
          <w:color w:val="auto"/>
          <w:kern w:val="0"/>
          <w:sz w:val="21"/>
          <w:szCs w:val="21"/>
          <w:highlight w:val="none"/>
        </w:rPr>
        <w:t>金融业企业划型标准</w:t>
      </w:r>
      <w:bookmarkEnd w:id="150"/>
    </w:p>
    <w:tbl>
      <w:tblPr>
        <w:tblStyle w:val="2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货币金融服务</w:t>
            </w: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货币银行服务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银行业存款类金融机构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非货币银行服务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银行业非存款类金融机构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贷款公司、小额贷款公司及典当行</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资本市场服务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证券业金融机构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其他金融业</w:t>
            </w: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金融信托与管理服务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信托公司</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控股公司服务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金融控股公司</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其他未包括的金融业</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除贷款公司、小额贷款公司及典当行以外的其他金融机构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bl>
    <w:p>
      <w:pPr>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rPr>
      </w:pPr>
    </w:p>
    <w:p>
      <w:pPr>
        <w:spacing w:line="360" w:lineRule="auto"/>
        <w:ind w:right="420"/>
        <w:rPr>
          <w:rFonts w:hint="eastAsia" w:ascii="宋体" w:hAnsi="宋体" w:eastAsia="宋体" w:cs="宋体"/>
          <w:color w:val="auto"/>
          <w:sz w:val="21"/>
          <w:szCs w:val="21"/>
          <w:highlight w:val="none"/>
        </w:rPr>
      </w:pPr>
    </w:p>
    <w:p>
      <w:pPr>
        <w:spacing w:line="360" w:lineRule="auto"/>
        <w:rPr>
          <w:rFonts w:hint="eastAsia" w:ascii="宋体" w:hAnsi="宋体" w:eastAsia="宋体" w:cs="宋体"/>
          <w:bCs/>
          <w:color w:val="auto"/>
          <w:sz w:val="21"/>
          <w:szCs w:val="21"/>
          <w:highlight w:val="none"/>
        </w:rPr>
      </w:pPr>
    </w:p>
    <w:p>
      <w:pPr>
        <w:rPr>
          <w:rFonts w:hint="eastAsia" w:ascii="宋体" w:hAnsi="宋体" w:eastAsia="宋体" w:cs="宋体"/>
          <w:color w:val="auto"/>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Cs/>
          <w:color w:val="auto"/>
          <w:szCs w:val="21"/>
          <w:highlight w:val="none"/>
        </w:rPr>
      </w:pPr>
    </w:p>
    <w:p>
      <w:pPr>
        <w:rPr>
          <w:rFonts w:hint="eastAsia" w:ascii="宋体" w:hAnsi="宋体" w:eastAsia="宋体" w:cs="宋体"/>
          <w:color w:val="auto"/>
          <w:highlight w:val="none"/>
        </w:rPr>
      </w:pPr>
    </w:p>
    <w:sectPr>
      <w:headerReference r:id="rId12" w:type="default"/>
      <w:footerReference r:id="rId13" w:type="default"/>
      <w:pgSz w:w="11906" w:h="16838"/>
      <w:pgMar w:top="1389" w:right="1417" w:bottom="1389" w:left="1134"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tabs>
        <w:tab w:val="left" w:pos="3776"/>
        <w:tab w:val="center" w:pos="4624"/>
      </w:tabs>
    </w:pPr>
  </w:p>
  <w:p>
    <w:pPr>
      <w:pStyle w:val="13"/>
      <w:tabs>
        <w:tab w:val="left" w:pos="3776"/>
        <w:tab w:val="center" w:pos="4624"/>
      </w:tabs>
    </w:pPr>
    <w:r>
      <mc:AlternateContent>
        <mc:Choice Requires="wps">
          <w:drawing>
            <wp:anchor distT="0" distB="0" distL="114300" distR="114300" simplePos="0" relativeHeight="251660288"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0288;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w:t>
    </w:r>
    <w:r>
      <w:t xml:space="preserve"> 25 -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pBdr>
      <w:ind w:firstLine="360" w:firstLineChars="200"/>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B720F65"/>
    <w:multiLevelType w:val="singleLevel"/>
    <w:tmpl w:val="3B720F65"/>
    <w:lvl w:ilvl="0" w:tentative="0">
      <w:start w:val="2"/>
      <w:numFmt w:val="chineseCounting"/>
      <w:suff w:val="nothing"/>
      <w:lvlText w:val="%1、"/>
      <w:lvlJc w:val="left"/>
      <w:rPr>
        <w:rFonts w:hint="eastAsia"/>
      </w:rPr>
    </w:lvl>
  </w:abstractNum>
  <w:abstractNum w:abstractNumId="3">
    <w:nsid w:val="62E47282"/>
    <w:multiLevelType w:val="singleLevel"/>
    <w:tmpl w:val="62E47282"/>
    <w:lvl w:ilvl="0" w:tentative="0">
      <w:start w:val="1"/>
      <w:numFmt w:val="decimal"/>
      <w:pStyle w:val="6"/>
      <w:lvlText w:val="%1."/>
      <w:lvlJc w:val="left"/>
      <w:pPr>
        <w:tabs>
          <w:tab w:val="left"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40354AB8"/>
    <w:rsid w:val="0028638D"/>
    <w:rsid w:val="00474796"/>
    <w:rsid w:val="020948CB"/>
    <w:rsid w:val="022F6184"/>
    <w:rsid w:val="02CC19AE"/>
    <w:rsid w:val="03A8567C"/>
    <w:rsid w:val="040723CF"/>
    <w:rsid w:val="05B60781"/>
    <w:rsid w:val="07D45F5E"/>
    <w:rsid w:val="093B630F"/>
    <w:rsid w:val="099E2F5C"/>
    <w:rsid w:val="09D57B0D"/>
    <w:rsid w:val="09EC1385"/>
    <w:rsid w:val="0DE756B7"/>
    <w:rsid w:val="0F1E11FD"/>
    <w:rsid w:val="0F5D7DBE"/>
    <w:rsid w:val="0FF81382"/>
    <w:rsid w:val="11F25F4F"/>
    <w:rsid w:val="12950F2B"/>
    <w:rsid w:val="14526374"/>
    <w:rsid w:val="14AA63B5"/>
    <w:rsid w:val="15C62370"/>
    <w:rsid w:val="18134240"/>
    <w:rsid w:val="19F723CB"/>
    <w:rsid w:val="1B20408F"/>
    <w:rsid w:val="1CE331AB"/>
    <w:rsid w:val="1D160ED5"/>
    <w:rsid w:val="1E7E7254"/>
    <w:rsid w:val="1EFC582C"/>
    <w:rsid w:val="20134B23"/>
    <w:rsid w:val="201D3BF5"/>
    <w:rsid w:val="20867129"/>
    <w:rsid w:val="209F5CD9"/>
    <w:rsid w:val="218454E6"/>
    <w:rsid w:val="23A352D2"/>
    <w:rsid w:val="23B256DB"/>
    <w:rsid w:val="27620901"/>
    <w:rsid w:val="28DE5D61"/>
    <w:rsid w:val="2908043B"/>
    <w:rsid w:val="29783E43"/>
    <w:rsid w:val="29956EC1"/>
    <w:rsid w:val="2A8A2FAB"/>
    <w:rsid w:val="2B436AB5"/>
    <w:rsid w:val="2EC156B9"/>
    <w:rsid w:val="2F4A4377"/>
    <w:rsid w:val="31767A44"/>
    <w:rsid w:val="320E5745"/>
    <w:rsid w:val="35985C58"/>
    <w:rsid w:val="37C35B99"/>
    <w:rsid w:val="3B242D32"/>
    <w:rsid w:val="3BCF1E4C"/>
    <w:rsid w:val="3CC33C65"/>
    <w:rsid w:val="3CE778D4"/>
    <w:rsid w:val="3D8F3CE1"/>
    <w:rsid w:val="3F714450"/>
    <w:rsid w:val="3FFE55E8"/>
    <w:rsid w:val="40354AB8"/>
    <w:rsid w:val="406944C9"/>
    <w:rsid w:val="40AC70E3"/>
    <w:rsid w:val="43127F30"/>
    <w:rsid w:val="43C46B0B"/>
    <w:rsid w:val="44095471"/>
    <w:rsid w:val="45AF1221"/>
    <w:rsid w:val="48A36879"/>
    <w:rsid w:val="48E05535"/>
    <w:rsid w:val="4AEE0E52"/>
    <w:rsid w:val="4BFF4172"/>
    <w:rsid w:val="4C1A62DB"/>
    <w:rsid w:val="4C5600CA"/>
    <w:rsid w:val="4C6E0480"/>
    <w:rsid w:val="4DB36D48"/>
    <w:rsid w:val="4E103510"/>
    <w:rsid w:val="4E2D0D86"/>
    <w:rsid w:val="4E566147"/>
    <w:rsid w:val="4E5711AD"/>
    <w:rsid w:val="4F0E23D9"/>
    <w:rsid w:val="4F473A3B"/>
    <w:rsid w:val="5163240B"/>
    <w:rsid w:val="52A760FB"/>
    <w:rsid w:val="52BD53F6"/>
    <w:rsid w:val="5458255D"/>
    <w:rsid w:val="54EE370E"/>
    <w:rsid w:val="552F56E3"/>
    <w:rsid w:val="557813A3"/>
    <w:rsid w:val="570F646A"/>
    <w:rsid w:val="57AE7C1B"/>
    <w:rsid w:val="57D22F2E"/>
    <w:rsid w:val="584F1434"/>
    <w:rsid w:val="5B6C0048"/>
    <w:rsid w:val="5BCD0A4D"/>
    <w:rsid w:val="5CA52F68"/>
    <w:rsid w:val="5D0B6660"/>
    <w:rsid w:val="5D323ADA"/>
    <w:rsid w:val="5D780C80"/>
    <w:rsid w:val="5F2B24A8"/>
    <w:rsid w:val="5FCE45DE"/>
    <w:rsid w:val="5FCF3385"/>
    <w:rsid w:val="5FF7C993"/>
    <w:rsid w:val="5FFC1461"/>
    <w:rsid w:val="6141071D"/>
    <w:rsid w:val="61846EEE"/>
    <w:rsid w:val="61E305D9"/>
    <w:rsid w:val="63B96EC6"/>
    <w:rsid w:val="63D04C1A"/>
    <w:rsid w:val="65554DD2"/>
    <w:rsid w:val="65DE75D5"/>
    <w:rsid w:val="678E542B"/>
    <w:rsid w:val="67BC715D"/>
    <w:rsid w:val="683A62DB"/>
    <w:rsid w:val="684901FB"/>
    <w:rsid w:val="687F3886"/>
    <w:rsid w:val="692940C5"/>
    <w:rsid w:val="69907AEF"/>
    <w:rsid w:val="6A303139"/>
    <w:rsid w:val="6C4A7E04"/>
    <w:rsid w:val="6CA6670F"/>
    <w:rsid w:val="6DF73BC6"/>
    <w:rsid w:val="6E9B2026"/>
    <w:rsid w:val="6FA523FE"/>
    <w:rsid w:val="6FD8258B"/>
    <w:rsid w:val="70196DFB"/>
    <w:rsid w:val="7054246F"/>
    <w:rsid w:val="710B4F07"/>
    <w:rsid w:val="71A24768"/>
    <w:rsid w:val="72D8301C"/>
    <w:rsid w:val="74223B5E"/>
    <w:rsid w:val="746364D7"/>
    <w:rsid w:val="75524ADD"/>
    <w:rsid w:val="7573122D"/>
    <w:rsid w:val="77FF6DFE"/>
    <w:rsid w:val="785328EF"/>
    <w:rsid w:val="787D5C56"/>
    <w:rsid w:val="794D4130"/>
    <w:rsid w:val="7B027201"/>
    <w:rsid w:val="7BF460B1"/>
    <w:rsid w:val="7C195D5C"/>
    <w:rsid w:val="7E5A4A35"/>
    <w:rsid w:val="7F164405"/>
    <w:rsid w:val="7FB47571"/>
    <w:rsid w:val="9AFBC3A7"/>
    <w:rsid w:val="B87F6541"/>
    <w:rsid w:val="BD7FFC9B"/>
    <w:rsid w:val="C6FFA9BF"/>
    <w:rsid w:val="CE2F7742"/>
    <w:rsid w:val="DDFD5AAB"/>
    <w:rsid w:val="DF470BDB"/>
    <w:rsid w:val="F2FF676B"/>
    <w:rsid w:val="F77F04F9"/>
    <w:rsid w:val="FFB784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b/>
      <w:bCs/>
      <w:spacing w:val="20"/>
      <w:kern w:val="52"/>
      <w:sz w:val="56"/>
      <w:szCs w:val="24"/>
    </w:rPr>
  </w:style>
  <w:style w:type="paragraph" w:styleId="6">
    <w:name w:val="List Number"/>
    <w:basedOn w:val="1"/>
    <w:next w:val="7"/>
    <w:qFormat/>
    <w:uiPriority w:val="0"/>
    <w:pPr>
      <w:numPr>
        <w:ilvl w:val="0"/>
        <w:numId w:val="2"/>
      </w:numPr>
    </w:pPr>
  </w:style>
  <w:style w:type="paragraph" w:styleId="7">
    <w:name w:val="Balloon Text"/>
    <w:basedOn w:val="1"/>
    <w:qFormat/>
    <w:uiPriority w:val="0"/>
    <w:rPr>
      <w:sz w:val="18"/>
      <w:szCs w:val="18"/>
    </w:rPr>
  </w:style>
  <w:style w:type="paragraph" w:styleId="8">
    <w:name w:val="Normal Indent"/>
    <w:basedOn w:val="1"/>
    <w:next w:val="9"/>
    <w:qFormat/>
    <w:uiPriority w:val="0"/>
    <w:pPr>
      <w:ind w:firstLine="420" w:firstLineChars="200"/>
    </w:pPr>
  </w:style>
  <w:style w:type="paragraph" w:styleId="9">
    <w:name w:val="toc 4"/>
    <w:basedOn w:val="1"/>
    <w:next w:val="1"/>
    <w:unhideWhenUsed/>
    <w:qFormat/>
    <w:uiPriority w:val="39"/>
    <w:pPr>
      <w:ind w:left="1260" w:leftChars="600"/>
    </w:pPr>
  </w:style>
  <w:style w:type="paragraph" w:styleId="10">
    <w:name w:val="annotation text"/>
    <w:basedOn w:val="1"/>
    <w:unhideWhenUsed/>
    <w:qFormat/>
    <w:uiPriority w:val="0"/>
    <w:pPr>
      <w:jc w:val="left"/>
    </w:pPr>
    <w:rPr>
      <w:rFonts w:ascii="仿宋_GB2312" w:eastAsia="仿宋_GB2312"/>
      <w:sz w:val="28"/>
      <w:szCs w:val="28"/>
    </w:rPr>
  </w:style>
  <w:style w:type="paragraph" w:styleId="11">
    <w:name w:val="Body Text Indent"/>
    <w:basedOn w:val="1"/>
    <w:qFormat/>
    <w:uiPriority w:val="0"/>
    <w:pPr>
      <w:spacing w:line="480" w:lineRule="atLeast"/>
      <w:ind w:firstLine="570"/>
    </w:pPr>
    <w:rPr>
      <w:rFonts w:ascii="黑体" w:eastAsia="黑体"/>
    </w:rPr>
  </w:style>
  <w:style w:type="paragraph" w:styleId="12">
    <w:name w:val="Plain Text"/>
    <w:basedOn w:val="1"/>
    <w:next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line="360" w:lineRule="auto"/>
    </w:pPr>
    <w:rPr>
      <w:rFonts w:eastAsia="FangSong_GB2312"/>
      <w:sz w:val="32"/>
    </w:rPr>
  </w:style>
  <w:style w:type="paragraph" w:styleId="16">
    <w:name w:val="toc 6"/>
    <w:basedOn w:val="1"/>
    <w:next w:val="1"/>
    <w:qFormat/>
    <w:uiPriority w:val="0"/>
    <w:pPr>
      <w:ind w:left="2100" w:leftChars="1000"/>
    </w:pPr>
  </w:style>
  <w:style w:type="paragraph" w:styleId="17">
    <w:name w:val="toc 2"/>
    <w:basedOn w:val="1"/>
    <w:next w:val="1"/>
    <w:qFormat/>
    <w:uiPriority w:val="39"/>
    <w:pPr>
      <w:ind w:left="210"/>
      <w:jc w:val="left"/>
    </w:pPr>
    <w:rPr>
      <w:rFonts w:ascii="FangSong_GB2312" w:eastAsia="FangSong_GB2312"/>
      <w:smallCaps/>
      <w:sz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20">
    <w:name w:val="Body Text First Indent"/>
    <w:basedOn w:val="2"/>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21">
    <w:name w:val="Body Text First Indent 2"/>
    <w:basedOn w:val="11"/>
    <w:next w:val="8"/>
    <w:qFormat/>
    <w:uiPriority w:val="0"/>
    <w:pPr>
      <w:spacing w:after="120" w:line="240" w:lineRule="auto"/>
      <w:ind w:left="420" w:leftChars="200" w:firstLine="420" w:firstLineChars="200"/>
    </w:pPr>
    <w:rPr>
      <w:rFonts w:ascii="Times New Roman"/>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29">
    <w:name w:val="[Normal]"/>
    <w:qFormat/>
    <w:locked/>
    <w:uiPriority w:val="0"/>
    <w:rPr>
      <w:rFonts w:ascii="宋体" w:hAnsi="宋体" w:eastAsia="宋体" w:cs="Times New Roman"/>
      <w:sz w:val="24"/>
      <w:szCs w:val="22"/>
      <w:lang w:val="zh-CN" w:eastAsia="zh-CN" w:bidi="ar-SA"/>
    </w:rPr>
  </w:style>
  <w:style w:type="character" w:customStyle="1" w:styleId="30">
    <w:name w:val="标题 2 Char"/>
    <w:basedOn w:val="24"/>
    <w:link w:val="4"/>
    <w:qFormat/>
    <w:locked/>
    <w:uiPriority w:val="0"/>
    <w:rPr>
      <w:rFonts w:ascii="Arial" w:hAnsi="Arial" w:eastAsia="黑体"/>
      <w:b/>
      <w:bCs/>
      <w:sz w:val="32"/>
      <w:szCs w:val="32"/>
    </w:rPr>
  </w:style>
  <w:style w:type="paragraph" w:customStyle="1" w:styleId="31">
    <w:name w:val="正文缩进2格"/>
    <w:basedOn w:val="1"/>
    <w:qFormat/>
    <w:locked/>
    <w:uiPriority w:val="0"/>
    <w:pPr>
      <w:spacing w:line="600" w:lineRule="exact"/>
      <w:ind w:firstLine="639" w:firstLineChars="206"/>
    </w:pPr>
    <w:rPr>
      <w:rFonts w:ascii="FangSong_GB2312" w:hAnsi="宋体" w:eastAsia="FangSong_GB2312"/>
      <w:sz w:val="31"/>
      <w:szCs w:val="28"/>
    </w:rPr>
  </w:style>
  <w:style w:type="paragraph" w:customStyle="1" w:styleId="32">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1"/>
    <w:basedOn w:val="4"/>
    <w:qFormat/>
    <w:locked/>
    <w:uiPriority w:val="0"/>
    <w:pPr>
      <w:spacing w:line="415" w:lineRule="auto"/>
      <w:jc w:val="center"/>
    </w:pPr>
    <w:rPr>
      <w:rFonts w:ascii="宋体" w:hAnsi="宋体"/>
      <w:sz w:val="36"/>
      <w:szCs w:val="36"/>
    </w:rPr>
  </w:style>
  <w:style w:type="paragraph" w:customStyle="1" w:styleId="34">
    <w:name w:val="Style1"/>
    <w:basedOn w:val="1"/>
    <w:qFormat/>
    <w:locked/>
    <w:uiPriority w:val="0"/>
    <w:pPr>
      <w:widowControl/>
    </w:pPr>
    <w:rPr>
      <w:spacing w:val="-3"/>
      <w:kern w:val="0"/>
      <w:sz w:val="24"/>
      <w:lang w:val="en-AU" w:eastAsia="en-US"/>
    </w:rPr>
  </w:style>
  <w:style w:type="character" w:customStyle="1" w:styleId="35">
    <w:name w:val="font71"/>
    <w:basedOn w:val="24"/>
    <w:qFormat/>
    <w:uiPriority w:val="0"/>
    <w:rPr>
      <w:rFonts w:ascii="微软雅黑" w:hAnsi="微软雅黑" w:eastAsia="微软雅黑" w:cs="微软雅黑"/>
      <w:color w:val="auto"/>
      <w:sz w:val="22"/>
      <w:szCs w:val="22"/>
      <w:u w:val="none"/>
    </w:rPr>
  </w:style>
  <w:style w:type="paragraph" w:customStyle="1" w:styleId="36">
    <w:name w:val="列出段落1"/>
    <w:basedOn w:val="1"/>
    <w:qFormat/>
    <w:uiPriority w:val="34"/>
    <w:pPr>
      <w:spacing w:line="360" w:lineRule="auto"/>
      <w:ind w:firstLine="420" w:firstLineChars="200"/>
      <w:jc w:val="left"/>
    </w:pPr>
    <w:rPr>
      <w:rFonts w:eastAsia="微软雅黑"/>
      <w:sz w:val="24"/>
      <w:szCs w:val="21"/>
    </w:rPr>
  </w:style>
  <w:style w:type="paragraph" w:styleId="37">
    <w:name w:val="List Paragraph"/>
    <w:basedOn w:val="1"/>
    <w:qFormat/>
    <w:uiPriority w:val="99"/>
    <w:pPr>
      <w:ind w:firstLine="420" w:firstLineChars="200"/>
    </w:pPr>
    <w:rPr>
      <w:rFonts w:ascii="Calibri" w:hAnsi="Calibri" w:eastAsia="仿宋_GB2312"/>
      <w:sz w:val="28"/>
      <w:szCs w:val="22"/>
    </w:rPr>
  </w:style>
  <w:style w:type="paragraph" w:customStyle="1" w:styleId="38">
    <w:name w:val="BodyText1I"/>
    <w:basedOn w:val="1"/>
    <w:qFormat/>
    <w:uiPriority w:val="0"/>
    <w:pPr>
      <w:ind w:firstLine="420" w:firstLineChars="100"/>
      <w:textAlignment w:val="baseline"/>
    </w:pPr>
    <w:rPr>
      <w:rFonts w:ascii="宋体" w:hAnsi="宋体"/>
      <w:szCs w:val="21"/>
      <w:lang w:val="zh-CN" w:bidi="zh-CN"/>
    </w:rPr>
  </w:style>
  <w:style w:type="paragraph" w:customStyle="1" w:styleId="39">
    <w:name w:val="List Paragraph1"/>
    <w:basedOn w:val="1"/>
    <w:qFormat/>
    <w:uiPriority w:val="0"/>
    <w:pPr>
      <w:ind w:firstLine="420" w:firstLineChars="200"/>
    </w:pPr>
    <w:rPr>
      <w:rFonts w:ascii="Calibri" w:hAnsi="Calibri" w:cs="黑体"/>
    </w:rPr>
  </w:style>
  <w:style w:type="paragraph" w:customStyle="1" w:styleId="40">
    <w:name w:val="正文文本缩进1"/>
    <w:basedOn w:val="1"/>
    <w:qFormat/>
    <w:locked/>
    <w:uiPriority w:val="0"/>
    <w:pPr>
      <w:spacing w:after="120"/>
      <w:ind w:left="420" w:leftChars="200"/>
    </w:pPr>
    <w:rPr>
      <w:sz w:val="24"/>
    </w:rPr>
  </w:style>
  <w:style w:type="paragraph" w:customStyle="1" w:styleId="41">
    <w:name w:val="表格文字"/>
    <w:basedOn w:val="42"/>
    <w:next w:val="2"/>
    <w:qFormat/>
    <w:uiPriority w:val="0"/>
    <w:pPr>
      <w:adjustRightInd/>
      <w:ind w:firstLine="200" w:firstLineChars="200"/>
    </w:pPr>
    <w:rPr>
      <w:rFonts w:ascii="Arial" w:hAnsi="Arial"/>
      <w:spacing w:val="-5"/>
      <w:kern w:val="0"/>
      <w:sz w:val="24"/>
      <w:szCs w:val="20"/>
    </w:rPr>
  </w:style>
  <w:style w:type="paragraph" w:customStyle="1" w:styleId="42">
    <w:name w:val="表格文字（两侧对齐）"/>
    <w:basedOn w:val="1"/>
    <w:qFormat/>
    <w:uiPriority w:val="0"/>
    <w:pPr>
      <w:snapToGrid w:val="0"/>
      <w:jc w:val="left"/>
    </w:pPr>
    <w:rPr>
      <w:rFonts w:ascii="Times New Roman" w:hAnsi="Times New Roman" w:eastAsia="宋体" w:cs="Times New Roman"/>
      <w:color w:val="auto"/>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25574</Words>
  <Characters>27227</Characters>
  <Lines>0</Lines>
  <Paragraphs>0</Paragraphs>
  <TotalTime>10</TotalTime>
  <ScaleCrop>false</ScaleCrop>
  <LinksUpToDate>false</LinksUpToDate>
  <CharactersWithSpaces>29327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2022-04-06T00:45:00Z</dcterms:created>
  <dc:creator>DELL</dc:creator>
  <cp:lastModifiedBy>1</cp:lastModifiedBy>
  <cp:lastPrinted>2023-08-13T16:58:00Z</cp:lastPrinted>
  <dcterms:modified xsi:type="dcterms:W3CDTF">2025-03-07T08:26:28Z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0932EB544A084B41B26285BDE33A23F4_13</vt:lpwstr>
  </property>
</Properties>
</file>