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CDFD">
      <w:pPr>
        <w:adjustRightInd/>
        <w:spacing w:line="360" w:lineRule="auto"/>
        <w:jc w:val="center"/>
        <w:rPr>
          <w:rFonts w:ascii="仿宋_GB2312" w:hAnsi="仿宋" w:eastAsia="仿宋_GB2312" w:cs="仿宋_GB2312"/>
          <w:b/>
          <w:color w:val="auto"/>
          <w:sz w:val="48"/>
          <w:szCs w:val="48"/>
          <w:highlight w:val="none"/>
        </w:rPr>
      </w:pPr>
    </w:p>
    <w:p w14:paraId="027A8568">
      <w:pPr>
        <w:pStyle w:val="3"/>
        <w:rPr>
          <w:color w:val="auto"/>
          <w:highlight w:val="none"/>
        </w:rPr>
      </w:pPr>
    </w:p>
    <w:p w14:paraId="618E6C9B">
      <w:pPr>
        <w:adjustRightInd/>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外送检验服务</w:t>
      </w:r>
    </w:p>
    <w:p w14:paraId="523DABCC">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标</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文</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件</w:t>
      </w:r>
    </w:p>
    <w:p w14:paraId="70479DC3">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（电子招投标）</w:t>
      </w:r>
    </w:p>
    <w:p w14:paraId="1A96E3EB">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ascii="仿宋" w:hAnsi="仿宋" w:eastAsia="仿宋" w:cs="仿宋"/>
          <w:color w:val="auto"/>
          <w:w w:val="80"/>
          <w:sz w:val="30"/>
          <w:szCs w:val="30"/>
          <w:highlight w:val="none"/>
          <w:lang w:bidi="th-TH"/>
        </w:rPr>
        <w:t>:</w:t>
      </w:r>
      <w:r>
        <w:rPr>
          <w:rFonts w:hint="eastAsia" w:ascii="仿宋" w:hAnsi="仿宋" w:eastAsia="仿宋" w:cs="仿宋"/>
          <w:color w:val="auto"/>
          <w:w w:val="80"/>
          <w:sz w:val="30"/>
          <w:szCs w:val="30"/>
          <w:highlight w:val="none"/>
          <w:lang w:eastAsia="zh-CN" w:bidi="th-TH"/>
        </w:rPr>
        <w:t>ZJ-2432431-04</w:t>
      </w:r>
    </w:p>
    <w:p w14:paraId="1CE603F7">
      <w:pPr>
        <w:adjustRightInd/>
        <w:spacing w:line="360" w:lineRule="auto"/>
        <w:rPr>
          <w:rFonts w:ascii="仿宋" w:hAnsi="仿宋" w:eastAsia="仿宋" w:cs="仿宋"/>
          <w:color w:val="auto"/>
          <w:sz w:val="28"/>
          <w:szCs w:val="20"/>
          <w:highlight w:val="none"/>
        </w:rPr>
      </w:pPr>
    </w:p>
    <w:p w14:paraId="695083BB">
      <w:pPr>
        <w:spacing w:line="360" w:lineRule="auto"/>
        <w:jc w:val="center"/>
        <w:rPr>
          <w:rFonts w:ascii="仿宋" w:hAnsi="仿宋" w:eastAsia="仿宋" w:cs="仿宋"/>
          <w:b/>
          <w:color w:val="auto"/>
          <w:sz w:val="44"/>
          <w:szCs w:val="44"/>
          <w:highlight w:val="none"/>
        </w:rPr>
      </w:pPr>
    </w:p>
    <w:p w14:paraId="7F07B64B">
      <w:pPr>
        <w:pStyle w:val="24"/>
        <w:rPr>
          <w:color w:val="auto"/>
          <w:highlight w:val="none"/>
        </w:rPr>
      </w:pPr>
    </w:p>
    <w:p w14:paraId="6A0EF337">
      <w:pPr>
        <w:spacing w:line="360" w:lineRule="auto"/>
        <w:jc w:val="center"/>
        <w:rPr>
          <w:rFonts w:ascii="仿宋" w:hAnsi="仿宋" w:eastAsia="仿宋" w:cs="仿宋"/>
          <w:b/>
          <w:color w:val="auto"/>
          <w:sz w:val="44"/>
          <w:szCs w:val="44"/>
          <w:highlight w:val="none"/>
        </w:rPr>
      </w:pPr>
    </w:p>
    <w:p w14:paraId="485FA277">
      <w:pPr>
        <w:spacing w:line="360" w:lineRule="auto"/>
        <w:jc w:val="center"/>
        <w:rPr>
          <w:rFonts w:ascii="仿宋" w:hAnsi="仿宋" w:eastAsia="仿宋" w:cs="仿宋"/>
          <w:color w:val="auto"/>
          <w:sz w:val="24"/>
          <w:highlight w:val="none"/>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14:paraId="2B7F3D99">
        <w:tblPrEx>
          <w:tblCellMar>
            <w:top w:w="0" w:type="dxa"/>
            <w:left w:w="108" w:type="dxa"/>
            <w:bottom w:w="0" w:type="dxa"/>
            <w:right w:w="108" w:type="dxa"/>
          </w:tblCellMar>
        </w:tblPrEx>
        <w:trPr>
          <w:trHeight w:val="680" w:hRule="atLeast"/>
          <w:jc w:val="center"/>
        </w:trPr>
        <w:tc>
          <w:tcPr>
            <w:tcW w:w="2032" w:type="dxa"/>
            <w:vAlign w:val="center"/>
          </w:tcPr>
          <w:p w14:paraId="11F94A46">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2EA9CFB1">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4975149B">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杭州师范大学附属医院</w:t>
            </w:r>
          </w:p>
        </w:tc>
      </w:tr>
      <w:tr w14:paraId="6C814AEE">
        <w:tblPrEx>
          <w:tblCellMar>
            <w:top w:w="0" w:type="dxa"/>
            <w:left w:w="108" w:type="dxa"/>
            <w:bottom w:w="0" w:type="dxa"/>
            <w:right w:w="108" w:type="dxa"/>
          </w:tblCellMar>
        </w:tblPrEx>
        <w:trPr>
          <w:trHeight w:val="297" w:hRule="atLeast"/>
          <w:jc w:val="center"/>
        </w:trPr>
        <w:tc>
          <w:tcPr>
            <w:tcW w:w="2032" w:type="dxa"/>
            <w:vAlign w:val="center"/>
          </w:tcPr>
          <w:p w14:paraId="3D3D418A">
            <w:pPr>
              <w:snapToGrid w:val="0"/>
              <w:jc w:val="distribute"/>
              <w:rPr>
                <w:rFonts w:ascii="仿宋" w:hAnsi="仿宋" w:eastAsia="仿宋" w:cs="仿宋"/>
                <w:color w:val="auto"/>
                <w:szCs w:val="21"/>
                <w:highlight w:val="none"/>
              </w:rPr>
            </w:pPr>
          </w:p>
        </w:tc>
        <w:tc>
          <w:tcPr>
            <w:tcW w:w="516" w:type="dxa"/>
            <w:vAlign w:val="center"/>
          </w:tcPr>
          <w:p w14:paraId="647FAF0E">
            <w:pPr>
              <w:snapToGrid w:val="0"/>
              <w:jc w:val="distribute"/>
              <w:rPr>
                <w:rFonts w:ascii="仿宋" w:hAnsi="仿宋" w:eastAsia="仿宋" w:cs="仿宋"/>
                <w:color w:val="auto"/>
                <w:szCs w:val="21"/>
                <w:highlight w:val="none"/>
              </w:rPr>
            </w:pPr>
          </w:p>
        </w:tc>
        <w:tc>
          <w:tcPr>
            <w:tcW w:w="4411" w:type="dxa"/>
            <w:vAlign w:val="center"/>
          </w:tcPr>
          <w:p w14:paraId="243CE3A2">
            <w:pPr>
              <w:snapToGrid w:val="0"/>
              <w:jc w:val="distribute"/>
              <w:rPr>
                <w:rFonts w:ascii="仿宋" w:hAnsi="仿宋" w:eastAsia="仿宋" w:cs="仿宋"/>
                <w:color w:val="auto"/>
                <w:szCs w:val="21"/>
                <w:highlight w:val="none"/>
              </w:rPr>
            </w:pPr>
          </w:p>
        </w:tc>
      </w:tr>
      <w:tr w14:paraId="2561E108">
        <w:tblPrEx>
          <w:tblCellMar>
            <w:top w:w="0" w:type="dxa"/>
            <w:left w:w="108" w:type="dxa"/>
            <w:bottom w:w="0" w:type="dxa"/>
            <w:right w:w="108" w:type="dxa"/>
          </w:tblCellMar>
        </w:tblPrEx>
        <w:trPr>
          <w:trHeight w:val="680" w:hRule="atLeast"/>
          <w:jc w:val="center"/>
        </w:trPr>
        <w:tc>
          <w:tcPr>
            <w:tcW w:w="2032" w:type="dxa"/>
            <w:vAlign w:val="center"/>
          </w:tcPr>
          <w:p w14:paraId="766254FC">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6B4AEB7F">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2738426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473317E6">
        <w:tblPrEx>
          <w:tblCellMar>
            <w:top w:w="0" w:type="dxa"/>
            <w:left w:w="108" w:type="dxa"/>
            <w:bottom w:w="0" w:type="dxa"/>
            <w:right w:w="108" w:type="dxa"/>
          </w:tblCellMar>
        </w:tblPrEx>
        <w:trPr>
          <w:trHeight w:val="680" w:hRule="atLeast"/>
          <w:jc w:val="center"/>
        </w:trPr>
        <w:tc>
          <w:tcPr>
            <w:tcW w:w="6959" w:type="dxa"/>
            <w:gridSpan w:val="3"/>
            <w:vAlign w:val="bottom"/>
          </w:tcPr>
          <w:p w14:paraId="4675AFD1">
            <w:pPr>
              <w:snapToGrid w:val="0"/>
              <w:jc w:val="center"/>
              <w:rPr>
                <w:rFonts w:ascii="仿宋" w:hAnsi="仿宋" w:eastAsia="仿宋" w:cs="仿宋"/>
                <w:color w:val="auto"/>
                <w:sz w:val="30"/>
                <w:szCs w:val="30"/>
                <w:highlight w:val="none"/>
              </w:rPr>
            </w:pPr>
            <w:r>
              <w:rPr>
                <w:rFonts w:ascii="仿宋" w:hAnsi="仿宋" w:eastAsia="仿宋" w:cs="仿宋"/>
                <w:color w:val="auto"/>
                <w:sz w:val="30"/>
                <w:szCs w:val="30"/>
                <w:highlight w:val="none"/>
              </w:rPr>
              <w:t>202</w:t>
            </w:r>
            <w:r>
              <w:rPr>
                <w:rFonts w:hint="eastAsia" w:ascii="仿宋" w:hAnsi="仿宋" w:eastAsia="仿宋" w:cs="仿宋"/>
                <w:color w:val="auto"/>
                <w:sz w:val="30"/>
                <w:szCs w:val="30"/>
                <w:highlight w:val="none"/>
              </w:rPr>
              <w:t>4年9月</w:t>
            </w:r>
          </w:p>
        </w:tc>
      </w:tr>
    </w:tbl>
    <w:p w14:paraId="6FF657E6">
      <w:pPr>
        <w:rPr>
          <w:rFonts w:ascii="仿宋" w:hAnsi="仿宋" w:eastAsia="仿宋" w:cs="仿宋_GB2312"/>
          <w:b/>
          <w:color w:val="auto"/>
          <w:sz w:val="48"/>
          <w:szCs w:val="48"/>
          <w:highlight w:val="none"/>
        </w:rPr>
      </w:pPr>
      <w:bookmarkStart w:id="0" w:name="_Hlt67893495"/>
      <w:bookmarkEnd w:id="0"/>
      <w:r>
        <w:rPr>
          <w:rFonts w:ascii="仿宋" w:hAnsi="仿宋" w:eastAsia="仿宋" w:cs="仿宋_GB2312"/>
          <w:b/>
          <w:color w:val="auto"/>
          <w:sz w:val="48"/>
          <w:szCs w:val="48"/>
          <w:highlight w:val="none"/>
        </w:rPr>
        <w:br w:type="page"/>
      </w:r>
    </w:p>
    <w:p w14:paraId="4CE5F100">
      <w:pPr>
        <w:spacing w:line="360" w:lineRule="auto"/>
        <w:jc w:val="center"/>
        <w:rPr>
          <w:rFonts w:ascii="仿宋" w:hAnsi="仿宋" w:eastAsia="仿宋" w:cs="仿宋_GB2312"/>
          <w:b/>
          <w:color w:val="auto"/>
          <w:sz w:val="48"/>
          <w:szCs w:val="48"/>
          <w:highlight w:val="none"/>
        </w:rPr>
      </w:pPr>
    </w:p>
    <w:p w14:paraId="207397D8">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2CA710DE">
      <w:pPr>
        <w:spacing w:line="360" w:lineRule="auto"/>
        <w:rPr>
          <w:rFonts w:ascii="仿宋" w:hAnsi="仿宋" w:eastAsia="仿宋" w:cs="仿宋_GB2312"/>
          <w:color w:val="auto"/>
          <w:sz w:val="32"/>
          <w:szCs w:val="32"/>
          <w:highlight w:val="none"/>
        </w:rPr>
      </w:pPr>
    </w:p>
    <w:p w14:paraId="211DA0E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0ABEB18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12C37BC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72AC6D0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6B44780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012E63BD">
      <w:pPr>
        <w:spacing w:line="360" w:lineRule="auto"/>
        <w:ind w:firstLine="1280" w:firstLineChars="400"/>
        <w:rPr>
          <w:rFonts w:ascii="仿宋" w:hAnsi="仿宋" w:eastAsia="仿宋" w:cs="仿宋_GB2312"/>
          <w:color w:val="auto"/>
          <w:sz w:val="24"/>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bookmarkStart w:id="1" w:name="_Hlt91233176"/>
      <w:bookmarkEnd w:id="1"/>
      <w:bookmarkStart w:id="2" w:name="_Toc91899869"/>
    </w:p>
    <w:p w14:paraId="5580B00F">
      <w:pPr>
        <w:spacing w:line="360" w:lineRule="auto"/>
        <w:rPr>
          <w:rFonts w:ascii="仿宋" w:hAnsi="仿宋" w:eastAsia="仿宋" w:cs="仿宋_GB2312"/>
          <w:color w:val="auto"/>
          <w:sz w:val="24"/>
          <w:highlight w:val="none"/>
        </w:rPr>
      </w:pPr>
    </w:p>
    <w:p w14:paraId="6FEF915A">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bookmarkEnd w:id="8"/>
    </w:p>
    <w:p w14:paraId="273F5B3C">
      <w:pPr>
        <w:pStyle w:val="58"/>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项目概况                                                    </w:t>
      </w:r>
    </w:p>
    <w:p w14:paraId="02B7F623">
      <w:pPr>
        <w:pStyle w:val="58"/>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    杭州师范大学附属医院外送检验服务招标项目的潜在投标人应在https://www.zcygov.cn/获取（下载）招标文件，并于 2024年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:00（北京时间）前递交（上传）投标文件。                             </w:t>
      </w:r>
    </w:p>
    <w:p w14:paraId="03A84CF2">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一、项目基本情况</w:t>
      </w:r>
      <w:r>
        <w:rPr>
          <w:rFonts w:hint="eastAsia" w:ascii="仿宋" w:hAnsi="仿宋" w:eastAsia="仿宋" w:cs="仿宋"/>
          <w:color w:val="auto"/>
          <w:highlight w:val="none"/>
        </w:rPr>
        <w:t> </w:t>
      </w:r>
    </w:p>
    <w:p w14:paraId="4A2B0954">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ZJ-2432431-04</w:t>
      </w:r>
      <w:r>
        <w:rPr>
          <w:rFonts w:hint="eastAsia" w:ascii="仿宋" w:hAnsi="仿宋" w:eastAsia="仿宋" w:cs="仿宋"/>
          <w:color w:val="auto"/>
          <w:highlight w:val="none"/>
        </w:rPr>
        <w:t> </w:t>
      </w:r>
    </w:p>
    <w:p w14:paraId="4188C7D0">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项目名称：杭州师范大学附属医院外送检验服务项目</w:t>
      </w:r>
    </w:p>
    <w:p w14:paraId="3F51A317">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预算金额（元）：3000000  </w:t>
      </w:r>
    </w:p>
    <w:p w14:paraId="220A2830">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最高限价（元）：/ </w:t>
      </w:r>
    </w:p>
    <w:p w14:paraId="08BBD038">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采购需求：</w:t>
      </w:r>
    </w:p>
    <w:p w14:paraId="5A5E29CA">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55838DB6">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标项名称: 杭州师范大学附属医院外送检验服务 </w:t>
      </w:r>
    </w:p>
    <w:p w14:paraId="598B015F">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中小企业政策： 不预留 </w:t>
      </w:r>
    </w:p>
    <w:p w14:paraId="30FED12C">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数量: 1  </w:t>
      </w:r>
    </w:p>
    <w:p w14:paraId="1B12CA02">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预算金额（元）:3000000 </w:t>
      </w:r>
    </w:p>
    <w:p w14:paraId="2B91D4A7">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简要规格描述或项目基本概况介绍、用途：详见招标文件第三部分采购需求为准,供应商可点击本公告下方“浏览采购文件”查看采购需求。 </w:t>
      </w:r>
    </w:p>
    <w:p w14:paraId="5BBB92D8">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备注： </w:t>
      </w:r>
    </w:p>
    <w:p w14:paraId="7384A2F5">
      <w:pPr>
        <w:pStyle w:val="58"/>
        <w:spacing w:before="75" w:beforeAutospacing="0" w:after="75" w:afterAutospacing="0" w:line="300" w:lineRule="atLeas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合同履约期限：标项 1，</w:t>
      </w:r>
      <w:r>
        <w:rPr>
          <w:rFonts w:hint="eastAsia" w:ascii="仿宋" w:hAnsi="仿宋" w:eastAsia="仿宋" w:cs="仿宋"/>
          <w:color w:val="auto"/>
          <w:highlight w:val="none"/>
          <w:lang w:val="en-US" w:eastAsia="zh-CN"/>
        </w:rPr>
        <w:t>详见采购文件</w:t>
      </w:r>
    </w:p>
    <w:p w14:paraId="656DFB39">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本项目（是）接受联合体投标。</w:t>
      </w:r>
    </w:p>
    <w:p w14:paraId="0D3AAEAF">
      <w:pPr>
        <w:pStyle w:val="58"/>
        <w:spacing w:before="225" w:beforeAutospacing="0" w:after="225" w:afterAutospacing="0" w:line="300" w:lineRule="atLeast"/>
        <w:rPr>
          <w:rFonts w:ascii="仿宋" w:hAnsi="仿宋" w:eastAsia="仿宋" w:cs="仿宋"/>
          <w:color w:val="auto"/>
          <w:highlight w:val="none"/>
        </w:rPr>
      </w:pPr>
      <w:r>
        <w:rPr>
          <w:rStyle w:val="71"/>
          <w:rFonts w:hint="eastAsia" w:ascii="仿宋" w:hAnsi="仿宋" w:eastAsia="仿宋" w:cs="仿宋"/>
          <w:color w:val="auto"/>
          <w:highlight w:val="none"/>
        </w:rPr>
        <w:t>二、申请人的资格要求</w:t>
      </w:r>
    </w:p>
    <w:p w14:paraId="59F6087F">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00951862">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2.落实政府采购政策需满足的资格要求：标项1：无 </w:t>
      </w:r>
    </w:p>
    <w:p w14:paraId="6EC4B2CD">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3.本项目的特定资格要求：无 </w:t>
      </w:r>
    </w:p>
    <w:p w14:paraId="076B183B">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三、获取招标文件</w:t>
      </w:r>
      <w:r>
        <w:rPr>
          <w:rFonts w:hint="eastAsia" w:ascii="仿宋" w:hAnsi="仿宋" w:eastAsia="仿宋" w:cs="仿宋"/>
          <w:color w:val="auto"/>
          <w:highlight w:val="none"/>
        </w:rPr>
        <w:t> </w:t>
      </w:r>
    </w:p>
    <w:p w14:paraId="636B08E7">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时间：/至2024年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 ，每天上午00:00至12:00 ，下午12:00至23:59（北京时间，线上获取法定节假日均可，线下获取文件法定节假日除外）</w:t>
      </w:r>
    </w:p>
    <w:p w14:paraId="761E69D2">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地点（网址）：政采云平台线上获取 </w:t>
      </w:r>
    </w:p>
    <w:p w14:paraId="08B58C5A">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方式：供应商登录政采云平台https://www.zcygov.cn/在线申请获取采购文件（进入“项目采购”应用，在获取采购文件菜单中选择项目，申请获取采购文件） </w:t>
      </w:r>
    </w:p>
    <w:p w14:paraId="579FDC12">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售价（元）：0 </w:t>
      </w:r>
    </w:p>
    <w:p w14:paraId="33A7AC5E">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四、提交投标文件截止时间、开标时间和地点</w:t>
      </w:r>
    </w:p>
    <w:p w14:paraId="5BCF28A9">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提交投标文件截止时间：2024年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:00（北京时间）</w:t>
      </w:r>
    </w:p>
    <w:p w14:paraId="5F1F669A">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投标地点（网址）：政采云平台（https://www.zcygov.cn/） </w:t>
      </w:r>
    </w:p>
    <w:p w14:paraId="1FF0E556">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开标时间：2024年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:00</w:t>
      </w:r>
      <w:bookmarkStart w:id="563" w:name="_GoBack"/>
      <w:bookmarkEnd w:id="563"/>
    </w:p>
    <w:p w14:paraId="7F7D96E1">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开标地点（网址）：政采云平台（https://www.zcygov.cn/）  </w:t>
      </w:r>
    </w:p>
    <w:p w14:paraId="3FCDB180">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五、采购意向公开链接</w:t>
      </w:r>
    </w:p>
    <w:p w14:paraId="128B1A26">
      <w:pPr>
        <w:pStyle w:val="58"/>
        <w:spacing w:before="255" w:beforeAutospacing="0" w:after="255" w:afterAutospacing="0" w:line="300" w:lineRule="atLeast"/>
        <w:jc w:val="both"/>
        <w:rPr>
          <w:rFonts w:ascii="仿宋" w:hAnsi="仿宋" w:eastAsia="仿宋" w:cs="仿宋"/>
          <w:color w:val="auto"/>
          <w:highlight w:val="none"/>
        </w:rPr>
      </w:pPr>
      <w:r>
        <w:rPr>
          <w:rFonts w:hint="eastAsia" w:ascii="仿宋" w:hAnsi="仿宋" w:eastAsia="仿宋" w:cs="仿宋"/>
          <w:color w:val="auto"/>
          <w:highlight w:val="none"/>
        </w:rPr>
        <w:t>https://zfcg.czt.zj.gov.cn/luban/detail?parentId=600007&amp;articleId=oqY+kVZwSFMcZseshNCO3Q==&amp;_app_=zcy.procurement&amp;utm=web-delegation-order-front.39a025b5.0.0.b12ad86079a311ef865ce7b8f3da2178</w:t>
      </w:r>
    </w:p>
    <w:p w14:paraId="3BC9B33D">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六、公告期限</w:t>
      </w:r>
      <w:r>
        <w:rPr>
          <w:rFonts w:hint="eastAsia" w:ascii="仿宋" w:hAnsi="仿宋" w:eastAsia="仿宋" w:cs="仿宋"/>
          <w:color w:val="auto"/>
          <w:highlight w:val="none"/>
        </w:rPr>
        <w:t> </w:t>
      </w:r>
    </w:p>
    <w:p w14:paraId="5DAF12E7">
      <w:pPr>
        <w:pStyle w:val="58"/>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    自本公告发布之日起5个工作日。</w:t>
      </w:r>
    </w:p>
    <w:p w14:paraId="559027F5">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七、其他补充事宜</w:t>
      </w:r>
    </w:p>
    <w:p w14:paraId="13C6AB6A">
      <w:pPr>
        <w:pStyle w:val="58"/>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B6DF401">
      <w:pPr>
        <w:pStyle w:val="58"/>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A11BED">
      <w:pPr>
        <w:pStyle w:val="58"/>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B68B00">
      <w:pPr>
        <w:pStyle w:val="58"/>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  </w:t>
      </w:r>
    </w:p>
    <w:p w14:paraId="2774D36F">
      <w:pPr>
        <w:pStyle w:val="58"/>
        <w:spacing w:before="255" w:beforeAutospacing="0" w:after="255" w:afterAutospacing="0" w:line="48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八、对本次采购提出询问、质疑、投诉，请按以下方式联系</w:t>
      </w:r>
    </w:p>
    <w:p w14:paraId="0BA49D28">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1.采购人信息</w:t>
      </w:r>
    </w:p>
    <w:p w14:paraId="66DA7219">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称：杭州师范大学附属医院 </w:t>
      </w:r>
    </w:p>
    <w:p w14:paraId="6D91A3A5">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 杭州市拱墅区拱宸桥温州路126号 </w:t>
      </w:r>
    </w:p>
    <w:p w14:paraId="1244A258">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14:paraId="47A5A61C">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项目联系人（询问）：孔德炎  </w:t>
      </w:r>
    </w:p>
    <w:p w14:paraId="5CC63884">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项目联系方式（询问）：0571-88303686</w:t>
      </w:r>
    </w:p>
    <w:p w14:paraId="3349412A">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质疑联系人：匡老师</w:t>
      </w:r>
    </w:p>
    <w:p w14:paraId="42C3AFBA">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质疑联系方式：0571-88303687（请通过以下路径在线提起质疑：政采云-项目采购-询问质疑投诉-质疑列表）</w:t>
      </w:r>
    </w:p>
    <w:p w14:paraId="15587E19">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p>
    <w:p w14:paraId="3CA0E42F">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2.采购代理机构信息            </w:t>
      </w:r>
    </w:p>
    <w:p w14:paraId="5A5C0A40">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称：浙江国际招投标有限公司             </w:t>
      </w:r>
    </w:p>
    <w:p w14:paraId="60BA17C4">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址：浙江省杭州市西湖区文三路90号东部软件园1号楼3楼             </w:t>
      </w:r>
    </w:p>
    <w:p w14:paraId="4B849042">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14:paraId="601709D9">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项目联系人（询问）：潘安騄，李博              </w:t>
      </w:r>
    </w:p>
    <w:p w14:paraId="5E0E9D5A">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项目联系方式（询问）：0571-81061814</w:t>
      </w:r>
    </w:p>
    <w:p w14:paraId="54E56497">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质疑联系人：苑洪春             </w:t>
      </w:r>
    </w:p>
    <w:p w14:paraId="6C5778F9">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质疑联系方式：0571-81061814（请通过以下路径在线提起质疑：政采云-项目采购-询问质疑投诉-质疑列表）　　　　　　     </w:t>
      </w:r>
    </w:p>
    <w:p w14:paraId="444CDA72">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p>
    <w:p w14:paraId="1ABBDD38">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3.</w:t>
      </w:r>
      <w:r>
        <w:rPr>
          <w:rStyle w:val="80"/>
          <w:rFonts w:hint="eastAsia" w:ascii="仿宋" w:hAnsi="仿宋" w:eastAsia="仿宋" w:cs="仿宋"/>
          <w:color w:val="auto"/>
          <w:highlight w:val="none"/>
        </w:rPr>
        <w:t>同级政府采购监督管理部门</w:t>
      </w:r>
    </w:p>
    <w:p w14:paraId="6D356117">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称：杭州市财政局政府采购监管处、浙江省政府采购行政裁决服务中心（杭州）</w:t>
      </w:r>
    </w:p>
    <w:p w14:paraId="79399E51">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址：杭州市上城区四季青街道新业路市民之家G03办公室（快递仅限ems或顺丰）</w:t>
      </w:r>
    </w:p>
    <w:p w14:paraId="6989B597">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w:t>
      </w:r>
    </w:p>
    <w:p w14:paraId="4C7CC5C1">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联 系 人：朱女士/王女士</w:t>
      </w:r>
    </w:p>
    <w:p w14:paraId="790AEF84">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监督投诉电话：0571-85252453（仅限投诉事项）</w:t>
      </w:r>
    </w:p>
    <w:p w14:paraId="6F9E59EE">
      <w:pPr>
        <w:widowControl/>
        <w:spacing w:line="300" w:lineRule="atLeas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w:t>
      </w:r>
    </w:p>
    <w:p w14:paraId="6E7D1C16">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5CFBBEA5">
      <w:pPr>
        <w:pStyle w:val="58"/>
        <w:spacing w:before="75" w:beforeAutospacing="0" w:after="75" w:afterAutospacing="0"/>
        <w:rPr>
          <w:rFonts w:ascii="仿宋" w:hAnsi="仿宋" w:eastAsia="仿宋" w:cs="仿宋"/>
          <w:color w:val="auto"/>
          <w:highlight w:val="none"/>
        </w:rPr>
      </w:pPr>
    </w:p>
    <w:p w14:paraId="0620278B">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若对项目采购电子交易系统操作有疑问，可登录政采云（https://www.zcygov.cn/），点击右侧咨询小采，获取采小蜜智能服务管家帮助，或拨打政采云服务热线95763获取热线服务帮助。       </w:t>
      </w:r>
    </w:p>
    <w:p w14:paraId="54EC2789">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CA问题联系电话（人工）：汇信CA 400-888-4636；天谷CA 400-087-8198。</w:t>
      </w:r>
    </w:p>
    <w:p w14:paraId="6A72569A">
      <w:pPr>
        <w:pStyle w:val="58"/>
        <w:spacing w:before="75" w:beforeAutospacing="0" w:after="75" w:afterAutospacing="0"/>
        <w:rPr>
          <w:color w:val="auto"/>
          <w:highlight w:val="none"/>
        </w:rPr>
      </w:pPr>
    </w:p>
    <w:p w14:paraId="17CE7732">
      <w:pPr>
        <w:widowControl/>
        <w:jc w:val="left"/>
        <w:rPr>
          <w:rFonts w:ascii="仿宋" w:hAnsi="仿宋" w:eastAsia="仿宋" w:cs="仿宋"/>
          <w:color w:val="auto"/>
          <w:sz w:val="28"/>
          <w:szCs w:val="28"/>
          <w:highlight w:val="none"/>
        </w:rPr>
      </w:pPr>
    </w:p>
    <w:p w14:paraId="3CE48B72">
      <w:pPr>
        <w:spacing w:line="360" w:lineRule="auto"/>
        <w:rPr>
          <w:rFonts w:ascii="仿宋" w:hAnsi="仿宋" w:eastAsia="仿宋" w:cs="仿宋"/>
          <w:color w:val="auto"/>
          <w:sz w:val="24"/>
          <w:highlight w:val="none"/>
        </w:rPr>
      </w:pPr>
    </w:p>
    <w:p w14:paraId="6E63DAEA">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投标人须知</w:t>
      </w:r>
      <w:bookmarkEnd w:id="10"/>
      <w:bookmarkEnd w:id="12"/>
    </w:p>
    <w:p w14:paraId="148354F6">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2435B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vAlign w:val="center"/>
          </w:tcPr>
          <w:p w14:paraId="4BBCDA5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1489FF9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4EB5CCF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C472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6F976405">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1843" w:type="dxa"/>
            <w:vAlign w:val="center"/>
          </w:tcPr>
          <w:p w14:paraId="6F0C8D36">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224B1C71">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服务类</w:t>
            </w:r>
          </w:p>
        </w:tc>
      </w:tr>
      <w:tr w14:paraId="72CE7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432D69EB">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1843" w:type="dxa"/>
            <w:vAlign w:val="center"/>
          </w:tcPr>
          <w:p w14:paraId="54D6F1F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vAlign w:val="center"/>
          </w:tcPr>
          <w:p w14:paraId="3747E9EB">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p>
          <w:p w14:paraId="38D89F4B">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外送检验服务，属于其他未列明</w:t>
            </w:r>
          </w:p>
          <w:p w14:paraId="0CBA30C3">
            <w:pPr>
              <w:snapToGrid w:val="0"/>
              <w:spacing w:line="400" w:lineRule="exact"/>
              <w:rPr>
                <w:rFonts w:ascii="仿宋" w:hAnsi="仿宋" w:eastAsia="仿宋" w:cs="仿宋"/>
                <w:color w:val="auto"/>
                <w:kern w:val="0"/>
                <w:sz w:val="24"/>
                <w:highlight w:val="none"/>
              </w:rPr>
            </w:pPr>
          </w:p>
        </w:tc>
      </w:tr>
      <w:tr w14:paraId="1A612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05ADA2C8">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1843" w:type="dxa"/>
            <w:vAlign w:val="center"/>
          </w:tcPr>
          <w:p w14:paraId="5501C6C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616594D3">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14:paraId="0C5638A7">
            <w:pPr>
              <w:snapToGrid w:val="0"/>
              <w:spacing w:line="400" w:lineRule="exact"/>
              <w:rPr>
                <w:rFonts w:ascii="仿宋" w:hAnsi="仿宋" w:eastAsia="仿宋" w:cs="仿宋"/>
                <w:color w:val="auto"/>
                <w:highlight w:val="none"/>
              </w:rPr>
            </w:pP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可以就</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32AC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7C402357">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1843" w:type="dxa"/>
            <w:vAlign w:val="center"/>
          </w:tcPr>
          <w:p w14:paraId="17F83902">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59217F41">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培训</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9699602">
            <w:pPr>
              <w:snapToGrid w:val="0"/>
              <w:spacing w:line="400" w:lineRule="exact"/>
              <w:rPr>
                <w:rFonts w:ascii="仿宋" w:hAnsi="仿宋" w:eastAsia="仿宋" w:cs="仿宋"/>
                <w:color w:val="auto"/>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5EB92853">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602D7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7E549B2B">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1843" w:type="dxa"/>
            <w:vAlign w:val="center"/>
          </w:tcPr>
          <w:p w14:paraId="67C9B7C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2BDE4797">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EF5AF57">
            <w:pPr>
              <w:snapToGrid w:val="0"/>
              <w:spacing w:line="400" w:lineRule="exact"/>
              <w:rPr>
                <w:rFonts w:ascii="仿宋" w:hAnsi="仿宋" w:eastAsia="仿宋" w:cs="仿宋"/>
                <w:color w:val="auto"/>
                <w:sz w:val="24"/>
                <w:szCs w:val="20"/>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A68C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vAlign w:val="center"/>
          </w:tcPr>
          <w:p w14:paraId="77FB012D">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1843" w:type="dxa"/>
            <w:vAlign w:val="center"/>
          </w:tcPr>
          <w:p w14:paraId="1010847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4E2CED83">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B0ECEB2">
            <w:pPr>
              <w:snapToGrid w:val="0"/>
              <w:spacing w:line="400" w:lineRule="exact"/>
              <w:rPr>
                <w:rFonts w:ascii="仿宋" w:hAnsi="仿宋" w:eastAsia="仿宋" w:cs="仿宋"/>
                <w:color w:val="auto"/>
                <w:kern w:val="0"/>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要求提供，</w:t>
            </w:r>
          </w:p>
          <w:p w14:paraId="21CBAF43">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0FF52DD">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C654577">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4535D2E">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否；</w:t>
            </w: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3FAB088">
            <w:pPr>
              <w:numPr>
                <w:ilvl w:val="0"/>
                <w:numId w:val="1"/>
              </w:num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5A94AA1">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08AE27">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19EA8B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vAlign w:val="center"/>
          </w:tcPr>
          <w:p w14:paraId="55C8A434">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1843" w:type="dxa"/>
            <w:vAlign w:val="center"/>
          </w:tcPr>
          <w:p w14:paraId="7F5F728C">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451CEAE3">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AE10826">
            <w:pPr>
              <w:snapToGrid w:val="0"/>
              <w:spacing w:line="400" w:lineRule="exact"/>
              <w:rPr>
                <w:rFonts w:ascii="仿宋" w:hAnsi="仿宋" w:eastAsia="仿宋" w:cs="仿宋"/>
                <w:color w:val="auto"/>
                <w:kern w:val="0"/>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p>
          <w:p w14:paraId="2907FC2A">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）在评标时安排每个投标人进行方案讲解演示。每个投标人时间不超过</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064299AA">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）方案讲解演示可选择以下其中一种方式：</w:t>
            </w:r>
          </w:p>
          <w:p w14:paraId="204A2B72">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063EA69F">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1D2F2504">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eastAsia="仿宋" w:cs="仿宋"/>
                <w:color w:val="auto"/>
                <w:kern w:val="0"/>
                <w:sz w:val="24"/>
                <w:highlight w:val="none"/>
              </w:rPr>
              <w:t>U</w:t>
            </w:r>
            <w:r>
              <w:rPr>
                <w:rFonts w:hint="eastAsia" w:ascii="仿宋" w:hAnsi="仿宋" w:eastAsia="仿宋" w:cs="仿宋"/>
                <w:color w:val="auto"/>
                <w:kern w:val="0"/>
                <w:sz w:val="24"/>
                <w:highlight w:val="none"/>
              </w:rPr>
              <w:t>盘中应有确保文件正常打开的播放器。</w:t>
            </w:r>
          </w:p>
          <w:p w14:paraId="4479326B">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813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vAlign w:val="center"/>
          </w:tcPr>
          <w:p w14:paraId="2B6B510E">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843" w:type="dxa"/>
            <w:vMerge w:val="restart"/>
            <w:vAlign w:val="center"/>
          </w:tcPr>
          <w:p w14:paraId="129E580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4A43F7C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）资格证明文件：见招标文件第二部分</w:t>
            </w:r>
            <w:r>
              <w:rPr>
                <w:rFonts w:ascii="仿宋" w:hAnsi="仿宋" w:eastAsia="仿宋" w:cs="仿宋"/>
                <w:color w:val="auto"/>
                <w:sz w:val="24"/>
                <w:highlight w:val="none"/>
              </w:rPr>
              <w:t>11.1</w:t>
            </w:r>
            <w:r>
              <w:rPr>
                <w:rFonts w:hint="eastAsia" w:ascii="仿宋" w:hAnsi="仿宋" w:eastAsia="仿宋" w:cs="仿宋"/>
                <w:color w:val="auto"/>
                <w:sz w:val="24"/>
                <w:highlight w:val="none"/>
              </w:rPr>
              <w:t>。</w:t>
            </w:r>
          </w:p>
          <w:p w14:paraId="1F8327FE">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DB05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vAlign w:val="center"/>
          </w:tcPr>
          <w:p w14:paraId="5DDC4311">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17CEEDD2">
            <w:pPr>
              <w:snapToGrid w:val="0"/>
              <w:spacing w:line="400" w:lineRule="exact"/>
              <w:jc w:val="center"/>
              <w:rPr>
                <w:rFonts w:ascii="仿宋" w:hAnsi="仿宋" w:eastAsia="仿宋" w:cs="仿宋"/>
                <w:b/>
                <w:color w:val="auto"/>
                <w:sz w:val="24"/>
                <w:highlight w:val="none"/>
              </w:rPr>
            </w:pPr>
          </w:p>
        </w:tc>
        <w:tc>
          <w:tcPr>
            <w:tcW w:w="6095" w:type="dxa"/>
            <w:vAlign w:val="center"/>
          </w:tcPr>
          <w:p w14:paraId="3611633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）资信证明文件：根据招标文件第四部分评标标准提供。</w:t>
            </w:r>
          </w:p>
        </w:tc>
      </w:tr>
      <w:tr w14:paraId="7DE62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4D950A2A">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1843" w:type="dxa"/>
            <w:vAlign w:val="center"/>
          </w:tcPr>
          <w:p w14:paraId="3D49CCB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0AF35BFE">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3BC6F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74C4FF9B">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10</w:t>
            </w:r>
          </w:p>
        </w:tc>
        <w:tc>
          <w:tcPr>
            <w:tcW w:w="1843" w:type="dxa"/>
            <w:vAlign w:val="center"/>
          </w:tcPr>
          <w:p w14:paraId="195A90E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C64702C">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D9A9FF3">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CF0984A">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929211B">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r>
              <w:rPr>
                <w:rFonts w:ascii="仿宋" w:hAnsi="仿宋" w:eastAsia="仿宋" w:cs="仿宋"/>
                <w:b/>
                <w:color w:val="auto"/>
                <w:kern w:val="0"/>
                <w:sz w:val="24"/>
                <w:highlight w:val="none"/>
                <w:lang w:val="zh-CN"/>
              </w:rPr>
              <w:t>;</w:t>
            </w:r>
          </w:p>
          <w:p w14:paraId="6C30BFB3">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color w:val="auto"/>
                <w:sz w:val="24"/>
                <w:szCs w:val="21"/>
                <w:highlight w:val="none"/>
              </w:rPr>
              <w:t>;</w:t>
            </w:r>
          </w:p>
          <w:p w14:paraId="1B37F11B">
            <w:pPr>
              <w:numPr>
                <w:ilvl w:val="0"/>
                <w:numId w:val="2"/>
              </w:num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14:paraId="5E86D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2C620884">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11</w:t>
            </w:r>
          </w:p>
        </w:tc>
        <w:tc>
          <w:tcPr>
            <w:tcW w:w="1843" w:type="dxa"/>
            <w:vAlign w:val="center"/>
          </w:tcPr>
          <w:p w14:paraId="3ED9F0F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6754B1AA">
            <w:pPr>
              <w:snapToGrid w:val="0"/>
              <w:spacing w:line="400" w:lineRule="exact"/>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w:t>
            </w:r>
            <w:r>
              <w:rPr>
                <w:rFonts w:ascii="仿宋" w:hAnsi="仿宋" w:eastAsia="仿宋" w:cs="仿宋"/>
                <w:snapToGrid w:val="0"/>
                <w:color w:val="auto"/>
                <w:kern w:val="28"/>
                <w:sz w:val="24"/>
                <w:highlight w:val="none"/>
              </w:rPr>
              <w:t xml:space="preserve"> - </w:t>
            </w:r>
            <w:r>
              <w:rPr>
                <w:rFonts w:hint="eastAsia" w:ascii="仿宋" w:hAnsi="仿宋" w:eastAsia="仿宋" w:cs="仿宋"/>
                <w:snapToGrid w:val="0"/>
                <w:color w:val="auto"/>
                <w:kern w:val="28"/>
                <w:sz w:val="24"/>
                <w:highlight w:val="none"/>
              </w:rPr>
              <w:t>金融服务中心</w:t>
            </w:r>
            <w:r>
              <w:rPr>
                <w:rFonts w:ascii="仿宋" w:hAnsi="仿宋" w:eastAsia="仿宋" w:cs="仿宋"/>
                <w:snapToGrid w:val="0"/>
                <w:color w:val="auto"/>
                <w:kern w:val="28"/>
                <w:sz w:val="24"/>
                <w:highlight w:val="none"/>
              </w:rPr>
              <w:t xml:space="preserve"> -</w:t>
            </w:r>
            <w:r>
              <w:rPr>
                <w:rFonts w:hint="eastAsia" w:ascii="仿宋" w:hAnsi="仿宋" w:eastAsia="仿宋" w:cs="仿宋"/>
                <w:snapToGrid w:val="0"/>
                <w:color w:val="auto"/>
                <w:kern w:val="28"/>
                <w:sz w:val="24"/>
                <w:highlight w:val="none"/>
              </w:rPr>
              <w:t>【融资服务】，可在热门申请中选择产品直接申请，也可点击云智贷匹配适合产品进行申请，或者在可申请项目中根据该项目进行申请。</w:t>
            </w:r>
          </w:p>
        </w:tc>
      </w:tr>
      <w:tr w14:paraId="1B4E2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Align w:val="center"/>
          </w:tcPr>
          <w:p w14:paraId="630D2188">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12</w:t>
            </w:r>
          </w:p>
        </w:tc>
        <w:tc>
          <w:tcPr>
            <w:tcW w:w="1843" w:type="dxa"/>
            <w:vAlign w:val="center"/>
          </w:tcPr>
          <w:p w14:paraId="706DE8E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vAlign w:val="center"/>
          </w:tcPr>
          <w:p w14:paraId="56D555BE">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_GB2312" w:hAnsi="仿宋" w:eastAsia="仿宋_GB2312"/>
                <w:color w:val="auto"/>
                <w:sz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14:paraId="614FA795">
            <w:pPr>
              <w:pStyle w:val="32"/>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潘安騄</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13957766871</w:t>
            </w:r>
            <w:r>
              <w:rPr>
                <w:rFonts w:hint="eastAsia" w:ascii="仿宋" w:hAnsi="仿宋" w:eastAsia="仿宋" w:cs="仿宋"/>
                <w:color w:val="auto"/>
                <w:sz w:val="24"/>
                <w:szCs w:val="24"/>
                <w:highlight w:val="none"/>
              </w:rPr>
              <w:t>。</w:t>
            </w:r>
          </w:p>
          <w:p w14:paraId="3C651709">
            <w:pPr>
              <w:pStyle w:val="32"/>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46DFB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Align w:val="center"/>
          </w:tcPr>
          <w:p w14:paraId="326DD9F0">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13</w:t>
            </w:r>
          </w:p>
        </w:tc>
        <w:tc>
          <w:tcPr>
            <w:tcW w:w="1843" w:type="dxa"/>
            <w:vAlign w:val="center"/>
          </w:tcPr>
          <w:p w14:paraId="047297D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vAlign w:val="center"/>
          </w:tcPr>
          <w:p w14:paraId="786A94D2">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本项目的采购代理服务费由中标人支付。</w:t>
            </w:r>
          </w:p>
          <w:p w14:paraId="09C6F166">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计费标准：</w:t>
            </w:r>
          </w:p>
          <w:p w14:paraId="670CF5BC">
            <w:pPr>
              <w:pStyle w:val="32"/>
              <w:snapToGrid w:val="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以预算金额作为收费的计算基数，</w:t>
            </w:r>
            <w:r>
              <w:rPr>
                <w:rFonts w:hint="eastAsia" w:ascii="仿宋" w:hAnsi="仿宋" w:eastAsia="仿宋" w:cs="仿宋"/>
                <w:color w:val="auto"/>
                <w:kern w:val="0"/>
                <w:sz w:val="24"/>
                <w:szCs w:val="24"/>
                <w:highlight w:val="none"/>
              </w:rPr>
              <w:t>费用按计价【</w:t>
            </w:r>
            <w:r>
              <w:rPr>
                <w:rFonts w:ascii="仿宋" w:hAnsi="仿宋" w:eastAsia="仿宋" w:cs="仿宋"/>
                <w:color w:val="auto"/>
                <w:kern w:val="0"/>
                <w:sz w:val="24"/>
                <w:szCs w:val="24"/>
                <w:highlight w:val="none"/>
              </w:rPr>
              <w:t>2002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1980</w:t>
            </w:r>
            <w:r>
              <w:rPr>
                <w:rFonts w:hint="eastAsia" w:ascii="仿宋" w:hAnsi="仿宋" w:eastAsia="仿宋" w:cs="仿宋"/>
                <w:color w:val="auto"/>
                <w:kern w:val="0"/>
                <w:sz w:val="24"/>
                <w:szCs w:val="24"/>
                <w:highlight w:val="none"/>
              </w:rPr>
              <w:t>号文规定的服务招标类型的</w:t>
            </w:r>
            <w:r>
              <w:rPr>
                <w:rFonts w:ascii="仿宋" w:hAnsi="仿宋" w:eastAsia="仿宋" w:cs="仿宋"/>
                <w:color w:val="auto"/>
                <w:kern w:val="0"/>
                <w:sz w:val="24"/>
                <w:szCs w:val="24"/>
                <w:highlight w:val="none"/>
              </w:rPr>
              <w:t>80%</w:t>
            </w:r>
            <w:r>
              <w:rPr>
                <w:rFonts w:hint="eastAsia" w:ascii="仿宋" w:hAnsi="仿宋" w:eastAsia="仿宋" w:cs="仿宋"/>
                <w:color w:val="auto"/>
                <w:kern w:val="0"/>
                <w:sz w:val="24"/>
                <w:szCs w:val="24"/>
                <w:highlight w:val="none"/>
              </w:rPr>
              <w:t>收取。</w:t>
            </w:r>
          </w:p>
          <w:p w14:paraId="459F32FE">
            <w:pPr>
              <w:pStyle w:val="32"/>
              <w:snapToGrid w:val="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结算方式及时间为：在</w:t>
            </w:r>
            <w:r>
              <w:rPr>
                <w:rFonts w:hint="eastAsia" w:ascii="仿宋" w:eastAsia="仿宋" w:cs="仿宋"/>
                <w:color w:val="auto"/>
                <w:sz w:val="24"/>
                <w:szCs w:val="24"/>
                <w:highlight w:val="none"/>
              </w:rPr>
              <w:t>中标</w:t>
            </w:r>
            <w:r>
              <w:rPr>
                <w:rFonts w:hint="eastAsia" w:ascii="仿宋" w:hAnsi="仿宋" w:eastAsia="仿宋" w:cs="仿宋"/>
                <w:color w:val="auto"/>
                <w:kern w:val="0"/>
                <w:sz w:val="24"/>
                <w:szCs w:val="24"/>
                <w:highlight w:val="none"/>
              </w:rPr>
              <w:t>由中标人一次性向采购代理机构付清。</w:t>
            </w:r>
          </w:p>
          <w:tbl>
            <w:tblPr>
              <w:tblStyle w:val="63"/>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14:paraId="011C1D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vAlign w:val="center"/>
                </w:tcPr>
                <w:p w14:paraId="30EC25DE">
                  <w:pPr>
                    <w:rPr>
                      <w:rFonts w:ascii="仿宋" w:hAnsi="仿宋" w:eastAsia="仿宋" w:cs="仿宋"/>
                      <w:color w:val="auto"/>
                      <w:sz w:val="24"/>
                      <w:highlight w:val="none"/>
                    </w:rPr>
                  </w:pPr>
                  <w:r>
                    <w:rPr>
                      <w:rFonts w:hint="eastAsia" w:ascii="仿宋" w:hAnsi="仿宋" w:eastAsia="仿宋" w:cs="仿宋"/>
                      <w:color w:val="auto"/>
                      <w:sz w:val="24"/>
                      <w:highlight w:val="none"/>
                    </w:rPr>
                    <w:t>中标金额（万元）</w:t>
                  </w:r>
                </w:p>
              </w:tc>
              <w:tc>
                <w:tcPr>
                  <w:tcW w:w="4013" w:type="dxa"/>
                  <w:gridSpan w:val="3"/>
                  <w:tcBorders>
                    <w:top w:val="double" w:color="000000" w:sz="6" w:space="0"/>
                    <w:left w:val="single" w:color="000000" w:sz="6" w:space="0"/>
                    <w:bottom w:val="single" w:color="auto" w:sz="4" w:space="0"/>
                    <w:right w:val="double" w:color="000000" w:sz="6" w:space="0"/>
                  </w:tcBorders>
                  <w:vAlign w:val="center"/>
                </w:tcPr>
                <w:p w14:paraId="12AF3F4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服务类型</w:t>
                  </w:r>
                </w:p>
              </w:tc>
            </w:tr>
            <w:tr w14:paraId="28427B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14:paraId="3A9AD7EB">
                  <w:pPr>
                    <w:rPr>
                      <w:rFonts w:ascii="仿宋" w:hAnsi="仿宋" w:eastAsia="仿宋" w:cs="仿宋"/>
                      <w:color w:val="auto"/>
                      <w:sz w:val="24"/>
                      <w:highlight w:val="none"/>
                    </w:rPr>
                  </w:pPr>
                </w:p>
              </w:tc>
              <w:tc>
                <w:tcPr>
                  <w:tcW w:w="1307" w:type="dxa"/>
                  <w:tcBorders>
                    <w:top w:val="single" w:color="auto" w:sz="4" w:space="0"/>
                    <w:left w:val="single" w:color="000000" w:sz="6" w:space="0"/>
                    <w:bottom w:val="single" w:color="auto" w:sz="4" w:space="0"/>
                    <w:right w:val="single" w:color="000000" w:sz="6" w:space="0"/>
                  </w:tcBorders>
                  <w:vAlign w:val="center"/>
                </w:tcPr>
                <w:p w14:paraId="18DDB248">
                  <w:pP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vAlign w:val="center"/>
                </w:tcPr>
                <w:p w14:paraId="78F2246E">
                  <w:pP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vAlign w:val="center"/>
                </w:tcPr>
                <w:p w14:paraId="490A1C8C">
                  <w:pP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6F08B6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14:paraId="3C0BE906">
                  <w:pPr>
                    <w:rPr>
                      <w:rFonts w:ascii="仿宋" w:hAnsi="仿宋" w:eastAsia="仿宋" w:cs="仿宋"/>
                      <w:color w:val="auto"/>
                      <w:sz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vAlign w:val="center"/>
                </w:tcPr>
                <w:p w14:paraId="099086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费率</w:t>
                  </w:r>
                </w:p>
              </w:tc>
            </w:tr>
            <w:tr w14:paraId="02B55F5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4230ABCC">
                  <w:pPr>
                    <w:rPr>
                      <w:rFonts w:ascii="仿宋" w:hAnsi="仿宋" w:eastAsia="仿宋" w:cs="仿宋"/>
                      <w:color w:val="auto"/>
                      <w:sz w:val="24"/>
                      <w:highlight w:val="none"/>
                    </w:rPr>
                  </w:pPr>
                  <w:r>
                    <w:rPr>
                      <w:rFonts w:ascii="仿宋" w:hAnsi="仿宋" w:eastAsia="仿宋" w:cs="仿宋"/>
                      <w:color w:val="auto"/>
                      <w:sz w:val="24"/>
                      <w:highlight w:val="none"/>
                    </w:rPr>
                    <w:t>100</w:t>
                  </w:r>
                  <w:r>
                    <w:rPr>
                      <w:rFonts w:hint="eastAsia" w:ascii="仿宋" w:hAnsi="仿宋" w:eastAsia="仿宋" w:cs="仿宋"/>
                      <w:color w:val="auto"/>
                      <w:sz w:val="24"/>
                      <w:highlight w:val="none"/>
                    </w:rPr>
                    <w:t>以下</w:t>
                  </w:r>
                </w:p>
              </w:tc>
              <w:tc>
                <w:tcPr>
                  <w:tcW w:w="1307" w:type="dxa"/>
                  <w:tcBorders>
                    <w:top w:val="single" w:color="000000" w:sz="6" w:space="0"/>
                    <w:left w:val="single" w:color="000000" w:sz="6" w:space="0"/>
                    <w:bottom w:val="single" w:color="000000" w:sz="6" w:space="0"/>
                    <w:right w:val="single" w:color="000000" w:sz="6" w:space="0"/>
                  </w:tcBorders>
                  <w:vAlign w:val="center"/>
                </w:tcPr>
                <w:p w14:paraId="391BDEEA">
                  <w:pPr>
                    <w:rPr>
                      <w:rFonts w:ascii="仿宋" w:hAnsi="仿宋" w:eastAsia="仿宋" w:cs="仿宋"/>
                      <w:color w:val="auto"/>
                      <w:sz w:val="24"/>
                      <w:highlight w:val="none"/>
                    </w:rPr>
                  </w:pPr>
                  <w:r>
                    <w:rPr>
                      <w:rFonts w:ascii="仿宋" w:hAnsi="仿宋" w:eastAsia="仿宋" w:cs="仿宋"/>
                      <w:color w:val="auto"/>
                      <w:sz w:val="24"/>
                      <w:highlight w:val="none"/>
                    </w:rPr>
                    <w:t>1.5%</w:t>
                  </w:r>
                </w:p>
              </w:tc>
              <w:tc>
                <w:tcPr>
                  <w:tcW w:w="1431" w:type="dxa"/>
                  <w:tcBorders>
                    <w:top w:val="single" w:color="000000" w:sz="6" w:space="0"/>
                    <w:left w:val="single" w:color="000000" w:sz="6" w:space="0"/>
                    <w:bottom w:val="single" w:color="000000" w:sz="6" w:space="0"/>
                    <w:right w:val="single" w:color="000000" w:sz="6" w:space="0"/>
                  </w:tcBorders>
                  <w:vAlign w:val="center"/>
                </w:tcPr>
                <w:p w14:paraId="06FE83B6">
                  <w:pPr>
                    <w:rPr>
                      <w:rFonts w:ascii="仿宋" w:hAnsi="仿宋" w:eastAsia="仿宋" w:cs="仿宋"/>
                      <w:color w:val="auto"/>
                      <w:sz w:val="24"/>
                      <w:highlight w:val="none"/>
                    </w:rPr>
                  </w:pPr>
                  <w:r>
                    <w:rPr>
                      <w:rFonts w:ascii="仿宋" w:hAnsi="仿宋" w:eastAsia="仿宋" w:cs="仿宋"/>
                      <w:color w:val="auto"/>
                      <w:sz w:val="24"/>
                      <w:highlight w:val="none"/>
                    </w:rPr>
                    <w:t>1.5%</w:t>
                  </w:r>
                </w:p>
              </w:tc>
              <w:tc>
                <w:tcPr>
                  <w:tcW w:w="1275" w:type="dxa"/>
                  <w:tcBorders>
                    <w:top w:val="single" w:color="000000" w:sz="6" w:space="0"/>
                    <w:left w:val="single" w:color="000000" w:sz="6" w:space="0"/>
                    <w:bottom w:val="single" w:color="000000" w:sz="6" w:space="0"/>
                    <w:right w:val="double" w:color="000000" w:sz="6" w:space="0"/>
                  </w:tcBorders>
                  <w:vAlign w:val="center"/>
                </w:tcPr>
                <w:p w14:paraId="396F179F">
                  <w:pPr>
                    <w:rPr>
                      <w:rFonts w:ascii="仿宋" w:hAnsi="仿宋" w:eastAsia="仿宋" w:cs="仿宋"/>
                      <w:color w:val="auto"/>
                      <w:sz w:val="24"/>
                      <w:highlight w:val="none"/>
                    </w:rPr>
                  </w:pPr>
                  <w:r>
                    <w:rPr>
                      <w:rFonts w:ascii="仿宋" w:hAnsi="仿宋" w:eastAsia="仿宋" w:cs="仿宋"/>
                      <w:color w:val="auto"/>
                      <w:sz w:val="24"/>
                      <w:highlight w:val="none"/>
                    </w:rPr>
                    <w:t>1.0%</w:t>
                  </w:r>
                </w:p>
              </w:tc>
            </w:tr>
            <w:tr w14:paraId="7BE157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53285A3B">
                  <w:pPr>
                    <w:rPr>
                      <w:rFonts w:ascii="仿宋" w:hAnsi="仿宋" w:eastAsia="仿宋" w:cs="仿宋"/>
                      <w:color w:val="auto"/>
                      <w:sz w:val="24"/>
                      <w:highlight w:val="none"/>
                    </w:rPr>
                  </w:pPr>
                  <w:r>
                    <w:rPr>
                      <w:rFonts w:ascii="仿宋" w:hAnsi="仿宋" w:eastAsia="仿宋" w:cs="仿宋"/>
                      <w:color w:val="auto"/>
                      <w:sz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vAlign w:val="center"/>
                </w:tcPr>
                <w:p w14:paraId="1E344FD4">
                  <w:pPr>
                    <w:rPr>
                      <w:rFonts w:ascii="仿宋" w:hAnsi="仿宋" w:eastAsia="仿宋" w:cs="仿宋"/>
                      <w:color w:val="auto"/>
                      <w:sz w:val="24"/>
                      <w:highlight w:val="none"/>
                    </w:rPr>
                  </w:pPr>
                  <w:r>
                    <w:rPr>
                      <w:rFonts w:ascii="仿宋" w:hAnsi="仿宋" w:eastAsia="仿宋" w:cs="仿宋"/>
                      <w:color w:val="auto"/>
                      <w:sz w:val="24"/>
                      <w:highlight w:val="none"/>
                    </w:rPr>
                    <w:t>1.1%</w:t>
                  </w:r>
                </w:p>
              </w:tc>
              <w:tc>
                <w:tcPr>
                  <w:tcW w:w="1431" w:type="dxa"/>
                  <w:tcBorders>
                    <w:top w:val="single" w:color="000000" w:sz="6" w:space="0"/>
                    <w:left w:val="single" w:color="000000" w:sz="6" w:space="0"/>
                    <w:bottom w:val="single" w:color="000000" w:sz="6" w:space="0"/>
                    <w:right w:val="single" w:color="000000" w:sz="6" w:space="0"/>
                  </w:tcBorders>
                  <w:vAlign w:val="center"/>
                </w:tcPr>
                <w:p w14:paraId="69F883E6">
                  <w:pPr>
                    <w:rPr>
                      <w:rFonts w:ascii="仿宋" w:hAnsi="仿宋" w:eastAsia="仿宋" w:cs="仿宋"/>
                      <w:color w:val="auto"/>
                      <w:sz w:val="24"/>
                      <w:highlight w:val="none"/>
                    </w:rPr>
                  </w:pPr>
                  <w:r>
                    <w:rPr>
                      <w:rFonts w:ascii="仿宋" w:hAnsi="仿宋" w:eastAsia="仿宋" w:cs="仿宋"/>
                      <w:color w:val="auto"/>
                      <w:sz w:val="24"/>
                      <w:highlight w:val="none"/>
                    </w:rPr>
                    <w:t>0.8%</w:t>
                  </w:r>
                </w:p>
              </w:tc>
              <w:tc>
                <w:tcPr>
                  <w:tcW w:w="1275" w:type="dxa"/>
                  <w:tcBorders>
                    <w:top w:val="single" w:color="000000" w:sz="6" w:space="0"/>
                    <w:left w:val="single" w:color="000000" w:sz="6" w:space="0"/>
                    <w:bottom w:val="single" w:color="000000" w:sz="6" w:space="0"/>
                    <w:right w:val="double" w:color="000000" w:sz="6" w:space="0"/>
                  </w:tcBorders>
                  <w:vAlign w:val="center"/>
                </w:tcPr>
                <w:p w14:paraId="4855F2DB">
                  <w:pPr>
                    <w:rPr>
                      <w:rFonts w:ascii="仿宋" w:hAnsi="仿宋" w:eastAsia="仿宋" w:cs="仿宋"/>
                      <w:color w:val="auto"/>
                      <w:sz w:val="24"/>
                      <w:highlight w:val="none"/>
                    </w:rPr>
                  </w:pPr>
                  <w:r>
                    <w:rPr>
                      <w:rFonts w:ascii="仿宋" w:hAnsi="仿宋" w:eastAsia="仿宋" w:cs="仿宋"/>
                      <w:color w:val="auto"/>
                      <w:sz w:val="24"/>
                      <w:highlight w:val="none"/>
                    </w:rPr>
                    <w:t>0.7%</w:t>
                  </w:r>
                </w:p>
              </w:tc>
            </w:tr>
            <w:tr w14:paraId="107433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1E71386E">
                  <w:pPr>
                    <w:rPr>
                      <w:rFonts w:ascii="仿宋" w:hAnsi="仿宋" w:eastAsia="仿宋" w:cs="仿宋"/>
                      <w:color w:val="auto"/>
                      <w:sz w:val="24"/>
                      <w:highlight w:val="none"/>
                    </w:rPr>
                  </w:pPr>
                  <w:r>
                    <w:rPr>
                      <w:rFonts w:ascii="仿宋" w:hAnsi="仿宋" w:eastAsia="仿宋" w:cs="仿宋"/>
                      <w:color w:val="auto"/>
                      <w:sz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vAlign w:val="center"/>
                </w:tcPr>
                <w:p w14:paraId="0E9EA28F">
                  <w:pPr>
                    <w:rPr>
                      <w:rFonts w:ascii="仿宋" w:hAnsi="仿宋" w:eastAsia="仿宋" w:cs="仿宋"/>
                      <w:color w:val="auto"/>
                      <w:sz w:val="24"/>
                      <w:highlight w:val="none"/>
                    </w:rPr>
                  </w:pPr>
                  <w:r>
                    <w:rPr>
                      <w:rFonts w:ascii="仿宋" w:hAnsi="仿宋" w:eastAsia="仿宋" w:cs="仿宋"/>
                      <w:color w:val="auto"/>
                      <w:sz w:val="24"/>
                      <w:highlight w:val="none"/>
                    </w:rPr>
                    <w:t>0.8%</w:t>
                  </w:r>
                </w:p>
              </w:tc>
              <w:tc>
                <w:tcPr>
                  <w:tcW w:w="1431" w:type="dxa"/>
                  <w:tcBorders>
                    <w:top w:val="single" w:color="000000" w:sz="6" w:space="0"/>
                    <w:left w:val="single" w:color="000000" w:sz="6" w:space="0"/>
                    <w:bottom w:val="single" w:color="000000" w:sz="6" w:space="0"/>
                    <w:right w:val="single" w:color="000000" w:sz="6" w:space="0"/>
                  </w:tcBorders>
                  <w:vAlign w:val="center"/>
                </w:tcPr>
                <w:p w14:paraId="0A9B2844">
                  <w:pPr>
                    <w:rPr>
                      <w:rFonts w:ascii="仿宋" w:hAnsi="仿宋" w:eastAsia="仿宋" w:cs="仿宋"/>
                      <w:color w:val="auto"/>
                      <w:sz w:val="24"/>
                      <w:highlight w:val="none"/>
                    </w:rPr>
                  </w:pPr>
                  <w:r>
                    <w:rPr>
                      <w:rFonts w:ascii="仿宋" w:hAnsi="仿宋" w:eastAsia="仿宋" w:cs="仿宋"/>
                      <w:color w:val="auto"/>
                      <w:sz w:val="24"/>
                      <w:highlight w:val="none"/>
                    </w:rPr>
                    <w:t>0.45%</w:t>
                  </w:r>
                </w:p>
              </w:tc>
              <w:tc>
                <w:tcPr>
                  <w:tcW w:w="1275" w:type="dxa"/>
                  <w:tcBorders>
                    <w:top w:val="single" w:color="000000" w:sz="6" w:space="0"/>
                    <w:left w:val="single" w:color="000000" w:sz="6" w:space="0"/>
                    <w:bottom w:val="single" w:color="000000" w:sz="6" w:space="0"/>
                    <w:right w:val="double" w:color="000000" w:sz="6" w:space="0"/>
                  </w:tcBorders>
                  <w:vAlign w:val="center"/>
                </w:tcPr>
                <w:p w14:paraId="6DF7630D">
                  <w:pPr>
                    <w:rPr>
                      <w:rFonts w:ascii="仿宋" w:hAnsi="仿宋" w:eastAsia="仿宋" w:cs="仿宋"/>
                      <w:color w:val="auto"/>
                      <w:sz w:val="24"/>
                      <w:highlight w:val="none"/>
                    </w:rPr>
                  </w:pPr>
                  <w:r>
                    <w:rPr>
                      <w:rFonts w:ascii="仿宋" w:hAnsi="仿宋" w:eastAsia="仿宋" w:cs="仿宋"/>
                      <w:color w:val="auto"/>
                      <w:sz w:val="24"/>
                      <w:highlight w:val="none"/>
                    </w:rPr>
                    <w:t>0.55%</w:t>
                  </w:r>
                </w:p>
              </w:tc>
            </w:tr>
            <w:tr w14:paraId="6C83C1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vAlign w:val="center"/>
                </w:tcPr>
                <w:p w14:paraId="2EEAFD01">
                  <w:pPr>
                    <w:rPr>
                      <w:rFonts w:ascii="仿宋" w:hAnsi="仿宋" w:eastAsia="仿宋" w:cs="仿宋"/>
                      <w:color w:val="auto"/>
                      <w:sz w:val="24"/>
                      <w:highlight w:val="none"/>
                    </w:rPr>
                  </w:pPr>
                  <w:r>
                    <w:rPr>
                      <w:rFonts w:ascii="仿宋" w:hAnsi="仿宋" w:eastAsia="仿宋" w:cs="仿宋"/>
                      <w:color w:val="auto"/>
                      <w:spacing w:val="20"/>
                      <w:sz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vAlign w:val="center"/>
                </w:tcPr>
                <w:p w14:paraId="7A6D25A6">
                  <w:pPr>
                    <w:rPr>
                      <w:rFonts w:ascii="仿宋" w:hAnsi="仿宋" w:eastAsia="仿宋" w:cs="仿宋"/>
                      <w:color w:val="auto"/>
                      <w:sz w:val="24"/>
                      <w:highlight w:val="none"/>
                    </w:rPr>
                  </w:pPr>
                  <w:r>
                    <w:rPr>
                      <w:rFonts w:ascii="仿宋" w:hAnsi="仿宋" w:eastAsia="仿宋" w:cs="仿宋"/>
                      <w:color w:val="auto"/>
                      <w:spacing w:val="20"/>
                      <w:sz w:val="24"/>
                      <w:highlight w:val="none"/>
                    </w:rPr>
                    <w:t>0.5%</w:t>
                  </w:r>
                </w:p>
              </w:tc>
              <w:tc>
                <w:tcPr>
                  <w:tcW w:w="1431" w:type="dxa"/>
                  <w:tcBorders>
                    <w:top w:val="single" w:color="000000" w:sz="6" w:space="0"/>
                    <w:left w:val="single" w:color="000000" w:sz="6" w:space="0"/>
                    <w:bottom w:val="double" w:color="000000" w:sz="6" w:space="0"/>
                    <w:right w:val="single" w:color="000000" w:sz="6" w:space="0"/>
                  </w:tcBorders>
                  <w:vAlign w:val="center"/>
                </w:tcPr>
                <w:p w14:paraId="221D23FA">
                  <w:pPr>
                    <w:rPr>
                      <w:rFonts w:ascii="仿宋" w:hAnsi="仿宋" w:eastAsia="仿宋" w:cs="仿宋"/>
                      <w:color w:val="auto"/>
                      <w:sz w:val="24"/>
                      <w:highlight w:val="none"/>
                    </w:rPr>
                  </w:pPr>
                  <w:r>
                    <w:rPr>
                      <w:rFonts w:ascii="仿宋" w:hAnsi="仿宋" w:eastAsia="仿宋" w:cs="仿宋"/>
                      <w:color w:val="auto"/>
                      <w:spacing w:val="20"/>
                      <w:sz w:val="24"/>
                      <w:highlight w:val="none"/>
                    </w:rPr>
                    <w:t>0.25%</w:t>
                  </w:r>
                </w:p>
              </w:tc>
              <w:tc>
                <w:tcPr>
                  <w:tcW w:w="1275" w:type="dxa"/>
                  <w:tcBorders>
                    <w:top w:val="single" w:color="000000" w:sz="6" w:space="0"/>
                    <w:left w:val="single" w:color="000000" w:sz="6" w:space="0"/>
                    <w:bottom w:val="double" w:color="000000" w:sz="6" w:space="0"/>
                    <w:right w:val="double" w:color="000000" w:sz="6" w:space="0"/>
                  </w:tcBorders>
                  <w:vAlign w:val="center"/>
                </w:tcPr>
                <w:p w14:paraId="488A2566">
                  <w:pPr>
                    <w:rPr>
                      <w:rFonts w:ascii="仿宋" w:hAnsi="仿宋" w:eastAsia="仿宋" w:cs="仿宋"/>
                      <w:color w:val="auto"/>
                      <w:sz w:val="24"/>
                      <w:highlight w:val="none"/>
                    </w:rPr>
                  </w:pPr>
                  <w:r>
                    <w:rPr>
                      <w:rFonts w:ascii="仿宋" w:hAnsi="仿宋" w:eastAsia="仿宋" w:cs="仿宋"/>
                      <w:color w:val="auto"/>
                      <w:spacing w:val="20"/>
                      <w:sz w:val="24"/>
                      <w:highlight w:val="none"/>
                    </w:rPr>
                    <w:t>0.35%</w:t>
                  </w:r>
                </w:p>
              </w:tc>
            </w:tr>
          </w:tbl>
          <w:p w14:paraId="180DE9B3">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付款账号：</w:t>
            </w:r>
          </w:p>
          <w:p w14:paraId="13497272">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账户名称：浙江国际招投标有限公司</w:t>
            </w:r>
            <w:r>
              <w:rPr>
                <w:rFonts w:ascii="仿宋_GB2312" w:hAnsi="仿宋" w:eastAsia="仿宋_GB2312" w:cs="Times New Roman"/>
                <w:color w:val="auto"/>
                <w:kern w:val="28"/>
                <w:sz w:val="24"/>
                <w:szCs w:val="24"/>
                <w:highlight w:val="none"/>
              </w:rPr>
              <w:t xml:space="preserve"> </w:t>
            </w:r>
          </w:p>
          <w:p w14:paraId="0C00A9E8">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开户银行：工商银行杭州武林支行</w:t>
            </w:r>
          </w:p>
          <w:p w14:paraId="346C9573">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账号：</w:t>
            </w:r>
            <w:r>
              <w:rPr>
                <w:rFonts w:ascii="仿宋_GB2312" w:hAnsi="仿宋" w:eastAsia="仿宋_GB2312" w:cs="Times New Roman"/>
                <w:color w:val="auto"/>
                <w:kern w:val="28"/>
                <w:sz w:val="24"/>
                <w:szCs w:val="24"/>
                <w:highlight w:val="none"/>
              </w:rPr>
              <w:t>1202021209906782015</w:t>
            </w:r>
          </w:p>
          <w:p w14:paraId="32B7A826">
            <w:pPr>
              <w:pStyle w:val="32"/>
              <w:snapToGrid w:val="0"/>
              <w:spacing w:line="400" w:lineRule="exact"/>
              <w:rPr>
                <w:rFonts w:ascii="仿宋_GB2312" w:hAnsi="仿宋" w:eastAsia="仿宋_GB2312" w:cs="Times New Roman"/>
                <w:color w:val="auto"/>
                <w:kern w:val="28"/>
                <w:sz w:val="24"/>
                <w:szCs w:val="24"/>
                <w:highlight w:val="none"/>
              </w:rPr>
            </w:pPr>
            <w:r>
              <w:rPr>
                <w:rFonts w:ascii="仿宋_GB2312" w:hAnsi="仿宋" w:eastAsia="仿宋_GB2312" w:cs="Times New Roman"/>
                <w:color w:val="auto"/>
                <w:kern w:val="28"/>
                <w:sz w:val="24"/>
                <w:szCs w:val="24"/>
                <w:highlight w:val="none"/>
              </w:rPr>
              <w:t>说明：中标、成交供应商放弃中标、成交资格导致重新采购的，应当承担支付代理费和专家评审费等费用在内的赔偿责任。</w:t>
            </w:r>
          </w:p>
        </w:tc>
      </w:tr>
      <w:tr w14:paraId="40162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vAlign w:val="center"/>
          </w:tcPr>
          <w:p w14:paraId="72D3A98C">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14</w:t>
            </w:r>
          </w:p>
        </w:tc>
        <w:tc>
          <w:tcPr>
            <w:tcW w:w="1843" w:type="dxa"/>
            <w:vMerge w:val="restart"/>
            <w:vAlign w:val="center"/>
          </w:tcPr>
          <w:p w14:paraId="7C62540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vAlign w:val="center"/>
          </w:tcPr>
          <w:p w14:paraId="5D940B64">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40B609E4">
            <w:pPr>
              <w:pStyle w:val="32"/>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w:t>
            </w:r>
            <w:r>
              <w:rPr>
                <w:rFonts w:ascii="仿宋" w:hAnsi="仿宋" w:eastAsia="仿宋" w:cs="仿宋"/>
                <w:color w:val="auto"/>
                <w:kern w:val="28"/>
                <w:sz w:val="24"/>
                <w:szCs w:val="24"/>
                <w:highlight w:val="none"/>
              </w:rPr>
              <w:t xml:space="preserve"> </w:t>
            </w:r>
            <w:r>
              <w:rPr>
                <w:rFonts w:hint="eastAsia" w:ascii="仿宋" w:hAnsi="仿宋" w:eastAsia="仿宋" w:cs="仿宋"/>
                <w:color w:val="auto"/>
                <w:kern w:val="28"/>
                <w:sz w:val="24"/>
                <w:szCs w:val="24"/>
                <w:highlight w:val="none"/>
              </w:rPr>
              <w:t>分相同的，业绩数量以提供材料较少的一方为准。</w:t>
            </w:r>
          </w:p>
          <w:p w14:paraId="3726471A">
            <w:pPr>
              <w:pStyle w:val="32"/>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联合体投标的，由联合体牵头方出具相应的业绩证明材料。</w:t>
            </w:r>
          </w:p>
          <w:p w14:paraId="16A1BCEA">
            <w:pPr>
              <w:pStyle w:val="32"/>
              <w:snapToGrid w:val="0"/>
              <w:spacing w:line="400" w:lineRule="exact"/>
              <w:rPr>
                <w:rFonts w:ascii="仿宋" w:hAnsi="仿宋" w:eastAsia="仿宋" w:cs="仿宋"/>
                <w:color w:val="auto"/>
                <w:kern w:val="28"/>
                <w:sz w:val="24"/>
                <w:szCs w:val="24"/>
                <w:highlight w:val="none"/>
              </w:rPr>
            </w:pPr>
            <w:r>
              <w:rPr>
                <w:rFonts w:ascii="Arial" w:hAnsi="Arial" w:eastAsia="MS Mincho"/>
                <w:color w:val="auto"/>
                <w:kern w:val="28"/>
                <w:sz w:val="24"/>
                <w:szCs w:val="24"/>
                <w:highlight w:val="none"/>
              </w:rPr>
              <w:t>√</w:t>
            </w:r>
            <w:r>
              <w:rPr>
                <w:rFonts w:hint="eastAsia" w:ascii="仿宋" w:hAnsi="仿宋" w:eastAsia="仿宋" w:cs="仿宋"/>
                <w:color w:val="auto"/>
                <w:kern w:val="28"/>
                <w:sz w:val="24"/>
                <w:szCs w:val="24"/>
                <w:highlight w:val="none"/>
              </w:rPr>
              <w:t>其他规定：联合体投标的，联合体各方的业绩证明材料均认可。</w:t>
            </w:r>
          </w:p>
        </w:tc>
      </w:tr>
      <w:tr w14:paraId="3DF9A0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vAlign w:val="center"/>
          </w:tcPr>
          <w:p w14:paraId="5F045D38">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1DF93D58">
            <w:pPr>
              <w:snapToGrid w:val="0"/>
              <w:spacing w:line="400" w:lineRule="exact"/>
              <w:jc w:val="center"/>
              <w:rPr>
                <w:rFonts w:ascii="仿宋" w:hAnsi="仿宋" w:eastAsia="仿宋" w:cs="仿宋"/>
                <w:b/>
                <w:color w:val="auto"/>
                <w:sz w:val="24"/>
                <w:highlight w:val="none"/>
              </w:rPr>
            </w:pPr>
          </w:p>
        </w:tc>
        <w:tc>
          <w:tcPr>
            <w:tcW w:w="6095" w:type="dxa"/>
            <w:vAlign w:val="center"/>
          </w:tcPr>
          <w:p w14:paraId="39BBE8D3">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4545582A">
            <w:pPr>
              <w:pStyle w:val="32"/>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0B3A757C">
            <w:pPr>
              <w:pStyle w:val="32"/>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53B4AB36">
            <w:pPr>
              <w:pStyle w:val="32"/>
              <w:snapToGrid w:val="0"/>
              <w:spacing w:line="400" w:lineRule="exact"/>
              <w:rPr>
                <w:rFonts w:ascii="仿宋" w:hAnsi="仿宋" w:eastAsia="仿宋" w:cs="仿宋"/>
                <w:color w:val="auto"/>
                <w:kern w:val="28"/>
                <w:sz w:val="24"/>
                <w:szCs w:val="24"/>
                <w:highlight w:val="none"/>
              </w:rPr>
            </w:pPr>
            <w:r>
              <w:rPr>
                <w:rFonts w:ascii="Arial" w:hAnsi="Arial" w:eastAsia="仿宋"/>
                <w:color w:val="auto"/>
                <w:kern w:val="28"/>
                <w:sz w:val="24"/>
                <w:szCs w:val="24"/>
                <w:highlight w:val="none"/>
              </w:rPr>
              <w:t>√</w:t>
            </w:r>
            <w:r>
              <w:rPr>
                <w:rFonts w:hint="eastAsia" w:ascii="仿宋" w:hAnsi="仿宋" w:eastAsia="仿宋" w:cs="仿宋"/>
                <w:color w:val="auto"/>
                <w:kern w:val="28"/>
                <w:sz w:val="24"/>
                <w:szCs w:val="24"/>
                <w:highlight w:val="none"/>
              </w:rPr>
              <w:t>其他规定：联合体投标的，联合体中有一方或者联合体成员根据分工按招标文件第四部分评标标准要求提供资信证明文件的，视为符合了相关要求。</w:t>
            </w:r>
          </w:p>
        </w:tc>
      </w:tr>
      <w:tr w14:paraId="1E7DD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Align w:val="center"/>
          </w:tcPr>
          <w:p w14:paraId="0BE583C5">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15</w:t>
            </w:r>
          </w:p>
        </w:tc>
        <w:tc>
          <w:tcPr>
            <w:tcW w:w="1843" w:type="dxa"/>
            <w:vAlign w:val="center"/>
          </w:tcPr>
          <w:p w14:paraId="2AFE168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355B5187">
            <w:pPr>
              <w:snapToGrid w:val="0"/>
              <w:spacing w:line="400" w:lineRule="exact"/>
              <w:rPr>
                <w:rFonts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□有，</w:t>
            </w:r>
            <w:r>
              <w:rPr>
                <w:rFonts w:ascii="仿宋" w:hAnsi="仿宋" w:eastAsia="仿宋" w:cs="仿宋"/>
                <w:snapToGrid w:val="0"/>
                <w:color w:val="auto"/>
                <w:kern w:val="28"/>
                <w:sz w:val="24"/>
                <w:highlight w:val="none"/>
                <w:u w:val="single"/>
              </w:rPr>
              <w:t xml:space="preserve">                    </w:t>
            </w:r>
          </w:p>
          <w:p w14:paraId="3902904E">
            <w:pPr>
              <w:pStyle w:val="23"/>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14:paraId="042DF154">
      <w:pPr>
        <w:rPr>
          <w:color w:val="auto"/>
          <w:highlight w:val="none"/>
        </w:rPr>
      </w:pPr>
    </w:p>
    <w:bookmarkEnd w:id="11"/>
    <w:p w14:paraId="77E4119B">
      <w:pPr>
        <w:rPr>
          <w:rFonts w:ascii="仿宋_GB2312" w:hAnsi="仿宋" w:eastAsia="仿宋_GB2312" w:cs="仿宋_GB2312"/>
          <w:b/>
          <w:color w:val="auto"/>
          <w:sz w:val="32"/>
          <w:szCs w:val="20"/>
          <w:highlight w:val="none"/>
        </w:rPr>
      </w:pPr>
      <w:bookmarkStart w:id="13" w:name="第三部分"/>
      <w:bookmarkStart w:id="14" w:name="_Toc164416483"/>
      <w:r>
        <w:rPr>
          <w:rFonts w:ascii="仿宋_GB2312" w:hAnsi="仿宋" w:eastAsia="仿宋_GB2312" w:cs="仿宋_GB2312"/>
          <w:b/>
          <w:color w:val="auto"/>
          <w:sz w:val="32"/>
          <w:szCs w:val="20"/>
          <w:highlight w:val="none"/>
        </w:rPr>
        <w:br w:type="page"/>
      </w:r>
    </w:p>
    <w:p w14:paraId="153AA641">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7EC7370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14:paraId="59B62AE5">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3CA21432">
      <w:pPr>
        <w:rPr>
          <w:color w:val="auto"/>
          <w:highlight w:val="none"/>
        </w:rPr>
      </w:pPr>
    </w:p>
    <w:p w14:paraId="4A78A2F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w:t>
      </w:r>
      <w:r>
        <w:rPr>
          <w:rFonts w:hint="eastAsia" w:ascii="仿宋_GB2312" w:hAnsi="仿宋" w:eastAsia="仿宋_GB2312"/>
          <w:b/>
          <w:color w:val="auto"/>
          <w:sz w:val="24"/>
          <w:highlight w:val="none"/>
        </w:rPr>
        <w:t>定义</w:t>
      </w:r>
    </w:p>
    <w:p w14:paraId="6C9C1FFC">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2.1.</w:t>
      </w:r>
      <w:r>
        <w:rPr>
          <w:rFonts w:hint="eastAsia" w:ascii="仿宋_GB2312" w:hAnsi="仿宋" w:eastAsia="仿宋_GB2312"/>
          <w:color w:val="auto"/>
          <w:sz w:val="24"/>
          <w:highlight w:val="none"/>
        </w:rPr>
        <w:t>“采购人”系指招标公告中载明的本项目的采购人。</w:t>
      </w:r>
    </w:p>
    <w:p w14:paraId="7C87E239">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2.2.</w:t>
      </w:r>
      <w:r>
        <w:rPr>
          <w:rFonts w:hint="eastAsia" w:ascii="仿宋_GB2312" w:hAnsi="仿宋" w:eastAsia="仿宋_GB2312"/>
          <w:color w:val="auto"/>
          <w:sz w:val="24"/>
          <w:highlight w:val="none"/>
        </w:rPr>
        <w:t>“采购代理机构”系指招标公告中载明的本项目的采购代理机构。</w:t>
      </w:r>
    </w:p>
    <w:p w14:paraId="59A783E1">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2.3.</w:t>
      </w:r>
      <w:r>
        <w:rPr>
          <w:rFonts w:hint="eastAsia" w:ascii="仿宋_GB2312" w:hAnsi="仿宋" w:eastAsia="仿宋_GB2312"/>
          <w:color w:val="auto"/>
          <w:sz w:val="24"/>
          <w:highlight w:val="none"/>
        </w:rPr>
        <w:t>“投标人”系指响应招标、参加投标竞争的法人、其他组织或者自然人。</w:t>
      </w:r>
    </w:p>
    <w:p w14:paraId="0F2F61BC">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218FD676">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2.5.</w:t>
      </w:r>
      <w:r>
        <w:rPr>
          <w:rFonts w:hint="eastAsia"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r>
        <w:rPr>
          <w:rFonts w:hint="eastAsia" w:ascii="仿宋_GB2312" w:hAnsi="仿宋" w:eastAsia="仿宋_GB2312"/>
          <w:color w:val="auto"/>
          <w:sz w:val="24"/>
          <w:highlight w:val="none"/>
        </w:rPr>
        <w:t>。</w:t>
      </w:r>
    </w:p>
    <w:p w14:paraId="4281CEA4">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2.6.</w:t>
      </w:r>
      <w:r>
        <w:rPr>
          <w:rFonts w:hint="eastAsia" w:ascii="仿宋_GB2312" w:hAnsi="仿宋" w:eastAsia="仿宋_GB2312"/>
          <w:color w:val="auto"/>
          <w:sz w:val="24"/>
          <w:highlight w:val="none"/>
        </w:rPr>
        <w:t>“电子交易平台”是指本项目政府采购活动所依托的政府采购云平台（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p>
    <w:p w14:paraId="4D7EDA57">
      <w:pPr>
        <w:numPr>
          <w:ilvl w:val="1"/>
          <w:numId w:val="0"/>
        </w:numPr>
        <w:spacing w:line="360" w:lineRule="auto"/>
        <w:ind w:left="567" w:hanging="567"/>
        <w:rPr>
          <w:rFonts w:ascii="仿宋_GB2312" w:hAnsi="仿宋" w:eastAsia="仿宋_GB2312"/>
          <w:b/>
          <w:bCs/>
          <w:i/>
          <w:iCs/>
          <w:color w:val="auto"/>
          <w:sz w:val="24"/>
          <w:highlight w:val="none"/>
        </w:rPr>
      </w:pPr>
      <w:r>
        <w:rPr>
          <w:rFonts w:ascii="宋体" w:hAnsi="宋体" w:cs="宋体"/>
          <w:color w:val="auto"/>
          <w:sz w:val="20"/>
          <w:szCs w:val="20"/>
          <w:highlight w:val="none"/>
        </w:rPr>
        <w:t>2.7.</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w:t>
      </w:r>
      <w:r>
        <w:rPr>
          <w:rFonts w:ascii="Wingdings" w:hAnsi="Wingdings" w:eastAsia="仿宋_GB2312"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r>
        <w:rPr>
          <w:rFonts w:hint="eastAsia" w:ascii="MS Gothic" w:hAnsi="MS Gothic" w:eastAsia="MS Gothic"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14:paraId="5DC65C0A">
      <w:pPr>
        <w:spacing w:line="360" w:lineRule="auto"/>
        <w:ind w:firstLine="241" w:firstLineChars="100"/>
        <w:rPr>
          <w:rFonts w:ascii="仿宋_GB2312" w:hAnsi="仿宋" w:eastAsia="仿宋_GB2312"/>
          <w:b/>
          <w:color w:val="auto"/>
          <w:sz w:val="24"/>
          <w:highlight w:val="none"/>
        </w:rPr>
      </w:pPr>
    </w:p>
    <w:p w14:paraId="47F7193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5C298A44">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C83D12B">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3.2.</w:t>
      </w:r>
      <w:r>
        <w:rPr>
          <w:rFonts w:hint="eastAsia" w:ascii="仿宋_GB2312" w:hAnsi="仿宋" w:eastAsia="仿宋_GB2312"/>
          <w:color w:val="auto"/>
          <w:sz w:val="24"/>
          <w:highlight w:val="none"/>
        </w:rPr>
        <w:t>支持绿色发展</w:t>
      </w:r>
    </w:p>
    <w:p w14:paraId="17503919">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3.2.1.</w:t>
      </w: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FB9B87F">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4DBAD0E">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3.2.2.</w:t>
      </w: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4CF4D04">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FC5346A">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3.2.4.</w:t>
      </w: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6C2625">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3.3.</w:t>
      </w:r>
      <w:r>
        <w:rPr>
          <w:rFonts w:hint="eastAsia" w:ascii="仿宋_GB2312" w:hAnsi="仿宋" w:eastAsia="仿宋_GB2312"/>
          <w:color w:val="auto"/>
          <w:sz w:val="24"/>
          <w:highlight w:val="none"/>
        </w:rPr>
        <w:t>支持中小企业发展</w:t>
      </w:r>
    </w:p>
    <w:p w14:paraId="69A56164">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3.3.1.</w:t>
      </w:r>
      <w:r>
        <w:rPr>
          <w:rFonts w:hint="eastAsia"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634E5F">
      <w:pPr>
        <w:spacing w:line="360" w:lineRule="auto"/>
        <w:ind w:firstLine="840" w:firstLineChars="350"/>
        <w:rPr>
          <w:rFonts w:ascii="仿宋_GB2312" w:hAnsi="仿宋" w:eastAsia="仿宋_GB2312"/>
          <w:color w:val="auto"/>
          <w:sz w:val="24"/>
          <w:highlight w:val="none"/>
        </w:rPr>
      </w:pPr>
      <w:r>
        <w:rPr>
          <w:rFonts w:hint="eastAsia" w:ascii="仿宋_GB2312" w:hAnsi="仿宋" w:eastAsia="仿宋_GB2312"/>
          <w:color w:val="auto"/>
          <w:sz w:val="24"/>
          <w:highlight w:val="none"/>
        </w:rPr>
        <w:t>符合中小企业划分标准的个体工商户，在政府采购活动中视同中小企业。</w:t>
      </w:r>
    </w:p>
    <w:p w14:paraId="5843CB76">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3.3.2.</w:t>
      </w: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4BD5782">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5D7C30F3">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ascii="仿宋_GB2312" w:hAnsi="仿宋" w:eastAsia="仿宋_GB2312"/>
          <w:b/>
          <w:bCs/>
          <w:color w:val="auto"/>
          <w:sz w:val="24"/>
          <w:highlight w:val="none"/>
        </w:rPr>
        <w:t>10%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w:t>
      </w:r>
      <w:r>
        <w:rPr>
          <w:rFonts w:ascii="仿宋_GB2312" w:hAnsi="仿宋" w:eastAsia="仿宋_GB2312"/>
          <w:color w:val="auto"/>
          <w:sz w:val="24"/>
          <w:highlight w:val="none"/>
        </w:rPr>
        <w:t>30%</w:t>
      </w:r>
      <w:r>
        <w:rPr>
          <w:rFonts w:hint="eastAsia" w:ascii="仿宋_GB2312" w:hAnsi="仿宋" w:eastAsia="仿宋_GB2312"/>
          <w:color w:val="auto"/>
          <w:sz w:val="24"/>
          <w:highlight w:val="none"/>
        </w:rPr>
        <w:t>以上的，对联合体或者大中型企业的报价给予</w:t>
      </w:r>
      <w:r>
        <w:rPr>
          <w:rFonts w:ascii="仿宋_GB2312" w:hAnsi="仿宋" w:eastAsia="仿宋_GB2312"/>
          <w:b/>
          <w:bCs/>
          <w:color w:val="auto"/>
          <w:sz w:val="24"/>
          <w:highlight w:val="none"/>
        </w:rPr>
        <w:t>4%</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3C58D463">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3.3.4.</w:t>
      </w:r>
      <w:r>
        <w:rPr>
          <w:rFonts w:hint="eastAsia" w:ascii="仿宋_GB2312" w:hAnsi="仿宋" w:eastAsia="仿宋_GB2312"/>
          <w:color w:val="auto"/>
          <w:sz w:val="24"/>
          <w:highlight w:val="none"/>
        </w:rPr>
        <w:t>符合《关于促进残疾人就业政府采购政策的通知》（财库〔</w:t>
      </w:r>
      <w:r>
        <w:rPr>
          <w:rFonts w:ascii="仿宋_GB2312" w:hAnsi="仿宋" w:eastAsia="仿宋_GB2312"/>
          <w:color w:val="auto"/>
          <w:sz w:val="24"/>
          <w:highlight w:val="none"/>
        </w:rPr>
        <w:t>2017</w:t>
      </w:r>
      <w:r>
        <w:rPr>
          <w:rFonts w:hint="eastAsia" w:ascii="仿宋_GB2312" w:hAnsi="仿宋" w:eastAsia="仿宋_GB2312"/>
          <w:color w:val="auto"/>
          <w:sz w:val="24"/>
          <w:highlight w:val="none"/>
        </w:rPr>
        <w:t>〕</w:t>
      </w:r>
      <w:r>
        <w:rPr>
          <w:rFonts w:ascii="仿宋_GB2312" w:hAnsi="仿宋" w:eastAsia="仿宋_GB2312"/>
          <w:color w:val="auto"/>
          <w:sz w:val="24"/>
          <w:highlight w:val="none"/>
        </w:rPr>
        <w:t>141</w:t>
      </w:r>
      <w:r>
        <w:rPr>
          <w:rFonts w:hint="eastAsia" w:ascii="仿宋_GB2312" w:hAnsi="仿宋" w:eastAsia="仿宋_GB2312"/>
          <w:color w:val="auto"/>
          <w:sz w:val="24"/>
          <w:highlight w:val="none"/>
        </w:rPr>
        <w:t>号）规定的条件并提供《残疾人福利性单位声明函》（附件</w:t>
      </w:r>
      <w:r>
        <w:rPr>
          <w:rFonts w:ascii="仿宋_GB2312" w:hAnsi="仿宋" w:eastAsia="仿宋_GB2312"/>
          <w:color w:val="auto"/>
          <w:sz w:val="24"/>
          <w:highlight w:val="none"/>
        </w:rPr>
        <w:t>1</w:t>
      </w:r>
      <w:r>
        <w:rPr>
          <w:rFonts w:hint="eastAsia" w:ascii="仿宋_GB2312" w:hAnsi="仿宋" w:eastAsia="仿宋_GB2312"/>
          <w:color w:val="auto"/>
          <w:sz w:val="24"/>
          <w:highlight w:val="none"/>
        </w:rPr>
        <w:t>）的残疾人福利性单位视同小型、微型企业；</w:t>
      </w:r>
    </w:p>
    <w:p w14:paraId="59BBE488">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3.3.5.</w:t>
      </w:r>
      <w:r>
        <w:rPr>
          <w:rFonts w:hint="eastAsia" w:ascii="仿宋_GB2312" w:hAnsi="仿宋" w:eastAsia="仿宋_GB2312"/>
          <w:color w:val="auto"/>
          <w:sz w:val="24"/>
          <w:highlight w:val="none"/>
        </w:rPr>
        <w:t>符合《关于政府采购支持监狱企业发展有关问题的通知》（财库</w:t>
      </w:r>
      <w:r>
        <w:rPr>
          <w:rFonts w:ascii="仿宋_GB2312" w:hAnsi="仿宋" w:eastAsia="仿宋_GB2312"/>
          <w:color w:val="auto"/>
          <w:sz w:val="24"/>
          <w:highlight w:val="none"/>
        </w:rPr>
        <w:t>[2014]68</w:t>
      </w:r>
      <w:r>
        <w:rPr>
          <w:rFonts w:hint="eastAsia" w:ascii="仿宋_GB2312" w:hAnsi="仿宋" w:eastAsia="仿宋_GB2312"/>
          <w:color w:val="auto"/>
          <w:sz w:val="24"/>
          <w:highlight w:val="none"/>
        </w:rPr>
        <w:t>号）规定的监狱企业并提供由省级以上监狱管理局、戒毒管理局（含新疆生产建设兵团）出具的属于监狱企业证明文件的，视同为小型、微型企业。</w:t>
      </w:r>
    </w:p>
    <w:p w14:paraId="7A4CAD5C">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0CBA31">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3.3.7.</w:t>
      </w: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14:paraId="0204B11A">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3.4.</w:t>
      </w:r>
      <w:r>
        <w:rPr>
          <w:rFonts w:hint="eastAsia" w:ascii="仿宋_GB2312" w:hAnsi="仿宋" w:eastAsia="仿宋_GB2312"/>
          <w:color w:val="auto"/>
          <w:sz w:val="24"/>
          <w:highlight w:val="none"/>
        </w:rPr>
        <w:t>支持创新发展</w:t>
      </w:r>
    </w:p>
    <w:p w14:paraId="74FFA77F">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3.4.1.</w:t>
      </w:r>
      <w:r>
        <w:rPr>
          <w:rFonts w:hint="eastAsia" w:ascii="仿宋_GB2312" w:hAnsi="仿宋" w:eastAsia="仿宋_GB2312"/>
          <w:color w:val="auto"/>
          <w:sz w:val="24"/>
          <w:highlight w:val="none"/>
        </w:rPr>
        <w:t>采购人优先采购被认定为首台套产品和“制造精品”的自主创新产品。</w:t>
      </w:r>
    </w:p>
    <w:p w14:paraId="47450A8A">
      <w:pPr>
        <w:numPr>
          <w:ilvl w:val="2"/>
          <w:numId w:val="0"/>
        </w:numPr>
        <w:spacing w:line="360" w:lineRule="auto"/>
        <w:ind w:left="850" w:hanging="850"/>
        <w:rPr>
          <w:rFonts w:ascii="仿宋" w:hAnsi="仿宋" w:eastAsia="仿宋" w:cs="仿宋"/>
          <w:color w:val="auto"/>
          <w:sz w:val="24"/>
          <w:highlight w:val="none"/>
        </w:rPr>
      </w:pPr>
      <w:r>
        <w:rPr>
          <w:rFonts w:ascii="宋体" w:hAnsi="宋体" w:cs="宋体"/>
          <w:color w:val="auto"/>
          <w:sz w:val="24"/>
          <w:highlight w:val="none"/>
        </w:rPr>
        <w:t>3.4.2.</w:t>
      </w:r>
      <w:r>
        <w:rPr>
          <w:rFonts w:hint="eastAsia" w:ascii="仿宋" w:hAnsi="仿宋" w:eastAsia="仿宋" w:cs="仿宋"/>
          <w:color w:val="auto"/>
          <w:sz w:val="24"/>
          <w:highlight w:val="none"/>
        </w:rPr>
        <w:t>首台套产品被纳入《首台套产品推广应用指导目录》之日起</w:t>
      </w:r>
      <w:r>
        <w:rPr>
          <w:rFonts w:ascii="仿宋" w:hAnsi="仿宋" w:eastAsia="仿宋" w:cs="仿宋"/>
          <w:color w:val="auto"/>
          <w:sz w:val="24"/>
          <w:highlight w:val="none"/>
        </w:rPr>
        <w:t>3</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ascii="仿宋" w:hAnsi="仿宋" w:eastAsia="仿宋" w:cs="仿宋"/>
          <w:color w:val="auto"/>
          <w:sz w:val="24"/>
          <w:highlight w:val="none"/>
        </w:rPr>
        <w:t>2</w:t>
      </w:r>
      <w:r>
        <w:rPr>
          <w:rFonts w:hint="eastAsia" w:ascii="仿宋" w:hAnsi="仿宋" w:eastAsia="仿宋" w:cs="仿宋"/>
          <w:color w:val="auto"/>
          <w:sz w:val="24"/>
          <w:highlight w:val="none"/>
        </w:rPr>
        <w:t>年内视同已具备相应销售业绩，参加政府采购活动时业绩分值为满分。</w:t>
      </w:r>
    </w:p>
    <w:p w14:paraId="1AE275D4">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3.5.</w:t>
      </w:r>
      <w:r>
        <w:rPr>
          <w:rFonts w:hint="eastAsia" w:ascii="仿宋_GB2312" w:hAnsi="仿宋" w:eastAsia="仿宋_GB2312"/>
          <w:color w:val="auto"/>
          <w:sz w:val="24"/>
          <w:highlight w:val="none"/>
        </w:rPr>
        <w:t>平等对待内外资企业和符合条件的破产重整企业</w:t>
      </w:r>
    </w:p>
    <w:p w14:paraId="60E39D0B">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14:paraId="74CDE0D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14:paraId="3375C504">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4.1</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在线询问、质疑、投诉。根据《浙江省财政厅关于进一步促进政府采购公平竞争打造最优营商环境的通知》（浙财采监（</w:t>
      </w:r>
      <w:r>
        <w:rPr>
          <w:rFonts w:ascii="仿宋_GB2312" w:hAnsi="仿宋" w:eastAsia="仿宋_GB2312"/>
          <w:bCs/>
          <w:color w:val="auto"/>
          <w:sz w:val="24"/>
          <w:highlight w:val="none"/>
          <w:lang w:val="zh-CN"/>
        </w:rPr>
        <w:t>2021</w:t>
      </w:r>
      <w:r>
        <w:rPr>
          <w:rFonts w:hint="eastAsia" w:ascii="仿宋_GB2312" w:hAnsi="仿宋" w:eastAsia="仿宋_GB2312"/>
          <w:bCs/>
          <w:color w:val="auto"/>
          <w:sz w:val="24"/>
          <w:highlight w:val="none"/>
          <w:lang w:val="zh-CN"/>
        </w:rPr>
        <w:t>）</w:t>
      </w:r>
      <w:r>
        <w:rPr>
          <w:rFonts w:ascii="仿宋_GB2312" w:hAnsi="仿宋" w:eastAsia="仿宋_GB2312"/>
          <w:bCs/>
          <w:color w:val="auto"/>
          <w:sz w:val="24"/>
          <w:highlight w:val="none"/>
          <w:lang w:val="zh-CN"/>
        </w:rPr>
        <w:t>22</w:t>
      </w:r>
      <w:r>
        <w:rPr>
          <w:rFonts w:hint="eastAsia" w:ascii="仿宋_GB2312" w:hAnsi="仿宋" w:eastAsia="仿宋_GB2312"/>
          <w:bCs/>
          <w:color w:val="auto"/>
          <w:sz w:val="24"/>
          <w:highlight w:val="none"/>
          <w:lang w:val="zh-CN"/>
        </w:rPr>
        <w:t>号）文件关于“健全行政裁决机制”要求，鼓励供应商在线提起询问，路径为：政采云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项目采购</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询问质疑投诉</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询问列表；鼓励供应商在线提起质疑，路径为：政采云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项目采购</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询问质疑投诉</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质疑列表。质疑供应商对在线质疑答复不满意的，可在线提起投诉，路径为：浙江政府服务网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政府采购投诉处理</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在线办理</w:t>
      </w:r>
    </w:p>
    <w:p w14:paraId="5DB94063">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4.2</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供应商询问</w:t>
      </w:r>
    </w:p>
    <w:p w14:paraId="4D31E1F3">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w:t>
      </w:r>
      <w:r>
        <w:rPr>
          <w:rFonts w:hint="eastAsia" w:ascii="仿宋_GB2312" w:hAnsi="仿宋" w:eastAsia="仿宋_GB2312" w:cs="微软雅黑"/>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39FCF8C2">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供应商质疑</w:t>
      </w:r>
    </w:p>
    <w:p w14:paraId="5BCD650A">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4.3.1.</w:t>
      </w:r>
      <w:r>
        <w:rPr>
          <w:rFonts w:hint="eastAsia" w:ascii="仿宋_GB2312" w:hAnsi="仿宋" w:eastAsia="仿宋_GB2312"/>
          <w:bCs/>
          <w:color w:val="auto"/>
          <w:sz w:val="24"/>
          <w:highlight w:val="none"/>
          <w:lang w:val="zh-CN"/>
        </w:rPr>
        <w:t>提出质疑的供应商应当是参与所质疑项目采购活动的供应商。潜在供应商已依法获取其可质疑的招标文件的，可以对该文件提出质疑。</w:t>
      </w:r>
    </w:p>
    <w:p w14:paraId="052952D5">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4.3.2.</w:t>
      </w:r>
      <w:r>
        <w:rPr>
          <w:rFonts w:hint="eastAsia" w:ascii="仿宋_GB2312" w:hAnsi="仿宋" w:eastAsia="仿宋_GB2312"/>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9861E7">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4.3.2.1.</w:t>
      </w:r>
      <w:r>
        <w:rPr>
          <w:rFonts w:hint="eastAsia" w:ascii="仿宋_GB2312" w:hAnsi="仿宋" w:eastAsia="仿宋_GB2312"/>
          <w:bCs/>
          <w:color w:val="auto"/>
          <w:sz w:val="24"/>
          <w:highlight w:val="none"/>
          <w:lang w:val="zh-CN"/>
        </w:rPr>
        <w:t>对招标文件提出质疑的，质疑期限为供应商获得招标文件之日或者招标文件公告期限届满之日起计算。</w:t>
      </w:r>
    </w:p>
    <w:p w14:paraId="08B3D223">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4.3.2.2.</w:t>
      </w:r>
      <w:r>
        <w:rPr>
          <w:rFonts w:hint="eastAsia" w:ascii="仿宋_GB2312" w:hAnsi="仿宋" w:eastAsia="仿宋_GB2312"/>
          <w:bCs/>
          <w:color w:val="auto"/>
          <w:sz w:val="24"/>
          <w:highlight w:val="none"/>
          <w:lang w:val="zh-CN"/>
        </w:rPr>
        <w:t>对采购过程提出质疑的，质疑期限为各采购程序环节结束之日起计算。</w:t>
      </w:r>
    </w:p>
    <w:p w14:paraId="159126FA">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4.3.2.3.</w:t>
      </w:r>
      <w:r>
        <w:rPr>
          <w:rFonts w:hint="eastAsia" w:ascii="仿宋_GB2312" w:hAnsi="仿宋" w:eastAsia="仿宋_GB2312"/>
          <w:bCs/>
          <w:color w:val="auto"/>
          <w:sz w:val="24"/>
          <w:highlight w:val="none"/>
          <w:lang w:val="zh-CN"/>
        </w:rPr>
        <w:t>对采购结果提出质疑的，质疑期限自采购结果公告期限届满之日起计算。</w:t>
      </w:r>
    </w:p>
    <w:p w14:paraId="4C605B68">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4.3.3.</w:t>
      </w:r>
      <w:r>
        <w:rPr>
          <w:rFonts w:hint="eastAsia" w:ascii="仿宋_GB2312" w:hAnsi="仿宋" w:eastAsia="仿宋_GB2312"/>
          <w:bCs/>
          <w:color w:val="auto"/>
          <w:sz w:val="24"/>
          <w:highlight w:val="none"/>
          <w:lang w:val="zh-CN"/>
        </w:rPr>
        <w:t>供应商提出质疑应当提交质疑函和必要的证明材料。质疑函应当包括下列内容：</w:t>
      </w:r>
    </w:p>
    <w:p w14:paraId="54791E08">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4.3.3.1.</w:t>
      </w:r>
      <w:r>
        <w:rPr>
          <w:rFonts w:hint="eastAsia" w:ascii="仿宋_GB2312" w:hAnsi="仿宋" w:eastAsia="仿宋_GB2312"/>
          <w:bCs/>
          <w:color w:val="auto"/>
          <w:sz w:val="24"/>
          <w:highlight w:val="none"/>
          <w:lang w:val="zh-CN"/>
        </w:rPr>
        <w:t>供应商的姓名或者名称、地址、邮编、联系人及联系电话；</w:t>
      </w:r>
    </w:p>
    <w:p w14:paraId="47F0F300">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4.3.3.2.</w:t>
      </w:r>
      <w:r>
        <w:rPr>
          <w:rFonts w:hint="eastAsia" w:ascii="仿宋_GB2312" w:hAnsi="仿宋" w:eastAsia="仿宋_GB2312"/>
          <w:bCs/>
          <w:color w:val="auto"/>
          <w:sz w:val="24"/>
          <w:highlight w:val="none"/>
          <w:lang w:val="zh-CN"/>
        </w:rPr>
        <w:t>质疑项目的名称、编号；</w:t>
      </w:r>
    </w:p>
    <w:p w14:paraId="2CE2A867">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4.3.3.3.</w:t>
      </w:r>
      <w:r>
        <w:rPr>
          <w:rFonts w:hint="eastAsia" w:ascii="仿宋_GB2312" w:hAnsi="仿宋" w:eastAsia="仿宋_GB2312"/>
          <w:bCs/>
          <w:color w:val="auto"/>
          <w:sz w:val="24"/>
          <w:highlight w:val="none"/>
          <w:lang w:val="zh-CN"/>
        </w:rPr>
        <w:t>具体、明确的质疑事项和与质疑事项相关的请求；</w:t>
      </w:r>
    </w:p>
    <w:p w14:paraId="6119C398">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4.3.3.4.</w:t>
      </w:r>
      <w:r>
        <w:rPr>
          <w:rFonts w:hint="eastAsia" w:ascii="仿宋_GB2312" w:hAnsi="仿宋" w:eastAsia="仿宋_GB2312"/>
          <w:bCs/>
          <w:color w:val="auto"/>
          <w:sz w:val="24"/>
          <w:highlight w:val="none"/>
          <w:lang w:val="zh-CN"/>
        </w:rPr>
        <w:t>事实依据；</w:t>
      </w:r>
    </w:p>
    <w:p w14:paraId="1850D32F">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4.3.3.5.</w:t>
      </w:r>
      <w:r>
        <w:rPr>
          <w:rFonts w:hint="eastAsia" w:ascii="仿宋_GB2312" w:hAnsi="仿宋" w:eastAsia="仿宋_GB2312"/>
          <w:bCs/>
          <w:color w:val="auto"/>
          <w:sz w:val="24"/>
          <w:highlight w:val="none"/>
          <w:lang w:val="zh-CN"/>
        </w:rPr>
        <w:t>必要的法律依据；</w:t>
      </w:r>
    </w:p>
    <w:p w14:paraId="367B1AA7">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4.3.3.6.</w:t>
      </w:r>
      <w:r>
        <w:rPr>
          <w:rFonts w:hint="eastAsia" w:ascii="仿宋_GB2312" w:hAnsi="仿宋" w:eastAsia="仿宋_GB2312"/>
          <w:bCs/>
          <w:color w:val="auto"/>
          <w:sz w:val="24"/>
          <w:highlight w:val="none"/>
          <w:lang w:val="zh-CN"/>
        </w:rPr>
        <w:t>提出质疑的日期。</w:t>
      </w:r>
    </w:p>
    <w:p w14:paraId="1BAA3750">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BC03924">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质疑函范本及制作说明详见附件</w:t>
      </w:r>
      <w:r>
        <w:rPr>
          <w:rFonts w:ascii="仿宋_GB2312" w:hAnsi="仿宋" w:eastAsia="仿宋_GB2312"/>
          <w:bCs/>
          <w:color w:val="auto"/>
          <w:sz w:val="24"/>
          <w:highlight w:val="none"/>
          <w:lang w:val="zh-CN"/>
        </w:rPr>
        <w:t>2</w:t>
      </w:r>
      <w:r>
        <w:rPr>
          <w:rFonts w:hint="eastAsia" w:ascii="仿宋_GB2312" w:hAnsi="仿宋" w:eastAsia="仿宋_GB2312"/>
          <w:bCs/>
          <w:color w:val="auto"/>
          <w:sz w:val="24"/>
          <w:highlight w:val="none"/>
          <w:lang w:val="zh-CN"/>
        </w:rPr>
        <w:t>。</w:t>
      </w:r>
    </w:p>
    <w:p w14:paraId="22F6E9D2">
      <w:pPr>
        <w:numPr>
          <w:ilvl w:val="2"/>
          <w:numId w:val="0"/>
        </w:numPr>
        <w:tabs>
          <w:tab w:val="left" w:pos="21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4.3.4.</w:t>
      </w:r>
      <w:r>
        <w:rPr>
          <w:rFonts w:hint="eastAsia" w:ascii="仿宋_GB2312" w:hAnsi="仿宋" w:eastAsia="仿宋_GB2312"/>
          <w:bCs/>
          <w:color w:val="auto"/>
          <w:sz w:val="24"/>
          <w:highlight w:val="none"/>
          <w:lang w:val="zh-CN"/>
        </w:rPr>
        <w:t>对同一采购程序环节的质疑，供应商须在法定质疑期内一次性提出。</w:t>
      </w:r>
    </w:p>
    <w:p w14:paraId="5742087D">
      <w:pPr>
        <w:numPr>
          <w:ilvl w:val="2"/>
          <w:numId w:val="0"/>
        </w:numPr>
        <w:tabs>
          <w:tab w:val="left" w:pos="21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4.3.5.</w:t>
      </w:r>
      <w:r>
        <w:rPr>
          <w:rFonts w:hint="eastAsia" w:ascii="仿宋_GB2312" w:hAnsi="仿宋" w:eastAsia="仿宋_GB2312"/>
          <w:bCs/>
          <w:color w:val="auto"/>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bCs/>
          <w:color w:val="auto"/>
          <w:sz w:val="24"/>
          <w:highlight w:val="none"/>
          <w:lang w:val="zh-CN"/>
        </w:rPr>
        <w:t>2021</w:t>
      </w:r>
      <w:r>
        <w:rPr>
          <w:rFonts w:hint="eastAsia" w:ascii="仿宋_GB2312" w:hAnsi="仿宋" w:eastAsia="仿宋_GB2312"/>
          <w:bCs/>
          <w:color w:val="auto"/>
          <w:sz w:val="24"/>
          <w:highlight w:val="none"/>
          <w:lang w:val="zh-CN"/>
        </w:rPr>
        <w:t>〕</w:t>
      </w:r>
      <w:r>
        <w:rPr>
          <w:rFonts w:ascii="仿宋_GB2312" w:hAnsi="仿宋" w:eastAsia="仿宋_GB2312"/>
          <w:bCs/>
          <w:color w:val="auto"/>
          <w:sz w:val="24"/>
          <w:highlight w:val="none"/>
          <w:lang w:val="zh-CN"/>
        </w:rPr>
        <w:t>17</w:t>
      </w:r>
      <w:r>
        <w:rPr>
          <w:rFonts w:hint="eastAsia" w:ascii="仿宋_GB2312" w:hAnsi="仿宋" w:eastAsia="仿宋_GB2312"/>
          <w:bCs/>
          <w:color w:val="auto"/>
          <w:sz w:val="24"/>
          <w:highlight w:val="none"/>
          <w:lang w:val="zh-CN"/>
        </w:rPr>
        <w:t>号）</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采购人或者采购代理机构在质疑回复后</w:t>
      </w:r>
      <w:r>
        <w:rPr>
          <w:rFonts w:ascii="仿宋_GB2312" w:hAnsi="仿宋" w:eastAsia="仿宋_GB2312"/>
          <w:bCs/>
          <w:color w:val="auto"/>
          <w:sz w:val="24"/>
          <w:highlight w:val="none"/>
          <w:lang w:val="zh-CN"/>
        </w:rPr>
        <w:t>5</w:t>
      </w:r>
      <w:r>
        <w:rPr>
          <w:rFonts w:hint="eastAsia" w:ascii="仿宋_GB2312" w:hAnsi="仿宋" w:eastAsia="仿宋_GB2312"/>
          <w:bCs/>
          <w:color w:val="auto"/>
          <w:sz w:val="24"/>
          <w:highlight w:val="none"/>
          <w:lang w:val="zh-CN"/>
        </w:rPr>
        <w:t>个工作日内，在浙江政府采购网的“其他公告”栏目公开质疑答复，答复内容应当完整。质疑函作为附件上传。</w:t>
      </w:r>
    </w:p>
    <w:p w14:paraId="33291956">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4.3.6.</w:t>
      </w:r>
      <w:r>
        <w:rPr>
          <w:rFonts w:hint="eastAsia" w:ascii="仿宋_GB2312" w:hAnsi="仿宋" w:eastAsia="仿宋_GB2312"/>
          <w:bCs/>
          <w:color w:val="auto"/>
          <w:sz w:val="24"/>
          <w:highlight w:val="none"/>
          <w:lang w:val="zh-CN"/>
        </w:rPr>
        <w:t>询问或者质疑事项可能影响采购结果的，采购人应当暂停签订合同，已经签订合同的，应当中止履行合同。</w:t>
      </w:r>
    </w:p>
    <w:p w14:paraId="26D4A29C">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供应商投诉</w:t>
      </w:r>
    </w:p>
    <w:p w14:paraId="5A03FB2E">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4.4.1.</w:t>
      </w:r>
      <w:r>
        <w:rPr>
          <w:rFonts w:hint="eastAsia" w:ascii="仿宋_GB2312" w:hAnsi="仿宋" w:eastAsia="仿宋_GB2312"/>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04A09039">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4.4.2.</w:t>
      </w:r>
      <w:r>
        <w:rPr>
          <w:rFonts w:hint="eastAsia" w:ascii="仿宋_GB2312" w:hAnsi="仿宋" w:eastAsia="仿宋_GB2312"/>
          <w:bCs/>
          <w:color w:val="auto"/>
          <w:sz w:val="24"/>
          <w:highlight w:val="none"/>
          <w:lang w:val="zh-CN"/>
        </w:rPr>
        <w:t>供应商投诉的事项不得超出已质疑事项的范围，基于质疑答复内容提出的投诉事项除外。</w:t>
      </w:r>
    </w:p>
    <w:p w14:paraId="2B62E31C">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4.4.3.</w:t>
      </w:r>
      <w:r>
        <w:rPr>
          <w:rFonts w:hint="eastAsia" w:ascii="仿宋_GB2312" w:hAnsi="仿宋" w:eastAsia="仿宋_GB2312"/>
          <w:bCs/>
          <w:color w:val="auto"/>
          <w:sz w:val="24"/>
          <w:highlight w:val="none"/>
          <w:lang w:val="zh-CN"/>
        </w:rPr>
        <w:t>供应商投诉应当有明确的请求和必要的证明材料。</w:t>
      </w:r>
    </w:p>
    <w:p w14:paraId="0828C484">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4.4.4.</w:t>
      </w:r>
      <w:r>
        <w:rPr>
          <w:rFonts w:hint="eastAsia" w:ascii="仿宋_GB2312" w:hAnsi="仿宋" w:eastAsia="仿宋_GB2312"/>
          <w:bCs/>
          <w:color w:val="auto"/>
          <w:sz w:val="24"/>
          <w:highlight w:val="none"/>
          <w:lang w:val="zh-CN"/>
        </w:rPr>
        <w:t>以联合体形式参加政府采购活动的，其投诉应当由组成联合体的所有供应商共同提出。</w:t>
      </w:r>
    </w:p>
    <w:p w14:paraId="1CE276EB">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4.4.5.</w:t>
      </w:r>
      <w:r>
        <w:rPr>
          <w:rFonts w:hint="eastAsia" w:ascii="仿宋_GB2312" w:hAnsi="仿宋" w:eastAsia="仿宋_GB2312"/>
          <w:bCs/>
          <w:color w:val="auto"/>
          <w:sz w:val="24"/>
          <w:highlight w:val="none"/>
          <w:lang w:val="zh-CN"/>
        </w:rPr>
        <w:t>浙江省本级、杭州市本级、拱墅区、富阳区政府采购项目投诉材料可寄送浙江省政府采购行政裁决服务中心（杭州），地址：杭州市上城区四季青街道新业路市民之家</w:t>
      </w:r>
      <w:r>
        <w:rPr>
          <w:rFonts w:ascii="仿宋_GB2312" w:hAnsi="仿宋" w:eastAsia="仿宋_GB2312"/>
          <w:bCs/>
          <w:color w:val="auto"/>
          <w:sz w:val="24"/>
          <w:highlight w:val="none"/>
          <w:lang w:val="zh-CN"/>
        </w:rPr>
        <w:t>G03</w:t>
      </w:r>
      <w:r>
        <w:rPr>
          <w:rFonts w:hint="eastAsia" w:ascii="仿宋_GB2312" w:hAnsi="仿宋" w:eastAsia="仿宋_GB2312"/>
          <w:bCs/>
          <w:color w:val="auto"/>
          <w:sz w:val="24"/>
          <w:highlight w:val="none"/>
          <w:lang w:val="zh-CN"/>
        </w:rPr>
        <w:t>办公室，收件人：朱女士，电话：</w:t>
      </w:r>
      <w:r>
        <w:rPr>
          <w:rFonts w:ascii="仿宋_GB2312" w:hAnsi="仿宋" w:eastAsia="仿宋_GB2312"/>
          <w:bCs/>
          <w:color w:val="auto"/>
          <w:sz w:val="24"/>
          <w:highlight w:val="none"/>
          <w:lang w:val="zh-CN"/>
        </w:rPr>
        <w:t>15121014815</w:t>
      </w:r>
      <w:r>
        <w:rPr>
          <w:rFonts w:hint="eastAsia" w:ascii="仿宋_GB2312" w:hAnsi="仿宋" w:eastAsia="仿宋_GB2312"/>
          <w:bCs/>
          <w:color w:val="auto"/>
          <w:sz w:val="24"/>
          <w:highlight w:val="none"/>
          <w:lang w:val="zh-CN"/>
        </w:rPr>
        <w:t>。</w:t>
      </w:r>
    </w:p>
    <w:p w14:paraId="3EF1B6C8">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投诉书范本及制作说明详见附件</w:t>
      </w:r>
      <w:r>
        <w:rPr>
          <w:rFonts w:ascii="仿宋_GB2312" w:hAnsi="仿宋" w:eastAsia="仿宋_GB2312"/>
          <w:bCs/>
          <w:color w:val="auto"/>
          <w:sz w:val="24"/>
          <w:highlight w:val="none"/>
          <w:lang w:val="zh-CN"/>
        </w:rPr>
        <w:t>3</w:t>
      </w:r>
      <w:r>
        <w:rPr>
          <w:rFonts w:hint="eastAsia" w:ascii="仿宋_GB2312" w:hAnsi="仿宋" w:eastAsia="仿宋_GB2312"/>
          <w:bCs/>
          <w:color w:val="auto"/>
          <w:sz w:val="24"/>
          <w:highlight w:val="none"/>
          <w:lang w:val="zh-CN"/>
        </w:rPr>
        <w:t>。</w:t>
      </w:r>
    </w:p>
    <w:p w14:paraId="7C58F6A4">
      <w:pPr>
        <w:rPr>
          <w:color w:val="auto"/>
          <w:highlight w:val="none"/>
        </w:rPr>
      </w:pPr>
    </w:p>
    <w:p w14:paraId="3DA878E9">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14:paraId="57D736D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5.</w:t>
      </w:r>
      <w:r>
        <w:rPr>
          <w:rFonts w:hint="eastAsia" w:ascii="仿宋_GB2312" w:hAnsi="仿宋" w:eastAsia="仿宋_GB2312"/>
          <w:b/>
          <w:color w:val="auto"/>
          <w:sz w:val="24"/>
          <w:highlight w:val="none"/>
        </w:rPr>
        <w:t>招标文件的构成</w:t>
      </w:r>
    </w:p>
    <w:p w14:paraId="2792BC2F">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5.1.</w:t>
      </w:r>
      <w:r>
        <w:rPr>
          <w:rFonts w:hint="eastAsia" w:ascii="仿宋_GB2312" w:hAnsi="仿宋" w:eastAsia="仿宋_GB2312"/>
          <w:bCs/>
          <w:color w:val="auto"/>
          <w:sz w:val="24"/>
          <w:highlight w:val="none"/>
        </w:rPr>
        <w:t>招标文件包括下列文件及附件：</w:t>
      </w:r>
    </w:p>
    <w:p w14:paraId="1D8A75D0">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5.1.1.</w:t>
      </w:r>
      <w:r>
        <w:rPr>
          <w:rFonts w:hint="eastAsia" w:ascii="仿宋_GB2312" w:hAnsi="仿宋" w:eastAsia="仿宋_GB2312"/>
          <w:bCs/>
          <w:color w:val="auto"/>
          <w:sz w:val="24"/>
          <w:highlight w:val="none"/>
        </w:rPr>
        <w:t>招标公告；</w:t>
      </w:r>
    </w:p>
    <w:p w14:paraId="01BEE2C4">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5.1.2.</w:t>
      </w:r>
      <w:r>
        <w:rPr>
          <w:rFonts w:hint="eastAsia" w:ascii="仿宋_GB2312" w:hAnsi="仿宋" w:eastAsia="仿宋_GB2312"/>
          <w:bCs/>
          <w:color w:val="auto"/>
          <w:sz w:val="24"/>
          <w:highlight w:val="none"/>
        </w:rPr>
        <w:t>投标人须知；</w:t>
      </w:r>
    </w:p>
    <w:p w14:paraId="5B7FF262">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5.1.3.</w:t>
      </w:r>
      <w:r>
        <w:rPr>
          <w:rFonts w:hint="eastAsia" w:ascii="仿宋_GB2312" w:hAnsi="仿宋" w:eastAsia="仿宋_GB2312"/>
          <w:bCs/>
          <w:color w:val="auto"/>
          <w:sz w:val="24"/>
          <w:highlight w:val="none"/>
        </w:rPr>
        <w:t>采购需求；</w:t>
      </w:r>
    </w:p>
    <w:p w14:paraId="6CF928F1">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5.1.4.</w:t>
      </w:r>
      <w:r>
        <w:rPr>
          <w:rFonts w:hint="eastAsia" w:ascii="仿宋_GB2312" w:hAnsi="仿宋" w:eastAsia="仿宋_GB2312"/>
          <w:bCs/>
          <w:color w:val="auto"/>
          <w:sz w:val="24"/>
          <w:highlight w:val="none"/>
        </w:rPr>
        <w:t>评标办法；</w:t>
      </w:r>
    </w:p>
    <w:p w14:paraId="34D69100">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5.1.5.</w:t>
      </w:r>
      <w:r>
        <w:rPr>
          <w:rFonts w:hint="eastAsia" w:ascii="仿宋_GB2312" w:hAnsi="仿宋" w:eastAsia="仿宋_GB2312"/>
          <w:bCs/>
          <w:color w:val="auto"/>
          <w:sz w:val="24"/>
          <w:highlight w:val="none"/>
        </w:rPr>
        <w:t>拟签订的合同文本；</w:t>
      </w:r>
    </w:p>
    <w:p w14:paraId="46B5A607">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5.1.6.</w:t>
      </w:r>
      <w:r>
        <w:rPr>
          <w:rFonts w:hint="eastAsia" w:ascii="仿宋_GB2312" w:hAnsi="仿宋" w:eastAsia="仿宋_GB2312"/>
          <w:bCs/>
          <w:color w:val="auto"/>
          <w:sz w:val="24"/>
          <w:highlight w:val="none"/>
        </w:rPr>
        <w:t>应提交的有关格式范例。</w:t>
      </w:r>
    </w:p>
    <w:p w14:paraId="7199B02A">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5.2.</w:t>
      </w:r>
      <w:r>
        <w:rPr>
          <w:rFonts w:hint="eastAsia" w:ascii="仿宋_GB2312" w:hAnsi="仿宋" w:eastAsia="仿宋_GB2312"/>
          <w:bCs/>
          <w:color w:val="auto"/>
          <w:sz w:val="24"/>
          <w:highlight w:val="none"/>
        </w:rPr>
        <w:t>与本项目有关的澄清或者修改的内容为招标文件的组成部分。</w:t>
      </w:r>
    </w:p>
    <w:p w14:paraId="3FEB7791">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6.</w:t>
      </w:r>
      <w:r>
        <w:rPr>
          <w:rFonts w:hint="eastAsia" w:ascii="仿宋_GB2312" w:hAnsi="仿宋" w:eastAsia="仿宋_GB2312"/>
          <w:b/>
          <w:color w:val="auto"/>
          <w:sz w:val="24"/>
          <w:highlight w:val="none"/>
        </w:rPr>
        <w:t>招标文件的澄清、修改</w:t>
      </w:r>
    </w:p>
    <w:p w14:paraId="0FACA54E">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6.1.</w:t>
      </w:r>
      <w:r>
        <w:rPr>
          <w:rFonts w:hint="eastAsia" w:ascii="仿宋_GB2312" w:hAnsi="仿宋" w:eastAsia="仿宋_GB2312"/>
          <w:bCs/>
          <w:color w:val="auto"/>
          <w:sz w:val="24"/>
          <w:highlight w:val="none"/>
        </w:rPr>
        <w:t>已获取招标文件的潜在投标人，若有问题需要澄清，应于投标截止时间前，以书面形式向采购代理机构提出。</w:t>
      </w:r>
    </w:p>
    <w:p w14:paraId="65AE56ED">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6.2.</w:t>
      </w:r>
      <w:r>
        <w:rPr>
          <w:rFonts w:hint="eastAsia" w:ascii="仿宋_GB2312" w:hAnsi="仿宋" w:eastAsia="仿宋_GB2312"/>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E9AEE3">
      <w:pPr>
        <w:rPr>
          <w:color w:val="auto"/>
          <w:highlight w:val="none"/>
        </w:rPr>
      </w:pPr>
      <w:r>
        <w:rPr>
          <w:color w:val="auto"/>
          <w:highlight w:val="none"/>
        </w:rPr>
        <w:t xml:space="preserve">    </w:t>
      </w:r>
    </w:p>
    <w:p w14:paraId="2B230383">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15034E7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7.</w:t>
      </w:r>
      <w:r>
        <w:rPr>
          <w:rFonts w:hint="eastAsia" w:ascii="仿宋_GB2312" w:hAnsi="仿宋" w:eastAsia="仿宋_GB2312"/>
          <w:b/>
          <w:color w:val="auto"/>
          <w:sz w:val="24"/>
          <w:highlight w:val="none"/>
        </w:rPr>
        <w:t>招标文件的获取</w:t>
      </w:r>
    </w:p>
    <w:p w14:paraId="7DC57BCC">
      <w:pPr>
        <w:spacing w:line="360" w:lineRule="auto"/>
        <w:ind w:firstLine="42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59593018">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8.</w:t>
      </w:r>
      <w:r>
        <w:rPr>
          <w:rFonts w:hint="eastAsia" w:ascii="仿宋_GB2312" w:hAnsi="仿宋" w:eastAsia="仿宋_GB2312"/>
          <w:b/>
          <w:color w:val="auto"/>
          <w:sz w:val="24"/>
          <w:highlight w:val="none"/>
        </w:rPr>
        <w:t>开标前答疑会或现场考察</w:t>
      </w:r>
    </w:p>
    <w:p w14:paraId="100996A8">
      <w:pPr>
        <w:pStyle w:val="32"/>
        <w:spacing w:line="360" w:lineRule="auto"/>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082AFF14">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9.</w:t>
      </w:r>
      <w:r>
        <w:rPr>
          <w:rFonts w:hint="eastAsia" w:ascii="仿宋_GB2312" w:hAnsi="仿宋" w:eastAsia="仿宋_GB2312"/>
          <w:b/>
          <w:color w:val="auto"/>
          <w:sz w:val="24"/>
          <w:highlight w:val="none"/>
        </w:rPr>
        <w:t>投标保证金</w:t>
      </w:r>
    </w:p>
    <w:p w14:paraId="4FFFD699">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27B21DA">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10.</w:t>
      </w:r>
      <w:r>
        <w:rPr>
          <w:rFonts w:hint="eastAsia" w:ascii="仿宋_GB2312" w:hAnsi="仿宋" w:eastAsia="仿宋_GB2312"/>
          <w:b/>
          <w:color w:val="auto"/>
          <w:sz w:val="24"/>
          <w:highlight w:val="none"/>
        </w:rPr>
        <w:t>投标文件的语言</w:t>
      </w:r>
    </w:p>
    <w:p w14:paraId="79D3E054">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3D3611E0">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11.</w:t>
      </w:r>
      <w:r>
        <w:rPr>
          <w:rFonts w:hint="eastAsia" w:ascii="仿宋_GB2312" w:hAnsi="仿宋" w:eastAsia="仿宋_GB2312"/>
          <w:b/>
          <w:color w:val="auto"/>
          <w:sz w:val="24"/>
          <w:highlight w:val="none"/>
        </w:rPr>
        <w:t>投标文件的组成</w:t>
      </w:r>
    </w:p>
    <w:p w14:paraId="3B736294">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11.1.</w:t>
      </w:r>
      <w:r>
        <w:rPr>
          <w:rFonts w:hint="eastAsia" w:ascii="仿宋_GB2312" w:hAnsi="仿宋" w:eastAsia="仿宋_GB2312"/>
          <w:b/>
          <w:color w:val="auto"/>
          <w:sz w:val="24"/>
          <w:highlight w:val="none"/>
        </w:rPr>
        <w:t>资格文件：</w:t>
      </w:r>
    </w:p>
    <w:p w14:paraId="26F7DAE8">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11.1.1.</w:t>
      </w:r>
      <w:r>
        <w:rPr>
          <w:rFonts w:hint="eastAsia" w:ascii="仿宋_GB2312" w:hAnsi="仿宋" w:eastAsia="仿宋_GB2312"/>
          <w:bCs/>
          <w:color w:val="auto"/>
          <w:sz w:val="24"/>
          <w:highlight w:val="none"/>
        </w:rPr>
        <w:t>符合参加政府采购活动应当具备的一般条件的承诺函；</w:t>
      </w:r>
    </w:p>
    <w:p w14:paraId="2A5D23A7">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11.1.2.</w:t>
      </w:r>
      <w:r>
        <w:rPr>
          <w:rFonts w:hint="eastAsia" w:ascii="仿宋_GB2312" w:hAnsi="仿宋" w:eastAsia="仿宋_GB2312"/>
          <w:bCs/>
          <w:color w:val="auto"/>
          <w:sz w:val="24"/>
          <w:highlight w:val="none"/>
        </w:rPr>
        <w:t>联合协议（如果有）；</w:t>
      </w:r>
    </w:p>
    <w:p w14:paraId="6067E58D">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11.1.3.</w:t>
      </w:r>
      <w:r>
        <w:rPr>
          <w:rFonts w:hint="eastAsia" w:ascii="仿宋_GB2312" w:hAnsi="仿宋" w:eastAsia="仿宋_GB2312"/>
          <w:bCs/>
          <w:color w:val="auto"/>
          <w:sz w:val="24"/>
          <w:highlight w:val="none"/>
        </w:rPr>
        <w:t>落实政府采购政策需满足的资格要求（本项目不适用）；</w:t>
      </w:r>
    </w:p>
    <w:p w14:paraId="525E5D30">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11.1.4.</w:t>
      </w:r>
      <w:r>
        <w:rPr>
          <w:rFonts w:hint="eastAsia" w:ascii="仿宋_GB2312" w:hAnsi="仿宋" w:eastAsia="仿宋_GB2312"/>
          <w:bCs/>
          <w:color w:val="auto"/>
          <w:sz w:val="24"/>
          <w:highlight w:val="none"/>
        </w:rPr>
        <w:t>本项目的特定资格要求。（本项目不适用）</w:t>
      </w:r>
      <w:r>
        <w:rPr>
          <w:rFonts w:hint="eastAsia" w:ascii="仿宋_GB2312" w:hAnsi="仿宋" w:eastAsia="仿宋_GB2312"/>
          <w:bCs/>
          <w:i/>
          <w:iCs/>
          <w:color w:val="auto"/>
          <w:sz w:val="24"/>
          <w:highlight w:val="none"/>
        </w:rPr>
        <w:t>。</w:t>
      </w:r>
    </w:p>
    <w:p w14:paraId="44FB3C70">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lang w:val="zh-CN"/>
        </w:rPr>
      </w:pPr>
      <w:r>
        <w:rPr>
          <w:rFonts w:ascii="宋体" w:hAnsi="宋体" w:cs="宋体"/>
          <w:color w:val="auto"/>
          <w:sz w:val="20"/>
          <w:szCs w:val="20"/>
          <w:highlight w:val="none"/>
          <w:lang w:val="zh-CN"/>
        </w:rPr>
        <w:t>11.2.</w:t>
      </w:r>
      <w:r>
        <w:rPr>
          <w:rFonts w:hint="eastAsia" w:ascii="仿宋_GB2312" w:hAnsi="仿宋" w:eastAsia="仿宋_GB2312"/>
          <w:b/>
          <w:color w:val="auto"/>
          <w:sz w:val="24"/>
          <w:highlight w:val="none"/>
        </w:rPr>
        <w:t>商务技术</w:t>
      </w:r>
      <w:r>
        <w:rPr>
          <w:rFonts w:hint="eastAsia" w:ascii="仿宋_GB2312" w:hAnsi="仿宋" w:eastAsia="仿宋_GB2312"/>
          <w:b/>
          <w:color w:val="auto"/>
          <w:sz w:val="24"/>
          <w:highlight w:val="none"/>
          <w:lang w:val="zh-CN"/>
        </w:rPr>
        <w:t>文件：</w:t>
      </w:r>
    </w:p>
    <w:p w14:paraId="7A2D82F6">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11.2.1.</w:t>
      </w:r>
      <w:r>
        <w:rPr>
          <w:rFonts w:hint="eastAsia" w:ascii="仿宋_GB2312" w:hAnsi="仿宋" w:eastAsia="仿宋_GB2312"/>
          <w:bCs/>
          <w:color w:val="auto"/>
          <w:sz w:val="24"/>
          <w:highlight w:val="none"/>
        </w:rPr>
        <w:t>投标函；</w:t>
      </w:r>
      <w:r>
        <w:rPr>
          <w:rFonts w:ascii="仿宋_GB2312" w:hAnsi="仿宋" w:eastAsia="仿宋_GB2312"/>
          <w:bCs/>
          <w:color w:val="auto"/>
          <w:sz w:val="24"/>
          <w:highlight w:val="none"/>
          <w:lang w:val="zh-CN"/>
        </w:rPr>
        <w:t xml:space="preserve"> </w:t>
      </w:r>
    </w:p>
    <w:p w14:paraId="593693E7">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11.2.2.</w:t>
      </w:r>
      <w:r>
        <w:rPr>
          <w:rFonts w:hint="eastAsia" w:ascii="仿宋_GB2312" w:hAnsi="仿宋" w:eastAsia="仿宋_GB2312"/>
          <w:bCs/>
          <w:color w:val="auto"/>
          <w:sz w:val="24"/>
          <w:highlight w:val="none"/>
        </w:rPr>
        <w:t>授权委托书或法定代表人（单位负责人、自然人本人）身份证明；</w:t>
      </w:r>
    </w:p>
    <w:p w14:paraId="7EDD14AF">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11.2.3.</w:t>
      </w:r>
      <w:r>
        <w:rPr>
          <w:rFonts w:hint="eastAsia" w:ascii="仿宋_GB2312" w:hAnsi="仿宋" w:eastAsia="仿宋_GB2312"/>
          <w:bCs/>
          <w:color w:val="auto"/>
          <w:sz w:val="24"/>
          <w:highlight w:val="none"/>
        </w:rPr>
        <w:t>分包意向协议（如果有）；</w:t>
      </w:r>
    </w:p>
    <w:p w14:paraId="2B127EDD">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11.2.4.</w:t>
      </w:r>
      <w:r>
        <w:rPr>
          <w:rFonts w:hint="eastAsia" w:ascii="仿宋_GB2312" w:hAnsi="仿宋" w:eastAsia="仿宋_GB2312"/>
          <w:bCs/>
          <w:color w:val="auto"/>
          <w:sz w:val="24"/>
          <w:highlight w:val="none"/>
        </w:rPr>
        <w:t>符合性审查资料；</w:t>
      </w:r>
    </w:p>
    <w:p w14:paraId="0F4133EA">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11.2.5.</w:t>
      </w:r>
      <w:r>
        <w:rPr>
          <w:rFonts w:hint="eastAsia" w:ascii="仿宋_GB2312" w:hAnsi="仿宋" w:eastAsia="仿宋_GB2312"/>
          <w:bCs/>
          <w:color w:val="auto"/>
          <w:sz w:val="24"/>
          <w:highlight w:val="none"/>
        </w:rPr>
        <w:t>评标标准相应的商务技术资料；</w:t>
      </w:r>
    </w:p>
    <w:p w14:paraId="54869F19">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11.2.6.</w:t>
      </w:r>
      <w:r>
        <w:rPr>
          <w:rFonts w:hint="eastAsia" w:ascii="仿宋_GB2312" w:hAnsi="仿宋" w:eastAsia="仿宋_GB2312"/>
          <w:bCs/>
          <w:color w:val="auto"/>
          <w:sz w:val="24"/>
          <w:highlight w:val="none"/>
        </w:rPr>
        <w:t>投标标的清单；</w:t>
      </w:r>
    </w:p>
    <w:p w14:paraId="1E9C81B0">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11.2.7.</w:t>
      </w:r>
      <w:r>
        <w:rPr>
          <w:rFonts w:hint="eastAsia" w:ascii="仿宋_GB2312" w:hAnsi="仿宋" w:eastAsia="仿宋_GB2312"/>
          <w:bCs/>
          <w:color w:val="auto"/>
          <w:sz w:val="24"/>
          <w:highlight w:val="none"/>
        </w:rPr>
        <w:t>商务技术偏离表；</w:t>
      </w:r>
    </w:p>
    <w:p w14:paraId="632401E7">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11.2.8.</w:t>
      </w:r>
      <w:r>
        <w:rPr>
          <w:rFonts w:hint="eastAsia" w:ascii="仿宋_GB2312" w:hAnsi="仿宋" w:eastAsia="仿宋_GB2312"/>
          <w:bCs/>
          <w:color w:val="auto"/>
          <w:sz w:val="24"/>
          <w:highlight w:val="none"/>
          <w:lang w:val="zh-CN"/>
        </w:rPr>
        <w:t>政府采购供应商廉洁自律承诺书。</w:t>
      </w:r>
    </w:p>
    <w:p w14:paraId="7CCEC57C">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lang w:val="zh-CN"/>
        </w:rPr>
      </w:pPr>
      <w:r>
        <w:rPr>
          <w:rFonts w:ascii="宋体" w:hAnsi="宋体" w:cs="宋体"/>
          <w:color w:val="auto"/>
          <w:sz w:val="20"/>
          <w:szCs w:val="20"/>
          <w:highlight w:val="none"/>
          <w:lang w:val="zh-CN"/>
        </w:rPr>
        <w:t>11.3.</w:t>
      </w:r>
      <w:r>
        <w:rPr>
          <w:rFonts w:hint="eastAsia" w:ascii="仿宋_GB2312" w:hAnsi="仿宋" w:eastAsia="仿宋_GB2312"/>
          <w:b/>
          <w:color w:val="auto"/>
          <w:sz w:val="24"/>
          <w:highlight w:val="none"/>
        </w:rPr>
        <w:t>报价文件：</w:t>
      </w:r>
      <w:r>
        <w:rPr>
          <w:rFonts w:ascii="仿宋_GB2312" w:hAnsi="仿宋" w:eastAsia="仿宋_GB2312"/>
          <w:b/>
          <w:color w:val="auto"/>
          <w:sz w:val="24"/>
          <w:highlight w:val="none"/>
        </w:rPr>
        <w:t xml:space="preserve"> </w:t>
      </w:r>
    </w:p>
    <w:p w14:paraId="4404AC65">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11.3.1.</w:t>
      </w:r>
      <w:r>
        <w:rPr>
          <w:rFonts w:hint="eastAsia" w:ascii="仿宋_GB2312" w:hAnsi="仿宋" w:eastAsia="仿宋_GB2312"/>
          <w:bCs/>
          <w:color w:val="auto"/>
          <w:sz w:val="24"/>
          <w:highlight w:val="none"/>
        </w:rPr>
        <w:t>开标一览表（报价表）；</w:t>
      </w:r>
    </w:p>
    <w:p w14:paraId="04239C1A">
      <w:pPr>
        <w:numPr>
          <w:ilvl w:val="2"/>
          <w:numId w:val="0"/>
        </w:numPr>
        <w:tabs>
          <w:tab w:val="left" w:pos="210"/>
          <w:tab w:val="left" w:pos="630"/>
          <w:tab w:val="left" w:pos="840"/>
        </w:tabs>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11.3.2.</w:t>
      </w:r>
      <w:r>
        <w:rPr>
          <w:rFonts w:hint="eastAsia" w:ascii="仿宋_GB2312" w:hAnsi="仿宋" w:eastAsia="仿宋_GB2312"/>
          <w:bCs/>
          <w:color w:val="auto"/>
          <w:sz w:val="24"/>
          <w:highlight w:val="none"/>
        </w:rPr>
        <w:t>中小企业声明函（如果有）；</w:t>
      </w:r>
    </w:p>
    <w:p w14:paraId="0D452FB0">
      <w:pPr>
        <w:numPr>
          <w:ilvl w:val="2"/>
          <w:numId w:val="0"/>
        </w:numPr>
        <w:tabs>
          <w:tab w:val="left" w:pos="210"/>
          <w:tab w:val="left" w:pos="630"/>
          <w:tab w:val="left" w:pos="840"/>
        </w:tabs>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w:t>
      </w:r>
      <w:r>
        <w:rPr>
          <w:rFonts w:hint="eastAsia" w:ascii="宋体" w:hAnsi="宋体" w:cs="宋体"/>
          <w:bCs/>
          <w:color w:val="auto"/>
          <w:sz w:val="24"/>
          <w:highlight w:val="none"/>
        </w:rPr>
        <w:t>3</w:t>
      </w:r>
      <w:r>
        <w:rPr>
          <w:rFonts w:ascii="宋体" w:hAnsi="宋体" w:cs="宋体"/>
          <w:bCs/>
          <w:color w:val="auto"/>
          <w:sz w:val="24"/>
          <w:highlight w:val="none"/>
        </w:rPr>
        <w:t>.</w:t>
      </w:r>
      <w:r>
        <w:rPr>
          <w:rFonts w:hint="eastAsia" w:ascii="仿宋_GB2312" w:hAnsi="仿宋" w:eastAsia="仿宋_GB2312"/>
          <w:bCs/>
          <w:color w:val="auto"/>
          <w:sz w:val="24"/>
          <w:highlight w:val="none"/>
        </w:rPr>
        <w:t>中标服务费支付承诺书。</w:t>
      </w:r>
    </w:p>
    <w:p w14:paraId="4354B46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2660219D">
      <w:pPr>
        <w:spacing w:line="360" w:lineRule="auto"/>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7309633C">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12.</w:t>
      </w:r>
      <w:r>
        <w:rPr>
          <w:rFonts w:hint="eastAsia" w:ascii="仿宋_GB2312" w:hAnsi="仿宋" w:eastAsia="仿宋_GB2312"/>
          <w:b/>
          <w:color w:val="auto"/>
          <w:sz w:val="24"/>
          <w:highlight w:val="none"/>
        </w:rPr>
        <w:t>投标文件的编制</w:t>
      </w:r>
    </w:p>
    <w:p w14:paraId="65236AE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12.1.</w:t>
      </w:r>
      <w:r>
        <w:rPr>
          <w:rFonts w:hint="eastAsia" w:ascii="仿宋_GB2312" w:hAnsi="仿宋" w:eastAsia="仿宋_GB2312"/>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00011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12.2.</w:t>
      </w:r>
      <w:r>
        <w:rPr>
          <w:rFonts w:hint="eastAsia" w:ascii="仿宋_GB2312" w:hAnsi="仿宋" w:eastAsia="仿宋_GB2312"/>
          <w:bCs/>
          <w:color w:val="auto"/>
          <w:sz w:val="24"/>
          <w:highlight w:val="none"/>
          <w:lang w:val="zh-CN"/>
        </w:rPr>
        <w:t>投标人进行电子投标应安装客户端软件</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“政采云电子交易客户端”，并按照招标文件和电子交易平台的要求编制并加密投标文件。投标人未按规定加密的投标文件，电子交易平台将拒收并提示。</w:t>
      </w:r>
    </w:p>
    <w:p w14:paraId="2A536855">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12.3.</w:t>
      </w:r>
      <w:r>
        <w:rPr>
          <w:rFonts w:hint="eastAsia" w:ascii="仿宋_GB2312" w:hAnsi="仿宋" w:eastAsia="仿宋_GB2312"/>
          <w:bCs/>
          <w:color w:val="auto"/>
          <w:sz w:val="24"/>
          <w:highlight w:val="none"/>
          <w:lang w:val="zh-CN"/>
        </w:rPr>
        <w:t>使用“政采云电子交易客户端”需要提前申领</w:t>
      </w:r>
      <w:r>
        <w:rPr>
          <w:rFonts w:ascii="仿宋_GB2312" w:hAnsi="仿宋" w:eastAsia="仿宋_GB2312"/>
          <w:bCs/>
          <w:color w:val="auto"/>
          <w:sz w:val="24"/>
          <w:highlight w:val="none"/>
          <w:lang w:val="zh-CN"/>
        </w:rPr>
        <w:t>CA</w:t>
      </w:r>
      <w:r>
        <w:rPr>
          <w:rFonts w:hint="eastAsia" w:ascii="仿宋_GB2312" w:hAnsi="仿宋" w:eastAsia="仿宋_GB2312"/>
          <w:bCs/>
          <w:color w:val="auto"/>
          <w:sz w:val="24"/>
          <w:highlight w:val="none"/>
          <w:lang w:val="zh-CN"/>
        </w:rPr>
        <w:t>数字证书，申领流程请自行前往“浙江政府采购网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下载专区</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电子交易客户端</w:t>
      </w:r>
      <w:r>
        <w:rPr>
          <w:rFonts w:ascii="仿宋_GB2312" w:hAnsi="仿宋" w:eastAsia="仿宋_GB2312"/>
          <w:bCs/>
          <w:color w:val="auto"/>
          <w:sz w:val="24"/>
          <w:highlight w:val="none"/>
          <w:lang w:val="zh-CN"/>
        </w:rPr>
        <w:t>-CA</w:t>
      </w:r>
      <w:r>
        <w:rPr>
          <w:rFonts w:hint="eastAsia" w:ascii="仿宋_GB2312" w:hAnsi="仿宋" w:eastAsia="仿宋_GB2312"/>
          <w:bCs/>
          <w:color w:val="auto"/>
          <w:sz w:val="24"/>
          <w:highlight w:val="none"/>
          <w:lang w:val="zh-CN"/>
        </w:rPr>
        <w:t>驱动和申领流程”进行查阅。</w:t>
      </w:r>
    </w:p>
    <w:p w14:paraId="0261F52E">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13.</w:t>
      </w:r>
      <w:r>
        <w:rPr>
          <w:rFonts w:hint="eastAsia" w:ascii="仿宋_GB2312" w:hAnsi="仿宋" w:eastAsia="仿宋_GB2312"/>
          <w:b/>
          <w:color w:val="auto"/>
          <w:sz w:val="24"/>
          <w:highlight w:val="none"/>
        </w:rPr>
        <w:t>投标文件的签署、盖章</w:t>
      </w:r>
    </w:p>
    <w:p w14:paraId="7C17ACF6">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13.1.</w:t>
      </w:r>
      <w:r>
        <w:rPr>
          <w:rFonts w:hint="eastAsia" w:ascii="仿宋_GB2312" w:hAnsi="仿宋" w:eastAsia="仿宋_GB2312"/>
          <w:bCs/>
          <w:color w:val="auto"/>
          <w:sz w:val="24"/>
          <w:highlight w:val="none"/>
        </w:rPr>
        <w:t>投标文件按照招标文件第六部分格式要求进行签署、盖章。</w:t>
      </w:r>
    </w:p>
    <w:p w14:paraId="24423BDE">
      <w:pPr>
        <w:pStyle w:val="166"/>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6708368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13.2.</w:t>
      </w:r>
      <w:r>
        <w:rPr>
          <w:rFonts w:hint="eastAsia" w:ascii="仿宋_GB2312" w:hAnsi="仿宋" w:eastAsia="仿宋_GB2312"/>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3CC6B60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13.3.</w:t>
      </w:r>
      <w:r>
        <w:rPr>
          <w:rFonts w:hint="eastAsia" w:ascii="仿宋_GB2312" w:hAnsi="仿宋" w:eastAsia="仿宋_GB2312"/>
          <w:bCs/>
          <w:color w:val="auto"/>
          <w:sz w:val="24"/>
          <w:highlight w:val="none"/>
        </w:rPr>
        <w:t>招标文件对投标文件签署、盖章的要求适用于电子签名。</w:t>
      </w:r>
    </w:p>
    <w:p w14:paraId="4A4B1932">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14.</w:t>
      </w:r>
      <w:r>
        <w:rPr>
          <w:rFonts w:hint="eastAsia" w:ascii="仿宋_GB2312" w:hAnsi="仿宋" w:eastAsia="仿宋_GB2312"/>
          <w:b/>
          <w:color w:val="auto"/>
          <w:sz w:val="24"/>
          <w:highlight w:val="none"/>
        </w:rPr>
        <w:t>投标文件的提交、补充、修改、撤回</w:t>
      </w:r>
    </w:p>
    <w:p w14:paraId="659203C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14.1.</w:t>
      </w:r>
      <w:r>
        <w:rPr>
          <w:rFonts w:hint="eastAsia" w:ascii="仿宋_GB2312" w:hAnsi="仿宋" w:eastAsia="仿宋_GB2312"/>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357755">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14.2.</w:t>
      </w:r>
      <w:r>
        <w:rPr>
          <w:rFonts w:hint="eastAsia" w:ascii="仿宋_GB2312" w:hAnsi="仿宋" w:eastAsia="仿宋_GB2312"/>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705FDCEC">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14.3.</w:t>
      </w:r>
      <w:r>
        <w:rPr>
          <w:rFonts w:hint="eastAsia" w:ascii="仿宋_GB2312" w:hAnsi="仿宋" w:eastAsia="仿宋_GB2312"/>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0E22791B">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15.</w:t>
      </w:r>
      <w:r>
        <w:rPr>
          <w:rFonts w:hint="eastAsia" w:ascii="仿宋_GB2312" w:hAnsi="仿宋" w:eastAsia="仿宋_GB2312"/>
          <w:b/>
          <w:color w:val="auto"/>
          <w:sz w:val="24"/>
          <w:highlight w:val="none"/>
        </w:rPr>
        <w:t>备份投标文件</w:t>
      </w:r>
    </w:p>
    <w:p w14:paraId="1300A12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15.1.</w:t>
      </w:r>
      <w:r>
        <w:rPr>
          <w:rFonts w:hint="eastAsia" w:ascii="仿宋_GB2312" w:hAnsi="仿宋" w:eastAsia="仿宋_GB2312"/>
          <w:bCs/>
          <w:color w:val="auto"/>
          <w:sz w:val="24"/>
          <w:highlight w:val="none"/>
        </w:rPr>
        <w:t>投标人在电子交易平台传输递交投标文件后，还可以在投标截止时间前直接提交或者以邮政快递方式递交备份投标文件</w:t>
      </w:r>
      <w:r>
        <w:rPr>
          <w:rFonts w:ascii="仿宋_GB2312" w:hAnsi="仿宋" w:eastAsia="仿宋_GB2312"/>
          <w:bCs/>
          <w:color w:val="auto"/>
          <w:sz w:val="24"/>
          <w:highlight w:val="none"/>
        </w:rPr>
        <w:t>1</w:t>
      </w:r>
      <w:r>
        <w:rPr>
          <w:rFonts w:hint="eastAsia" w:ascii="仿宋_GB2312" w:hAnsi="仿宋" w:eastAsia="仿宋_GB2312"/>
          <w:bCs/>
          <w:color w:val="auto"/>
          <w:sz w:val="24"/>
          <w:highlight w:val="none"/>
        </w:rPr>
        <w:t>份，</w:t>
      </w:r>
      <w:r>
        <w:rPr>
          <w:rFonts w:hint="eastAsia" w:ascii="仿宋_GB2312" w:hAnsi="仿宋" w:eastAsia="仿宋_GB2312"/>
          <w:b/>
          <w:color w:val="auto"/>
          <w:sz w:val="24"/>
          <w:highlight w:val="none"/>
        </w:rPr>
        <w:t>但采购人、采购代理机构不强制或变相强制投标人提交备份投标文件</w:t>
      </w:r>
      <w:r>
        <w:rPr>
          <w:rFonts w:hint="eastAsia" w:ascii="仿宋_GB2312" w:hAnsi="仿宋" w:eastAsia="仿宋_GB2312"/>
          <w:bCs/>
          <w:color w:val="auto"/>
          <w:sz w:val="24"/>
          <w:highlight w:val="none"/>
        </w:rPr>
        <w:t>。</w:t>
      </w:r>
    </w:p>
    <w:p w14:paraId="3AEE82D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15.2.</w:t>
      </w:r>
      <w:r>
        <w:rPr>
          <w:rFonts w:hint="eastAsia" w:ascii="仿宋_GB2312" w:hAnsi="仿宋" w:eastAsia="仿宋_GB2312"/>
          <w:bCs/>
          <w:color w:val="auto"/>
          <w:sz w:val="24"/>
          <w:highlight w:val="none"/>
        </w:rPr>
        <w:t>备份投标文件须在“政采云投标客户端”制作生成，并储存在</w:t>
      </w:r>
      <w:r>
        <w:rPr>
          <w:rFonts w:ascii="仿宋_GB2312" w:hAnsi="仿宋" w:eastAsia="仿宋_GB2312"/>
          <w:bCs/>
          <w:color w:val="auto"/>
          <w:sz w:val="24"/>
          <w:highlight w:val="none"/>
        </w:rPr>
        <w:t>DVD</w:t>
      </w:r>
      <w:r>
        <w:rPr>
          <w:rFonts w:hint="eastAsia" w:ascii="仿宋_GB2312" w:hAnsi="仿宋" w:eastAsia="仿宋_GB2312"/>
          <w:bCs/>
          <w:color w:val="auto"/>
          <w:sz w:val="24"/>
          <w:highlight w:val="none"/>
        </w:rPr>
        <w:t>光盘或</w:t>
      </w:r>
      <w:r>
        <w:rPr>
          <w:rFonts w:ascii="仿宋_GB2312" w:hAnsi="仿宋" w:eastAsia="仿宋_GB2312"/>
          <w:bCs/>
          <w:color w:val="auto"/>
          <w:sz w:val="24"/>
          <w:highlight w:val="none"/>
        </w:rPr>
        <w:t>U</w:t>
      </w:r>
      <w:r>
        <w:rPr>
          <w:rFonts w:hint="eastAsia" w:ascii="仿宋_GB2312" w:hAnsi="仿宋" w:eastAsia="仿宋_GB2312"/>
          <w:bCs/>
          <w:color w:val="auto"/>
          <w:sz w:val="24"/>
          <w:highlight w:val="none"/>
        </w:rPr>
        <w:t>盘中。备份投标文件应当密封包装并在包装上加盖公章并注明投标项目名称，投标人名称</w:t>
      </w:r>
      <w:r>
        <w:rPr>
          <w:rFonts w:ascii="仿宋_GB2312" w:hAnsi="仿宋" w:eastAsia="仿宋_GB2312"/>
          <w:bCs/>
          <w:color w:val="auto"/>
          <w:sz w:val="24"/>
          <w:highlight w:val="none"/>
        </w:rPr>
        <w:t>(</w:t>
      </w:r>
      <w:r>
        <w:rPr>
          <w:rFonts w:hint="eastAsia" w:ascii="仿宋_GB2312" w:hAnsi="仿宋" w:eastAsia="仿宋_GB2312"/>
          <w:bCs/>
          <w:color w:val="auto"/>
          <w:sz w:val="24"/>
          <w:highlight w:val="none"/>
        </w:rPr>
        <w:t>联合体投标的，包装物封面需注明联合体投标，并注明联合体成员各方的名称和联合协议中约定的牵头人的名称</w:t>
      </w:r>
      <w:r>
        <w:rPr>
          <w:rFonts w:ascii="仿宋_GB2312" w:hAnsi="仿宋" w:eastAsia="仿宋_GB2312"/>
          <w:bCs/>
          <w:color w:val="auto"/>
          <w:sz w:val="24"/>
          <w:highlight w:val="none"/>
        </w:rPr>
        <w:t>)</w:t>
      </w:r>
      <w:r>
        <w:rPr>
          <w:rFonts w:hint="eastAsia" w:ascii="仿宋_GB2312" w:hAnsi="仿宋" w:eastAsia="仿宋_GB2312"/>
          <w:bCs/>
          <w:color w:val="auto"/>
          <w:sz w:val="24"/>
          <w:highlight w:val="none"/>
        </w:rPr>
        <w:t>。</w:t>
      </w:r>
      <w:r>
        <w:rPr>
          <w:rFonts w:hint="eastAsia" w:ascii="仿宋_GB2312" w:hAnsi="仿宋" w:eastAsia="仿宋_GB2312"/>
          <w:b/>
          <w:color w:val="auto"/>
          <w:sz w:val="24"/>
          <w:highlight w:val="none"/>
        </w:rPr>
        <w:t>不符合上述制作、存储、密封规定的备份投标文件将被视为无效或者被拒绝接收。</w:t>
      </w:r>
    </w:p>
    <w:p w14:paraId="4D59724B">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15.3.</w:t>
      </w:r>
      <w:r>
        <w:rPr>
          <w:rFonts w:hint="eastAsia" w:ascii="仿宋_GB2312" w:hAnsi="仿宋" w:eastAsia="仿宋_GB2312"/>
          <w:bCs/>
          <w:color w:val="auto"/>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b/>
          <w:color w:val="auto"/>
          <w:sz w:val="24"/>
          <w:highlight w:val="none"/>
        </w:rPr>
        <w:t>采购代理机构将拒绝接受逾期送达的备份投标文件</w:t>
      </w:r>
      <w:r>
        <w:rPr>
          <w:rFonts w:hint="eastAsia" w:ascii="仿宋_GB2312" w:hAnsi="仿宋" w:eastAsia="仿宋_GB2312"/>
          <w:bCs/>
          <w:color w:val="auto"/>
          <w:sz w:val="24"/>
          <w:highlight w:val="none"/>
        </w:rPr>
        <w:t>。</w:t>
      </w:r>
    </w:p>
    <w:p w14:paraId="4AF0306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15.4.</w:t>
      </w:r>
      <w:r>
        <w:rPr>
          <w:rFonts w:hint="eastAsia" w:ascii="仿宋_GB2312" w:hAnsi="仿宋" w:eastAsia="仿宋_GB2312"/>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D87D1C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15.5.</w:t>
      </w:r>
      <w:r>
        <w:rPr>
          <w:rFonts w:hint="eastAsia" w:ascii="仿宋_GB2312" w:hAnsi="仿宋" w:eastAsia="仿宋_GB2312"/>
          <w:b/>
          <w:color w:val="auto"/>
          <w:sz w:val="24"/>
          <w:highlight w:val="none"/>
        </w:rPr>
        <w:t>投标人仅提交备份投标文件，未在电子交易平台传输递交投标文件的，投标无效。</w:t>
      </w:r>
    </w:p>
    <w:p w14:paraId="15589B58">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16.</w:t>
      </w:r>
      <w:r>
        <w:rPr>
          <w:rFonts w:hint="eastAsia" w:ascii="仿宋_GB2312" w:hAnsi="仿宋" w:eastAsia="仿宋_GB2312"/>
          <w:b/>
          <w:color w:val="auto"/>
          <w:sz w:val="24"/>
          <w:highlight w:val="none"/>
        </w:rPr>
        <w:t>投标文件的无效处理</w:t>
      </w:r>
    </w:p>
    <w:p w14:paraId="43553ACA">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4.2</w:t>
      </w:r>
      <w:r>
        <w:rPr>
          <w:rFonts w:hint="eastAsia"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14:paraId="78798AD2">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17.</w:t>
      </w:r>
      <w:r>
        <w:rPr>
          <w:rFonts w:hint="eastAsia" w:ascii="仿宋_GB2312" w:hAnsi="仿宋" w:eastAsia="仿宋_GB2312"/>
          <w:b/>
          <w:color w:val="auto"/>
          <w:sz w:val="24"/>
          <w:highlight w:val="none"/>
        </w:rPr>
        <w:t>投标有效期</w:t>
      </w:r>
    </w:p>
    <w:p w14:paraId="553ABF60">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17.1.</w:t>
      </w:r>
      <w:r>
        <w:rPr>
          <w:rFonts w:hint="eastAsia" w:ascii="仿宋_GB2312" w:hAnsi="仿宋" w:eastAsia="仿宋_GB2312"/>
          <w:bCs/>
          <w:color w:val="auto"/>
          <w:sz w:val="24"/>
          <w:highlight w:val="none"/>
        </w:rPr>
        <w:t>投标有效期为从提交投标文件的截止之日起</w:t>
      </w:r>
      <w:r>
        <w:rPr>
          <w:rFonts w:ascii="仿宋_GB2312" w:hAnsi="仿宋" w:eastAsia="仿宋_GB2312"/>
          <w:bCs/>
          <w:color w:val="auto"/>
          <w:sz w:val="24"/>
          <w:highlight w:val="none"/>
        </w:rPr>
        <w:t>90</w:t>
      </w:r>
      <w:r>
        <w:rPr>
          <w:rFonts w:hint="eastAsia" w:ascii="仿宋_GB2312" w:hAnsi="仿宋" w:eastAsia="仿宋_GB2312"/>
          <w:bCs/>
          <w:color w:val="auto"/>
          <w:sz w:val="24"/>
          <w:highlight w:val="none"/>
        </w:rPr>
        <w:t>天。</w:t>
      </w:r>
    </w:p>
    <w:p w14:paraId="3C0399EF">
      <w:pPr>
        <w:spacing w:line="360" w:lineRule="auto"/>
        <w:ind w:firstLine="480" w:firstLineChars="200"/>
        <w:rPr>
          <w:rFonts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50368C1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17.2.</w:t>
      </w:r>
      <w:r>
        <w:rPr>
          <w:rFonts w:hint="eastAsia" w:ascii="仿宋_GB2312" w:hAnsi="仿宋" w:eastAsia="仿宋_GB2312"/>
          <w:bCs/>
          <w:color w:val="auto"/>
          <w:sz w:val="24"/>
          <w:highlight w:val="none"/>
        </w:rPr>
        <w:t>投标文件合格投递后，自投标截止日期起，在投标有效期内有效。</w:t>
      </w:r>
    </w:p>
    <w:p w14:paraId="6F6A77B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17.3.</w:t>
      </w:r>
      <w:r>
        <w:rPr>
          <w:rFonts w:hint="eastAsia" w:ascii="仿宋_GB2312" w:hAnsi="仿宋" w:eastAsia="仿宋_GB2312"/>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70A5BE3D">
      <w:pPr>
        <w:numPr>
          <w:ilvl w:val="1"/>
          <w:numId w:val="0"/>
        </w:numPr>
        <w:tabs>
          <w:tab w:val="left" w:pos="210"/>
          <w:tab w:val="left" w:pos="640"/>
        </w:tabs>
        <w:snapToGrid w:val="0"/>
        <w:spacing w:line="360" w:lineRule="auto"/>
        <w:ind w:left="627" w:hanging="627"/>
        <w:jc w:val="left"/>
        <w:outlineLvl w:val="2"/>
        <w:rPr>
          <w:rFonts w:ascii="仿宋_GB2312" w:hAnsi="仿宋" w:eastAsia="仿宋_GB2312" w:cs="仿宋_GB2312"/>
          <w:b/>
          <w:color w:val="auto"/>
          <w:sz w:val="32"/>
          <w:highlight w:val="none"/>
        </w:rPr>
      </w:pPr>
      <w:r>
        <w:rPr>
          <w:rFonts w:ascii="宋体" w:hAnsi="宋体" w:cs="宋体"/>
          <w:color w:val="auto"/>
          <w:sz w:val="20"/>
          <w:szCs w:val="20"/>
          <w:highlight w:val="none"/>
        </w:rPr>
        <w:t>17.4.</w:t>
      </w:r>
      <w:r>
        <w:rPr>
          <w:rFonts w:hint="eastAsia" w:ascii="仿宋_GB2312" w:hAnsi="仿宋" w:eastAsia="仿宋_GB2312"/>
          <w:bCs/>
          <w:color w:val="auto"/>
          <w:sz w:val="24"/>
          <w:highlight w:val="none"/>
        </w:rPr>
        <w:t>在投标截止时间起至投标有效期届满，供应商投标文件不可撤销。</w:t>
      </w:r>
    </w:p>
    <w:p w14:paraId="1F3A585A">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14:paraId="6852F7F2">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18.</w:t>
      </w:r>
      <w:r>
        <w:rPr>
          <w:rFonts w:hint="eastAsia" w:ascii="仿宋_GB2312" w:hAnsi="仿宋" w:eastAsia="仿宋_GB2312"/>
          <w:b/>
          <w:color w:val="auto"/>
          <w:sz w:val="24"/>
          <w:highlight w:val="none"/>
        </w:rPr>
        <w:t>开标</w:t>
      </w:r>
      <w:r>
        <w:rPr>
          <w:rFonts w:ascii="仿宋_GB2312" w:hAnsi="仿宋" w:eastAsia="仿宋_GB2312"/>
          <w:b/>
          <w:color w:val="auto"/>
          <w:sz w:val="24"/>
          <w:highlight w:val="none"/>
        </w:rPr>
        <w:t xml:space="preserve"> </w:t>
      </w:r>
    </w:p>
    <w:p w14:paraId="5F9DC90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18.1.</w:t>
      </w:r>
      <w:r>
        <w:rPr>
          <w:rFonts w:hint="eastAsia" w:ascii="仿宋_GB2312" w:hAnsi="仿宋" w:eastAsia="仿宋_GB2312"/>
          <w:bCs/>
          <w:color w:val="auto"/>
          <w:sz w:val="24"/>
          <w:highlight w:val="none"/>
        </w:rPr>
        <w:t>采购代理机构按照招标文件规定的时间通过电子交易平台组织开标，所有投标人均应当准时在线参加。投标人不足</w:t>
      </w:r>
      <w:r>
        <w:rPr>
          <w:rFonts w:ascii="仿宋_GB2312" w:hAnsi="仿宋" w:eastAsia="仿宋_GB2312"/>
          <w:bCs/>
          <w:color w:val="auto"/>
          <w:sz w:val="24"/>
          <w:highlight w:val="none"/>
        </w:rPr>
        <w:t>3</w:t>
      </w:r>
      <w:r>
        <w:rPr>
          <w:rFonts w:hint="eastAsia" w:ascii="仿宋_GB2312" w:hAnsi="仿宋" w:eastAsia="仿宋_GB2312"/>
          <w:bCs/>
          <w:color w:val="auto"/>
          <w:sz w:val="24"/>
          <w:highlight w:val="none"/>
        </w:rPr>
        <w:t>家的，不得开标。</w:t>
      </w:r>
    </w:p>
    <w:p w14:paraId="5730166E">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18.2.</w:t>
      </w:r>
      <w:r>
        <w:rPr>
          <w:rFonts w:hint="eastAsia" w:ascii="仿宋_GB2312" w:hAnsi="仿宋" w:eastAsia="仿宋_GB2312"/>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58A53461">
      <w:pPr>
        <w:numPr>
          <w:ilvl w:val="1"/>
          <w:numId w:val="0"/>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18.3.</w:t>
      </w:r>
      <w:r>
        <w:rPr>
          <w:rFonts w:hint="eastAsia" w:ascii="仿宋_GB2312" w:hAnsi="仿宋" w:eastAsia="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0EA714E8">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19.</w:t>
      </w:r>
      <w:r>
        <w:rPr>
          <w:rFonts w:hint="eastAsia" w:ascii="仿宋_GB2312" w:hAnsi="仿宋" w:eastAsia="仿宋_GB2312"/>
          <w:b/>
          <w:color w:val="auto"/>
          <w:sz w:val="24"/>
          <w:highlight w:val="none"/>
        </w:rPr>
        <w:t>资格审查</w:t>
      </w:r>
    </w:p>
    <w:p w14:paraId="7FECBAE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19.1.</w:t>
      </w:r>
      <w:r>
        <w:rPr>
          <w:rFonts w:hint="eastAsia" w:ascii="仿宋_GB2312" w:hAnsi="仿宋" w:eastAsia="仿宋_GB2312"/>
          <w:bCs/>
          <w:color w:val="auto"/>
          <w:sz w:val="24"/>
          <w:highlight w:val="none"/>
        </w:rPr>
        <w:t>开标后，采购人或采购代理机构将依法对投标人的资格进行审查。</w:t>
      </w:r>
    </w:p>
    <w:p w14:paraId="1F35987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19.2.</w:t>
      </w:r>
      <w:r>
        <w:rPr>
          <w:rFonts w:hint="eastAsia" w:ascii="仿宋_GB2312" w:hAnsi="仿宋" w:eastAsia="仿宋_GB2312"/>
          <w:bCs/>
          <w:color w:val="auto"/>
          <w:sz w:val="24"/>
          <w:highlight w:val="none"/>
        </w:rPr>
        <w:t>采购人或采购代理机构依据法律法规和招标文件的规定，对投标人的基本资格条件、特定资格条件进行审查。</w:t>
      </w:r>
    </w:p>
    <w:p w14:paraId="145D7E36">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19.3.</w:t>
      </w:r>
      <w:r>
        <w:rPr>
          <w:rFonts w:hint="eastAsia" w:ascii="仿宋_GB2312" w:hAnsi="仿宋" w:eastAsia="仿宋_GB2312"/>
          <w:bCs/>
          <w:color w:val="auto"/>
          <w:sz w:val="24"/>
          <w:highlight w:val="none"/>
        </w:rPr>
        <w:t>投标人未按照招标文件要求提供与基本资格条件、特定资格条件相应的有效资格证明材料的，视为投标人不具备招标文件中规定的资格要求，其投标无效。</w:t>
      </w:r>
    </w:p>
    <w:p w14:paraId="1FC4845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19.4.</w:t>
      </w:r>
      <w:r>
        <w:rPr>
          <w:rFonts w:hint="eastAsia" w:ascii="仿宋_GB2312" w:hAnsi="仿宋" w:eastAsia="仿宋_GB2312"/>
          <w:bCs/>
          <w:color w:val="auto"/>
          <w:sz w:val="24"/>
          <w:highlight w:val="none"/>
        </w:rPr>
        <w:t>对未通过资格审查的投标人，采购人或采购代理机构告知其未通过的原因。</w:t>
      </w:r>
    </w:p>
    <w:p w14:paraId="11ADC162">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19.5.</w:t>
      </w:r>
      <w:r>
        <w:rPr>
          <w:rFonts w:hint="eastAsia" w:ascii="仿宋_GB2312" w:hAnsi="仿宋" w:eastAsia="仿宋_GB2312"/>
          <w:bCs/>
          <w:color w:val="auto"/>
          <w:sz w:val="24"/>
          <w:highlight w:val="none"/>
        </w:rPr>
        <w:t>合格投标人不足</w:t>
      </w:r>
      <w:r>
        <w:rPr>
          <w:rFonts w:ascii="仿宋_GB2312" w:hAnsi="仿宋" w:eastAsia="仿宋_GB2312"/>
          <w:bCs/>
          <w:color w:val="auto"/>
          <w:sz w:val="24"/>
          <w:highlight w:val="none"/>
        </w:rPr>
        <w:t>3</w:t>
      </w:r>
      <w:r>
        <w:rPr>
          <w:rFonts w:hint="eastAsia" w:ascii="仿宋_GB2312" w:hAnsi="仿宋" w:eastAsia="仿宋_GB2312"/>
          <w:bCs/>
          <w:color w:val="auto"/>
          <w:sz w:val="24"/>
          <w:highlight w:val="none"/>
        </w:rPr>
        <w:t>家的，不再评标。</w:t>
      </w:r>
    </w:p>
    <w:p w14:paraId="7F14CFB7">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20.</w:t>
      </w:r>
      <w:r>
        <w:rPr>
          <w:rFonts w:hint="eastAsia" w:ascii="仿宋_GB2312" w:hAnsi="仿宋" w:eastAsia="仿宋_GB2312"/>
          <w:b/>
          <w:color w:val="auto"/>
          <w:sz w:val="24"/>
          <w:highlight w:val="none"/>
        </w:rPr>
        <w:t>信用信息查询</w:t>
      </w:r>
    </w:p>
    <w:p w14:paraId="47E1DF8E">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20.1.</w:t>
      </w:r>
      <w:r>
        <w:rPr>
          <w:rFonts w:hint="eastAsia" w:ascii="仿宋_GB2312" w:hAnsi="仿宋" w:eastAsia="仿宋_GB2312"/>
          <w:bCs/>
          <w:color w:val="auto"/>
          <w:sz w:val="24"/>
          <w:highlight w:val="none"/>
        </w:rPr>
        <w:t>信用信息查询渠道及截止时间：采购代理机构将通过“信用中国”网站</w:t>
      </w:r>
      <w:r>
        <w:rPr>
          <w:rFonts w:ascii="仿宋_GB2312" w:hAnsi="仿宋" w:eastAsia="仿宋_GB2312"/>
          <w:bCs/>
          <w:color w:val="auto"/>
          <w:sz w:val="24"/>
          <w:highlight w:val="none"/>
        </w:rPr>
        <w:t>(www.creditchina.gov.cn)</w:t>
      </w:r>
      <w:r>
        <w:rPr>
          <w:rFonts w:hint="eastAsia" w:ascii="仿宋_GB2312" w:hAnsi="仿宋" w:eastAsia="仿宋_GB2312"/>
          <w:bCs/>
          <w:color w:val="auto"/>
          <w:sz w:val="24"/>
          <w:highlight w:val="none"/>
        </w:rPr>
        <w:t>、中国政府采购网</w:t>
      </w:r>
      <w:r>
        <w:rPr>
          <w:rFonts w:ascii="仿宋_GB2312" w:hAnsi="仿宋" w:eastAsia="仿宋_GB2312"/>
          <w:bCs/>
          <w:color w:val="auto"/>
          <w:sz w:val="24"/>
          <w:highlight w:val="none"/>
        </w:rPr>
        <w:t>(www.ccgp.gov.cn)</w:t>
      </w:r>
      <w:r>
        <w:rPr>
          <w:rFonts w:hint="eastAsia" w:ascii="仿宋_GB2312" w:hAnsi="仿宋" w:eastAsia="仿宋_GB2312"/>
          <w:bCs/>
          <w:color w:val="auto"/>
          <w:sz w:val="24"/>
          <w:highlight w:val="none"/>
        </w:rPr>
        <w:t>渠道查询投标人投标截止时间当天的信用记录。</w:t>
      </w:r>
    </w:p>
    <w:p w14:paraId="2F4C638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20.2.</w:t>
      </w:r>
      <w:r>
        <w:rPr>
          <w:rFonts w:hint="eastAsia" w:ascii="仿宋_GB2312" w:hAnsi="仿宋" w:eastAsia="仿宋_GB2312"/>
          <w:bCs/>
          <w:color w:val="auto"/>
          <w:sz w:val="24"/>
          <w:highlight w:val="none"/>
        </w:rPr>
        <w:t>信用信息查询记录和证据留存的具体方式：现场查询的投标人的信用记录、查询结果经确认后将与采购文件一起存档。</w:t>
      </w:r>
    </w:p>
    <w:p w14:paraId="2A47F89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20.3.</w:t>
      </w:r>
      <w:r>
        <w:rPr>
          <w:rFonts w:hint="eastAsia" w:ascii="仿宋_GB2312" w:hAnsi="仿宋" w:eastAsia="仿宋_GB2312"/>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47179D9F">
      <w:pPr>
        <w:numPr>
          <w:ilvl w:val="1"/>
          <w:numId w:val="0"/>
        </w:numPr>
        <w:tabs>
          <w:tab w:val="left" w:pos="210"/>
          <w:tab w:val="left" w:pos="640"/>
        </w:tabs>
        <w:snapToGrid w:val="0"/>
        <w:spacing w:line="360" w:lineRule="auto"/>
        <w:ind w:left="627" w:hanging="627"/>
        <w:jc w:val="left"/>
        <w:outlineLvl w:val="2"/>
        <w:rPr>
          <w:rFonts w:ascii="仿宋_GB2312" w:hAnsi="仿宋" w:eastAsia="仿宋_GB2312" w:cs="Arial"/>
          <w:color w:val="auto"/>
          <w:kern w:val="0"/>
          <w:highlight w:val="none"/>
        </w:rPr>
      </w:pPr>
      <w:r>
        <w:rPr>
          <w:rFonts w:ascii="宋体" w:hAnsi="宋体" w:cs="宋体"/>
          <w:color w:val="auto"/>
          <w:kern w:val="0"/>
          <w:sz w:val="20"/>
          <w:szCs w:val="20"/>
          <w:highlight w:val="none"/>
        </w:rPr>
        <w:t>20.4.</w:t>
      </w:r>
      <w:r>
        <w:rPr>
          <w:rFonts w:hint="eastAsia" w:ascii="仿宋_GB2312" w:hAnsi="仿宋" w:eastAsia="仿宋_GB2312"/>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8FF554">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7D8B673B">
      <w:pPr>
        <w:tabs>
          <w:tab w:val="left" w:pos="210"/>
        </w:tabs>
        <w:snapToGrid w:val="0"/>
        <w:spacing w:line="360" w:lineRule="auto"/>
        <w:ind w:left="323" w:hanging="323"/>
        <w:jc w:val="left"/>
        <w:outlineLvl w:val="2"/>
        <w:rPr>
          <w:rFonts w:ascii="仿宋_GB2312" w:hAnsi="仿宋" w:eastAsia="仿宋_GB2312"/>
          <w:b/>
          <w:color w:val="auto"/>
          <w:sz w:val="24"/>
          <w:highlight w:val="none"/>
        </w:rPr>
      </w:pPr>
      <w:bookmarkStart w:id="15" w:name="_Toc91899903"/>
      <w:r>
        <w:rPr>
          <w:rFonts w:ascii="仿宋_GB2312" w:hAnsi="仿宋" w:eastAsia="仿宋_GB2312"/>
          <w:b/>
          <w:color w:val="auto"/>
          <w:sz w:val="24"/>
          <w:highlight w:val="none"/>
        </w:rPr>
        <w:t>21.</w:t>
      </w:r>
      <w:r>
        <w:rPr>
          <w:rFonts w:hint="eastAsia" w:ascii="仿宋_GB2312" w:hAnsi="仿宋" w:eastAsia="仿宋_GB2312"/>
          <w:b/>
          <w:color w:val="auto"/>
          <w:sz w:val="24"/>
          <w:highlight w:val="none"/>
        </w:rPr>
        <w:t>评标</w:t>
      </w:r>
    </w:p>
    <w:p w14:paraId="30560B85">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2D811301">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6226FECE">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22.</w:t>
      </w:r>
      <w:r>
        <w:rPr>
          <w:rFonts w:hint="eastAsia" w:ascii="仿宋_GB2312" w:hAnsi="仿宋" w:eastAsia="仿宋_GB2312"/>
          <w:b/>
          <w:color w:val="auto"/>
          <w:sz w:val="24"/>
          <w:highlight w:val="none"/>
        </w:rPr>
        <w:t>确定中标供应商</w:t>
      </w:r>
    </w:p>
    <w:p w14:paraId="0FACD053">
      <w:pPr>
        <w:pStyle w:val="166"/>
        <w:snapToGrid w:val="0"/>
        <w:spacing w:before="0"/>
        <w:ind w:firstLine="420" w:firstLineChars="175"/>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_GB2312" w:hAnsi="仿宋" w:eastAsia="仿宋_GB2312" w:cs="仿宋_GB2312"/>
          <w:color w:val="auto"/>
          <w:szCs w:val="24"/>
          <w:highlight w:val="none"/>
        </w:rPr>
        <w:t>2</w:t>
      </w:r>
      <w:r>
        <w:rPr>
          <w:rFonts w:hint="eastAsia" w:ascii="仿宋_GB2312" w:hAnsi="仿宋" w:eastAsia="仿宋_GB2312" w:cs="仿宋_GB2312"/>
          <w:color w:val="auto"/>
          <w:szCs w:val="24"/>
          <w:highlight w:val="none"/>
        </w:rPr>
        <w:t>个工作日内在线确定中标或者成交供应商。中标、成交通知书和中标、成交结果公告应当在规定时间内同时发出。</w:t>
      </w:r>
    </w:p>
    <w:p w14:paraId="0BFAB8CB">
      <w:pPr>
        <w:pStyle w:val="166"/>
        <w:snapToGrid w:val="0"/>
        <w:spacing w:before="0"/>
        <w:ind w:firstLine="0" w:firstLineChars="0"/>
        <w:rPr>
          <w:rFonts w:ascii="仿宋_GB2312" w:hAnsi="仿宋" w:eastAsia="仿宋_GB2312" w:cs="仿宋_GB2312"/>
          <w:b/>
          <w:color w:val="auto"/>
          <w:szCs w:val="24"/>
          <w:highlight w:val="none"/>
        </w:rPr>
      </w:pPr>
    </w:p>
    <w:p w14:paraId="29E6E00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23.</w:t>
      </w:r>
      <w:r>
        <w:rPr>
          <w:rFonts w:hint="eastAsia" w:ascii="仿宋_GB2312" w:hAnsi="仿宋" w:eastAsia="仿宋_GB2312"/>
          <w:b/>
          <w:color w:val="auto"/>
          <w:sz w:val="24"/>
          <w:highlight w:val="none"/>
        </w:rPr>
        <w:t>中标通知与中标结果公告</w:t>
      </w:r>
    </w:p>
    <w:p w14:paraId="665A9B4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23.1.</w:t>
      </w:r>
      <w:r>
        <w:rPr>
          <w:rFonts w:hint="eastAsia" w:ascii="仿宋_GB2312" w:hAnsi="仿宋" w:eastAsia="仿宋_GB2312"/>
          <w:bCs/>
          <w:color w:val="auto"/>
          <w:sz w:val="24"/>
          <w:highlight w:val="none"/>
        </w:rPr>
        <w:t>自中标人确定之日起</w:t>
      </w:r>
      <w:r>
        <w:rPr>
          <w:rFonts w:ascii="仿宋_GB2312" w:hAnsi="仿宋" w:eastAsia="仿宋_GB2312"/>
          <w:bCs/>
          <w:color w:val="auto"/>
          <w:sz w:val="24"/>
          <w:highlight w:val="none"/>
        </w:rPr>
        <w:t>2</w:t>
      </w:r>
      <w:r>
        <w:rPr>
          <w:rFonts w:hint="eastAsia" w:ascii="仿宋_GB2312" w:hAnsi="仿宋" w:eastAsia="仿宋_GB2312"/>
          <w:bCs/>
          <w:color w:val="auto"/>
          <w:sz w:val="24"/>
          <w:highlight w:val="none"/>
        </w:rPr>
        <w:t>个工作日内，采购代理机构通过电子交易平台向中标人发出中标通知书，同时编制发布采购结果公告。采购代理机构也可以以纸质形式进行中标通知。</w:t>
      </w:r>
    </w:p>
    <w:p w14:paraId="4A5BEFC0">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23.2.</w:t>
      </w:r>
      <w:r>
        <w:rPr>
          <w:rFonts w:hint="eastAsia" w:ascii="仿宋_GB2312" w:hAnsi="仿宋" w:eastAsia="仿宋_GB2312"/>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2240D1B1">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23.3.</w:t>
      </w:r>
      <w:r>
        <w:rPr>
          <w:rFonts w:hint="eastAsia" w:ascii="仿宋_GB2312" w:hAnsi="仿宋" w:eastAsia="仿宋_GB2312"/>
          <w:bCs/>
          <w:color w:val="auto"/>
          <w:sz w:val="24"/>
          <w:highlight w:val="none"/>
        </w:rPr>
        <w:t>公告期限为</w:t>
      </w:r>
      <w:r>
        <w:rPr>
          <w:rFonts w:ascii="仿宋_GB2312" w:hAnsi="仿宋" w:eastAsia="仿宋_GB2312"/>
          <w:bCs/>
          <w:color w:val="auto"/>
          <w:sz w:val="24"/>
          <w:highlight w:val="none"/>
        </w:rPr>
        <w:t>1</w:t>
      </w:r>
      <w:r>
        <w:rPr>
          <w:rFonts w:hint="eastAsia" w:ascii="仿宋_GB2312" w:hAnsi="仿宋" w:eastAsia="仿宋_GB2312"/>
          <w:bCs/>
          <w:color w:val="auto"/>
          <w:sz w:val="24"/>
          <w:highlight w:val="none"/>
        </w:rPr>
        <w:t>个工作日。</w:t>
      </w:r>
    </w:p>
    <w:p w14:paraId="682F823C">
      <w:pPr>
        <w:rPr>
          <w:color w:val="auto"/>
          <w:highlight w:val="none"/>
        </w:rPr>
      </w:pPr>
    </w:p>
    <w:p w14:paraId="4A11E040">
      <w:pPr>
        <w:snapToGrid w:val="0"/>
        <w:spacing w:line="360" w:lineRule="auto"/>
        <w:jc w:val="center"/>
        <w:outlineLvl w:val="2"/>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14:paraId="2FC30A10">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24.</w:t>
      </w:r>
      <w:r>
        <w:rPr>
          <w:rFonts w:hint="eastAsia" w:ascii="仿宋_GB2312" w:hAnsi="仿宋" w:eastAsia="仿宋_GB2312"/>
          <w:b/>
          <w:color w:val="auto"/>
          <w:sz w:val="24"/>
          <w:highlight w:val="none"/>
        </w:rPr>
        <w:t>合同授予</w:t>
      </w:r>
    </w:p>
    <w:p w14:paraId="781F92AA">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14:paraId="21AE98F0">
      <w:pPr>
        <w:pStyle w:val="24"/>
        <w:spacing w:line="360" w:lineRule="auto"/>
        <w:ind w:left="479" w:hanging="479" w:hangingChars="199"/>
        <w:rPr>
          <w:rFonts w:ascii="仿宋_GB2312" w:hAnsi="仿宋" w:eastAsia="仿宋_GB2312" w:cs="仿宋_GB2312"/>
          <w:b/>
          <w:color w:val="auto"/>
          <w:highlight w:val="none"/>
        </w:rPr>
      </w:pPr>
    </w:p>
    <w:p w14:paraId="4712EDED">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25.</w:t>
      </w:r>
      <w:r>
        <w:rPr>
          <w:rFonts w:hint="eastAsia" w:ascii="仿宋_GB2312" w:hAnsi="仿宋" w:eastAsia="仿宋_GB2312"/>
          <w:b/>
          <w:color w:val="auto"/>
          <w:sz w:val="24"/>
          <w:highlight w:val="none"/>
        </w:rPr>
        <w:t>合同的签订</w:t>
      </w:r>
    </w:p>
    <w:p w14:paraId="582CE0F0">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ascii="宋体" w:hAnsi="宋体" w:cs="宋体"/>
          <w:color w:val="auto"/>
          <w:sz w:val="20"/>
          <w:szCs w:val="20"/>
          <w:highlight w:val="none"/>
        </w:rPr>
        <w:t>25.1.</w:t>
      </w:r>
      <w:r>
        <w:rPr>
          <w:rFonts w:hint="eastAsia" w:ascii="仿宋_GB2312" w:hAnsi="仿宋" w:eastAsia="仿宋_GB2312"/>
          <w:bCs/>
          <w:color w:val="auto"/>
          <w:sz w:val="24"/>
          <w:highlight w:val="none"/>
        </w:rPr>
        <w:t>采购人与中标人应当通过电子交易平台在中标通知书发出之日起三十日内，按照招标文件确定的事项签订政府采购合同，并在签订之日起</w:t>
      </w:r>
      <w:r>
        <w:rPr>
          <w:rFonts w:ascii="仿宋_GB2312" w:hAnsi="仿宋" w:eastAsia="仿宋_GB2312"/>
          <w:bCs/>
          <w:color w:val="auto"/>
          <w:sz w:val="24"/>
          <w:highlight w:val="none"/>
        </w:rPr>
        <w:t>2</w:t>
      </w:r>
      <w:r>
        <w:rPr>
          <w:rFonts w:hint="eastAsia" w:ascii="仿宋_GB2312" w:hAnsi="仿宋" w:eastAsia="仿宋_GB2312"/>
          <w:bCs/>
          <w:color w:val="auto"/>
          <w:sz w:val="24"/>
          <w:highlight w:val="none"/>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仿宋_GB2312" w:hAnsi="仿宋" w:eastAsia="仿宋_GB2312"/>
          <w:bCs/>
          <w:color w:val="auto"/>
          <w:sz w:val="24"/>
          <w:highlight w:val="none"/>
        </w:rPr>
        <w:t>10</w:t>
      </w:r>
      <w:r>
        <w:rPr>
          <w:rFonts w:hint="eastAsia" w:ascii="仿宋_GB2312" w:hAnsi="仿宋" w:eastAsia="仿宋_GB2312"/>
          <w:bCs/>
          <w:color w:val="auto"/>
          <w:sz w:val="24"/>
          <w:highlight w:val="none"/>
        </w:rPr>
        <w:t>个工作日内，与中标供应商按照采购文件确定的事项签订政府采购合同。</w:t>
      </w:r>
    </w:p>
    <w:p w14:paraId="5E850EB4">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ascii="宋体" w:hAnsi="宋体" w:cs="宋体"/>
          <w:color w:val="auto"/>
          <w:sz w:val="20"/>
          <w:szCs w:val="20"/>
          <w:highlight w:val="none"/>
        </w:rPr>
        <w:t>25.2.</w:t>
      </w:r>
      <w:r>
        <w:rPr>
          <w:rFonts w:hint="eastAsia" w:ascii="仿宋_GB2312" w:hAnsi="仿宋" w:eastAsia="仿宋_GB2312"/>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7DA83CD">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25.3.</w:t>
      </w:r>
      <w:r>
        <w:rPr>
          <w:rFonts w:hint="eastAsia" w:ascii="仿宋_GB2312" w:hAnsi="仿宋" w:eastAsia="仿宋_GB2312"/>
          <w:bCs/>
          <w:color w:val="auto"/>
          <w:sz w:val="24"/>
          <w:highlight w:val="none"/>
          <w:lang w:val="zh-CN"/>
        </w:rPr>
        <w:t>如签订合同并生效后，供应商无故拒绝或延期，除按照合同条款处理外，列入不良行为记录一次，并给予通报。</w:t>
      </w:r>
    </w:p>
    <w:p w14:paraId="05815816">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25.4.</w:t>
      </w:r>
      <w:r>
        <w:rPr>
          <w:rFonts w:hint="eastAsia" w:ascii="仿宋_GB2312" w:hAnsi="仿宋" w:eastAsia="仿宋_GB2312"/>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45CD3223">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25.5.</w:t>
      </w:r>
      <w:r>
        <w:rPr>
          <w:rFonts w:hint="eastAsia" w:ascii="仿宋_GB2312" w:hAnsi="仿宋" w:eastAsia="仿宋_GB2312"/>
          <w:bCs/>
          <w:color w:val="auto"/>
          <w:sz w:val="24"/>
          <w:highlight w:val="none"/>
          <w:lang w:val="zh-CN"/>
        </w:rPr>
        <w:t>采购合同由采购人与中标供应商根据招标文件、投标文件等内容通过政府采购电子交易平台在线签订，自动备案。</w:t>
      </w:r>
    </w:p>
    <w:p w14:paraId="6655221A">
      <w:pPr>
        <w:pStyle w:val="24"/>
        <w:spacing w:line="360" w:lineRule="auto"/>
        <w:ind w:left="479" w:hanging="479" w:hangingChars="199"/>
        <w:rPr>
          <w:rFonts w:ascii="仿宋_GB2312" w:hAnsi="仿宋" w:eastAsia="仿宋_GB2312" w:cs="仿宋_GB2312"/>
          <w:b/>
          <w:color w:val="auto"/>
          <w:highlight w:val="none"/>
        </w:rPr>
      </w:pPr>
    </w:p>
    <w:p w14:paraId="0575359D">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26.</w:t>
      </w:r>
      <w:r>
        <w:rPr>
          <w:rFonts w:hint="eastAsia" w:ascii="仿宋_GB2312" w:hAnsi="仿宋" w:eastAsia="仿宋_GB2312"/>
          <w:b/>
          <w:color w:val="auto"/>
          <w:sz w:val="24"/>
          <w:highlight w:val="none"/>
        </w:rPr>
        <w:t>履约保证金</w:t>
      </w:r>
    </w:p>
    <w:p w14:paraId="3405BAC4">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26.1.</w:t>
      </w:r>
      <w:r>
        <w:rPr>
          <w:rFonts w:hint="eastAsia" w:ascii="仿宋_GB2312" w:hAnsi="仿宋" w:eastAsia="仿宋_GB2312"/>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bCs/>
          <w:color w:val="auto"/>
          <w:sz w:val="24"/>
          <w:highlight w:val="none"/>
        </w:rPr>
        <w:t>1.0</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644E3F91">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26.2.</w:t>
      </w:r>
      <w:r>
        <w:rPr>
          <w:rFonts w:hint="eastAsia" w:ascii="仿宋_GB2312" w:hAnsi="仿宋" w:eastAsia="仿宋_GB2312"/>
          <w:bCs/>
          <w:color w:val="auto"/>
          <w:sz w:val="24"/>
          <w:highlight w:val="none"/>
          <w:lang w:val="zh-CN"/>
        </w:rPr>
        <w:t>供应商</w:t>
      </w:r>
      <w:r>
        <w:rPr>
          <w:rFonts w:hint="eastAsia" w:ascii="仿宋_GB2312" w:hAnsi="仿宋" w:eastAsia="仿宋_GB2312"/>
          <w:bCs/>
          <w:color w:val="auto"/>
          <w:sz w:val="24"/>
          <w:highlight w:val="none"/>
        </w:rPr>
        <w:t>可</w:t>
      </w:r>
      <w:r>
        <w:rPr>
          <w:rFonts w:hint="eastAsia" w:ascii="仿宋_GB2312" w:hAnsi="仿宋" w:eastAsia="仿宋_GB2312"/>
          <w:bCs/>
          <w:color w:val="auto"/>
          <w:sz w:val="24"/>
          <w:highlight w:val="none"/>
          <w:lang w:val="zh-CN"/>
        </w:rPr>
        <w:t>登录政采云平台</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【金融服务】</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【我的项目】</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【已备案合同】以保函形式提供：</w:t>
      </w:r>
    </w:p>
    <w:p w14:paraId="74B907EE">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lang w:val="zh-CN"/>
        </w:rPr>
      </w:pPr>
      <w:r>
        <w:rPr>
          <w:rFonts w:ascii="宋体" w:hAnsi="宋体" w:cs="宋体"/>
          <w:bCs/>
          <w:color w:val="auto"/>
          <w:sz w:val="24"/>
          <w:highlight w:val="none"/>
          <w:lang w:val="zh-CN"/>
        </w:rPr>
        <w:t>26.2.1.</w:t>
      </w:r>
      <w:r>
        <w:rPr>
          <w:rFonts w:hint="eastAsia" w:ascii="仿宋_GB2312" w:hAnsi="仿宋" w:eastAsia="仿宋_GB2312"/>
          <w:bCs/>
          <w:color w:val="auto"/>
          <w:sz w:val="24"/>
          <w:highlight w:val="none"/>
          <w:lang w:val="zh-CN"/>
        </w:rPr>
        <w:t>供应商在合同列表选择需要投保的合同，点击【保函推荐】。</w:t>
      </w:r>
    </w:p>
    <w:p w14:paraId="0AE7954E">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rPr>
      </w:pPr>
      <w:r>
        <w:rPr>
          <w:rFonts w:ascii="宋体" w:hAnsi="宋体" w:cs="宋体"/>
          <w:bCs/>
          <w:color w:val="auto"/>
          <w:sz w:val="24"/>
          <w:highlight w:val="none"/>
        </w:rPr>
        <w:t>26.2.2.</w:t>
      </w:r>
      <w:r>
        <w:rPr>
          <w:rFonts w:hint="eastAsia" w:ascii="仿宋_GB2312" w:hAnsi="仿宋" w:eastAsia="仿宋_GB2312"/>
          <w:bCs/>
          <w:color w:val="auto"/>
          <w:sz w:val="24"/>
          <w:highlight w:val="none"/>
          <w:lang w:val="zh-CN"/>
        </w:rPr>
        <w:t>在弹框里查看推荐的保函产品，供应商自行选择保函产品，点击【立即申请】。</w:t>
      </w:r>
    </w:p>
    <w:p w14:paraId="56AA4568">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rPr>
      </w:pPr>
      <w:r>
        <w:rPr>
          <w:rFonts w:ascii="宋体" w:hAnsi="宋体" w:cs="宋体"/>
          <w:bCs/>
          <w:color w:val="auto"/>
          <w:sz w:val="24"/>
          <w:highlight w:val="none"/>
        </w:rPr>
        <w:t>26.2.3.</w:t>
      </w:r>
      <w:r>
        <w:rPr>
          <w:rFonts w:hint="eastAsia" w:ascii="仿宋_GB2312" w:hAnsi="仿宋" w:eastAsia="仿宋_GB2312"/>
          <w:bCs/>
          <w:color w:val="auto"/>
          <w:sz w:val="24"/>
          <w:highlight w:val="none"/>
          <w:lang w:val="zh-CN"/>
        </w:rPr>
        <w:t>在弹框里填写保函申请信息。具体步骤：选择产品</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填写供应商信息</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选择中标项目</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确认信息</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等待保险</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保函受理</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确认保单</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支付保费</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成功出单。政采云金融专线</w:t>
      </w:r>
      <w:r>
        <w:rPr>
          <w:rFonts w:ascii="仿宋_GB2312" w:hAnsi="仿宋" w:eastAsia="仿宋_GB2312"/>
          <w:bCs/>
          <w:color w:val="auto"/>
          <w:sz w:val="24"/>
          <w:highlight w:val="none"/>
          <w:lang w:val="zh-CN"/>
        </w:rPr>
        <w:t>400-903-9583</w:t>
      </w:r>
      <w:r>
        <w:rPr>
          <w:rFonts w:hint="eastAsia" w:ascii="仿宋_GB2312" w:hAnsi="仿宋" w:eastAsia="仿宋_GB2312"/>
          <w:bCs/>
          <w:color w:val="auto"/>
          <w:sz w:val="24"/>
          <w:highlight w:val="none"/>
          <w:lang w:val="zh-CN"/>
        </w:rPr>
        <w:t>。</w:t>
      </w:r>
    </w:p>
    <w:p w14:paraId="7230FB6B">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27.</w:t>
      </w:r>
      <w:r>
        <w:rPr>
          <w:rFonts w:hint="eastAsia" w:ascii="仿宋_GB2312" w:hAnsi="仿宋" w:eastAsia="仿宋_GB2312"/>
          <w:b/>
          <w:color w:val="auto"/>
          <w:sz w:val="24"/>
          <w:highlight w:val="none"/>
        </w:rPr>
        <w:t>预付款</w:t>
      </w:r>
    </w:p>
    <w:p w14:paraId="0DABDA80">
      <w:pPr>
        <w:tabs>
          <w:tab w:val="left" w:pos="210"/>
          <w:tab w:val="left" w:pos="640"/>
        </w:tabs>
        <w:snapToGrid w:val="0"/>
        <w:spacing w:line="360" w:lineRule="auto"/>
        <w:ind w:firstLine="480" w:firstLineChars="200"/>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E6494C7">
      <w:pPr>
        <w:snapToGrid w:val="0"/>
        <w:spacing w:line="360" w:lineRule="auto"/>
        <w:ind w:firstLine="3357" w:firstLineChars="1045"/>
        <w:rPr>
          <w:rFonts w:ascii="仿宋_GB2312" w:hAnsi="仿宋" w:eastAsia="仿宋_GB2312" w:cs="仿宋_GB2312"/>
          <w:b/>
          <w:color w:val="auto"/>
          <w:sz w:val="32"/>
          <w:highlight w:val="none"/>
        </w:rPr>
      </w:pPr>
    </w:p>
    <w:p w14:paraId="5CCB159A">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14:paraId="118BA7DF">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28.</w:t>
      </w:r>
      <w:r>
        <w:rPr>
          <w:rFonts w:hint="eastAsia" w:ascii="仿宋_GB2312" w:hAnsi="仿宋" w:eastAsia="仿宋_GB2312"/>
          <w:b/>
          <w:color w:val="auto"/>
          <w:sz w:val="24"/>
          <w:highlight w:val="none"/>
        </w:rPr>
        <w:t>电子交易活动的中止</w:t>
      </w:r>
    </w:p>
    <w:p w14:paraId="29D417E7">
      <w:pPr>
        <w:pStyle w:val="166"/>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484B37B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28.1.</w:t>
      </w:r>
      <w:r>
        <w:rPr>
          <w:rFonts w:hint="eastAsia" w:ascii="仿宋_GB2312" w:hAnsi="仿宋" w:eastAsia="仿宋_GB2312"/>
          <w:bCs/>
          <w:color w:val="auto"/>
          <w:sz w:val="24"/>
          <w:highlight w:val="none"/>
          <w:lang w:val="zh-CN"/>
        </w:rPr>
        <w:t>电子交易平台发生故障而无法登录访问的；</w:t>
      </w:r>
      <w:r>
        <w:rPr>
          <w:rFonts w:ascii="仿宋_GB2312" w:hAnsi="仿宋" w:eastAsia="仿宋_GB2312"/>
          <w:bCs/>
          <w:color w:val="auto"/>
          <w:sz w:val="24"/>
          <w:highlight w:val="none"/>
          <w:lang w:val="zh-CN"/>
        </w:rPr>
        <w:t xml:space="preserve"> </w:t>
      </w:r>
    </w:p>
    <w:p w14:paraId="1888D2F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28.2.</w:t>
      </w:r>
      <w:r>
        <w:rPr>
          <w:rFonts w:hint="eastAsia" w:ascii="仿宋_GB2312" w:hAnsi="仿宋" w:eastAsia="仿宋_GB2312"/>
          <w:bCs/>
          <w:color w:val="auto"/>
          <w:sz w:val="24"/>
          <w:highlight w:val="none"/>
          <w:lang w:val="zh-CN"/>
        </w:rPr>
        <w:t>电子交易平台应用或数据库出现错误，不能进行正常操作的；</w:t>
      </w:r>
    </w:p>
    <w:p w14:paraId="3E4FC5D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28.3.</w:t>
      </w:r>
      <w:r>
        <w:rPr>
          <w:rFonts w:hint="eastAsia" w:ascii="仿宋_GB2312" w:hAnsi="仿宋" w:eastAsia="仿宋_GB2312"/>
          <w:bCs/>
          <w:color w:val="auto"/>
          <w:sz w:val="24"/>
          <w:highlight w:val="none"/>
          <w:lang w:val="zh-CN"/>
        </w:rPr>
        <w:t>电子交易平台发现严重安全漏洞，有潜在泄密危险的；</w:t>
      </w:r>
    </w:p>
    <w:p w14:paraId="4058C4F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28.4.</w:t>
      </w:r>
      <w:r>
        <w:rPr>
          <w:rFonts w:hint="eastAsia" w:ascii="仿宋_GB2312" w:hAnsi="仿宋" w:eastAsia="仿宋_GB2312"/>
          <w:bCs/>
          <w:color w:val="auto"/>
          <w:sz w:val="24"/>
          <w:highlight w:val="none"/>
          <w:lang w:val="zh-CN"/>
        </w:rPr>
        <w:t>病毒发作导致不能进行正常操作的；</w:t>
      </w:r>
      <w:r>
        <w:rPr>
          <w:rFonts w:ascii="仿宋_GB2312" w:hAnsi="仿宋" w:eastAsia="仿宋_GB2312"/>
          <w:bCs/>
          <w:color w:val="auto"/>
          <w:sz w:val="24"/>
          <w:highlight w:val="none"/>
          <w:lang w:val="zh-CN"/>
        </w:rPr>
        <w:t xml:space="preserve"> </w:t>
      </w:r>
    </w:p>
    <w:p w14:paraId="3A99C12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28.5.</w:t>
      </w:r>
      <w:r>
        <w:rPr>
          <w:rFonts w:hint="eastAsia" w:ascii="仿宋_GB2312" w:hAnsi="仿宋" w:eastAsia="仿宋_GB2312"/>
          <w:bCs/>
          <w:color w:val="auto"/>
          <w:sz w:val="24"/>
          <w:highlight w:val="none"/>
          <w:lang w:val="zh-CN"/>
        </w:rPr>
        <w:t>其他无法保证电子交易的公平、公正和安全的情况。</w:t>
      </w:r>
    </w:p>
    <w:p w14:paraId="1A4ABC1F">
      <w:pPr>
        <w:tabs>
          <w:tab w:val="left" w:pos="210"/>
        </w:tabs>
        <w:snapToGrid w:val="0"/>
        <w:spacing w:line="360" w:lineRule="auto"/>
        <w:ind w:left="403" w:hanging="40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29.</w:t>
      </w:r>
      <w:r>
        <w:rPr>
          <w:rFonts w:hint="eastAsia" w:ascii="仿宋_GB2312" w:hAnsi="仿宋" w:eastAsia="仿宋_GB2312"/>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30C69FE">
      <w:pPr>
        <w:tabs>
          <w:tab w:val="left" w:pos="0"/>
        </w:tabs>
        <w:spacing w:line="360" w:lineRule="auto"/>
        <w:ind w:firstLine="480"/>
        <w:rPr>
          <w:rFonts w:ascii="仿宋_GB2312" w:hAnsi="仿宋" w:eastAsia="仿宋_GB2312"/>
          <w:color w:val="auto"/>
          <w:sz w:val="24"/>
          <w:highlight w:val="none"/>
        </w:rPr>
      </w:pPr>
    </w:p>
    <w:p w14:paraId="55BBED83">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14:paraId="003A230B">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30.</w:t>
      </w:r>
      <w:r>
        <w:rPr>
          <w:rFonts w:hint="eastAsia" w:ascii="仿宋_GB2312" w:hAnsi="仿宋" w:eastAsia="仿宋_GB2312"/>
          <w:b/>
          <w:color w:val="auto"/>
          <w:sz w:val="24"/>
          <w:highlight w:val="none"/>
        </w:rPr>
        <w:t>验收</w:t>
      </w:r>
    </w:p>
    <w:p w14:paraId="3882A26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30.1.</w:t>
      </w:r>
      <w:r>
        <w:rPr>
          <w:rFonts w:hint="eastAsia" w:ascii="仿宋_GB2312" w:hAnsi="仿宋" w:eastAsia="仿宋_GB2312"/>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3EC1B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30.2.</w:t>
      </w:r>
      <w:r>
        <w:rPr>
          <w:rFonts w:hint="eastAsia" w:ascii="仿宋_GB2312" w:hAnsi="仿宋" w:eastAsia="仿宋_GB2312"/>
          <w:bCs/>
          <w:color w:val="auto"/>
          <w:sz w:val="24"/>
          <w:highlight w:val="none"/>
          <w:lang w:val="zh-CN"/>
        </w:rPr>
        <w:t>采购人可以邀请参加本项目的其他投标人或者第三方机构参与验收。参与验收的投标人或者第三方机构的意见作为验收书的参考资料一并存档。</w:t>
      </w:r>
    </w:p>
    <w:p w14:paraId="2EC06196">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30.3.</w:t>
      </w:r>
      <w:r>
        <w:rPr>
          <w:rFonts w:hint="eastAsia" w:ascii="仿宋_GB2312" w:hAnsi="仿宋" w:eastAsia="仿宋_GB2312"/>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1BED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30.4.</w:t>
      </w:r>
      <w:r>
        <w:rPr>
          <w:rFonts w:hint="eastAsia" w:ascii="仿宋_GB2312" w:hAnsi="仿宋" w:eastAsia="仿宋_GB2312"/>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6FDB3FB1">
      <w:pPr>
        <w:pStyle w:val="166"/>
        <w:snapToGrid w:val="0"/>
        <w:spacing w:before="0"/>
        <w:ind w:firstLine="480"/>
        <w:rPr>
          <w:rFonts w:ascii="仿宋_GB2312" w:hAnsi="仿宋" w:eastAsia="仿宋_GB2312" w:cs="仿宋_GB2312"/>
          <w:color w:val="auto"/>
          <w:highlight w:val="none"/>
        </w:rPr>
      </w:pPr>
      <w:bookmarkStart w:id="16" w:name="_Hlt68072998"/>
      <w:bookmarkEnd w:id="16"/>
      <w:bookmarkStart w:id="17" w:name="_Hlt68403820"/>
      <w:bookmarkEnd w:id="17"/>
      <w:bookmarkStart w:id="18" w:name="_Hlt68073093"/>
      <w:bookmarkEnd w:id="18"/>
      <w:bookmarkStart w:id="19" w:name="_Hlt75236290"/>
      <w:bookmarkEnd w:id="19"/>
      <w:bookmarkStart w:id="20" w:name="_Hlt68057669"/>
      <w:bookmarkEnd w:id="20"/>
      <w:bookmarkStart w:id="21" w:name="_Hlt74714665"/>
      <w:bookmarkEnd w:id="21"/>
      <w:bookmarkStart w:id="22" w:name="_Hlt74707468"/>
      <w:bookmarkEnd w:id="22"/>
      <w:bookmarkStart w:id="23" w:name="_Hlt75236101"/>
      <w:bookmarkEnd w:id="23"/>
      <w:bookmarkStart w:id="24" w:name="_Hlt75236011"/>
      <w:bookmarkEnd w:id="24"/>
      <w:bookmarkStart w:id="25" w:name="_Hlt74729768"/>
      <w:bookmarkEnd w:id="25"/>
      <w:bookmarkStart w:id="26" w:name="_Hlt68072990"/>
      <w:bookmarkEnd w:id="26"/>
      <w:bookmarkStart w:id="27" w:name="_Hlt74730295"/>
      <w:bookmarkEnd w:id="27"/>
    </w:p>
    <w:p w14:paraId="429738DA">
      <w:pPr>
        <w:pStyle w:val="166"/>
        <w:snapToGrid w:val="0"/>
        <w:spacing w:before="0"/>
        <w:ind w:firstLine="480"/>
        <w:rPr>
          <w:rFonts w:ascii="仿宋_GB2312" w:hAnsi="仿宋" w:eastAsia="仿宋_GB2312"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19C0A9C8">
      <w:pPr>
        <w:rPr>
          <w:color w:val="auto"/>
          <w:highlight w:val="none"/>
        </w:rPr>
      </w:pPr>
      <w:bookmarkStart w:id="28" w:name="第四部分"/>
    </w:p>
    <w:p w14:paraId="1E13D3CE">
      <w:pPr>
        <w:adjustRightInd/>
        <w:spacing w:line="360" w:lineRule="auto"/>
        <w:jc w:val="center"/>
        <w:outlineLvl w:val="0"/>
        <w:rPr>
          <w:rFonts w:ascii="仿宋" w:hAnsi="仿宋" w:eastAsia="仿宋" w:cs="仿宋_GB2312"/>
          <w:b/>
          <w:color w:val="auto"/>
          <w:sz w:val="36"/>
          <w:szCs w:val="20"/>
          <w:highlight w:val="none"/>
        </w:rPr>
      </w:pPr>
      <w:bookmarkStart w:id="29" w:name="_Toc5571"/>
      <w:r>
        <w:rPr>
          <w:rFonts w:hint="eastAsia" w:ascii="仿宋" w:hAnsi="仿宋" w:eastAsia="仿宋" w:cs="仿宋_GB2312"/>
          <w:b/>
          <w:color w:val="auto"/>
          <w:sz w:val="36"/>
          <w:szCs w:val="20"/>
          <w:highlight w:val="none"/>
        </w:rPr>
        <w:t>第三部分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采购需求</w:t>
      </w:r>
      <w:bookmarkEnd w:id="29"/>
    </w:p>
    <w:p w14:paraId="3D804A14">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一、采购内容</w:t>
      </w:r>
    </w:p>
    <w:p w14:paraId="5799BC96">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本项目为杭州师范大学附属医院2024年度</w:t>
      </w:r>
      <w:r>
        <w:rPr>
          <w:rFonts w:hint="eastAsia" w:ascii="仿宋" w:hAnsi="仿宋" w:eastAsia="仿宋" w:cs="仿宋"/>
          <w:color w:val="auto"/>
          <w:kern w:val="0"/>
          <w:sz w:val="24"/>
          <w:highlight w:val="none"/>
        </w:rPr>
        <w:t>检验项目外包服务</w:t>
      </w:r>
      <w:r>
        <w:rPr>
          <w:rFonts w:hint="eastAsia" w:ascii="仿宋" w:hAnsi="仿宋" w:eastAsia="仿宋" w:cs="仿宋"/>
          <w:color w:val="auto"/>
          <w:sz w:val="24"/>
          <w:highlight w:val="none"/>
        </w:rPr>
        <w:t>，包括但不限于提供运输服务、配套车辆设备、配备服务人员、外送标本检测服务等全部工作。</w:t>
      </w:r>
    </w:p>
    <w:p w14:paraId="40E7E93D">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本项目以《浙江省基本医疗保险服务医疗服务项目（2023年版）》等现行的相关政策文件要求中的规定的单价为基准价、具体项目及数量以实际检验为准。检验采购清单详见附表1。</w:t>
      </w:r>
    </w:p>
    <w:p w14:paraId="2AE9465F">
      <w:pPr>
        <w:adjustRightInd/>
        <w:spacing w:line="360" w:lineRule="auto"/>
        <w:ind w:firstLine="482" w:firstLineChars="200"/>
        <w:rPr>
          <w:rFonts w:ascii="仿宋" w:hAnsi="仿宋" w:eastAsia="仿宋" w:cs="仿宋"/>
          <w:b/>
          <w:bCs/>
          <w:color w:val="auto"/>
          <w:sz w:val="24"/>
          <w:highlight w:val="none"/>
        </w:rPr>
      </w:pPr>
    </w:p>
    <w:p w14:paraId="234B89DC">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二、服务要求</w:t>
      </w:r>
    </w:p>
    <w:p w14:paraId="13B9EF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1.投标人必须配备完善医疗冷链物流系统和信息服务体系，要保证接收、送检样本运输过程的安全，保证样本的质量。</w:t>
      </w:r>
    </w:p>
    <w:p w14:paraId="42E5D4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▲2.所有样本的运送必须符合样本温度的管理要求，采用相应的冷链运送技术，特殊样本运输过程中须干冰冻存。</w:t>
      </w:r>
    </w:p>
    <w:p w14:paraId="64B9FD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3.所有样本运送必须采用符合相关标准的冷链物流车或转送车辆及冷链物流箱，冷链物流车或转送车辆及冷链物流箱配备数量满足样本转送要求。</w:t>
      </w:r>
    </w:p>
    <w:p w14:paraId="22523B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人需提供可实时监控物流各个环节的温度的系统和终端设备，能够对物流的全程进行温度监控、报警及记录，能够对整个过程进行溯源管理，并能够提交相关记录的纸质文档，以留档备查。一年内出现3次以上无法进行运送温度溯源情况的，采购人有权终止合同，并追究相关损失。</w:t>
      </w:r>
    </w:p>
    <w:p w14:paraId="079E00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5.投标人需以全程冷链方式运送采购人现有的样本。</w:t>
      </w:r>
    </w:p>
    <w:p w14:paraId="5AE254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14:paraId="355359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7.投标人需提供样本转运物流流程规章制度（包括样本运输紧急预案）及工作各环节操作说明书。</w:t>
      </w:r>
    </w:p>
    <w:p w14:paraId="468A11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8.投标人为本项目安排的运输车辆需拥有运输样本专业设备如生物安全转运箱，并装有处置生物安全应急事件的应急箱及消毒用喷壶,可以应对突发生物安全事件的现场处置。</w:t>
      </w:r>
    </w:p>
    <w:p w14:paraId="3D803C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9.投标人需提供整个物流的完整运输方案，包括但不限于配置的车辆多少，冷链箱的数量，车次的安排，如何保障样本每天的及时送达，安全措施、应急预案等等。</w:t>
      </w:r>
    </w:p>
    <w:p w14:paraId="485D0D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10.为保证检验结果实时网络传送，实现实验室数据的汇总、储存、传输功能，完成与杭州师范大学附属医院现有的LIS系统进行对接，实施检验数据的传输，各投标人需提供对接方案，相关软硬件及网络接口费由中标人承担。 </w:t>
      </w:r>
    </w:p>
    <w:p w14:paraId="478069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11.投标人需提供网上查询服务，以供随时查询进度和结果。</w:t>
      </w:r>
    </w:p>
    <w:p w14:paraId="52E7769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12.投标人需提供电话查询服务，危急值专人电话跟进，确保患者检测信息与临床医生的畅通。</w:t>
      </w:r>
    </w:p>
    <w:p w14:paraId="2492CD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13.医务人员可以调阅检验结果，投标人须保证病人资料的准确性和检验结果的及时性，并提供系统使用必要的培训与技术支持。</w:t>
      </w:r>
    </w:p>
    <w:p w14:paraId="10D0DA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14.投标人需按照检测项目常规报告时间提供检测结果。</w:t>
      </w:r>
    </w:p>
    <w:p w14:paraId="10F942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15.常规项目应在服务单位样本收取后48h内出具检验报告，非常规项目出具报告时间按照双方约定的报告发布时间执行；如检测结果为危急值应立即报告给送检单位。</w:t>
      </w:r>
    </w:p>
    <w:p w14:paraId="3855B2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6</w:t>
      </w:r>
      <w:r>
        <w:rPr>
          <w:rFonts w:hint="eastAsia" w:ascii="仿宋" w:hAnsi="仿宋" w:eastAsia="仿宋" w:cs="仿宋"/>
          <w:color w:val="auto"/>
          <w:sz w:val="24"/>
          <w:highlight w:val="none"/>
        </w:rPr>
        <w:t>.投标单位需与检测单位一致。</w:t>
      </w:r>
    </w:p>
    <w:p w14:paraId="05CB2B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7</w:t>
      </w:r>
      <w:r>
        <w:rPr>
          <w:rFonts w:hint="eastAsia" w:ascii="仿宋" w:hAnsi="仿宋" w:eastAsia="仿宋" w:cs="仿宋"/>
          <w:color w:val="auto"/>
          <w:sz w:val="24"/>
          <w:highlight w:val="none"/>
        </w:rPr>
        <w:t>.检验标本在没有获得患者知情同意的情况下，不得用于临床研究。对检验后的标本按照相关法规规定的时间进行妥善保存，以便检验结果有疑义时进行复查或再委托第三方检验，这种情况所发生的费用，由投标人承担。</w:t>
      </w:r>
    </w:p>
    <w:p w14:paraId="37A0AA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8</w:t>
      </w:r>
      <w:r>
        <w:rPr>
          <w:rFonts w:hint="eastAsia" w:ascii="仿宋" w:hAnsi="仿宋" w:eastAsia="仿宋" w:cs="仿宋"/>
          <w:color w:val="auto"/>
          <w:sz w:val="24"/>
          <w:highlight w:val="none"/>
        </w:rPr>
        <w:t>.投标人对采购人不明原因（非院方及患者原因或产品质量问题）引起的医疗投诉、纠纷，有义务协助采购人做好患者的协调工作，并承担一定的处理费用。</w:t>
      </w:r>
    </w:p>
    <w:p w14:paraId="6E122D9A">
      <w:pPr>
        <w:spacing w:line="360" w:lineRule="auto"/>
        <w:ind w:firstLine="480" w:firstLineChars="200"/>
        <w:rPr>
          <w:color w:val="auto"/>
          <w:highlight w:val="none"/>
        </w:rPr>
      </w:pPr>
      <w:r>
        <w:rPr>
          <w:rFonts w:ascii="仿宋" w:hAnsi="仿宋" w:eastAsia="仿宋" w:cs="仿宋"/>
          <w:color w:val="auto"/>
          <w:sz w:val="24"/>
          <w:highlight w:val="none"/>
        </w:rPr>
        <w:t>19</w:t>
      </w:r>
      <w:r>
        <w:rPr>
          <w:rFonts w:hint="eastAsia" w:ascii="仿宋" w:hAnsi="仿宋" w:eastAsia="仿宋" w:cs="仿宋"/>
          <w:color w:val="auto"/>
          <w:sz w:val="24"/>
          <w:highlight w:val="none"/>
        </w:rPr>
        <w:t>.投标人应遵守保密制度，保护受检者的秘密，未经许可，不得向无关人员泄露受检者的检测情况。</w:t>
      </w:r>
    </w:p>
    <w:p w14:paraId="1F509235">
      <w:pPr>
        <w:adjustRightInd/>
        <w:spacing w:line="360" w:lineRule="auto"/>
        <w:ind w:firstLine="482" w:firstLineChars="200"/>
        <w:rPr>
          <w:rFonts w:ascii="仿宋" w:hAnsi="仿宋" w:eastAsia="仿宋" w:cs="仿宋"/>
          <w:b/>
          <w:bCs/>
          <w:color w:val="auto"/>
          <w:sz w:val="24"/>
          <w:highlight w:val="none"/>
        </w:rPr>
      </w:pPr>
    </w:p>
    <w:p w14:paraId="66C37ED2">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三、其他要求</w:t>
      </w:r>
    </w:p>
    <w:p w14:paraId="1FEA10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投标人需结合服务内容及要求，提供项目总体实施方案，包括：收集样本流程、时间节点，检测流程，报告反馈，数据分析实施规划、工作时间进度表、工作程序和步骤、管理和协调方法、关键步骤的思路和要点。</w:t>
      </w:r>
    </w:p>
    <w:p w14:paraId="182421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2、投标人需有完成过医院检验项目外包服务业绩，项目</w:t>
      </w:r>
      <w:r>
        <w:rPr>
          <w:rFonts w:hint="eastAsia" w:ascii="仿宋" w:hAnsi="仿宋" w:eastAsia="仿宋" w:cs="仿宋_GB2312"/>
          <w:color w:val="auto"/>
          <w:sz w:val="24"/>
          <w:highlight w:val="none"/>
        </w:rPr>
        <w:t>服务期需大于等于12个月</w:t>
      </w:r>
      <w:r>
        <w:rPr>
          <w:rFonts w:hint="eastAsia" w:ascii="仿宋" w:hAnsi="仿宋" w:eastAsia="仿宋" w:cs="仿宋"/>
          <w:color w:val="auto"/>
          <w:sz w:val="24"/>
          <w:highlight w:val="none"/>
        </w:rPr>
        <w:t>。</w:t>
      </w:r>
    </w:p>
    <w:p w14:paraId="5E6A38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3、根据检测机构实际情况提供检验</w:t>
      </w:r>
      <w:r>
        <w:rPr>
          <w:rFonts w:ascii="仿宋" w:hAnsi="仿宋" w:eastAsia="仿宋" w:cs="仿宋"/>
          <w:color w:val="auto"/>
          <w:sz w:val="24"/>
          <w:highlight w:val="none"/>
        </w:rPr>
        <w:t>专业方面</w:t>
      </w:r>
      <w:r>
        <w:rPr>
          <w:rFonts w:hint="eastAsia" w:ascii="仿宋" w:hAnsi="仿宋" w:eastAsia="仿宋" w:cs="仿宋"/>
          <w:color w:val="auto"/>
          <w:sz w:val="24"/>
          <w:highlight w:val="none"/>
        </w:rPr>
        <w:t>的质量控制、技术提升等相关内容的培训服务，提供具体方案，包括但不限于培训内容、计划安排时间等，培训次数不少于1次。</w:t>
      </w:r>
    </w:p>
    <w:p w14:paraId="3BFC70E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4、详细介绍负责本项目检测的实验室情况，包括但不限于：</w:t>
      </w:r>
    </w:p>
    <w:p w14:paraId="1FDC7B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（1）投标人通过ISO15189认可开展项目情况和ISO9001质量管理体系认证情况；</w:t>
      </w:r>
    </w:p>
    <w:p w14:paraId="29C85A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（2）实验室获得中心室间质评情况，提供质评证书复印件；</w:t>
      </w:r>
    </w:p>
    <w:p w14:paraId="7126B2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（3）本次检验项目较多，基因检测项目需要具有感染性疾病、肿瘤、遗传、药物代谢相关基因检测临床基因扩增检验实验室技术验收合格证书；</w:t>
      </w:r>
    </w:p>
    <w:p w14:paraId="11498A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（4）实验室需配备具有医学检验相关专业副高及以上职称的技术人员不少于5人（接受正偏离）。文件中需对各技术人员的情况进行说明并出具职称证书复印件;</w:t>
      </w:r>
    </w:p>
    <w:p w14:paraId="548F68A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投标人在投标文件中提供主要检验的仪器设备品牌型号，所使用的试剂品牌等，如果中标后在合同履行过程中有需要调整的，必须经过采购人同意；允许部分检验项目分包，分包的检验项目投标人在投标文件中明确，如果中标后在合同履行过程中分包项目有需要调整的，必须经过采购人同意；</w:t>
      </w:r>
    </w:p>
    <w:p w14:paraId="3E999B79">
      <w:pPr>
        <w:spacing w:line="360" w:lineRule="auto"/>
        <w:ind w:firstLine="480"/>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检测机构需保证检测项目质量，文件中阐述详尽合理的实验室质量控制措施；</w:t>
      </w:r>
    </w:p>
    <w:p w14:paraId="2524B53D">
      <w:pPr>
        <w:spacing w:line="360" w:lineRule="auto"/>
        <w:ind w:firstLine="480"/>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检测机构具有室内质量控制和室间质量评价软件；</w:t>
      </w:r>
    </w:p>
    <w:p w14:paraId="2B56B797">
      <w:pPr>
        <w:spacing w:line="360" w:lineRule="auto"/>
        <w:ind w:firstLine="480"/>
        <w:rPr>
          <w:rFonts w:ascii="仿宋" w:hAnsi="仿宋" w:eastAsia="仿宋" w:cs="仿宋"/>
          <w:color w:val="auto"/>
          <w:sz w:val="24"/>
          <w:highlight w:val="none"/>
        </w:rPr>
      </w:pPr>
      <w:r>
        <w:rPr>
          <w:rFonts w:ascii="仿宋" w:hAnsi="仿宋" w:eastAsia="仿宋" w:cs="仿宋"/>
          <w:color w:val="auto"/>
          <w:sz w:val="24"/>
          <w:highlight w:val="none"/>
        </w:rPr>
        <w:t>7、</w:t>
      </w:r>
      <w:r>
        <w:rPr>
          <w:rFonts w:hint="eastAsia" w:ascii="仿宋" w:hAnsi="仿宋" w:eastAsia="仿宋" w:cs="仿宋"/>
          <w:color w:val="auto"/>
          <w:sz w:val="24"/>
          <w:highlight w:val="none"/>
        </w:rPr>
        <w:t>检测机构检测结果出具的检测报告需回传至采购人医院LIS系统，提供对接方案；</w:t>
      </w:r>
    </w:p>
    <w:p w14:paraId="228F067C">
      <w:pPr>
        <w:spacing w:line="360" w:lineRule="auto"/>
        <w:ind w:firstLine="480"/>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rPr>
        <w:t>本项目涉及采购人外送标本数据，为保证病人检查信息的保密和安全性，检测机构使用的信息系统软件需要至少达到信息系统安全等级保护三级要求；</w:t>
      </w:r>
    </w:p>
    <w:p w14:paraId="13306BFB">
      <w:pPr>
        <w:spacing w:line="360" w:lineRule="auto"/>
        <w:ind w:firstLine="480"/>
        <w:rPr>
          <w:rFonts w:ascii="仿宋" w:hAnsi="仿宋" w:eastAsia="仿宋" w:cs="仿宋"/>
          <w:color w:val="auto"/>
          <w:sz w:val="24"/>
          <w:highlight w:val="none"/>
        </w:rPr>
      </w:pPr>
      <w:r>
        <w:rPr>
          <w:rFonts w:ascii="仿宋" w:hAnsi="仿宋" w:eastAsia="仿宋" w:cs="仿宋"/>
          <w:color w:val="auto"/>
          <w:sz w:val="24"/>
          <w:highlight w:val="none"/>
        </w:rPr>
        <w:t>9、</w:t>
      </w:r>
      <w:r>
        <w:rPr>
          <w:rFonts w:hint="eastAsia" w:ascii="仿宋" w:hAnsi="仿宋" w:eastAsia="仿宋" w:cs="仿宋"/>
          <w:color w:val="auto"/>
          <w:sz w:val="24"/>
          <w:highlight w:val="none"/>
        </w:rPr>
        <w:t>样本运输方案要求</w:t>
      </w:r>
    </w:p>
    <w:p w14:paraId="3C4AD1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（1）提供物流方案、样本采集、保存及物流质控、物流安全保障等方案；</w:t>
      </w:r>
    </w:p>
    <w:p w14:paraId="0AA713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（2）制定标本转运物流流程规章制度（包括标本运输紧急预案）及工作各环节操作说明书；</w:t>
      </w:r>
    </w:p>
    <w:p w14:paraId="5DD932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（3）明确冷链物流配送单位信息（提供经营资质文件复印件），冷链物流配送单位与第三方合作的需提供分包协议；</w:t>
      </w:r>
    </w:p>
    <w:p w14:paraId="0D9A86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（4）提供配送车辆的数量、性能、冷链设施，车辆上配备的专业设备情况；</w:t>
      </w:r>
    </w:p>
    <w:p w14:paraId="41BA1D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（5）每天物流运送的路线安排；样本每天的送达时间须控制在8小时以内；</w:t>
      </w:r>
    </w:p>
    <w:p w14:paraId="17B35D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（6）投标人需提供针对本项目的运输应急预案；</w:t>
      </w:r>
    </w:p>
    <w:p w14:paraId="030F0353">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、人员要求：本项目拟派项目负责人需具有医学检验相关专业级及以上职称，需对项目负责人的情况进行说明并出具职称证书复印件；本项目需设置专人负责标本收集；</w:t>
      </w:r>
    </w:p>
    <w:p w14:paraId="7CB0DC87">
      <w:pPr>
        <w:adjustRightInd/>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、合同签订后如采购人有新增加项目，中标人应同意并按已签订合同的折扣执行，否则采购人有权另行委托其他第三方检测机构。</w:t>
      </w:r>
    </w:p>
    <w:p w14:paraId="67DA268E">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12、报告时间延迟半天扣检测费的50%，延迟一天检测费减免，如造成投诉纠纷需承担相应责任。五次以上延迟报告的，采购人有权提前解除合同，中标人应承担违约责任并赔偿采购人损失。</w:t>
      </w:r>
    </w:p>
    <w:p w14:paraId="0386BF94">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13、检测结果的准确性：对结果明显有差异的，中标人应无条件免费复查。</w:t>
      </w:r>
    </w:p>
    <w:p w14:paraId="77ED0A96">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14、中标人对检验结果负责，因检验结果问题引起的医疗纠纷，对患方的所有赔（补）偿费用完全由中标人支付，同时中标人应对采购人进行相应赔偿。</w:t>
      </w:r>
    </w:p>
    <w:p w14:paraId="0CD2914B">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15、中标人应根据采购人的要求，为采购人提供分析前样本的质量控制等相关内容的培训服务，按照采购人的要求维护所有必需的质量控制项目，每季度提交质量控制数据记录。</w:t>
      </w:r>
    </w:p>
    <w:p w14:paraId="3E475282">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16、合同期内，检测项目采购人有能力自行开展的，采购人可自行检测，不再委托中标人进行检测。</w:t>
      </w:r>
    </w:p>
    <w:p w14:paraId="4F9AC502">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采购人将不定期组织专家至中标人现场检查、督导并查看试剂、设备等采购相关台账，如发现中标人存在提供虚假信息或未经采购人同意私自更改使用试剂的品牌和检验项目的方法学等现象，采购人有权立即终止合同，中标人需按已做项目的收费金额赔偿采购人，并承担所有相关违约责任。</w:t>
      </w:r>
    </w:p>
    <w:p w14:paraId="6AD42069">
      <w:pPr>
        <w:pStyle w:val="24"/>
        <w:rPr>
          <w:color w:val="auto"/>
          <w:highlight w:val="none"/>
        </w:rPr>
      </w:pPr>
    </w:p>
    <w:p w14:paraId="0C669E95">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四、商务要求</w:t>
      </w:r>
    </w:p>
    <w:p w14:paraId="454334BD">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报价：以浙江省医疗服务价格收费标准为计算基数填报折扣（小写，小数点后保留两位，如：60.00），所有检测项目的折扣均须一致。如：投标人投标报价为60.00%，即中标后按检测项目浙江省医疗服务价格收费标准×60.00%的价格执行。</w:t>
      </w:r>
    </w:p>
    <w:p w14:paraId="730CC91A">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各投标人填报折扣不得超过100%。</w:t>
      </w:r>
    </w:p>
    <w:p w14:paraId="67CA9864">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、标本外送检测服务费的结算：标本外送检测服务费=医院按照浙江省医疗服务价格收费（检测计价总和）×中标价（即中标折扣）。</w:t>
      </w:r>
    </w:p>
    <w:p w14:paraId="4713E9CD">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、核算的唯一标准是浙江省医疗服务行业物价收费标准。除政策调整因素外，合同期内投标价不能调整。</w:t>
      </w:r>
    </w:p>
    <w:p w14:paraId="54F8B008">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报价时需综合考虑各项费用支出，包括但不限于样本采集、运输服务，配套车辆设备，配备服务人员，售后服务，质量监控信息，外送标本检测成本等完成本项目所产生的一切费用，采购人除标本外送检测服务费，不再另外支付任何其他费用。</w:t>
      </w:r>
    </w:p>
    <w:p w14:paraId="0BA8CC22">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5、外送检验费用每月结算一次，业务量的结算以当月项目检测清单或外送标本登记的签收记录为准。经双方共同确认检测数量无异议后，采购人在收到中标人的发票后支付检测服务费用。</w:t>
      </w:r>
    </w:p>
    <w:p w14:paraId="19E0B07D">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、服务期限</w:t>
      </w:r>
    </w:p>
    <w:p w14:paraId="0B9A49B0">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服务期1年；服务期到期或</w:t>
      </w:r>
      <w:r>
        <w:rPr>
          <w:rFonts w:hint="eastAsia" w:ascii="仿宋" w:hAnsi="仿宋" w:eastAsia="仿宋" w:cs="仿宋"/>
          <w:color w:val="auto"/>
          <w:sz w:val="24"/>
          <w:highlight w:val="none"/>
          <w:lang w:val="zh-CN"/>
        </w:rPr>
        <w:t>合同期内累计支付至预算金额，合同终止</w:t>
      </w:r>
      <w:r>
        <w:rPr>
          <w:rFonts w:hint="eastAsia" w:ascii="仿宋" w:hAnsi="仿宋" w:eastAsia="仿宋" w:cs="仿宋"/>
          <w:color w:val="auto"/>
          <w:sz w:val="24"/>
          <w:highlight w:val="none"/>
        </w:rPr>
        <w:t>。</w:t>
      </w:r>
    </w:p>
    <w:p w14:paraId="466BFEA0">
      <w:pPr>
        <w:adjustRightInd/>
        <w:spacing w:line="360" w:lineRule="auto"/>
        <w:ind w:firstLine="480" w:firstLineChars="200"/>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7、验收及考核要求</w:t>
      </w:r>
    </w:p>
    <w:p w14:paraId="317C7B7A">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1）合同期内中标人如未按采购人要求准时出具检测结果，采购人有权要求中标人整改。报告时间延迟半天扣检测费的50%，延迟一天检测费减免。</w:t>
      </w:r>
    </w:p>
    <w:p w14:paraId="4D9576F3">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人保证按国家检验规范进行操作，并对标本的检验报告承担相应的责任。对结果明显有差异的，中标人应无条件免费复查。因中标人原因导致检验报告错误引起的医疗纠纷责任由中标人承担，对患方的所有赔（补）偿费用完全由中标人支付，同时对采购人进行相应赔偿。</w:t>
      </w:r>
    </w:p>
    <w:p w14:paraId="5BB3498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3）按照检验质控要求，接受采购人每月的质量监管</w:t>
      </w:r>
      <w:r>
        <w:rPr>
          <w:rFonts w:ascii="仿宋" w:hAnsi="仿宋" w:eastAsia="仿宋" w:cs="仿宋"/>
          <w:color w:val="auto"/>
          <w:sz w:val="24"/>
          <w:highlight w:val="none"/>
        </w:rPr>
        <w:t>及</w:t>
      </w:r>
      <w:r>
        <w:rPr>
          <w:rFonts w:hint="eastAsia" w:ascii="仿宋" w:hAnsi="仿宋" w:eastAsia="仿宋" w:cs="仿宋"/>
          <w:color w:val="auto"/>
          <w:sz w:val="24"/>
          <w:highlight w:val="none"/>
        </w:rPr>
        <w:t>不定期抽查。监管内容包括但不限于：按采购人要求提供实验室资质、室内质控、室间质评、人员资质、性能验证报告、工作相关记录等资料，接受采购人现场检查、盲样考核；如中标人在抽查中出现2次不合格情况，且经采购人要求整改未落实的，采购人有权解除合同，中标人应承担违约责任并赔偿采购人损失。</w:t>
      </w:r>
    </w:p>
    <w:p w14:paraId="6D6581EF">
      <w:pPr>
        <w:adjustRightInd/>
        <w:spacing w:line="360" w:lineRule="auto"/>
        <w:ind w:firstLine="482" w:firstLineChars="200"/>
        <w:rPr>
          <w:rFonts w:ascii="仿宋" w:hAnsi="仿宋" w:eastAsia="仿宋" w:cs="仿宋"/>
          <w:b/>
          <w:bCs/>
          <w:color w:val="auto"/>
          <w:sz w:val="24"/>
          <w:highlight w:val="none"/>
        </w:rPr>
      </w:pPr>
    </w:p>
    <w:p w14:paraId="1EEE7A29">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35BB6DD8">
      <w:pPr>
        <w:adjustRightInd/>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附表1</w:t>
      </w:r>
    </w:p>
    <w:tbl>
      <w:tblPr>
        <w:tblStyle w:val="63"/>
        <w:tblW w:w="9051"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0"/>
        <w:gridCol w:w="2190"/>
        <w:gridCol w:w="1722"/>
        <w:gridCol w:w="2419"/>
        <w:gridCol w:w="2020"/>
      </w:tblGrid>
      <w:tr w14:paraId="15C00B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30E27D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2190" w:type="dxa"/>
            <w:tcBorders>
              <w:tl2br w:val="nil"/>
              <w:tr2bl w:val="nil"/>
            </w:tcBorders>
            <w:shd w:val="clear" w:color="auto" w:fill="auto"/>
            <w:vAlign w:val="center"/>
          </w:tcPr>
          <w:p w14:paraId="3749EDB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医院系统名称参考</w:t>
            </w:r>
          </w:p>
        </w:tc>
        <w:tc>
          <w:tcPr>
            <w:tcW w:w="1722" w:type="dxa"/>
            <w:tcBorders>
              <w:tl2br w:val="nil"/>
              <w:tr2bl w:val="nil"/>
            </w:tcBorders>
            <w:shd w:val="clear" w:color="auto" w:fill="auto"/>
            <w:vAlign w:val="center"/>
          </w:tcPr>
          <w:p w14:paraId="5985048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检测方法</w:t>
            </w:r>
          </w:p>
        </w:tc>
        <w:tc>
          <w:tcPr>
            <w:tcW w:w="2419" w:type="dxa"/>
            <w:tcBorders>
              <w:tl2br w:val="nil"/>
              <w:tr2bl w:val="nil"/>
            </w:tcBorders>
            <w:shd w:val="clear" w:color="auto" w:fill="auto"/>
            <w:vAlign w:val="center"/>
          </w:tcPr>
          <w:p w14:paraId="565E8B6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样本要求</w:t>
            </w:r>
          </w:p>
        </w:tc>
        <w:tc>
          <w:tcPr>
            <w:tcW w:w="2020" w:type="dxa"/>
            <w:tcBorders>
              <w:tl2br w:val="nil"/>
              <w:tr2bl w:val="nil"/>
            </w:tcBorders>
            <w:shd w:val="clear" w:color="auto" w:fill="auto"/>
            <w:vAlign w:val="center"/>
          </w:tcPr>
          <w:p w14:paraId="25A9A8B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出报告时间</w:t>
            </w:r>
          </w:p>
        </w:tc>
      </w:tr>
      <w:tr w14:paraId="2A8FAE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7494A66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90" w:type="dxa"/>
            <w:tcBorders>
              <w:tl2br w:val="nil"/>
              <w:tr2bl w:val="nil"/>
            </w:tcBorders>
            <w:shd w:val="clear" w:color="auto" w:fill="auto"/>
            <w:noWrap/>
            <w:vAlign w:val="center"/>
          </w:tcPr>
          <w:p w14:paraId="47D44EA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白介素8</w:t>
            </w:r>
          </w:p>
        </w:tc>
        <w:tc>
          <w:tcPr>
            <w:tcW w:w="1722" w:type="dxa"/>
            <w:tcBorders>
              <w:tl2br w:val="nil"/>
              <w:tr2bl w:val="nil"/>
            </w:tcBorders>
            <w:shd w:val="clear" w:color="auto" w:fill="auto"/>
            <w:vAlign w:val="center"/>
          </w:tcPr>
          <w:p w14:paraId="5B1FDA2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化学发光法</w:t>
            </w:r>
          </w:p>
        </w:tc>
        <w:tc>
          <w:tcPr>
            <w:tcW w:w="2419" w:type="dxa"/>
            <w:tcBorders>
              <w:tl2br w:val="nil"/>
              <w:tr2bl w:val="nil"/>
            </w:tcBorders>
            <w:shd w:val="clear" w:color="auto" w:fill="auto"/>
            <w:vAlign w:val="center"/>
          </w:tcPr>
          <w:p w14:paraId="7604A10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558BB95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周一、三、五检测，次日报告</w:t>
            </w:r>
          </w:p>
        </w:tc>
      </w:tr>
      <w:tr w14:paraId="7154EE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23852F0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90" w:type="dxa"/>
            <w:tcBorders>
              <w:tl2br w:val="nil"/>
              <w:tr2bl w:val="nil"/>
            </w:tcBorders>
            <w:shd w:val="clear" w:color="auto" w:fill="auto"/>
            <w:noWrap/>
            <w:vAlign w:val="center"/>
          </w:tcPr>
          <w:p w14:paraId="4694DA2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白介素17A</w:t>
            </w:r>
          </w:p>
        </w:tc>
        <w:tc>
          <w:tcPr>
            <w:tcW w:w="1722" w:type="dxa"/>
            <w:tcBorders>
              <w:tl2br w:val="nil"/>
              <w:tr2bl w:val="nil"/>
            </w:tcBorders>
            <w:shd w:val="clear" w:color="auto" w:fill="auto"/>
            <w:vAlign w:val="center"/>
          </w:tcPr>
          <w:p w14:paraId="0BF06AB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ELISA</w:t>
            </w:r>
          </w:p>
        </w:tc>
        <w:tc>
          <w:tcPr>
            <w:tcW w:w="2419" w:type="dxa"/>
            <w:tcBorders>
              <w:tl2br w:val="nil"/>
              <w:tr2bl w:val="nil"/>
            </w:tcBorders>
            <w:shd w:val="clear" w:color="auto" w:fill="auto"/>
            <w:vAlign w:val="center"/>
          </w:tcPr>
          <w:p w14:paraId="71350BC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38BE8D6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周一、三、五检测，次日报告</w:t>
            </w:r>
          </w:p>
        </w:tc>
      </w:tr>
      <w:tr w14:paraId="716A1F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3D9A6F3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190" w:type="dxa"/>
            <w:tcBorders>
              <w:tl2br w:val="nil"/>
              <w:tr2bl w:val="nil"/>
            </w:tcBorders>
            <w:shd w:val="clear" w:color="auto" w:fill="auto"/>
            <w:noWrap/>
            <w:vAlign w:val="center"/>
          </w:tcPr>
          <w:p w14:paraId="7348291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细菌内毒素定量检测</w:t>
            </w:r>
          </w:p>
        </w:tc>
        <w:tc>
          <w:tcPr>
            <w:tcW w:w="1722" w:type="dxa"/>
            <w:tcBorders>
              <w:tl2br w:val="nil"/>
              <w:tr2bl w:val="nil"/>
            </w:tcBorders>
            <w:shd w:val="clear" w:color="auto" w:fill="auto"/>
            <w:vAlign w:val="center"/>
          </w:tcPr>
          <w:p w14:paraId="2AE9843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显色法</w:t>
            </w:r>
          </w:p>
        </w:tc>
        <w:tc>
          <w:tcPr>
            <w:tcW w:w="2419" w:type="dxa"/>
            <w:tcBorders>
              <w:tl2br w:val="nil"/>
              <w:tr2bl w:val="nil"/>
            </w:tcBorders>
            <w:shd w:val="clear" w:color="auto" w:fill="auto"/>
            <w:vAlign w:val="center"/>
          </w:tcPr>
          <w:p w14:paraId="255211E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2ml（无菌操作）</w:t>
            </w:r>
          </w:p>
        </w:tc>
        <w:tc>
          <w:tcPr>
            <w:tcW w:w="2020" w:type="dxa"/>
            <w:tcBorders>
              <w:tl2br w:val="nil"/>
              <w:tr2bl w:val="nil"/>
            </w:tcBorders>
            <w:shd w:val="clear" w:color="auto" w:fill="auto"/>
            <w:vAlign w:val="center"/>
          </w:tcPr>
          <w:p w14:paraId="5FDCE8C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7个工作日</w:t>
            </w:r>
          </w:p>
        </w:tc>
      </w:tr>
      <w:tr w14:paraId="2F01B8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5B78590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190" w:type="dxa"/>
            <w:tcBorders>
              <w:tl2br w:val="nil"/>
              <w:tr2bl w:val="nil"/>
            </w:tcBorders>
            <w:shd w:val="clear" w:color="auto" w:fill="auto"/>
            <w:noWrap/>
            <w:vAlign w:val="center"/>
          </w:tcPr>
          <w:p w14:paraId="453089C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EB病毒抗体四项</w:t>
            </w:r>
          </w:p>
        </w:tc>
        <w:tc>
          <w:tcPr>
            <w:tcW w:w="1722" w:type="dxa"/>
            <w:tcBorders>
              <w:tl2br w:val="nil"/>
              <w:tr2bl w:val="nil"/>
            </w:tcBorders>
            <w:shd w:val="clear" w:color="auto" w:fill="auto"/>
            <w:vAlign w:val="center"/>
          </w:tcPr>
          <w:p w14:paraId="0FE7491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化学发光法</w:t>
            </w:r>
          </w:p>
        </w:tc>
        <w:tc>
          <w:tcPr>
            <w:tcW w:w="2419" w:type="dxa"/>
            <w:tcBorders>
              <w:tl2br w:val="nil"/>
              <w:tr2bl w:val="nil"/>
            </w:tcBorders>
            <w:shd w:val="clear" w:color="auto" w:fill="auto"/>
            <w:vAlign w:val="center"/>
          </w:tcPr>
          <w:p w14:paraId="299E3E3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5C32EBA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周一三五上午检测</w:t>
            </w:r>
          </w:p>
        </w:tc>
      </w:tr>
      <w:tr w14:paraId="1ACD1C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4290E1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190" w:type="dxa"/>
            <w:tcBorders>
              <w:tl2br w:val="nil"/>
              <w:tr2bl w:val="nil"/>
            </w:tcBorders>
            <w:shd w:val="clear" w:color="auto" w:fill="auto"/>
            <w:noWrap/>
            <w:vAlign w:val="center"/>
          </w:tcPr>
          <w:p w14:paraId="59F48B9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促红细胞生成素</w:t>
            </w:r>
          </w:p>
        </w:tc>
        <w:tc>
          <w:tcPr>
            <w:tcW w:w="1722" w:type="dxa"/>
            <w:tcBorders>
              <w:tl2br w:val="nil"/>
              <w:tr2bl w:val="nil"/>
            </w:tcBorders>
            <w:shd w:val="clear" w:color="auto" w:fill="auto"/>
            <w:vAlign w:val="center"/>
          </w:tcPr>
          <w:p w14:paraId="52C4904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化学发光法</w:t>
            </w:r>
          </w:p>
        </w:tc>
        <w:tc>
          <w:tcPr>
            <w:tcW w:w="2419" w:type="dxa"/>
            <w:tcBorders>
              <w:tl2br w:val="nil"/>
              <w:tr2bl w:val="nil"/>
            </w:tcBorders>
            <w:shd w:val="clear" w:color="auto" w:fill="auto"/>
            <w:vAlign w:val="center"/>
          </w:tcPr>
          <w:p w14:paraId="7437047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7D9A070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24小时</w:t>
            </w:r>
          </w:p>
        </w:tc>
      </w:tr>
      <w:tr w14:paraId="1CCBCC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3DAF2A4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190" w:type="dxa"/>
            <w:tcBorders>
              <w:tl2br w:val="nil"/>
              <w:tr2bl w:val="nil"/>
            </w:tcBorders>
            <w:shd w:val="clear" w:color="auto" w:fill="auto"/>
            <w:noWrap/>
            <w:vAlign w:val="center"/>
          </w:tcPr>
          <w:p w14:paraId="4D08535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24小时尿皮质醇</w:t>
            </w:r>
          </w:p>
        </w:tc>
        <w:tc>
          <w:tcPr>
            <w:tcW w:w="1722" w:type="dxa"/>
            <w:tcBorders>
              <w:tl2br w:val="nil"/>
              <w:tr2bl w:val="nil"/>
            </w:tcBorders>
            <w:shd w:val="clear" w:color="auto" w:fill="auto"/>
            <w:vAlign w:val="center"/>
          </w:tcPr>
          <w:p w14:paraId="408821C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化学发光法</w:t>
            </w:r>
          </w:p>
        </w:tc>
        <w:tc>
          <w:tcPr>
            <w:tcW w:w="2419" w:type="dxa"/>
            <w:tcBorders>
              <w:tl2br w:val="nil"/>
              <w:tr2bl w:val="nil"/>
            </w:tcBorders>
            <w:shd w:val="clear" w:color="auto" w:fill="auto"/>
            <w:vAlign w:val="center"/>
          </w:tcPr>
          <w:p w14:paraId="09D51F7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尿液2ml</w:t>
            </w:r>
          </w:p>
        </w:tc>
        <w:tc>
          <w:tcPr>
            <w:tcW w:w="2020" w:type="dxa"/>
            <w:tcBorders>
              <w:tl2br w:val="nil"/>
              <w:tr2bl w:val="nil"/>
            </w:tcBorders>
            <w:shd w:val="clear" w:color="auto" w:fill="auto"/>
            <w:vAlign w:val="center"/>
          </w:tcPr>
          <w:p w14:paraId="0FFB569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24小时</w:t>
            </w:r>
          </w:p>
        </w:tc>
      </w:tr>
      <w:tr w14:paraId="53B5FA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428F529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190" w:type="dxa"/>
            <w:tcBorders>
              <w:tl2br w:val="nil"/>
              <w:tr2bl w:val="nil"/>
            </w:tcBorders>
            <w:shd w:val="clear" w:color="auto" w:fill="auto"/>
            <w:noWrap/>
            <w:vAlign w:val="center"/>
          </w:tcPr>
          <w:p w14:paraId="58E0309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流行性出血热病毒抗体</w:t>
            </w:r>
          </w:p>
        </w:tc>
        <w:tc>
          <w:tcPr>
            <w:tcW w:w="1722" w:type="dxa"/>
            <w:tcBorders>
              <w:tl2br w:val="nil"/>
              <w:tr2bl w:val="nil"/>
            </w:tcBorders>
            <w:shd w:val="clear" w:color="auto" w:fill="auto"/>
            <w:vAlign w:val="center"/>
          </w:tcPr>
          <w:p w14:paraId="40B63B3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金标法</w:t>
            </w:r>
          </w:p>
        </w:tc>
        <w:tc>
          <w:tcPr>
            <w:tcW w:w="2419" w:type="dxa"/>
            <w:tcBorders>
              <w:tl2br w:val="nil"/>
              <w:tr2bl w:val="nil"/>
            </w:tcBorders>
            <w:shd w:val="clear" w:color="auto" w:fill="auto"/>
            <w:vAlign w:val="center"/>
          </w:tcPr>
          <w:p w14:paraId="3A8A21E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5CF725C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周二四六检测，隔天发报告</w:t>
            </w:r>
          </w:p>
        </w:tc>
      </w:tr>
      <w:tr w14:paraId="2BC90B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8E9130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190" w:type="dxa"/>
            <w:tcBorders>
              <w:tl2br w:val="nil"/>
              <w:tr2bl w:val="nil"/>
            </w:tcBorders>
            <w:shd w:val="clear" w:color="auto" w:fill="auto"/>
            <w:vAlign w:val="center"/>
          </w:tcPr>
          <w:p w14:paraId="50889E1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IgG4</w:t>
            </w:r>
          </w:p>
        </w:tc>
        <w:tc>
          <w:tcPr>
            <w:tcW w:w="1722" w:type="dxa"/>
            <w:tcBorders>
              <w:tl2br w:val="nil"/>
              <w:tr2bl w:val="nil"/>
            </w:tcBorders>
            <w:shd w:val="clear" w:color="auto" w:fill="auto"/>
            <w:vAlign w:val="center"/>
          </w:tcPr>
          <w:p w14:paraId="531A52F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免疫比浊法</w:t>
            </w:r>
          </w:p>
        </w:tc>
        <w:tc>
          <w:tcPr>
            <w:tcW w:w="2419" w:type="dxa"/>
            <w:tcBorders>
              <w:tl2br w:val="nil"/>
              <w:tr2bl w:val="nil"/>
            </w:tcBorders>
            <w:shd w:val="clear" w:color="auto" w:fill="auto"/>
            <w:vAlign w:val="center"/>
          </w:tcPr>
          <w:p w14:paraId="300379F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7A15733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24小时</w:t>
            </w:r>
          </w:p>
        </w:tc>
      </w:tr>
      <w:tr w14:paraId="435338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AED10B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190" w:type="dxa"/>
            <w:tcBorders>
              <w:tl2br w:val="nil"/>
              <w:tr2bl w:val="nil"/>
            </w:tcBorders>
            <w:shd w:val="clear" w:color="auto" w:fill="auto"/>
            <w:noWrap/>
            <w:vAlign w:val="center"/>
          </w:tcPr>
          <w:p w14:paraId="0C6BB9B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葡萄糖6-磷酸脱氢酶</w:t>
            </w:r>
          </w:p>
        </w:tc>
        <w:tc>
          <w:tcPr>
            <w:tcW w:w="1722" w:type="dxa"/>
            <w:tcBorders>
              <w:tl2br w:val="nil"/>
              <w:tr2bl w:val="nil"/>
            </w:tcBorders>
            <w:shd w:val="clear" w:color="auto" w:fill="auto"/>
            <w:vAlign w:val="center"/>
          </w:tcPr>
          <w:p w14:paraId="365AC2A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酶法</w:t>
            </w:r>
          </w:p>
        </w:tc>
        <w:tc>
          <w:tcPr>
            <w:tcW w:w="2419" w:type="dxa"/>
            <w:tcBorders>
              <w:tl2br w:val="nil"/>
              <w:tr2bl w:val="nil"/>
            </w:tcBorders>
            <w:shd w:val="clear" w:color="auto" w:fill="auto"/>
            <w:vAlign w:val="center"/>
          </w:tcPr>
          <w:p w14:paraId="5B77878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EDTA抗凝血2ml</w:t>
            </w:r>
          </w:p>
        </w:tc>
        <w:tc>
          <w:tcPr>
            <w:tcW w:w="2020" w:type="dxa"/>
            <w:tcBorders>
              <w:tl2br w:val="nil"/>
              <w:tr2bl w:val="nil"/>
            </w:tcBorders>
            <w:shd w:val="clear" w:color="auto" w:fill="auto"/>
            <w:vAlign w:val="center"/>
          </w:tcPr>
          <w:p w14:paraId="1A1B020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周一至周五检测，隔天发报告</w:t>
            </w:r>
          </w:p>
        </w:tc>
      </w:tr>
      <w:tr w14:paraId="798066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2A672E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190" w:type="dxa"/>
            <w:tcBorders>
              <w:tl2br w:val="nil"/>
              <w:tr2bl w:val="nil"/>
            </w:tcBorders>
            <w:shd w:val="clear" w:color="auto" w:fill="auto"/>
            <w:vAlign w:val="center"/>
          </w:tcPr>
          <w:p w14:paraId="4129F18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外斐氏反应</w:t>
            </w:r>
          </w:p>
        </w:tc>
        <w:tc>
          <w:tcPr>
            <w:tcW w:w="1722" w:type="dxa"/>
            <w:tcBorders>
              <w:tl2br w:val="nil"/>
              <w:tr2bl w:val="nil"/>
            </w:tcBorders>
            <w:shd w:val="clear" w:color="auto" w:fill="auto"/>
            <w:vAlign w:val="center"/>
          </w:tcPr>
          <w:p w14:paraId="4C03E57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凝集法</w:t>
            </w:r>
          </w:p>
        </w:tc>
        <w:tc>
          <w:tcPr>
            <w:tcW w:w="2419" w:type="dxa"/>
            <w:tcBorders>
              <w:tl2br w:val="nil"/>
              <w:tr2bl w:val="nil"/>
            </w:tcBorders>
            <w:shd w:val="clear" w:color="auto" w:fill="auto"/>
            <w:vAlign w:val="center"/>
          </w:tcPr>
          <w:p w14:paraId="6BB7282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w:t>
            </w:r>
          </w:p>
        </w:tc>
        <w:tc>
          <w:tcPr>
            <w:tcW w:w="2020" w:type="dxa"/>
            <w:tcBorders>
              <w:tl2br w:val="nil"/>
              <w:tr2bl w:val="nil"/>
            </w:tcBorders>
            <w:shd w:val="clear" w:color="auto" w:fill="auto"/>
            <w:vAlign w:val="center"/>
          </w:tcPr>
          <w:p w14:paraId="6E1EB39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6个工作日</w:t>
            </w:r>
          </w:p>
        </w:tc>
      </w:tr>
      <w:tr w14:paraId="48A258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2025FCE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190" w:type="dxa"/>
            <w:tcBorders>
              <w:tl2br w:val="nil"/>
              <w:tr2bl w:val="nil"/>
            </w:tcBorders>
            <w:shd w:val="clear" w:color="auto" w:fill="auto"/>
            <w:vAlign w:val="center"/>
          </w:tcPr>
          <w:p w14:paraId="65F2848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血清M蛋白定量检测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（含血清蛋白电泳）</w:t>
            </w:r>
          </w:p>
        </w:tc>
        <w:tc>
          <w:tcPr>
            <w:tcW w:w="1722" w:type="dxa"/>
            <w:tcBorders>
              <w:tl2br w:val="nil"/>
              <w:tr2bl w:val="nil"/>
            </w:tcBorders>
            <w:shd w:val="clear" w:color="auto" w:fill="auto"/>
            <w:vAlign w:val="center"/>
          </w:tcPr>
          <w:p w14:paraId="4987D9F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琼脂糖凝胶电泳法+比色</w:t>
            </w:r>
          </w:p>
        </w:tc>
        <w:tc>
          <w:tcPr>
            <w:tcW w:w="2419" w:type="dxa"/>
            <w:tcBorders>
              <w:tl2br w:val="nil"/>
              <w:tr2bl w:val="nil"/>
            </w:tcBorders>
            <w:shd w:val="clear" w:color="auto" w:fill="auto"/>
            <w:vAlign w:val="center"/>
          </w:tcPr>
          <w:p w14:paraId="31553B9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（分离胶管）血清1ml，2-8℃快速送检，请务必详尽填写申请单。</w:t>
            </w:r>
          </w:p>
        </w:tc>
        <w:tc>
          <w:tcPr>
            <w:tcW w:w="2020" w:type="dxa"/>
            <w:tcBorders>
              <w:tl2br w:val="nil"/>
              <w:tr2bl w:val="nil"/>
            </w:tcBorders>
            <w:shd w:val="clear" w:color="auto" w:fill="auto"/>
            <w:vAlign w:val="center"/>
          </w:tcPr>
          <w:p w14:paraId="6F0492D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2天</w:t>
            </w:r>
          </w:p>
        </w:tc>
      </w:tr>
      <w:tr w14:paraId="7CD278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CF1C44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190" w:type="dxa"/>
            <w:tcBorders>
              <w:tl2br w:val="nil"/>
              <w:tr2bl w:val="nil"/>
            </w:tcBorders>
            <w:shd w:val="clear" w:color="auto" w:fill="auto"/>
            <w:vAlign w:val="center"/>
          </w:tcPr>
          <w:p w14:paraId="36C050C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尿M蛋白定量检测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（含尿蛋白电泳）</w:t>
            </w:r>
          </w:p>
        </w:tc>
        <w:tc>
          <w:tcPr>
            <w:tcW w:w="1722" w:type="dxa"/>
            <w:tcBorders>
              <w:tl2br w:val="nil"/>
              <w:tr2bl w:val="nil"/>
            </w:tcBorders>
            <w:shd w:val="clear" w:color="auto" w:fill="auto"/>
            <w:vAlign w:val="center"/>
          </w:tcPr>
          <w:p w14:paraId="61581F7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琼脂糖凝胶电泳法+比色</w:t>
            </w:r>
          </w:p>
        </w:tc>
        <w:tc>
          <w:tcPr>
            <w:tcW w:w="2419" w:type="dxa"/>
            <w:tcBorders>
              <w:tl2br w:val="nil"/>
              <w:tr2bl w:val="nil"/>
            </w:tcBorders>
            <w:shd w:val="clear" w:color="auto" w:fill="auto"/>
            <w:vAlign w:val="center"/>
          </w:tcPr>
          <w:p w14:paraId="502DA5B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（尿管，不添加防腐剂）尿液2ml，2-8℃快速送检，请务必详尽填写申请单。</w:t>
            </w:r>
          </w:p>
        </w:tc>
        <w:tc>
          <w:tcPr>
            <w:tcW w:w="2020" w:type="dxa"/>
            <w:tcBorders>
              <w:tl2br w:val="nil"/>
              <w:tr2bl w:val="nil"/>
            </w:tcBorders>
            <w:shd w:val="clear" w:color="auto" w:fill="auto"/>
            <w:vAlign w:val="center"/>
          </w:tcPr>
          <w:p w14:paraId="47336D0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周五检测，次日报告</w:t>
            </w:r>
          </w:p>
        </w:tc>
      </w:tr>
      <w:tr w14:paraId="2FCD62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12CA9DC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190" w:type="dxa"/>
            <w:tcBorders>
              <w:tl2br w:val="nil"/>
              <w:tr2bl w:val="nil"/>
            </w:tcBorders>
            <w:shd w:val="clear" w:color="auto" w:fill="auto"/>
            <w:vAlign w:val="center"/>
          </w:tcPr>
          <w:p w14:paraId="1862C77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肿瘤坏死因子α</w:t>
            </w:r>
          </w:p>
        </w:tc>
        <w:tc>
          <w:tcPr>
            <w:tcW w:w="1722" w:type="dxa"/>
            <w:tcBorders>
              <w:tl2br w:val="nil"/>
              <w:tr2bl w:val="nil"/>
            </w:tcBorders>
            <w:shd w:val="clear" w:color="auto" w:fill="auto"/>
            <w:vAlign w:val="center"/>
          </w:tcPr>
          <w:p w14:paraId="22CC47C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磁微粒化学发光法</w:t>
            </w:r>
          </w:p>
        </w:tc>
        <w:tc>
          <w:tcPr>
            <w:tcW w:w="2419" w:type="dxa"/>
            <w:tcBorders>
              <w:tl2br w:val="nil"/>
              <w:tr2bl w:val="nil"/>
            </w:tcBorders>
            <w:shd w:val="clear" w:color="auto" w:fill="auto"/>
            <w:vAlign w:val="center"/>
          </w:tcPr>
          <w:p w14:paraId="792C78A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血清2ml</w:t>
            </w:r>
          </w:p>
        </w:tc>
        <w:tc>
          <w:tcPr>
            <w:tcW w:w="2020" w:type="dxa"/>
            <w:tcBorders>
              <w:tl2br w:val="nil"/>
              <w:tr2bl w:val="nil"/>
            </w:tcBorders>
            <w:shd w:val="clear" w:color="auto" w:fill="auto"/>
            <w:vAlign w:val="center"/>
          </w:tcPr>
          <w:p w14:paraId="689901E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24h</w:t>
            </w:r>
          </w:p>
        </w:tc>
      </w:tr>
      <w:tr w14:paraId="7532ED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1" w:type="dxa"/>
            <w:gridSpan w:val="5"/>
            <w:tcBorders>
              <w:tl2br w:val="nil"/>
              <w:tr2bl w:val="nil"/>
            </w:tcBorders>
            <w:shd w:val="clear" w:color="auto" w:fill="auto"/>
            <w:vAlign w:val="center"/>
          </w:tcPr>
          <w:p w14:paraId="76EFB7C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特检项目</w:t>
            </w:r>
          </w:p>
        </w:tc>
      </w:tr>
      <w:tr w14:paraId="73FFB2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696105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90" w:type="dxa"/>
            <w:tcBorders>
              <w:tl2br w:val="nil"/>
              <w:tr2bl w:val="nil"/>
            </w:tcBorders>
            <w:shd w:val="clear" w:color="auto" w:fill="auto"/>
            <w:vAlign w:val="center"/>
          </w:tcPr>
          <w:p w14:paraId="444CB2E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维生素D三项</w:t>
            </w:r>
          </w:p>
        </w:tc>
        <w:tc>
          <w:tcPr>
            <w:tcW w:w="1722" w:type="dxa"/>
            <w:tcBorders>
              <w:tl2br w:val="nil"/>
              <w:tr2bl w:val="nil"/>
            </w:tcBorders>
            <w:shd w:val="clear" w:color="auto" w:fill="auto"/>
            <w:vAlign w:val="center"/>
          </w:tcPr>
          <w:p w14:paraId="25C8174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3693D81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血清≥1ml，避免餐后立即采血</w:t>
            </w:r>
          </w:p>
        </w:tc>
        <w:tc>
          <w:tcPr>
            <w:tcW w:w="2020" w:type="dxa"/>
            <w:tcBorders>
              <w:tl2br w:val="nil"/>
              <w:tr2bl w:val="nil"/>
            </w:tcBorders>
            <w:shd w:val="clear" w:color="auto" w:fill="auto"/>
            <w:vAlign w:val="center"/>
          </w:tcPr>
          <w:p w14:paraId="13746D5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27DE54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1699854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90" w:type="dxa"/>
            <w:tcBorders>
              <w:tl2br w:val="nil"/>
              <w:tr2bl w:val="nil"/>
            </w:tcBorders>
            <w:shd w:val="clear" w:color="auto" w:fill="auto"/>
            <w:noWrap/>
            <w:vAlign w:val="center"/>
          </w:tcPr>
          <w:p w14:paraId="27D4823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维生素群(A D E K)</w:t>
            </w:r>
          </w:p>
        </w:tc>
        <w:tc>
          <w:tcPr>
            <w:tcW w:w="1722" w:type="dxa"/>
            <w:tcBorders>
              <w:tl2br w:val="nil"/>
              <w:tr2bl w:val="nil"/>
            </w:tcBorders>
            <w:shd w:val="clear" w:color="auto" w:fill="auto"/>
            <w:vAlign w:val="center"/>
          </w:tcPr>
          <w:p w14:paraId="4D50320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356BD51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血清≥1ml，避免餐后立即采血</w:t>
            </w:r>
          </w:p>
        </w:tc>
        <w:tc>
          <w:tcPr>
            <w:tcW w:w="2020" w:type="dxa"/>
            <w:tcBorders>
              <w:tl2br w:val="nil"/>
              <w:tr2bl w:val="nil"/>
            </w:tcBorders>
            <w:shd w:val="clear" w:color="auto" w:fill="auto"/>
            <w:vAlign w:val="center"/>
          </w:tcPr>
          <w:p w14:paraId="069E51E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366B44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6CFC766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190" w:type="dxa"/>
            <w:tcBorders>
              <w:tl2br w:val="nil"/>
              <w:tr2bl w:val="nil"/>
            </w:tcBorders>
            <w:shd w:val="clear" w:color="auto" w:fill="auto"/>
            <w:noWrap/>
            <w:vAlign w:val="center"/>
          </w:tcPr>
          <w:p w14:paraId="7234EEB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维生素B族8项</w:t>
            </w:r>
          </w:p>
        </w:tc>
        <w:tc>
          <w:tcPr>
            <w:tcW w:w="1722" w:type="dxa"/>
            <w:tcBorders>
              <w:tl2br w:val="nil"/>
              <w:tr2bl w:val="nil"/>
            </w:tcBorders>
            <w:shd w:val="clear" w:color="auto" w:fill="auto"/>
            <w:vAlign w:val="center"/>
          </w:tcPr>
          <w:p w14:paraId="187BFC5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62600FE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血清≥1ml，避免餐后立即采血</w:t>
            </w:r>
          </w:p>
        </w:tc>
        <w:tc>
          <w:tcPr>
            <w:tcW w:w="2020" w:type="dxa"/>
            <w:tcBorders>
              <w:tl2br w:val="nil"/>
              <w:tr2bl w:val="nil"/>
            </w:tcBorders>
            <w:shd w:val="clear" w:color="auto" w:fill="auto"/>
            <w:vAlign w:val="center"/>
          </w:tcPr>
          <w:p w14:paraId="24370C3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35E24B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008769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190" w:type="dxa"/>
            <w:tcBorders>
              <w:tl2br w:val="nil"/>
              <w:tr2bl w:val="nil"/>
            </w:tcBorders>
            <w:shd w:val="clear" w:color="auto" w:fill="auto"/>
            <w:vAlign w:val="center"/>
          </w:tcPr>
          <w:p w14:paraId="2814DB1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维生素ADE(血清)</w:t>
            </w:r>
          </w:p>
        </w:tc>
        <w:tc>
          <w:tcPr>
            <w:tcW w:w="1722" w:type="dxa"/>
            <w:vMerge w:val="restart"/>
            <w:tcBorders>
              <w:tl2br w:val="nil"/>
              <w:tr2bl w:val="nil"/>
            </w:tcBorders>
            <w:shd w:val="clear" w:color="auto" w:fill="auto"/>
            <w:vAlign w:val="center"/>
          </w:tcPr>
          <w:p w14:paraId="19BCFE9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1BEEA4A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EDTA末梢血浆≥150μl，避免餐后立即采血</w:t>
            </w:r>
          </w:p>
        </w:tc>
        <w:tc>
          <w:tcPr>
            <w:tcW w:w="2020" w:type="dxa"/>
            <w:vMerge w:val="restart"/>
            <w:tcBorders>
              <w:tl2br w:val="nil"/>
              <w:tr2bl w:val="nil"/>
            </w:tcBorders>
            <w:shd w:val="clear" w:color="auto" w:fill="auto"/>
            <w:vAlign w:val="center"/>
          </w:tcPr>
          <w:p w14:paraId="20B151C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3E2E63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C810A7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190" w:type="dxa"/>
            <w:tcBorders>
              <w:tl2br w:val="nil"/>
              <w:tr2bl w:val="nil"/>
            </w:tcBorders>
            <w:shd w:val="clear" w:color="auto" w:fill="auto"/>
            <w:vAlign w:val="center"/>
          </w:tcPr>
          <w:p w14:paraId="0BBCFB4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维生素ADE（末梢血）</w:t>
            </w:r>
          </w:p>
        </w:tc>
        <w:tc>
          <w:tcPr>
            <w:tcW w:w="1722" w:type="dxa"/>
            <w:vMerge w:val="continue"/>
            <w:tcBorders>
              <w:tl2br w:val="nil"/>
              <w:tr2bl w:val="nil"/>
            </w:tcBorders>
            <w:shd w:val="clear" w:color="auto" w:fill="auto"/>
            <w:vAlign w:val="center"/>
          </w:tcPr>
          <w:p w14:paraId="0779A67F">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33EA984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血清≥1ml，避免餐后立即采血</w:t>
            </w:r>
          </w:p>
        </w:tc>
        <w:tc>
          <w:tcPr>
            <w:tcW w:w="2020" w:type="dxa"/>
            <w:vMerge w:val="continue"/>
            <w:tcBorders>
              <w:tl2br w:val="nil"/>
              <w:tr2bl w:val="nil"/>
            </w:tcBorders>
            <w:shd w:val="clear" w:color="auto" w:fill="auto"/>
            <w:vAlign w:val="center"/>
          </w:tcPr>
          <w:p w14:paraId="72DAED73">
            <w:pPr>
              <w:spacing w:line="360" w:lineRule="auto"/>
              <w:jc w:val="center"/>
              <w:rPr>
                <w:rFonts w:ascii="宋体" w:hAnsi="宋体" w:cs="宋体"/>
                <w:color w:val="auto"/>
                <w:sz w:val="22"/>
                <w:szCs w:val="22"/>
                <w:highlight w:val="none"/>
              </w:rPr>
            </w:pPr>
          </w:p>
        </w:tc>
      </w:tr>
      <w:tr w14:paraId="0C0825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00" w:type="dxa"/>
            <w:tcBorders>
              <w:tl2br w:val="nil"/>
              <w:tr2bl w:val="nil"/>
            </w:tcBorders>
            <w:shd w:val="clear" w:color="auto" w:fill="auto"/>
            <w:vAlign w:val="center"/>
          </w:tcPr>
          <w:p w14:paraId="37844DD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190" w:type="dxa"/>
            <w:tcBorders>
              <w:tl2br w:val="nil"/>
              <w:tr2bl w:val="nil"/>
            </w:tcBorders>
            <w:shd w:val="clear" w:color="auto" w:fill="auto"/>
            <w:noWrap/>
            <w:vAlign w:val="center"/>
          </w:tcPr>
          <w:p w14:paraId="32BE8BC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细胞因子12项</w:t>
            </w:r>
          </w:p>
        </w:tc>
        <w:tc>
          <w:tcPr>
            <w:tcW w:w="1722" w:type="dxa"/>
            <w:tcBorders>
              <w:tl2br w:val="nil"/>
              <w:tr2bl w:val="nil"/>
            </w:tcBorders>
            <w:shd w:val="clear" w:color="auto" w:fill="auto"/>
            <w:vAlign w:val="center"/>
          </w:tcPr>
          <w:p w14:paraId="39B9553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流式细胞术</w:t>
            </w:r>
          </w:p>
        </w:tc>
        <w:tc>
          <w:tcPr>
            <w:tcW w:w="2419" w:type="dxa"/>
            <w:tcBorders>
              <w:tl2br w:val="nil"/>
              <w:tr2bl w:val="nil"/>
            </w:tcBorders>
            <w:shd w:val="clear" w:color="auto" w:fill="auto"/>
            <w:vAlign w:val="center"/>
          </w:tcPr>
          <w:p w14:paraId="1EA443E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血浆3ml</w:t>
            </w:r>
          </w:p>
        </w:tc>
        <w:tc>
          <w:tcPr>
            <w:tcW w:w="2020" w:type="dxa"/>
            <w:tcBorders>
              <w:tl2br w:val="nil"/>
              <w:tr2bl w:val="nil"/>
            </w:tcBorders>
            <w:shd w:val="clear" w:color="auto" w:fill="auto"/>
            <w:vAlign w:val="center"/>
          </w:tcPr>
          <w:p w14:paraId="58B8A55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7个工作日</w:t>
            </w:r>
          </w:p>
        </w:tc>
      </w:tr>
      <w:tr w14:paraId="5E6D64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B84AE6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190" w:type="dxa"/>
            <w:tcBorders>
              <w:tl2br w:val="nil"/>
              <w:tr2bl w:val="nil"/>
            </w:tcBorders>
            <w:shd w:val="clear" w:color="auto" w:fill="auto"/>
            <w:vAlign w:val="center"/>
          </w:tcPr>
          <w:p w14:paraId="3E210BC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血药浓度（奥氮平）</w:t>
            </w:r>
          </w:p>
        </w:tc>
        <w:tc>
          <w:tcPr>
            <w:tcW w:w="1722" w:type="dxa"/>
            <w:tcBorders>
              <w:tl2br w:val="nil"/>
              <w:tr2bl w:val="nil"/>
            </w:tcBorders>
            <w:shd w:val="clear" w:color="auto" w:fill="auto"/>
            <w:vAlign w:val="center"/>
          </w:tcPr>
          <w:p w14:paraId="06362D4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084A571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52B7DAC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398C81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0CF01D6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190" w:type="dxa"/>
            <w:tcBorders>
              <w:tl2br w:val="nil"/>
              <w:tr2bl w:val="nil"/>
            </w:tcBorders>
            <w:shd w:val="clear" w:color="auto" w:fill="auto"/>
            <w:vAlign w:val="center"/>
          </w:tcPr>
          <w:p w14:paraId="31988D2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血药浓度（喹硫平）</w:t>
            </w:r>
          </w:p>
        </w:tc>
        <w:tc>
          <w:tcPr>
            <w:tcW w:w="1722" w:type="dxa"/>
            <w:tcBorders>
              <w:tl2br w:val="nil"/>
              <w:tr2bl w:val="nil"/>
            </w:tcBorders>
            <w:shd w:val="clear" w:color="auto" w:fill="auto"/>
            <w:vAlign w:val="center"/>
          </w:tcPr>
          <w:p w14:paraId="4D892B5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3BF715F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01D624C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754317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C08D03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190" w:type="dxa"/>
            <w:tcBorders>
              <w:tl2br w:val="nil"/>
              <w:tr2bl w:val="nil"/>
            </w:tcBorders>
            <w:shd w:val="clear" w:color="auto" w:fill="auto"/>
            <w:vAlign w:val="center"/>
          </w:tcPr>
          <w:p w14:paraId="574FCF0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血药浓度（苯巴比妥）</w:t>
            </w:r>
          </w:p>
        </w:tc>
        <w:tc>
          <w:tcPr>
            <w:tcW w:w="1722" w:type="dxa"/>
            <w:tcBorders>
              <w:tl2br w:val="nil"/>
              <w:tr2bl w:val="nil"/>
            </w:tcBorders>
            <w:shd w:val="clear" w:color="auto" w:fill="auto"/>
            <w:vAlign w:val="center"/>
          </w:tcPr>
          <w:p w14:paraId="6A2823D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0321325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64D0028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1879C5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B42469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190" w:type="dxa"/>
            <w:tcBorders>
              <w:tl2br w:val="nil"/>
              <w:tr2bl w:val="nil"/>
            </w:tcBorders>
            <w:shd w:val="clear" w:color="auto" w:fill="auto"/>
            <w:vAlign w:val="center"/>
          </w:tcPr>
          <w:p w14:paraId="0D86343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血药浓度（舍曲林）</w:t>
            </w:r>
          </w:p>
        </w:tc>
        <w:tc>
          <w:tcPr>
            <w:tcW w:w="1722" w:type="dxa"/>
            <w:tcBorders>
              <w:tl2br w:val="nil"/>
              <w:tr2bl w:val="nil"/>
            </w:tcBorders>
            <w:shd w:val="clear" w:color="auto" w:fill="auto"/>
            <w:vAlign w:val="center"/>
          </w:tcPr>
          <w:p w14:paraId="0292113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75D5A1D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3AE117E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6ACD2E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CFCC97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190" w:type="dxa"/>
            <w:tcBorders>
              <w:tl2br w:val="nil"/>
              <w:tr2bl w:val="nil"/>
            </w:tcBorders>
            <w:shd w:val="clear" w:color="auto" w:fill="auto"/>
            <w:vAlign w:val="center"/>
          </w:tcPr>
          <w:p w14:paraId="1BB8FE9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血药浓度（艾司西酞普兰）</w:t>
            </w:r>
          </w:p>
        </w:tc>
        <w:tc>
          <w:tcPr>
            <w:tcW w:w="1722" w:type="dxa"/>
            <w:tcBorders>
              <w:tl2br w:val="nil"/>
              <w:tr2bl w:val="nil"/>
            </w:tcBorders>
            <w:shd w:val="clear" w:color="auto" w:fill="auto"/>
            <w:vAlign w:val="center"/>
          </w:tcPr>
          <w:p w14:paraId="34B287A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1427BBD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5D567BC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1AEEA9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B7E0AA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190" w:type="dxa"/>
            <w:tcBorders>
              <w:tl2br w:val="nil"/>
              <w:tr2bl w:val="nil"/>
            </w:tcBorders>
            <w:shd w:val="clear" w:color="auto" w:fill="auto"/>
            <w:vAlign w:val="center"/>
          </w:tcPr>
          <w:p w14:paraId="6B6E4DF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血药浓度（文拉法辛及O+文拉法辛）</w:t>
            </w:r>
          </w:p>
        </w:tc>
        <w:tc>
          <w:tcPr>
            <w:tcW w:w="1722" w:type="dxa"/>
            <w:tcBorders>
              <w:tl2br w:val="nil"/>
              <w:tr2bl w:val="nil"/>
            </w:tcBorders>
            <w:shd w:val="clear" w:color="auto" w:fill="auto"/>
            <w:vAlign w:val="center"/>
          </w:tcPr>
          <w:p w14:paraId="39BBDF7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49F6C7E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3B90139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450B13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69C0D58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190" w:type="dxa"/>
            <w:tcBorders>
              <w:tl2br w:val="nil"/>
              <w:tr2bl w:val="nil"/>
            </w:tcBorders>
            <w:shd w:val="clear" w:color="auto" w:fill="auto"/>
            <w:vAlign w:val="center"/>
          </w:tcPr>
          <w:p w14:paraId="28793BA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血药浓度（氟西汀+去甲氟西汀）</w:t>
            </w:r>
          </w:p>
        </w:tc>
        <w:tc>
          <w:tcPr>
            <w:tcW w:w="1722" w:type="dxa"/>
            <w:tcBorders>
              <w:tl2br w:val="nil"/>
              <w:tr2bl w:val="nil"/>
            </w:tcBorders>
            <w:shd w:val="clear" w:color="auto" w:fill="auto"/>
            <w:vAlign w:val="center"/>
          </w:tcPr>
          <w:p w14:paraId="3B39012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46211BE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01F4CB5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1DE99B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43D032C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190" w:type="dxa"/>
            <w:tcBorders>
              <w:tl2br w:val="nil"/>
              <w:tr2bl w:val="nil"/>
            </w:tcBorders>
            <w:shd w:val="clear" w:color="auto" w:fill="auto"/>
            <w:vAlign w:val="center"/>
          </w:tcPr>
          <w:p w14:paraId="370025D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血药浓度（卡马西平）</w:t>
            </w:r>
          </w:p>
        </w:tc>
        <w:tc>
          <w:tcPr>
            <w:tcW w:w="1722" w:type="dxa"/>
            <w:tcBorders>
              <w:tl2br w:val="nil"/>
              <w:tr2bl w:val="nil"/>
            </w:tcBorders>
            <w:shd w:val="clear" w:color="auto" w:fill="auto"/>
            <w:vAlign w:val="center"/>
          </w:tcPr>
          <w:p w14:paraId="19CE36C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6FBC533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5A67D45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1E07C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B396A1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190" w:type="dxa"/>
            <w:tcBorders>
              <w:tl2br w:val="nil"/>
              <w:tr2bl w:val="nil"/>
            </w:tcBorders>
            <w:shd w:val="clear" w:color="auto" w:fill="auto"/>
            <w:vAlign w:val="center"/>
          </w:tcPr>
          <w:p w14:paraId="39D6561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血药浓度（奥卡西平+10-羟基卡马西平）</w:t>
            </w:r>
          </w:p>
        </w:tc>
        <w:tc>
          <w:tcPr>
            <w:tcW w:w="1722" w:type="dxa"/>
            <w:tcBorders>
              <w:tl2br w:val="nil"/>
              <w:tr2bl w:val="nil"/>
            </w:tcBorders>
            <w:shd w:val="clear" w:color="auto" w:fill="auto"/>
            <w:vAlign w:val="center"/>
          </w:tcPr>
          <w:p w14:paraId="6CE589C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24EDB1A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0827A2C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4BFFF6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23DCD9B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190" w:type="dxa"/>
            <w:tcBorders>
              <w:tl2br w:val="nil"/>
              <w:tr2bl w:val="nil"/>
            </w:tcBorders>
            <w:shd w:val="clear" w:color="auto" w:fill="auto"/>
            <w:vAlign w:val="center"/>
          </w:tcPr>
          <w:p w14:paraId="3892F54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血药浓度（拉莫三嗪）</w:t>
            </w:r>
          </w:p>
        </w:tc>
        <w:tc>
          <w:tcPr>
            <w:tcW w:w="1722" w:type="dxa"/>
            <w:tcBorders>
              <w:tl2br w:val="nil"/>
              <w:tr2bl w:val="nil"/>
            </w:tcBorders>
            <w:shd w:val="clear" w:color="auto" w:fill="auto"/>
            <w:vAlign w:val="center"/>
          </w:tcPr>
          <w:p w14:paraId="316C60A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60566C9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6EEC2B7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07DD0E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B3B254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2190" w:type="dxa"/>
            <w:tcBorders>
              <w:tl2br w:val="nil"/>
              <w:tr2bl w:val="nil"/>
            </w:tcBorders>
            <w:shd w:val="clear" w:color="auto" w:fill="auto"/>
            <w:vAlign w:val="center"/>
          </w:tcPr>
          <w:p w14:paraId="4F1E70E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血药浓度（托吡酯）</w:t>
            </w:r>
          </w:p>
        </w:tc>
        <w:tc>
          <w:tcPr>
            <w:tcW w:w="1722" w:type="dxa"/>
            <w:tcBorders>
              <w:tl2br w:val="nil"/>
              <w:tr2bl w:val="nil"/>
            </w:tcBorders>
            <w:shd w:val="clear" w:color="auto" w:fill="auto"/>
            <w:vAlign w:val="center"/>
          </w:tcPr>
          <w:p w14:paraId="4E58ED0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60F901A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461D436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02B32F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CECE2E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2190" w:type="dxa"/>
            <w:tcBorders>
              <w:tl2br w:val="nil"/>
              <w:tr2bl w:val="nil"/>
            </w:tcBorders>
            <w:shd w:val="clear" w:color="auto" w:fill="auto"/>
            <w:vAlign w:val="center"/>
          </w:tcPr>
          <w:p w14:paraId="3D5355B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血药浓度（左乙拉西坦）</w:t>
            </w:r>
          </w:p>
        </w:tc>
        <w:tc>
          <w:tcPr>
            <w:tcW w:w="1722" w:type="dxa"/>
            <w:tcBorders>
              <w:tl2br w:val="nil"/>
              <w:tr2bl w:val="nil"/>
            </w:tcBorders>
            <w:shd w:val="clear" w:color="auto" w:fill="auto"/>
            <w:vAlign w:val="center"/>
          </w:tcPr>
          <w:p w14:paraId="75A1B2C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3C69B05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1808802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6E5680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4FDEAEB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2190" w:type="dxa"/>
            <w:tcBorders>
              <w:tl2br w:val="nil"/>
              <w:tr2bl w:val="nil"/>
            </w:tcBorders>
            <w:shd w:val="clear" w:color="auto" w:fill="auto"/>
            <w:vAlign w:val="center"/>
          </w:tcPr>
          <w:p w14:paraId="6CED803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血药浓度（氟伏沙明）</w:t>
            </w:r>
          </w:p>
        </w:tc>
        <w:tc>
          <w:tcPr>
            <w:tcW w:w="1722" w:type="dxa"/>
            <w:tcBorders>
              <w:tl2br w:val="nil"/>
              <w:tr2bl w:val="nil"/>
            </w:tcBorders>
            <w:shd w:val="clear" w:color="auto" w:fill="auto"/>
            <w:vAlign w:val="center"/>
          </w:tcPr>
          <w:p w14:paraId="5BDEFE0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7CB95F1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0CC978C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726B70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70DE420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2190" w:type="dxa"/>
            <w:tcBorders>
              <w:tl2br w:val="nil"/>
              <w:tr2bl w:val="nil"/>
            </w:tcBorders>
            <w:shd w:val="clear" w:color="auto" w:fill="auto"/>
            <w:vAlign w:val="center"/>
          </w:tcPr>
          <w:p w14:paraId="1D86A2A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血药浓度（度洛西汀）</w:t>
            </w:r>
          </w:p>
        </w:tc>
        <w:tc>
          <w:tcPr>
            <w:tcW w:w="1722" w:type="dxa"/>
            <w:tcBorders>
              <w:tl2br w:val="nil"/>
              <w:tr2bl w:val="nil"/>
            </w:tcBorders>
            <w:shd w:val="clear" w:color="auto" w:fill="auto"/>
            <w:vAlign w:val="center"/>
          </w:tcPr>
          <w:p w14:paraId="07CDF25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3CDF2A9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2675EC6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76D5C0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6AFAE2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2190" w:type="dxa"/>
            <w:tcBorders>
              <w:tl2br w:val="nil"/>
              <w:tr2bl w:val="nil"/>
            </w:tcBorders>
            <w:shd w:val="clear" w:color="auto" w:fill="auto"/>
            <w:vAlign w:val="center"/>
          </w:tcPr>
          <w:p w14:paraId="328886A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血药浓度（碳酸锂）</w:t>
            </w:r>
          </w:p>
        </w:tc>
        <w:tc>
          <w:tcPr>
            <w:tcW w:w="1722" w:type="dxa"/>
            <w:tcBorders>
              <w:tl2br w:val="nil"/>
              <w:tr2bl w:val="nil"/>
            </w:tcBorders>
            <w:shd w:val="clear" w:color="auto" w:fill="auto"/>
            <w:vAlign w:val="center"/>
          </w:tcPr>
          <w:p w14:paraId="57C495B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68F1EBA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0D2902D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1886C6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49F66F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2190" w:type="dxa"/>
            <w:tcBorders>
              <w:tl2br w:val="nil"/>
              <w:tr2bl w:val="nil"/>
            </w:tcBorders>
            <w:shd w:val="clear" w:color="auto" w:fill="auto"/>
            <w:vAlign w:val="center"/>
          </w:tcPr>
          <w:p w14:paraId="7F6EF7E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血药浓度（甲氨蝶呤）</w:t>
            </w:r>
          </w:p>
        </w:tc>
        <w:tc>
          <w:tcPr>
            <w:tcW w:w="1722" w:type="dxa"/>
            <w:tcBorders>
              <w:tl2br w:val="nil"/>
              <w:tr2bl w:val="nil"/>
            </w:tcBorders>
            <w:shd w:val="clear" w:color="auto" w:fill="auto"/>
            <w:vAlign w:val="center"/>
          </w:tcPr>
          <w:p w14:paraId="21EA0BF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7666A6D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7775DC5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29F56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0A891F7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2190" w:type="dxa"/>
            <w:tcBorders>
              <w:tl2br w:val="nil"/>
              <w:tr2bl w:val="nil"/>
            </w:tcBorders>
            <w:shd w:val="clear" w:color="auto" w:fill="auto"/>
            <w:vAlign w:val="center"/>
          </w:tcPr>
          <w:p w14:paraId="0B825A2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血药浓度（伏立康唑）</w:t>
            </w:r>
          </w:p>
        </w:tc>
        <w:tc>
          <w:tcPr>
            <w:tcW w:w="1722" w:type="dxa"/>
            <w:tcBorders>
              <w:tl2br w:val="nil"/>
              <w:tr2bl w:val="nil"/>
            </w:tcBorders>
            <w:shd w:val="clear" w:color="auto" w:fill="auto"/>
            <w:vAlign w:val="center"/>
          </w:tcPr>
          <w:p w14:paraId="6654CC9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6DA3346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血清≥1ml，抽血前一天不吸烟，不喝酒、咖啡等，下一次服药前采血</w:t>
            </w:r>
          </w:p>
        </w:tc>
        <w:tc>
          <w:tcPr>
            <w:tcW w:w="2020" w:type="dxa"/>
            <w:tcBorders>
              <w:tl2br w:val="nil"/>
              <w:tr2bl w:val="nil"/>
            </w:tcBorders>
            <w:shd w:val="clear" w:color="auto" w:fill="auto"/>
            <w:vAlign w:val="center"/>
          </w:tcPr>
          <w:p w14:paraId="5ED1F71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7E7C33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493C1F1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2190" w:type="dxa"/>
            <w:tcBorders>
              <w:tl2br w:val="nil"/>
              <w:tr2bl w:val="nil"/>
            </w:tcBorders>
            <w:shd w:val="clear" w:color="auto" w:fill="auto"/>
            <w:vAlign w:val="center"/>
          </w:tcPr>
          <w:p w14:paraId="266E5F5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血药浓度（环孢霉素）</w:t>
            </w:r>
          </w:p>
        </w:tc>
        <w:tc>
          <w:tcPr>
            <w:tcW w:w="1722" w:type="dxa"/>
            <w:tcBorders>
              <w:tl2br w:val="nil"/>
              <w:tr2bl w:val="nil"/>
            </w:tcBorders>
            <w:shd w:val="clear" w:color="auto" w:fill="auto"/>
            <w:vAlign w:val="center"/>
          </w:tcPr>
          <w:p w14:paraId="4B1DA56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1FBBDE6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EDTA抗凝全血≥1ml，下一次服药前采血</w:t>
            </w:r>
          </w:p>
        </w:tc>
        <w:tc>
          <w:tcPr>
            <w:tcW w:w="2020" w:type="dxa"/>
            <w:tcBorders>
              <w:tl2br w:val="nil"/>
              <w:tr2bl w:val="nil"/>
            </w:tcBorders>
            <w:shd w:val="clear" w:color="auto" w:fill="auto"/>
            <w:vAlign w:val="center"/>
          </w:tcPr>
          <w:p w14:paraId="7DA951B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0C1982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vMerge w:val="restart"/>
            <w:tcBorders>
              <w:tl2br w:val="nil"/>
              <w:tr2bl w:val="nil"/>
            </w:tcBorders>
            <w:shd w:val="clear" w:color="auto" w:fill="auto"/>
            <w:vAlign w:val="center"/>
          </w:tcPr>
          <w:p w14:paraId="4827614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2190" w:type="dxa"/>
            <w:vMerge w:val="restart"/>
            <w:tcBorders>
              <w:tl2br w:val="nil"/>
              <w:tr2bl w:val="nil"/>
            </w:tcBorders>
            <w:shd w:val="clear" w:color="auto" w:fill="auto"/>
            <w:vAlign w:val="center"/>
          </w:tcPr>
          <w:p w14:paraId="29F1DD1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类固醇激素9项</w:t>
            </w:r>
          </w:p>
        </w:tc>
        <w:tc>
          <w:tcPr>
            <w:tcW w:w="1722" w:type="dxa"/>
            <w:tcBorders>
              <w:tl2br w:val="nil"/>
              <w:tr2bl w:val="nil"/>
            </w:tcBorders>
            <w:shd w:val="clear" w:color="auto" w:fill="auto"/>
            <w:vAlign w:val="center"/>
          </w:tcPr>
          <w:p w14:paraId="718A0E1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孕酮</w:t>
            </w:r>
          </w:p>
        </w:tc>
        <w:tc>
          <w:tcPr>
            <w:tcW w:w="2419" w:type="dxa"/>
            <w:vMerge w:val="restart"/>
            <w:tcBorders>
              <w:tl2br w:val="nil"/>
              <w:tr2bl w:val="nil"/>
            </w:tcBorders>
            <w:shd w:val="clear" w:color="auto" w:fill="auto"/>
            <w:vAlign w:val="center"/>
          </w:tcPr>
          <w:p w14:paraId="5B6E052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血清（不含分离胶，红头管）≥1ml；早上8:00或下午4:00采血</w:t>
            </w:r>
          </w:p>
        </w:tc>
        <w:tc>
          <w:tcPr>
            <w:tcW w:w="2020" w:type="dxa"/>
            <w:vMerge w:val="restart"/>
            <w:tcBorders>
              <w:tl2br w:val="nil"/>
              <w:tr2bl w:val="nil"/>
            </w:tcBorders>
            <w:shd w:val="clear" w:color="auto" w:fill="auto"/>
            <w:vAlign w:val="center"/>
          </w:tcPr>
          <w:p w14:paraId="7BAB951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4个工作日(双休日顺延)</w:t>
            </w:r>
          </w:p>
        </w:tc>
      </w:tr>
      <w:tr w14:paraId="33E406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58352C58">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09978123">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4EB1D09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17-羟孕酮</w:t>
            </w:r>
          </w:p>
        </w:tc>
        <w:tc>
          <w:tcPr>
            <w:tcW w:w="2419" w:type="dxa"/>
            <w:vMerge w:val="continue"/>
            <w:tcBorders>
              <w:tl2br w:val="nil"/>
              <w:tr2bl w:val="nil"/>
            </w:tcBorders>
            <w:shd w:val="clear" w:color="auto" w:fill="auto"/>
            <w:vAlign w:val="center"/>
          </w:tcPr>
          <w:p w14:paraId="3F3F2267">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7EFA95FC">
            <w:pPr>
              <w:spacing w:line="360" w:lineRule="auto"/>
              <w:jc w:val="center"/>
              <w:rPr>
                <w:rFonts w:ascii="宋体" w:hAnsi="宋体" w:cs="宋体"/>
                <w:color w:val="auto"/>
                <w:sz w:val="22"/>
                <w:szCs w:val="22"/>
                <w:highlight w:val="none"/>
              </w:rPr>
            </w:pPr>
          </w:p>
        </w:tc>
      </w:tr>
      <w:tr w14:paraId="0E6DCB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506CBB02">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7F27EE2C">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55E9B59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睾酮</w:t>
            </w:r>
          </w:p>
        </w:tc>
        <w:tc>
          <w:tcPr>
            <w:tcW w:w="2419" w:type="dxa"/>
            <w:vMerge w:val="continue"/>
            <w:tcBorders>
              <w:tl2br w:val="nil"/>
              <w:tr2bl w:val="nil"/>
            </w:tcBorders>
            <w:shd w:val="clear" w:color="auto" w:fill="auto"/>
            <w:vAlign w:val="center"/>
          </w:tcPr>
          <w:p w14:paraId="26B1660D">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76F19144">
            <w:pPr>
              <w:spacing w:line="360" w:lineRule="auto"/>
              <w:jc w:val="center"/>
              <w:rPr>
                <w:rFonts w:ascii="宋体" w:hAnsi="宋体" w:cs="宋体"/>
                <w:color w:val="auto"/>
                <w:sz w:val="22"/>
                <w:szCs w:val="22"/>
                <w:highlight w:val="none"/>
              </w:rPr>
            </w:pPr>
          </w:p>
        </w:tc>
      </w:tr>
      <w:tr w14:paraId="6E1B9B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40355C48">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083D4654">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35420D1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雄烯二酮</w:t>
            </w:r>
          </w:p>
        </w:tc>
        <w:tc>
          <w:tcPr>
            <w:tcW w:w="2419" w:type="dxa"/>
            <w:vMerge w:val="continue"/>
            <w:tcBorders>
              <w:tl2br w:val="nil"/>
              <w:tr2bl w:val="nil"/>
            </w:tcBorders>
            <w:shd w:val="clear" w:color="auto" w:fill="auto"/>
            <w:vAlign w:val="center"/>
          </w:tcPr>
          <w:p w14:paraId="70569B42">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46A2B670">
            <w:pPr>
              <w:spacing w:line="360" w:lineRule="auto"/>
              <w:jc w:val="center"/>
              <w:rPr>
                <w:rFonts w:ascii="宋体" w:hAnsi="宋体" w:cs="宋体"/>
                <w:color w:val="auto"/>
                <w:sz w:val="22"/>
                <w:szCs w:val="22"/>
                <w:highlight w:val="none"/>
              </w:rPr>
            </w:pPr>
          </w:p>
        </w:tc>
      </w:tr>
      <w:tr w14:paraId="247503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1DAB0FEC">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5D6EBEB4">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6CA3516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皮质醇</w:t>
            </w:r>
          </w:p>
        </w:tc>
        <w:tc>
          <w:tcPr>
            <w:tcW w:w="2419" w:type="dxa"/>
            <w:vMerge w:val="continue"/>
            <w:tcBorders>
              <w:tl2br w:val="nil"/>
              <w:tr2bl w:val="nil"/>
            </w:tcBorders>
            <w:shd w:val="clear" w:color="auto" w:fill="auto"/>
            <w:vAlign w:val="center"/>
          </w:tcPr>
          <w:p w14:paraId="244E4C78">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344C86B0">
            <w:pPr>
              <w:spacing w:line="360" w:lineRule="auto"/>
              <w:jc w:val="center"/>
              <w:rPr>
                <w:rFonts w:ascii="宋体" w:hAnsi="宋体" w:cs="宋体"/>
                <w:color w:val="auto"/>
                <w:sz w:val="22"/>
                <w:szCs w:val="22"/>
                <w:highlight w:val="none"/>
              </w:rPr>
            </w:pPr>
          </w:p>
        </w:tc>
      </w:tr>
      <w:tr w14:paraId="6A4671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2F64525F">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73657715">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408451B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11-脱氧皮质醇</w:t>
            </w:r>
          </w:p>
        </w:tc>
        <w:tc>
          <w:tcPr>
            <w:tcW w:w="2419" w:type="dxa"/>
            <w:vMerge w:val="continue"/>
            <w:tcBorders>
              <w:tl2br w:val="nil"/>
              <w:tr2bl w:val="nil"/>
            </w:tcBorders>
            <w:shd w:val="clear" w:color="auto" w:fill="auto"/>
            <w:vAlign w:val="center"/>
          </w:tcPr>
          <w:p w14:paraId="764D2C4B">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0E7CCCF0">
            <w:pPr>
              <w:spacing w:line="360" w:lineRule="auto"/>
              <w:jc w:val="center"/>
              <w:rPr>
                <w:rFonts w:ascii="宋体" w:hAnsi="宋体" w:cs="宋体"/>
                <w:color w:val="auto"/>
                <w:sz w:val="22"/>
                <w:szCs w:val="22"/>
                <w:highlight w:val="none"/>
              </w:rPr>
            </w:pPr>
          </w:p>
        </w:tc>
      </w:tr>
      <w:tr w14:paraId="3F6389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62A3EAE8">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22F0A4C5">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754F015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脱氢表雄酮</w:t>
            </w:r>
          </w:p>
        </w:tc>
        <w:tc>
          <w:tcPr>
            <w:tcW w:w="2419" w:type="dxa"/>
            <w:vMerge w:val="continue"/>
            <w:tcBorders>
              <w:tl2br w:val="nil"/>
              <w:tr2bl w:val="nil"/>
            </w:tcBorders>
            <w:shd w:val="clear" w:color="auto" w:fill="auto"/>
            <w:vAlign w:val="center"/>
          </w:tcPr>
          <w:p w14:paraId="640FE539">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2A9B9CC9">
            <w:pPr>
              <w:spacing w:line="360" w:lineRule="auto"/>
              <w:jc w:val="center"/>
              <w:rPr>
                <w:rFonts w:ascii="宋体" w:hAnsi="宋体" w:cs="宋体"/>
                <w:color w:val="auto"/>
                <w:sz w:val="22"/>
                <w:szCs w:val="22"/>
                <w:highlight w:val="none"/>
              </w:rPr>
            </w:pPr>
          </w:p>
        </w:tc>
      </w:tr>
      <w:tr w14:paraId="16D6C1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5050609E">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2AD0024B">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53ACA54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硫酸脱氢表雄酮</w:t>
            </w:r>
          </w:p>
        </w:tc>
        <w:tc>
          <w:tcPr>
            <w:tcW w:w="2419" w:type="dxa"/>
            <w:vMerge w:val="continue"/>
            <w:tcBorders>
              <w:tl2br w:val="nil"/>
              <w:tr2bl w:val="nil"/>
            </w:tcBorders>
            <w:shd w:val="clear" w:color="auto" w:fill="auto"/>
            <w:vAlign w:val="center"/>
          </w:tcPr>
          <w:p w14:paraId="6B1203DF">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3045F562">
            <w:pPr>
              <w:spacing w:line="360" w:lineRule="auto"/>
              <w:jc w:val="center"/>
              <w:rPr>
                <w:rFonts w:ascii="宋体" w:hAnsi="宋体" w:cs="宋体"/>
                <w:color w:val="auto"/>
                <w:sz w:val="22"/>
                <w:szCs w:val="22"/>
                <w:highlight w:val="none"/>
              </w:rPr>
            </w:pPr>
          </w:p>
        </w:tc>
      </w:tr>
      <w:tr w14:paraId="4DEC0F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46ADB11D">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3B81E92D">
            <w:pPr>
              <w:spacing w:line="360" w:lineRule="auto"/>
              <w:jc w:val="center"/>
              <w:rPr>
                <w:rFonts w:ascii="宋体" w:hAnsi="宋体" w:cs="宋体"/>
                <w:color w:val="auto"/>
                <w:sz w:val="22"/>
                <w:szCs w:val="22"/>
                <w:highlight w:val="none"/>
              </w:rPr>
            </w:pPr>
          </w:p>
        </w:tc>
        <w:tc>
          <w:tcPr>
            <w:tcW w:w="1722" w:type="dxa"/>
            <w:tcBorders>
              <w:tl2br w:val="nil"/>
              <w:tr2bl w:val="nil"/>
            </w:tcBorders>
            <w:shd w:val="clear" w:color="auto" w:fill="auto"/>
            <w:vAlign w:val="center"/>
          </w:tcPr>
          <w:p w14:paraId="1F187C1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脱氧皮质酮</w:t>
            </w:r>
          </w:p>
        </w:tc>
        <w:tc>
          <w:tcPr>
            <w:tcW w:w="2419" w:type="dxa"/>
            <w:vMerge w:val="continue"/>
            <w:tcBorders>
              <w:tl2br w:val="nil"/>
              <w:tr2bl w:val="nil"/>
            </w:tcBorders>
            <w:shd w:val="clear" w:color="auto" w:fill="auto"/>
            <w:vAlign w:val="center"/>
          </w:tcPr>
          <w:p w14:paraId="39FC2A43">
            <w:pPr>
              <w:spacing w:line="360" w:lineRule="auto"/>
              <w:jc w:val="center"/>
              <w:rPr>
                <w:rFonts w:ascii="宋体" w:hAnsi="宋体" w:cs="宋体"/>
                <w:color w:val="auto"/>
                <w:sz w:val="22"/>
                <w:szCs w:val="22"/>
                <w:highlight w:val="none"/>
              </w:rPr>
            </w:pPr>
          </w:p>
        </w:tc>
        <w:tc>
          <w:tcPr>
            <w:tcW w:w="2020" w:type="dxa"/>
            <w:vMerge w:val="continue"/>
            <w:tcBorders>
              <w:tl2br w:val="nil"/>
              <w:tr2bl w:val="nil"/>
            </w:tcBorders>
            <w:shd w:val="clear" w:color="auto" w:fill="auto"/>
            <w:vAlign w:val="center"/>
          </w:tcPr>
          <w:p w14:paraId="0FADB5BD">
            <w:pPr>
              <w:spacing w:line="360" w:lineRule="auto"/>
              <w:jc w:val="center"/>
              <w:rPr>
                <w:rFonts w:ascii="宋体" w:hAnsi="宋体" w:cs="宋体"/>
                <w:color w:val="auto"/>
                <w:sz w:val="22"/>
                <w:szCs w:val="22"/>
                <w:highlight w:val="none"/>
              </w:rPr>
            </w:pPr>
          </w:p>
        </w:tc>
      </w:tr>
      <w:tr w14:paraId="6715BC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00" w:type="dxa"/>
            <w:tcBorders>
              <w:tl2br w:val="nil"/>
              <w:tr2bl w:val="nil"/>
            </w:tcBorders>
            <w:shd w:val="clear" w:color="auto" w:fill="auto"/>
            <w:vAlign w:val="center"/>
          </w:tcPr>
          <w:p w14:paraId="5E2ADEA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2190" w:type="dxa"/>
            <w:tcBorders>
              <w:tl2br w:val="nil"/>
              <w:tr2bl w:val="nil"/>
            </w:tcBorders>
            <w:shd w:val="clear" w:color="auto" w:fill="auto"/>
            <w:vAlign w:val="center"/>
          </w:tcPr>
          <w:p w14:paraId="5D8441C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24小时尿香草扁桃酸</w:t>
            </w:r>
          </w:p>
        </w:tc>
        <w:tc>
          <w:tcPr>
            <w:tcW w:w="1722" w:type="dxa"/>
            <w:tcBorders>
              <w:tl2br w:val="nil"/>
              <w:tr2bl w:val="nil"/>
            </w:tcBorders>
            <w:shd w:val="clear" w:color="auto" w:fill="auto"/>
            <w:vAlign w:val="center"/>
          </w:tcPr>
          <w:p w14:paraId="2A765D7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723C7E9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小时尿液：（1）请在尿液收集前，在尿液收集容器中加入25ml(儿童≤5岁：15ml)50%的乙酸（分析纯）；（2）留取24小时尿量，同时在收集完成后记录24小时尿总量；（3）收集过程中，尿液标本需在2-8℃条件下保存。</w:t>
            </w:r>
          </w:p>
        </w:tc>
        <w:tc>
          <w:tcPr>
            <w:tcW w:w="2020" w:type="dxa"/>
            <w:tcBorders>
              <w:tl2br w:val="nil"/>
              <w:tr2bl w:val="nil"/>
            </w:tcBorders>
            <w:shd w:val="clear" w:color="auto" w:fill="auto"/>
            <w:vAlign w:val="center"/>
          </w:tcPr>
          <w:p w14:paraId="08A9D3A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2431B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00" w:type="dxa"/>
            <w:tcBorders>
              <w:tl2br w:val="nil"/>
              <w:tr2bl w:val="nil"/>
            </w:tcBorders>
            <w:shd w:val="clear" w:color="auto" w:fill="auto"/>
            <w:vAlign w:val="center"/>
          </w:tcPr>
          <w:p w14:paraId="2D82974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2190" w:type="dxa"/>
            <w:tcBorders>
              <w:tl2br w:val="nil"/>
              <w:tr2bl w:val="nil"/>
            </w:tcBorders>
            <w:shd w:val="clear" w:color="auto" w:fill="auto"/>
            <w:vAlign w:val="center"/>
          </w:tcPr>
          <w:p w14:paraId="2210DB5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血儿茶酚胺+质谱法</w:t>
            </w:r>
          </w:p>
        </w:tc>
        <w:tc>
          <w:tcPr>
            <w:tcW w:w="1722" w:type="dxa"/>
            <w:tcBorders>
              <w:tl2br w:val="nil"/>
              <w:tr2bl w:val="nil"/>
            </w:tcBorders>
            <w:shd w:val="clear" w:color="auto" w:fill="auto"/>
            <w:vAlign w:val="center"/>
          </w:tcPr>
          <w:p w14:paraId="7A9852A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25896F3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EDTA抗凝血浆≥1ml,采集全血后请于2-8℃条件下保存并于8小时内离心分离血浆。分离后的血浆样本在检测前应2~8℃保存。用专用保存管</w:t>
            </w:r>
          </w:p>
        </w:tc>
        <w:tc>
          <w:tcPr>
            <w:tcW w:w="2020" w:type="dxa"/>
            <w:tcBorders>
              <w:tl2br w:val="nil"/>
              <w:tr2bl w:val="nil"/>
            </w:tcBorders>
            <w:shd w:val="clear" w:color="auto" w:fill="auto"/>
            <w:vAlign w:val="center"/>
          </w:tcPr>
          <w:p w14:paraId="6079AE8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1861C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vMerge w:val="restart"/>
            <w:tcBorders>
              <w:tl2br w:val="nil"/>
              <w:tr2bl w:val="nil"/>
            </w:tcBorders>
            <w:shd w:val="clear" w:color="auto" w:fill="auto"/>
            <w:vAlign w:val="center"/>
          </w:tcPr>
          <w:p w14:paraId="65A645B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2190" w:type="dxa"/>
            <w:vMerge w:val="restart"/>
            <w:tcBorders>
              <w:tl2br w:val="nil"/>
              <w:tr2bl w:val="nil"/>
            </w:tcBorders>
            <w:shd w:val="clear" w:color="auto" w:fill="auto"/>
            <w:vAlign w:val="center"/>
          </w:tcPr>
          <w:p w14:paraId="35BF496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盐皮质激素</w:t>
            </w:r>
          </w:p>
        </w:tc>
        <w:tc>
          <w:tcPr>
            <w:tcW w:w="1722" w:type="dxa"/>
            <w:vMerge w:val="restart"/>
            <w:tcBorders>
              <w:tl2br w:val="nil"/>
              <w:tr2bl w:val="nil"/>
            </w:tcBorders>
            <w:shd w:val="clear" w:color="auto" w:fill="auto"/>
            <w:vAlign w:val="center"/>
          </w:tcPr>
          <w:p w14:paraId="6985211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0B0B0F56">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EDTA抗凝血浆≥1.5 ml,</w:t>
            </w:r>
          </w:p>
        </w:tc>
        <w:tc>
          <w:tcPr>
            <w:tcW w:w="2020" w:type="dxa"/>
            <w:vMerge w:val="restart"/>
            <w:tcBorders>
              <w:tl2br w:val="nil"/>
              <w:tr2bl w:val="nil"/>
            </w:tcBorders>
            <w:shd w:val="clear" w:color="auto" w:fill="auto"/>
            <w:vAlign w:val="center"/>
          </w:tcPr>
          <w:p w14:paraId="547E2BF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周一、三、五检测，三个工作日发布结果</w:t>
            </w:r>
          </w:p>
        </w:tc>
      </w:tr>
      <w:tr w14:paraId="105E38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vMerge w:val="continue"/>
            <w:tcBorders>
              <w:tl2br w:val="nil"/>
              <w:tr2bl w:val="nil"/>
            </w:tcBorders>
            <w:shd w:val="clear" w:color="auto" w:fill="auto"/>
            <w:vAlign w:val="center"/>
          </w:tcPr>
          <w:p w14:paraId="3017EB41">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444C3823">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11E8D570">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71345082">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立位：清晨起床后保持非卧位状态（可以坐位、站立或行走）至少2小时，静坐5-15min后于早上8-10点采血</w:t>
            </w:r>
          </w:p>
        </w:tc>
        <w:tc>
          <w:tcPr>
            <w:tcW w:w="2020" w:type="dxa"/>
            <w:vMerge w:val="continue"/>
            <w:tcBorders>
              <w:tl2br w:val="nil"/>
              <w:tr2bl w:val="nil"/>
            </w:tcBorders>
            <w:shd w:val="clear" w:color="auto" w:fill="auto"/>
            <w:vAlign w:val="center"/>
          </w:tcPr>
          <w:p w14:paraId="444BFEF5">
            <w:pPr>
              <w:spacing w:line="360" w:lineRule="auto"/>
              <w:jc w:val="center"/>
              <w:rPr>
                <w:rFonts w:ascii="宋体" w:hAnsi="宋体" w:cs="宋体"/>
                <w:color w:val="auto"/>
                <w:sz w:val="22"/>
                <w:szCs w:val="22"/>
                <w:highlight w:val="none"/>
              </w:rPr>
            </w:pPr>
          </w:p>
        </w:tc>
      </w:tr>
      <w:tr w14:paraId="4C9923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vMerge w:val="continue"/>
            <w:tcBorders>
              <w:tl2br w:val="nil"/>
              <w:tr2bl w:val="nil"/>
            </w:tcBorders>
            <w:shd w:val="clear" w:color="auto" w:fill="auto"/>
            <w:vAlign w:val="center"/>
          </w:tcPr>
          <w:p w14:paraId="26FC40EE">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6B1C289F">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7FB6AB1C">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05861570">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卧位：受试者采血前卧床过夜或卧位1.5-2小时后再采血</w:t>
            </w:r>
          </w:p>
        </w:tc>
        <w:tc>
          <w:tcPr>
            <w:tcW w:w="2020" w:type="dxa"/>
            <w:vMerge w:val="continue"/>
            <w:tcBorders>
              <w:tl2br w:val="nil"/>
              <w:tr2bl w:val="nil"/>
            </w:tcBorders>
            <w:shd w:val="clear" w:color="auto" w:fill="auto"/>
            <w:vAlign w:val="center"/>
          </w:tcPr>
          <w:p w14:paraId="1EA17AB9">
            <w:pPr>
              <w:spacing w:line="360" w:lineRule="auto"/>
              <w:jc w:val="center"/>
              <w:rPr>
                <w:rFonts w:ascii="宋体" w:hAnsi="宋体" w:cs="宋体"/>
                <w:color w:val="auto"/>
                <w:sz w:val="22"/>
                <w:szCs w:val="22"/>
                <w:highlight w:val="none"/>
              </w:rPr>
            </w:pPr>
          </w:p>
        </w:tc>
      </w:tr>
      <w:tr w14:paraId="76873A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00" w:type="dxa"/>
            <w:vMerge w:val="continue"/>
            <w:tcBorders>
              <w:tl2br w:val="nil"/>
              <w:tr2bl w:val="nil"/>
            </w:tcBorders>
            <w:shd w:val="clear" w:color="auto" w:fill="auto"/>
            <w:vAlign w:val="center"/>
          </w:tcPr>
          <w:p w14:paraId="315E83B2">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34CCCC87">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63E803C5">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53F17F3A">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送检：采集后的样本请在8小时内离心分离血浆并冷藏保存和运输，若样本当天无法送达检测实验室，请医院协助将分离后的血浆样本冷冻保存。</w:t>
            </w:r>
          </w:p>
        </w:tc>
        <w:tc>
          <w:tcPr>
            <w:tcW w:w="2020" w:type="dxa"/>
            <w:vMerge w:val="continue"/>
            <w:tcBorders>
              <w:tl2br w:val="nil"/>
              <w:tr2bl w:val="nil"/>
            </w:tcBorders>
            <w:shd w:val="clear" w:color="auto" w:fill="auto"/>
            <w:vAlign w:val="center"/>
          </w:tcPr>
          <w:p w14:paraId="4722FE67">
            <w:pPr>
              <w:spacing w:line="360" w:lineRule="auto"/>
              <w:jc w:val="center"/>
              <w:rPr>
                <w:rFonts w:ascii="宋体" w:hAnsi="宋体" w:cs="宋体"/>
                <w:color w:val="auto"/>
                <w:sz w:val="22"/>
                <w:szCs w:val="22"/>
                <w:highlight w:val="none"/>
              </w:rPr>
            </w:pPr>
          </w:p>
        </w:tc>
      </w:tr>
      <w:tr w14:paraId="4B2097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vMerge w:val="continue"/>
            <w:tcBorders>
              <w:tl2br w:val="nil"/>
              <w:tr2bl w:val="nil"/>
            </w:tcBorders>
            <w:shd w:val="clear" w:color="auto" w:fill="auto"/>
            <w:vAlign w:val="center"/>
          </w:tcPr>
          <w:p w14:paraId="5C6E93E9">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762E7EF6">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5423861B">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17FFED4F">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样本要求：2-8℃送检</w:t>
            </w:r>
          </w:p>
        </w:tc>
        <w:tc>
          <w:tcPr>
            <w:tcW w:w="2020" w:type="dxa"/>
            <w:vMerge w:val="continue"/>
            <w:tcBorders>
              <w:tl2br w:val="nil"/>
              <w:tr2bl w:val="nil"/>
            </w:tcBorders>
            <w:shd w:val="clear" w:color="auto" w:fill="auto"/>
            <w:vAlign w:val="center"/>
          </w:tcPr>
          <w:p w14:paraId="6BE3B924">
            <w:pPr>
              <w:spacing w:line="360" w:lineRule="auto"/>
              <w:jc w:val="center"/>
              <w:rPr>
                <w:rFonts w:ascii="宋体" w:hAnsi="宋体" w:cs="宋体"/>
                <w:color w:val="auto"/>
                <w:sz w:val="22"/>
                <w:szCs w:val="22"/>
                <w:highlight w:val="none"/>
              </w:rPr>
            </w:pPr>
          </w:p>
        </w:tc>
      </w:tr>
      <w:tr w14:paraId="73AD82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E85515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2190" w:type="dxa"/>
            <w:tcBorders>
              <w:tl2br w:val="nil"/>
              <w:tr2bl w:val="nil"/>
            </w:tcBorders>
            <w:shd w:val="clear" w:color="auto" w:fill="auto"/>
            <w:vAlign w:val="center"/>
          </w:tcPr>
          <w:p w14:paraId="38D832C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乙肝病毒耐药基因检测</w:t>
            </w:r>
          </w:p>
        </w:tc>
        <w:tc>
          <w:tcPr>
            <w:tcW w:w="1722" w:type="dxa"/>
            <w:tcBorders>
              <w:tl2br w:val="nil"/>
              <w:tr2bl w:val="nil"/>
            </w:tcBorders>
            <w:shd w:val="clear" w:color="auto" w:fill="auto"/>
            <w:vAlign w:val="center"/>
          </w:tcPr>
          <w:p w14:paraId="5F78AEB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测序法</w:t>
            </w:r>
          </w:p>
        </w:tc>
        <w:tc>
          <w:tcPr>
            <w:tcW w:w="2419" w:type="dxa"/>
            <w:tcBorders>
              <w:tl2br w:val="nil"/>
              <w:tr2bl w:val="nil"/>
            </w:tcBorders>
            <w:shd w:val="clear" w:color="auto" w:fill="auto"/>
            <w:vAlign w:val="center"/>
          </w:tcPr>
          <w:p w14:paraId="30D28CC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3AF1946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周一三五检测，三五日报告</w:t>
            </w:r>
          </w:p>
        </w:tc>
      </w:tr>
      <w:tr w14:paraId="26768F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7C6542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2190" w:type="dxa"/>
            <w:tcBorders>
              <w:tl2br w:val="nil"/>
              <w:tr2bl w:val="nil"/>
            </w:tcBorders>
            <w:shd w:val="clear" w:color="auto" w:fill="auto"/>
            <w:vAlign w:val="center"/>
          </w:tcPr>
          <w:p w14:paraId="5B90BAE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丙肝病毒基因分型</w:t>
            </w:r>
          </w:p>
        </w:tc>
        <w:tc>
          <w:tcPr>
            <w:tcW w:w="1722" w:type="dxa"/>
            <w:tcBorders>
              <w:tl2br w:val="nil"/>
              <w:tr2bl w:val="nil"/>
            </w:tcBorders>
            <w:shd w:val="clear" w:color="auto" w:fill="auto"/>
            <w:vAlign w:val="center"/>
          </w:tcPr>
          <w:p w14:paraId="6221E47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测序法</w:t>
            </w:r>
          </w:p>
        </w:tc>
        <w:tc>
          <w:tcPr>
            <w:tcW w:w="2419" w:type="dxa"/>
            <w:tcBorders>
              <w:tl2br w:val="nil"/>
              <w:tr2bl w:val="nil"/>
            </w:tcBorders>
            <w:shd w:val="clear" w:color="auto" w:fill="auto"/>
            <w:vAlign w:val="center"/>
          </w:tcPr>
          <w:p w14:paraId="67907AE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7746B5B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周一三五检测，三五日报告</w:t>
            </w:r>
          </w:p>
        </w:tc>
      </w:tr>
      <w:tr w14:paraId="37E207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401CD93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2190" w:type="dxa"/>
            <w:tcBorders>
              <w:tl2br w:val="nil"/>
              <w:tr2bl w:val="nil"/>
            </w:tcBorders>
            <w:shd w:val="clear" w:color="auto" w:fill="auto"/>
            <w:vAlign w:val="center"/>
          </w:tcPr>
          <w:p w14:paraId="461D004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染色体拷贝数变异检测(CNVseq)</w:t>
            </w:r>
          </w:p>
        </w:tc>
        <w:tc>
          <w:tcPr>
            <w:tcW w:w="1722" w:type="dxa"/>
            <w:tcBorders>
              <w:tl2br w:val="nil"/>
              <w:tr2bl w:val="nil"/>
            </w:tcBorders>
            <w:shd w:val="clear" w:color="auto" w:fill="auto"/>
            <w:vAlign w:val="center"/>
          </w:tcPr>
          <w:p w14:paraId="7D16C9F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NGS</w:t>
            </w:r>
          </w:p>
        </w:tc>
        <w:tc>
          <w:tcPr>
            <w:tcW w:w="2419" w:type="dxa"/>
            <w:tcBorders>
              <w:tl2br w:val="nil"/>
              <w:tr2bl w:val="nil"/>
            </w:tcBorders>
            <w:shd w:val="clear" w:color="auto" w:fill="auto"/>
            <w:vAlign w:val="center"/>
          </w:tcPr>
          <w:p w14:paraId="061BED3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流产绒毛或胚胎组织+2ml母亲EDTA抗凝血</w:t>
            </w:r>
          </w:p>
        </w:tc>
        <w:tc>
          <w:tcPr>
            <w:tcW w:w="2020" w:type="dxa"/>
            <w:tcBorders>
              <w:tl2br w:val="nil"/>
              <w:tr2bl w:val="nil"/>
            </w:tcBorders>
            <w:shd w:val="clear" w:color="auto" w:fill="auto"/>
            <w:vAlign w:val="center"/>
          </w:tcPr>
          <w:p w14:paraId="0B70DB7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14个工作日</w:t>
            </w:r>
          </w:p>
        </w:tc>
      </w:tr>
      <w:tr w14:paraId="15F836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1A81B5D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2190" w:type="dxa"/>
            <w:tcBorders>
              <w:tl2br w:val="nil"/>
              <w:tr2bl w:val="nil"/>
            </w:tcBorders>
            <w:shd w:val="clear" w:color="auto" w:fill="auto"/>
            <w:vAlign w:val="center"/>
          </w:tcPr>
          <w:p w14:paraId="4400225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外周血染色体550带</w:t>
            </w:r>
          </w:p>
        </w:tc>
        <w:tc>
          <w:tcPr>
            <w:tcW w:w="1722" w:type="dxa"/>
            <w:tcBorders>
              <w:tl2br w:val="nil"/>
              <w:tr2bl w:val="nil"/>
            </w:tcBorders>
            <w:shd w:val="clear" w:color="auto" w:fill="auto"/>
            <w:vAlign w:val="center"/>
          </w:tcPr>
          <w:p w14:paraId="7861C38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细胞培养G显带</w:t>
            </w:r>
          </w:p>
        </w:tc>
        <w:tc>
          <w:tcPr>
            <w:tcW w:w="2419" w:type="dxa"/>
            <w:tcBorders>
              <w:tl2br w:val="nil"/>
              <w:tr2bl w:val="nil"/>
            </w:tcBorders>
            <w:shd w:val="clear" w:color="auto" w:fill="auto"/>
            <w:vAlign w:val="center"/>
          </w:tcPr>
          <w:p w14:paraId="6EFD7B3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全血3-4ml(康是公司专用肝素钠抗凝管)</w:t>
            </w:r>
          </w:p>
        </w:tc>
        <w:tc>
          <w:tcPr>
            <w:tcW w:w="2020" w:type="dxa"/>
            <w:tcBorders>
              <w:tl2br w:val="nil"/>
              <w:tr2bl w:val="nil"/>
            </w:tcBorders>
            <w:shd w:val="clear" w:color="auto" w:fill="auto"/>
            <w:vAlign w:val="center"/>
          </w:tcPr>
          <w:p w14:paraId="66CE988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15个工作日</w:t>
            </w:r>
          </w:p>
        </w:tc>
      </w:tr>
      <w:tr w14:paraId="6C005F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6538998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2190" w:type="dxa"/>
            <w:tcBorders>
              <w:tl2br w:val="nil"/>
              <w:tr2bl w:val="nil"/>
            </w:tcBorders>
            <w:shd w:val="clear" w:color="auto" w:fill="auto"/>
            <w:vAlign w:val="center"/>
          </w:tcPr>
          <w:p w14:paraId="29FB32E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全外显子测序（1人）</w:t>
            </w:r>
          </w:p>
        </w:tc>
        <w:tc>
          <w:tcPr>
            <w:tcW w:w="1722" w:type="dxa"/>
            <w:tcBorders>
              <w:tl2br w:val="nil"/>
              <w:tr2bl w:val="nil"/>
            </w:tcBorders>
            <w:shd w:val="clear" w:color="auto" w:fill="auto"/>
            <w:vAlign w:val="center"/>
          </w:tcPr>
          <w:p w14:paraId="1AE0FE3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NGS</w:t>
            </w:r>
          </w:p>
        </w:tc>
        <w:tc>
          <w:tcPr>
            <w:tcW w:w="2419" w:type="dxa"/>
            <w:tcBorders>
              <w:tl2br w:val="nil"/>
              <w:tr2bl w:val="nil"/>
            </w:tcBorders>
            <w:shd w:val="clear" w:color="auto" w:fill="auto"/>
            <w:vAlign w:val="center"/>
          </w:tcPr>
          <w:p w14:paraId="2F5A006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EDTA抗凝全血5ml</w:t>
            </w:r>
          </w:p>
        </w:tc>
        <w:tc>
          <w:tcPr>
            <w:tcW w:w="2020" w:type="dxa"/>
            <w:tcBorders>
              <w:tl2br w:val="nil"/>
              <w:tr2bl w:val="nil"/>
            </w:tcBorders>
            <w:shd w:val="clear" w:color="auto" w:fill="auto"/>
            <w:vAlign w:val="center"/>
          </w:tcPr>
          <w:p w14:paraId="4247251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20个工作日</w:t>
            </w:r>
          </w:p>
        </w:tc>
      </w:tr>
      <w:tr w14:paraId="3695A1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33567ED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2190" w:type="dxa"/>
            <w:tcBorders>
              <w:tl2br w:val="nil"/>
              <w:tr2bl w:val="nil"/>
            </w:tcBorders>
            <w:shd w:val="clear" w:color="auto" w:fill="auto"/>
            <w:noWrap/>
            <w:vAlign w:val="bottom"/>
          </w:tcPr>
          <w:p w14:paraId="682446BF">
            <w:pPr>
              <w:widowControl/>
              <w:spacing w:line="360" w:lineRule="auto"/>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UGT1A1单基因检测</w:t>
            </w:r>
          </w:p>
        </w:tc>
        <w:tc>
          <w:tcPr>
            <w:tcW w:w="1722" w:type="dxa"/>
            <w:tcBorders>
              <w:tl2br w:val="nil"/>
              <w:tr2bl w:val="nil"/>
            </w:tcBorders>
            <w:shd w:val="clear" w:color="auto" w:fill="auto"/>
            <w:vAlign w:val="center"/>
          </w:tcPr>
          <w:p w14:paraId="23659CC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Sanger测序法</w:t>
            </w:r>
          </w:p>
        </w:tc>
        <w:tc>
          <w:tcPr>
            <w:tcW w:w="2419" w:type="dxa"/>
            <w:tcBorders>
              <w:tl2br w:val="nil"/>
              <w:tr2bl w:val="nil"/>
            </w:tcBorders>
            <w:shd w:val="clear" w:color="auto" w:fill="auto"/>
            <w:vAlign w:val="center"/>
          </w:tcPr>
          <w:p w14:paraId="51517A2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EDTA抗凝全血2ml</w:t>
            </w:r>
          </w:p>
        </w:tc>
        <w:tc>
          <w:tcPr>
            <w:tcW w:w="2020" w:type="dxa"/>
            <w:tcBorders>
              <w:tl2br w:val="nil"/>
              <w:tr2bl w:val="nil"/>
            </w:tcBorders>
            <w:shd w:val="clear" w:color="auto" w:fill="auto"/>
            <w:vAlign w:val="center"/>
          </w:tcPr>
          <w:p w14:paraId="26D604C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14个工作日</w:t>
            </w:r>
          </w:p>
        </w:tc>
      </w:tr>
      <w:tr w14:paraId="58DC68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D007F8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2190" w:type="dxa"/>
            <w:tcBorders>
              <w:tl2br w:val="nil"/>
              <w:tr2bl w:val="nil"/>
            </w:tcBorders>
            <w:shd w:val="clear" w:color="auto" w:fill="auto"/>
            <w:noWrap/>
            <w:vAlign w:val="bottom"/>
          </w:tcPr>
          <w:p w14:paraId="6D6E147F">
            <w:pPr>
              <w:widowControl/>
              <w:spacing w:line="360" w:lineRule="auto"/>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ATP7B单基因检测</w:t>
            </w:r>
          </w:p>
        </w:tc>
        <w:tc>
          <w:tcPr>
            <w:tcW w:w="1722" w:type="dxa"/>
            <w:tcBorders>
              <w:tl2br w:val="nil"/>
              <w:tr2bl w:val="nil"/>
            </w:tcBorders>
            <w:shd w:val="clear" w:color="auto" w:fill="auto"/>
            <w:vAlign w:val="center"/>
          </w:tcPr>
          <w:p w14:paraId="12B8536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Sanger测序法</w:t>
            </w:r>
          </w:p>
        </w:tc>
        <w:tc>
          <w:tcPr>
            <w:tcW w:w="2419" w:type="dxa"/>
            <w:tcBorders>
              <w:tl2br w:val="nil"/>
              <w:tr2bl w:val="nil"/>
            </w:tcBorders>
            <w:shd w:val="clear" w:color="auto" w:fill="auto"/>
            <w:vAlign w:val="center"/>
          </w:tcPr>
          <w:p w14:paraId="13CC10E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EDTA抗凝全血2ml</w:t>
            </w:r>
          </w:p>
        </w:tc>
        <w:tc>
          <w:tcPr>
            <w:tcW w:w="2020" w:type="dxa"/>
            <w:tcBorders>
              <w:tl2br w:val="nil"/>
              <w:tr2bl w:val="nil"/>
            </w:tcBorders>
            <w:shd w:val="clear" w:color="auto" w:fill="auto"/>
            <w:vAlign w:val="center"/>
          </w:tcPr>
          <w:p w14:paraId="284CC14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14个工作日</w:t>
            </w:r>
          </w:p>
        </w:tc>
      </w:tr>
      <w:tr w14:paraId="5E4233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vMerge w:val="restart"/>
            <w:tcBorders>
              <w:tl2br w:val="nil"/>
              <w:tr2bl w:val="nil"/>
            </w:tcBorders>
            <w:shd w:val="clear" w:color="auto" w:fill="auto"/>
            <w:vAlign w:val="center"/>
          </w:tcPr>
          <w:p w14:paraId="59C7C04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2190" w:type="dxa"/>
            <w:vMerge w:val="restart"/>
            <w:tcBorders>
              <w:tl2br w:val="nil"/>
              <w:tr2bl w:val="nil"/>
            </w:tcBorders>
            <w:shd w:val="clear" w:color="auto" w:fill="auto"/>
            <w:vAlign w:val="center"/>
          </w:tcPr>
          <w:p w14:paraId="0D2B31A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遗传代谢病筛查</w:t>
            </w:r>
          </w:p>
        </w:tc>
        <w:tc>
          <w:tcPr>
            <w:tcW w:w="1722" w:type="dxa"/>
            <w:vMerge w:val="restart"/>
            <w:tcBorders>
              <w:tl2br w:val="nil"/>
              <w:tr2bl w:val="nil"/>
            </w:tcBorders>
            <w:shd w:val="clear" w:color="auto" w:fill="auto"/>
            <w:vAlign w:val="center"/>
          </w:tcPr>
          <w:p w14:paraId="13967D9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56C1947A">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干血片</w:t>
            </w:r>
          </w:p>
        </w:tc>
        <w:tc>
          <w:tcPr>
            <w:tcW w:w="2020" w:type="dxa"/>
            <w:vMerge w:val="restart"/>
            <w:tcBorders>
              <w:tl2br w:val="nil"/>
              <w:tr2bl w:val="nil"/>
            </w:tcBorders>
            <w:shd w:val="clear" w:color="auto" w:fill="auto"/>
            <w:vAlign w:val="center"/>
          </w:tcPr>
          <w:p w14:paraId="697354E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43193B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vMerge w:val="continue"/>
            <w:tcBorders>
              <w:tl2br w:val="nil"/>
              <w:tr2bl w:val="nil"/>
            </w:tcBorders>
            <w:shd w:val="clear" w:color="auto" w:fill="auto"/>
            <w:vAlign w:val="center"/>
          </w:tcPr>
          <w:p w14:paraId="45EF98A3">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3934B08E">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6D49F7DC">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14E7E1A0">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1、新生儿检测采集标准：用充分哺乳6次以上的（出生≤28天）新生儿足跟血制成的干血片；</w:t>
            </w:r>
          </w:p>
        </w:tc>
        <w:tc>
          <w:tcPr>
            <w:tcW w:w="2020" w:type="dxa"/>
            <w:vMerge w:val="continue"/>
            <w:tcBorders>
              <w:tl2br w:val="nil"/>
              <w:tr2bl w:val="nil"/>
            </w:tcBorders>
            <w:shd w:val="clear" w:color="auto" w:fill="auto"/>
            <w:vAlign w:val="center"/>
          </w:tcPr>
          <w:p w14:paraId="6BDCEA36">
            <w:pPr>
              <w:spacing w:line="360" w:lineRule="auto"/>
              <w:jc w:val="center"/>
              <w:rPr>
                <w:rFonts w:ascii="宋体" w:hAnsi="宋体" w:cs="宋体"/>
                <w:color w:val="auto"/>
                <w:sz w:val="22"/>
                <w:szCs w:val="22"/>
                <w:highlight w:val="none"/>
              </w:rPr>
            </w:pPr>
          </w:p>
        </w:tc>
      </w:tr>
      <w:tr w14:paraId="3EBDD7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vMerge w:val="continue"/>
            <w:tcBorders>
              <w:tl2br w:val="nil"/>
              <w:tr2bl w:val="nil"/>
            </w:tcBorders>
            <w:shd w:val="clear" w:color="auto" w:fill="auto"/>
            <w:vAlign w:val="center"/>
          </w:tcPr>
          <w:p w14:paraId="24530703">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5367ED9F">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7C3EE086">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1E88CF0F">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2、儿童：（出生＞28天）采集末梢血即可</w:t>
            </w:r>
          </w:p>
        </w:tc>
        <w:tc>
          <w:tcPr>
            <w:tcW w:w="2020" w:type="dxa"/>
            <w:vMerge w:val="continue"/>
            <w:tcBorders>
              <w:tl2br w:val="nil"/>
              <w:tr2bl w:val="nil"/>
            </w:tcBorders>
            <w:shd w:val="clear" w:color="auto" w:fill="auto"/>
            <w:vAlign w:val="center"/>
          </w:tcPr>
          <w:p w14:paraId="540243AB">
            <w:pPr>
              <w:spacing w:line="360" w:lineRule="auto"/>
              <w:jc w:val="center"/>
              <w:rPr>
                <w:rFonts w:ascii="宋体" w:hAnsi="宋体" w:cs="宋体"/>
                <w:color w:val="auto"/>
                <w:sz w:val="22"/>
                <w:szCs w:val="22"/>
                <w:highlight w:val="none"/>
              </w:rPr>
            </w:pPr>
          </w:p>
        </w:tc>
      </w:tr>
      <w:tr w14:paraId="27E634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00" w:type="dxa"/>
            <w:vMerge w:val="continue"/>
            <w:tcBorders>
              <w:tl2br w:val="nil"/>
              <w:tr2bl w:val="nil"/>
            </w:tcBorders>
            <w:shd w:val="clear" w:color="auto" w:fill="auto"/>
            <w:vAlign w:val="center"/>
          </w:tcPr>
          <w:p w14:paraId="15C54078">
            <w:pPr>
              <w:spacing w:line="360" w:lineRule="auto"/>
              <w:jc w:val="center"/>
              <w:rPr>
                <w:rFonts w:ascii="宋体" w:hAnsi="宋体" w:cs="宋体"/>
                <w:color w:val="auto"/>
                <w:sz w:val="22"/>
                <w:szCs w:val="22"/>
                <w:highlight w:val="none"/>
              </w:rPr>
            </w:pPr>
          </w:p>
        </w:tc>
        <w:tc>
          <w:tcPr>
            <w:tcW w:w="2190" w:type="dxa"/>
            <w:vMerge w:val="continue"/>
            <w:tcBorders>
              <w:tl2br w:val="nil"/>
              <w:tr2bl w:val="nil"/>
            </w:tcBorders>
            <w:shd w:val="clear" w:color="auto" w:fill="auto"/>
            <w:vAlign w:val="center"/>
          </w:tcPr>
          <w:p w14:paraId="2526AD00">
            <w:pPr>
              <w:spacing w:line="360" w:lineRule="auto"/>
              <w:jc w:val="center"/>
              <w:rPr>
                <w:rFonts w:ascii="宋体" w:hAnsi="宋体" w:cs="宋体"/>
                <w:color w:val="auto"/>
                <w:sz w:val="22"/>
                <w:szCs w:val="22"/>
                <w:highlight w:val="none"/>
              </w:rPr>
            </w:pPr>
          </w:p>
        </w:tc>
        <w:tc>
          <w:tcPr>
            <w:tcW w:w="1722" w:type="dxa"/>
            <w:vMerge w:val="continue"/>
            <w:tcBorders>
              <w:tl2br w:val="nil"/>
              <w:tr2bl w:val="nil"/>
            </w:tcBorders>
            <w:shd w:val="clear" w:color="auto" w:fill="auto"/>
            <w:vAlign w:val="center"/>
          </w:tcPr>
          <w:p w14:paraId="667AF9D0">
            <w:pPr>
              <w:spacing w:line="360" w:lineRule="auto"/>
              <w:jc w:val="center"/>
              <w:rPr>
                <w:rFonts w:ascii="宋体" w:hAnsi="宋体" w:cs="宋体"/>
                <w:color w:val="auto"/>
                <w:sz w:val="22"/>
                <w:szCs w:val="22"/>
                <w:highlight w:val="none"/>
              </w:rPr>
            </w:pPr>
          </w:p>
        </w:tc>
        <w:tc>
          <w:tcPr>
            <w:tcW w:w="2419" w:type="dxa"/>
            <w:tcBorders>
              <w:tl2br w:val="nil"/>
              <w:tr2bl w:val="nil"/>
            </w:tcBorders>
            <w:shd w:val="clear" w:color="auto" w:fill="auto"/>
            <w:vAlign w:val="center"/>
          </w:tcPr>
          <w:p w14:paraId="784417C5">
            <w:pPr>
              <w:widowControl/>
              <w:spacing w:line="360"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备注：受检者为早产低重、黄疸等，以及采血前12h如服用辅食、特殊营养品、临床用药等，请恢复正常体重，停用相关营养品、药物24h后再进行采血。</w:t>
            </w:r>
          </w:p>
        </w:tc>
        <w:tc>
          <w:tcPr>
            <w:tcW w:w="2020" w:type="dxa"/>
            <w:vMerge w:val="continue"/>
            <w:tcBorders>
              <w:tl2br w:val="nil"/>
              <w:tr2bl w:val="nil"/>
            </w:tcBorders>
            <w:shd w:val="clear" w:color="auto" w:fill="auto"/>
            <w:vAlign w:val="center"/>
          </w:tcPr>
          <w:p w14:paraId="22DC69CA">
            <w:pPr>
              <w:spacing w:line="360" w:lineRule="auto"/>
              <w:jc w:val="center"/>
              <w:rPr>
                <w:rFonts w:ascii="宋体" w:hAnsi="宋体" w:cs="宋体"/>
                <w:color w:val="auto"/>
                <w:sz w:val="22"/>
                <w:szCs w:val="22"/>
                <w:highlight w:val="none"/>
              </w:rPr>
            </w:pPr>
          </w:p>
        </w:tc>
      </w:tr>
      <w:tr w14:paraId="103B59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35263C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2190" w:type="dxa"/>
            <w:tcBorders>
              <w:tl2br w:val="nil"/>
              <w:tr2bl w:val="nil"/>
            </w:tcBorders>
            <w:shd w:val="clear" w:color="auto" w:fill="auto"/>
            <w:vAlign w:val="center"/>
          </w:tcPr>
          <w:p w14:paraId="654E785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粪便钙卫蛋白检测</w:t>
            </w:r>
          </w:p>
        </w:tc>
        <w:tc>
          <w:tcPr>
            <w:tcW w:w="1722" w:type="dxa"/>
            <w:tcBorders>
              <w:tl2br w:val="nil"/>
              <w:tr2bl w:val="nil"/>
            </w:tcBorders>
            <w:shd w:val="clear" w:color="auto" w:fill="auto"/>
            <w:vAlign w:val="center"/>
          </w:tcPr>
          <w:p w14:paraId="467FEA4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ELISA</w:t>
            </w:r>
          </w:p>
        </w:tc>
        <w:tc>
          <w:tcPr>
            <w:tcW w:w="2419" w:type="dxa"/>
            <w:tcBorders>
              <w:tl2br w:val="nil"/>
              <w:tr2bl w:val="nil"/>
            </w:tcBorders>
            <w:shd w:val="clear" w:color="auto" w:fill="auto"/>
            <w:vAlign w:val="center"/>
          </w:tcPr>
          <w:p w14:paraId="2177BC1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粪便10g</w:t>
            </w:r>
          </w:p>
        </w:tc>
        <w:tc>
          <w:tcPr>
            <w:tcW w:w="2020" w:type="dxa"/>
            <w:tcBorders>
              <w:tl2br w:val="nil"/>
              <w:tr2bl w:val="nil"/>
            </w:tcBorders>
            <w:shd w:val="clear" w:color="auto" w:fill="auto"/>
            <w:vAlign w:val="center"/>
          </w:tcPr>
          <w:p w14:paraId="377F7EA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周二检测，周三报告</w:t>
            </w:r>
          </w:p>
        </w:tc>
      </w:tr>
      <w:tr w14:paraId="5928BA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8D143F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2190" w:type="dxa"/>
            <w:tcBorders>
              <w:tl2br w:val="nil"/>
              <w:tr2bl w:val="nil"/>
            </w:tcBorders>
            <w:shd w:val="clear" w:color="auto" w:fill="auto"/>
            <w:vAlign w:val="center"/>
          </w:tcPr>
          <w:p w14:paraId="75F8C96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心脑血管7项患病风险</w:t>
            </w:r>
          </w:p>
        </w:tc>
        <w:tc>
          <w:tcPr>
            <w:tcW w:w="1722" w:type="dxa"/>
            <w:tcBorders>
              <w:tl2br w:val="nil"/>
              <w:tr2bl w:val="nil"/>
            </w:tcBorders>
            <w:shd w:val="clear" w:color="auto" w:fill="auto"/>
            <w:vAlign w:val="center"/>
          </w:tcPr>
          <w:p w14:paraId="56EFD86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核酸质谱法</w:t>
            </w:r>
          </w:p>
        </w:tc>
        <w:tc>
          <w:tcPr>
            <w:tcW w:w="2419" w:type="dxa"/>
            <w:tcBorders>
              <w:tl2br w:val="nil"/>
              <w:tr2bl w:val="nil"/>
            </w:tcBorders>
            <w:shd w:val="clear" w:color="auto" w:fill="auto"/>
            <w:vAlign w:val="center"/>
          </w:tcPr>
          <w:p w14:paraId="06FA15D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2mL EDTA抗凝血或口腔拭子2根</w:t>
            </w:r>
          </w:p>
        </w:tc>
        <w:tc>
          <w:tcPr>
            <w:tcW w:w="2020" w:type="dxa"/>
            <w:tcBorders>
              <w:tl2br w:val="nil"/>
              <w:tr2bl w:val="nil"/>
            </w:tcBorders>
            <w:shd w:val="clear" w:color="auto" w:fill="auto"/>
            <w:vAlign w:val="center"/>
          </w:tcPr>
          <w:p w14:paraId="57BAE54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475717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3186A37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2190" w:type="dxa"/>
            <w:tcBorders>
              <w:tl2br w:val="nil"/>
              <w:tr2bl w:val="nil"/>
            </w:tcBorders>
            <w:shd w:val="clear" w:color="auto" w:fill="auto"/>
            <w:vAlign w:val="center"/>
          </w:tcPr>
          <w:p w14:paraId="7D7AD48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叶酸及19基因检测</w:t>
            </w:r>
          </w:p>
        </w:tc>
        <w:tc>
          <w:tcPr>
            <w:tcW w:w="1722" w:type="dxa"/>
            <w:tcBorders>
              <w:tl2br w:val="nil"/>
              <w:tr2bl w:val="nil"/>
            </w:tcBorders>
            <w:shd w:val="clear" w:color="auto" w:fill="auto"/>
            <w:vAlign w:val="center"/>
          </w:tcPr>
          <w:p w14:paraId="1A6BB85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核酸质谱法</w:t>
            </w:r>
          </w:p>
        </w:tc>
        <w:tc>
          <w:tcPr>
            <w:tcW w:w="2419" w:type="dxa"/>
            <w:tcBorders>
              <w:tl2br w:val="nil"/>
              <w:tr2bl w:val="nil"/>
            </w:tcBorders>
            <w:shd w:val="clear" w:color="auto" w:fill="auto"/>
            <w:vAlign w:val="center"/>
          </w:tcPr>
          <w:p w14:paraId="3D695C6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EDTA抗凝全血2ml</w:t>
            </w:r>
          </w:p>
        </w:tc>
        <w:tc>
          <w:tcPr>
            <w:tcW w:w="2020" w:type="dxa"/>
            <w:tcBorders>
              <w:tl2br w:val="nil"/>
              <w:tr2bl w:val="nil"/>
            </w:tcBorders>
            <w:shd w:val="clear" w:color="auto" w:fill="auto"/>
            <w:vAlign w:val="center"/>
          </w:tcPr>
          <w:p w14:paraId="39F6FE5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70DF53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60E4CF9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2190" w:type="dxa"/>
            <w:tcBorders>
              <w:tl2br w:val="nil"/>
              <w:tr2bl w:val="nil"/>
            </w:tcBorders>
            <w:shd w:val="clear" w:color="auto" w:fill="auto"/>
            <w:vAlign w:val="center"/>
          </w:tcPr>
          <w:p w14:paraId="776FA46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男性18项高发肿瘤风险</w:t>
            </w:r>
          </w:p>
        </w:tc>
        <w:tc>
          <w:tcPr>
            <w:tcW w:w="1722" w:type="dxa"/>
            <w:tcBorders>
              <w:tl2br w:val="nil"/>
              <w:tr2bl w:val="nil"/>
            </w:tcBorders>
            <w:shd w:val="clear" w:color="auto" w:fill="auto"/>
            <w:vAlign w:val="center"/>
          </w:tcPr>
          <w:p w14:paraId="354DA98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核酸质谱法</w:t>
            </w:r>
          </w:p>
        </w:tc>
        <w:tc>
          <w:tcPr>
            <w:tcW w:w="2419" w:type="dxa"/>
            <w:tcBorders>
              <w:tl2br w:val="nil"/>
              <w:tr2bl w:val="nil"/>
            </w:tcBorders>
            <w:shd w:val="clear" w:color="auto" w:fill="auto"/>
            <w:vAlign w:val="center"/>
          </w:tcPr>
          <w:p w14:paraId="3BFC8E3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2mL EDTA抗凝血或口腔拭子2根</w:t>
            </w:r>
          </w:p>
        </w:tc>
        <w:tc>
          <w:tcPr>
            <w:tcW w:w="2020" w:type="dxa"/>
            <w:tcBorders>
              <w:tl2br w:val="nil"/>
              <w:tr2bl w:val="nil"/>
            </w:tcBorders>
            <w:shd w:val="clear" w:color="auto" w:fill="auto"/>
            <w:vAlign w:val="center"/>
          </w:tcPr>
          <w:p w14:paraId="1D80D25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7F2871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57BBE6C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2190" w:type="dxa"/>
            <w:tcBorders>
              <w:tl2br w:val="nil"/>
              <w:tr2bl w:val="nil"/>
            </w:tcBorders>
            <w:shd w:val="clear" w:color="auto" w:fill="auto"/>
            <w:vAlign w:val="center"/>
          </w:tcPr>
          <w:p w14:paraId="13D959A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女性21项高发肿瘤风险基因筛查</w:t>
            </w:r>
          </w:p>
        </w:tc>
        <w:tc>
          <w:tcPr>
            <w:tcW w:w="1722" w:type="dxa"/>
            <w:tcBorders>
              <w:tl2br w:val="nil"/>
              <w:tr2bl w:val="nil"/>
            </w:tcBorders>
            <w:shd w:val="clear" w:color="auto" w:fill="auto"/>
            <w:vAlign w:val="center"/>
          </w:tcPr>
          <w:p w14:paraId="041B490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核酸质谱法</w:t>
            </w:r>
          </w:p>
        </w:tc>
        <w:tc>
          <w:tcPr>
            <w:tcW w:w="2419" w:type="dxa"/>
            <w:tcBorders>
              <w:tl2br w:val="nil"/>
              <w:tr2bl w:val="nil"/>
            </w:tcBorders>
            <w:shd w:val="clear" w:color="auto" w:fill="auto"/>
            <w:vAlign w:val="center"/>
          </w:tcPr>
          <w:p w14:paraId="0CF935B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2mL EDTA抗凝血或口腔拭子2根</w:t>
            </w:r>
          </w:p>
        </w:tc>
        <w:tc>
          <w:tcPr>
            <w:tcW w:w="2020" w:type="dxa"/>
            <w:tcBorders>
              <w:tl2br w:val="nil"/>
              <w:tr2bl w:val="nil"/>
            </w:tcBorders>
            <w:shd w:val="clear" w:color="auto" w:fill="auto"/>
            <w:vAlign w:val="center"/>
          </w:tcPr>
          <w:p w14:paraId="58E7537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3BB5AE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3D4816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2190" w:type="dxa"/>
            <w:tcBorders>
              <w:tl2br w:val="nil"/>
              <w:tr2bl w:val="nil"/>
            </w:tcBorders>
            <w:shd w:val="clear" w:color="auto" w:fill="auto"/>
            <w:vAlign w:val="center"/>
          </w:tcPr>
          <w:p w14:paraId="016F3C4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酒精代谢基因</w:t>
            </w:r>
          </w:p>
        </w:tc>
        <w:tc>
          <w:tcPr>
            <w:tcW w:w="1722" w:type="dxa"/>
            <w:tcBorders>
              <w:tl2br w:val="nil"/>
              <w:tr2bl w:val="nil"/>
            </w:tcBorders>
            <w:shd w:val="clear" w:color="auto" w:fill="auto"/>
            <w:vAlign w:val="center"/>
          </w:tcPr>
          <w:p w14:paraId="2A61718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PCR</w:t>
            </w:r>
          </w:p>
        </w:tc>
        <w:tc>
          <w:tcPr>
            <w:tcW w:w="2419" w:type="dxa"/>
            <w:tcBorders>
              <w:tl2br w:val="nil"/>
              <w:tr2bl w:val="nil"/>
            </w:tcBorders>
            <w:shd w:val="clear" w:color="auto" w:fill="auto"/>
            <w:vAlign w:val="center"/>
          </w:tcPr>
          <w:p w14:paraId="1D4A642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EDTA抗凝血2ml</w:t>
            </w:r>
          </w:p>
        </w:tc>
        <w:tc>
          <w:tcPr>
            <w:tcW w:w="2020" w:type="dxa"/>
            <w:tcBorders>
              <w:tl2br w:val="nil"/>
              <w:tr2bl w:val="nil"/>
            </w:tcBorders>
            <w:shd w:val="clear" w:color="auto" w:fill="auto"/>
            <w:vAlign w:val="center"/>
          </w:tcPr>
          <w:p w14:paraId="2C2EDD6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978E2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A8282A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2190" w:type="dxa"/>
            <w:tcBorders>
              <w:tl2br w:val="nil"/>
              <w:tr2bl w:val="nil"/>
            </w:tcBorders>
            <w:shd w:val="clear" w:color="auto" w:fill="auto"/>
            <w:vAlign w:val="center"/>
          </w:tcPr>
          <w:p w14:paraId="7C17A59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大肠癌粪便DNA检测</w:t>
            </w:r>
          </w:p>
        </w:tc>
        <w:tc>
          <w:tcPr>
            <w:tcW w:w="1722" w:type="dxa"/>
            <w:tcBorders>
              <w:tl2br w:val="nil"/>
              <w:tr2bl w:val="nil"/>
            </w:tcBorders>
            <w:shd w:val="clear" w:color="auto" w:fill="auto"/>
            <w:vAlign w:val="center"/>
          </w:tcPr>
          <w:p w14:paraId="07CAFD4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PCR</w:t>
            </w:r>
          </w:p>
        </w:tc>
        <w:tc>
          <w:tcPr>
            <w:tcW w:w="2419" w:type="dxa"/>
            <w:tcBorders>
              <w:tl2br w:val="nil"/>
              <w:tr2bl w:val="nil"/>
            </w:tcBorders>
            <w:shd w:val="clear" w:color="auto" w:fill="auto"/>
            <w:vAlign w:val="center"/>
          </w:tcPr>
          <w:p w14:paraId="41DE958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粪便（专用采集保存管）</w:t>
            </w:r>
          </w:p>
        </w:tc>
        <w:tc>
          <w:tcPr>
            <w:tcW w:w="2020" w:type="dxa"/>
            <w:tcBorders>
              <w:tl2br w:val="nil"/>
              <w:tr2bl w:val="nil"/>
            </w:tcBorders>
            <w:shd w:val="clear" w:color="auto" w:fill="auto"/>
            <w:vAlign w:val="center"/>
          </w:tcPr>
          <w:p w14:paraId="7292B67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3AC782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C39EB3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2190" w:type="dxa"/>
            <w:tcBorders>
              <w:tl2br w:val="nil"/>
              <w:tr2bl w:val="nil"/>
            </w:tcBorders>
            <w:shd w:val="clear" w:color="auto" w:fill="auto"/>
            <w:vAlign w:val="center"/>
          </w:tcPr>
          <w:p w14:paraId="7D04C3C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百日咳合腺病毒PCR</w:t>
            </w:r>
          </w:p>
        </w:tc>
        <w:tc>
          <w:tcPr>
            <w:tcW w:w="1722" w:type="dxa"/>
            <w:tcBorders>
              <w:tl2br w:val="nil"/>
              <w:tr2bl w:val="nil"/>
            </w:tcBorders>
            <w:shd w:val="clear" w:color="auto" w:fill="auto"/>
            <w:vAlign w:val="center"/>
          </w:tcPr>
          <w:p w14:paraId="2C38CF9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荧光定量PCR</w:t>
            </w:r>
          </w:p>
        </w:tc>
        <w:tc>
          <w:tcPr>
            <w:tcW w:w="2419" w:type="dxa"/>
            <w:tcBorders>
              <w:tl2br w:val="nil"/>
              <w:tr2bl w:val="nil"/>
            </w:tcBorders>
            <w:shd w:val="clear" w:color="auto" w:fill="auto"/>
            <w:vAlign w:val="center"/>
          </w:tcPr>
          <w:p w14:paraId="5891955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鼻咽拭子</w:t>
            </w:r>
          </w:p>
        </w:tc>
        <w:tc>
          <w:tcPr>
            <w:tcW w:w="2020" w:type="dxa"/>
            <w:tcBorders>
              <w:tl2br w:val="nil"/>
              <w:tr2bl w:val="nil"/>
            </w:tcBorders>
            <w:shd w:val="clear" w:color="auto" w:fill="auto"/>
            <w:vAlign w:val="center"/>
          </w:tcPr>
          <w:p w14:paraId="7E229AD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1个工作日</w:t>
            </w:r>
          </w:p>
        </w:tc>
      </w:tr>
      <w:tr w14:paraId="278C37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174BE7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2190" w:type="dxa"/>
            <w:tcBorders>
              <w:tl2br w:val="nil"/>
              <w:tr2bl w:val="nil"/>
            </w:tcBorders>
            <w:shd w:val="clear" w:color="auto" w:fill="auto"/>
            <w:vAlign w:val="center"/>
          </w:tcPr>
          <w:p w14:paraId="4A6069C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（精神科）微量元素10项</w:t>
            </w:r>
          </w:p>
        </w:tc>
        <w:tc>
          <w:tcPr>
            <w:tcW w:w="1722" w:type="dxa"/>
            <w:tcBorders>
              <w:tl2br w:val="nil"/>
              <w:tr2bl w:val="nil"/>
            </w:tcBorders>
            <w:shd w:val="clear" w:color="auto" w:fill="auto"/>
            <w:vAlign w:val="center"/>
          </w:tcPr>
          <w:p w14:paraId="5D1A68F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质谱法</w:t>
            </w:r>
          </w:p>
        </w:tc>
        <w:tc>
          <w:tcPr>
            <w:tcW w:w="2419" w:type="dxa"/>
            <w:tcBorders>
              <w:tl2br w:val="nil"/>
              <w:tr2bl w:val="nil"/>
            </w:tcBorders>
            <w:shd w:val="clear" w:color="auto" w:fill="auto"/>
            <w:vAlign w:val="center"/>
          </w:tcPr>
          <w:p w14:paraId="2EEA9FD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肝素抗凝血2ml</w:t>
            </w:r>
          </w:p>
        </w:tc>
        <w:tc>
          <w:tcPr>
            <w:tcW w:w="2020" w:type="dxa"/>
            <w:tcBorders>
              <w:tl2br w:val="nil"/>
              <w:tr2bl w:val="nil"/>
            </w:tcBorders>
            <w:shd w:val="clear" w:color="auto" w:fill="auto"/>
            <w:vAlign w:val="center"/>
          </w:tcPr>
          <w:p w14:paraId="1DE36C0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064298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ECC7F6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2190" w:type="dxa"/>
            <w:tcBorders>
              <w:tl2br w:val="nil"/>
              <w:tr2bl w:val="nil"/>
            </w:tcBorders>
            <w:shd w:val="clear" w:color="auto" w:fill="auto"/>
            <w:vAlign w:val="center"/>
          </w:tcPr>
          <w:p w14:paraId="29DED40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ITP全套检测</w:t>
            </w:r>
          </w:p>
        </w:tc>
        <w:tc>
          <w:tcPr>
            <w:tcW w:w="1722" w:type="dxa"/>
            <w:tcBorders>
              <w:tl2br w:val="nil"/>
              <w:tr2bl w:val="nil"/>
            </w:tcBorders>
            <w:shd w:val="clear" w:color="auto" w:fill="auto"/>
            <w:vAlign w:val="center"/>
          </w:tcPr>
          <w:p w14:paraId="7532847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流式细胞术</w:t>
            </w:r>
          </w:p>
        </w:tc>
        <w:tc>
          <w:tcPr>
            <w:tcW w:w="2419" w:type="dxa"/>
            <w:tcBorders>
              <w:tl2br w:val="nil"/>
              <w:tr2bl w:val="nil"/>
            </w:tcBorders>
            <w:shd w:val="clear" w:color="auto" w:fill="auto"/>
            <w:vAlign w:val="center"/>
          </w:tcPr>
          <w:p w14:paraId="0D060E4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EDTA抗凝全血2-3ml，2-8°C尽快送检</w:t>
            </w:r>
          </w:p>
        </w:tc>
        <w:tc>
          <w:tcPr>
            <w:tcW w:w="2020" w:type="dxa"/>
            <w:tcBorders>
              <w:tl2br w:val="nil"/>
              <w:tr2bl w:val="nil"/>
            </w:tcBorders>
            <w:shd w:val="clear" w:color="auto" w:fill="auto"/>
            <w:vAlign w:val="center"/>
          </w:tcPr>
          <w:p w14:paraId="4772629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7个工作日</w:t>
            </w:r>
          </w:p>
        </w:tc>
      </w:tr>
      <w:tr w14:paraId="293B9C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95A4C8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2190" w:type="dxa"/>
            <w:tcBorders>
              <w:tl2br w:val="nil"/>
              <w:tr2bl w:val="nil"/>
            </w:tcBorders>
            <w:shd w:val="clear" w:color="auto" w:fill="auto"/>
            <w:vAlign w:val="center"/>
          </w:tcPr>
          <w:p w14:paraId="544B220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戊肝RNA</w:t>
            </w:r>
          </w:p>
        </w:tc>
        <w:tc>
          <w:tcPr>
            <w:tcW w:w="1722" w:type="dxa"/>
            <w:tcBorders>
              <w:tl2br w:val="nil"/>
              <w:tr2bl w:val="nil"/>
            </w:tcBorders>
            <w:shd w:val="clear" w:color="auto" w:fill="auto"/>
            <w:vAlign w:val="center"/>
          </w:tcPr>
          <w:p w14:paraId="7877DAB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荧光PCR法</w:t>
            </w:r>
          </w:p>
        </w:tc>
        <w:tc>
          <w:tcPr>
            <w:tcW w:w="2419" w:type="dxa"/>
            <w:tcBorders>
              <w:tl2br w:val="nil"/>
              <w:tr2bl w:val="nil"/>
            </w:tcBorders>
            <w:shd w:val="clear" w:color="auto" w:fill="auto"/>
            <w:vAlign w:val="center"/>
          </w:tcPr>
          <w:p w14:paraId="6AC8001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5E67B43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4-6个工作日</w:t>
            </w:r>
          </w:p>
        </w:tc>
      </w:tr>
      <w:tr w14:paraId="521AE4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AB2921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2190" w:type="dxa"/>
            <w:tcBorders>
              <w:tl2br w:val="nil"/>
              <w:tr2bl w:val="nil"/>
            </w:tcBorders>
            <w:shd w:val="clear" w:color="auto" w:fill="auto"/>
            <w:vAlign w:val="center"/>
          </w:tcPr>
          <w:p w14:paraId="446CC21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多重病原体检测</w:t>
            </w:r>
          </w:p>
        </w:tc>
        <w:tc>
          <w:tcPr>
            <w:tcW w:w="1722" w:type="dxa"/>
            <w:tcBorders>
              <w:tl2br w:val="nil"/>
              <w:tr2bl w:val="nil"/>
            </w:tcBorders>
            <w:shd w:val="clear" w:color="auto" w:fill="auto"/>
            <w:vAlign w:val="center"/>
          </w:tcPr>
          <w:p w14:paraId="29E6027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三代测序</w:t>
            </w:r>
          </w:p>
        </w:tc>
        <w:tc>
          <w:tcPr>
            <w:tcW w:w="2419" w:type="dxa"/>
            <w:tcBorders>
              <w:tl2br w:val="nil"/>
              <w:tr2bl w:val="nil"/>
            </w:tcBorders>
            <w:shd w:val="clear" w:color="auto" w:fill="auto"/>
            <w:vAlign w:val="center"/>
          </w:tcPr>
          <w:p w14:paraId="38446AF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痰液/尿液/肺泡灌洗液/胸腹水等；2-8℃冷藏运输</w:t>
            </w:r>
          </w:p>
        </w:tc>
        <w:tc>
          <w:tcPr>
            <w:tcW w:w="2020" w:type="dxa"/>
            <w:tcBorders>
              <w:tl2br w:val="nil"/>
              <w:tr2bl w:val="nil"/>
            </w:tcBorders>
            <w:shd w:val="clear" w:color="auto" w:fill="auto"/>
            <w:vAlign w:val="center"/>
          </w:tcPr>
          <w:p w14:paraId="4A92B21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2个工作日</w:t>
            </w:r>
          </w:p>
        </w:tc>
      </w:tr>
      <w:tr w14:paraId="7D0939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E0F3BF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2190" w:type="dxa"/>
            <w:tcBorders>
              <w:tl2br w:val="nil"/>
              <w:tr2bl w:val="nil"/>
            </w:tcBorders>
            <w:shd w:val="clear" w:color="auto" w:fill="auto"/>
            <w:vAlign w:val="center"/>
          </w:tcPr>
          <w:p w14:paraId="766FC83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慢性萎缩性胃炎/恶性贫血检测</w:t>
            </w:r>
          </w:p>
        </w:tc>
        <w:tc>
          <w:tcPr>
            <w:tcW w:w="1722" w:type="dxa"/>
            <w:tcBorders>
              <w:tl2br w:val="nil"/>
              <w:tr2bl w:val="nil"/>
            </w:tcBorders>
            <w:shd w:val="clear" w:color="auto" w:fill="auto"/>
            <w:vAlign w:val="center"/>
          </w:tcPr>
          <w:p w14:paraId="0916115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线性免疫印迹法</w:t>
            </w:r>
          </w:p>
        </w:tc>
        <w:tc>
          <w:tcPr>
            <w:tcW w:w="2419" w:type="dxa"/>
            <w:tcBorders>
              <w:tl2br w:val="nil"/>
              <w:tr2bl w:val="nil"/>
            </w:tcBorders>
            <w:shd w:val="clear" w:color="auto" w:fill="auto"/>
            <w:vAlign w:val="center"/>
          </w:tcPr>
          <w:p w14:paraId="50B472F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血清2ml</w:t>
            </w:r>
          </w:p>
        </w:tc>
        <w:tc>
          <w:tcPr>
            <w:tcW w:w="2020" w:type="dxa"/>
            <w:tcBorders>
              <w:tl2br w:val="nil"/>
              <w:tr2bl w:val="nil"/>
            </w:tcBorders>
            <w:shd w:val="clear" w:color="auto" w:fill="auto"/>
            <w:vAlign w:val="center"/>
          </w:tcPr>
          <w:p w14:paraId="150FE9E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4D5E00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47CD38D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2190" w:type="dxa"/>
            <w:tcBorders>
              <w:tl2br w:val="nil"/>
              <w:tr2bl w:val="nil"/>
            </w:tcBorders>
            <w:shd w:val="clear" w:color="auto" w:fill="auto"/>
            <w:vAlign w:val="center"/>
          </w:tcPr>
          <w:p w14:paraId="126D98C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病原体宏基因(DNA)+三代测序</w:t>
            </w:r>
          </w:p>
        </w:tc>
        <w:tc>
          <w:tcPr>
            <w:tcW w:w="1722" w:type="dxa"/>
            <w:tcBorders>
              <w:tl2br w:val="nil"/>
              <w:tr2bl w:val="nil"/>
            </w:tcBorders>
            <w:shd w:val="clear" w:color="auto" w:fill="auto"/>
            <w:vAlign w:val="center"/>
          </w:tcPr>
          <w:p w14:paraId="2C115FB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三代测序</w:t>
            </w:r>
          </w:p>
        </w:tc>
        <w:tc>
          <w:tcPr>
            <w:tcW w:w="2419" w:type="dxa"/>
            <w:tcBorders>
              <w:tl2br w:val="nil"/>
              <w:tr2bl w:val="nil"/>
            </w:tcBorders>
            <w:shd w:val="clear" w:color="auto" w:fill="auto"/>
            <w:vAlign w:val="center"/>
          </w:tcPr>
          <w:p w14:paraId="5F6CBC8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血液、脑脊液、痰液、尿液、肺泡灌洗液、胸腹水等</w:t>
            </w:r>
          </w:p>
        </w:tc>
        <w:tc>
          <w:tcPr>
            <w:tcW w:w="2020" w:type="dxa"/>
            <w:tcBorders>
              <w:tl2br w:val="nil"/>
              <w:tr2bl w:val="nil"/>
            </w:tcBorders>
            <w:shd w:val="clear" w:color="auto" w:fill="auto"/>
            <w:vAlign w:val="center"/>
          </w:tcPr>
          <w:p w14:paraId="5439DD6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2个工作日</w:t>
            </w:r>
          </w:p>
        </w:tc>
      </w:tr>
      <w:tr w14:paraId="720381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7B7AD6D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2190" w:type="dxa"/>
            <w:tcBorders>
              <w:tl2br w:val="nil"/>
              <w:tr2bl w:val="nil"/>
            </w:tcBorders>
            <w:shd w:val="clear" w:color="auto" w:fill="auto"/>
            <w:vAlign w:val="center"/>
          </w:tcPr>
          <w:p w14:paraId="661690B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病原体宏基因(DNA、RNA)+三代测序</w:t>
            </w:r>
          </w:p>
        </w:tc>
        <w:tc>
          <w:tcPr>
            <w:tcW w:w="1722" w:type="dxa"/>
            <w:tcBorders>
              <w:tl2br w:val="nil"/>
              <w:tr2bl w:val="nil"/>
            </w:tcBorders>
            <w:shd w:val="clear" w:color="auto" w:fill="auto"/>
            <w:vAlign w:val="center"/>
          </w:tcPr>
          <w:p w14:paraId="15D1B9C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三代测序</w:t>
            </w:r>
          </w:p>
        </w:tc>
        <w:tc>
          <w:tcPr>
            <w:tcW w:w="2419" w:type="dxa"/>
            <w:tcBorders>
              <w:tl2br w:val="nil"/>
              <w:tr2bl w:val="nil"/>
            </w:tcBorders>
            <w:shd w:val="clear" w:color="auto" w:fill="auto"/>
            <w:vAlign w:val="center"/>
          </w:tcPr>
          <w:p w14:paraId="75F93F6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血液、脑脊液、痰液、尿液、肺泡灌洗液、胸腹水等</w:t>
            </w:r>
          </w:p>
        </w:tc>
        <w:tc>
          <w:tcPr>
            <w:tcW w:w="2020" w:type="dxa"/>
            <w:tcBorders>
              <w:tl2br w:val="nil"/>
              <w:tr2bl w:val="nil"/>
            </w:tcBorders>
            <w:shd w:val="clear" w:color="auto" w:fill="auto"/>
            <w:vAlign w:val="center"/>
          </w:tcPr>
          <w:p w14:paraId="0601407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2个工作日</w:t>
            </w:r>
          </w:p>
        </w:tc>
      </w:tr>
      <w:tr w14:paraId="3BDB5D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00" w:type="dxa"/>
            <w:tcBorders>
              <w:tl2br w:val="nil"/>
              <w:tr2bl w:val="nil"/>
            </w:tcBorders>
            <w:shd w:val="clear" w:color="auto" w:fill="auto"/>
            <w:vAlign w:val="center"/>
          </w:tcPr>
          <w:p w14:paraId="0DFD330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2190" w:type="dxa"/>
            <w:tcBorders>
              <w:tl2br w:val="nil"/>
              <w:tr2bl w:val="nil"/>
            </w:tcBorders>
            <w:shd w:val="clear" w:color="auto" w:fill="auto"/>
            <w:vAlign w:val="center"/>
          </w:tcPr>
          <w:p w14:paraId="55015F0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血液肿瘤免疫表型</w:t>
            </w:r>
          </w:p>
        </w:tc>
        <w:tc>
          <w:tcPr>
            <w:tcW w:w="1722" w:type="dxa"/>
            <w:tcBorders>
              <w:tl2br w:val="nil"/>
              <w:tr2bl w:val="nil"/>
            </w:tcBorders>
            <w:shd w:val="clear" w:color="auto" w:fill="auto"/>
            <w:vAlign w:val="center"/>
          </w:tcPr>
          <w:p w14:paraId="779890A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流式细胞术</w:t>
            </w:r>
          </w:p>
        </w:tc>
        <w:tc>
          <w:tcPr>
            <w:tcW w:w="2419" w:type="dxa"/>
            <w:tcBorders>
              <w:tl2br w:val="nil"/>
              <w:tr2bl w:val="nil"/>
            </w:tcBorders>
            <w:shd w:val="clear" w:color="auto" w:fill="auto"/>
            <w:vAlign w:val="center"/>
          </w:tcPr>
          <w:p w14:paraId="79546E7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1.EDTA/肝素抗凝骨髓2-3ml；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2.附骨髓涂片2张；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3.2-8℃快速送检；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4.请务必详尽填写申请单。</w:t>
            </w:r>
          </w:p>
        </w:tc>
        <w:tc>
          <w:tcPr>
            <w:tcW w:w="2020" w:type="dxa"/>
            <w:tcBorders>
              <w:tl2br w:val="nil"/>
              <w:tr2bl w:val="nil"/>
            </w:tcBorders>
            <w:shd w:val="clear" w:color="auto" w:fill="auto"/>
            <w:vAlign w:val="center"/>
          </w:tcPr>
          <w:p w14:paraId="1940A12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0839BF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00" w:type="dxa"/>
            <w:tcBorders>
              <w:tl2br w:val="nil"/>
              <w:tr2bl w:val="nil"/>
            </w:tcBorders>
            <w:shd w:val="clear" w:color="auto" w:fill="auto"/>
            <w:vAlign w:val="center"/>
          </w:tcPr>
          <w:p w14:paraId="3746988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2190" w:type="dxa"/>
            <w:tcBorders>
              <w:tl2br w:val="nil"/>
              <w:tr2bl w:val="nil"/>
            </w:tcBorders>
            <w:shd w:val="clear" w:color="auto" w:fill="auto"/>
            <w:vAlign w:val="center"/>
          </w:tcPr>
          <w:p w14:paraId="1702585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MM免疫分型</w:t>
            </w:r>
          </w:p>
        </w:tc>
        <w:tc>
          <w:tcPr>
            <w:tcW w:w="1722" w:type="dxa"/>
            <w:tcBorders>
              <w:tl2br w:val="nil"/>
              <w:tr2bl w:val="nil"/>
            </w:tcBorders>
            <w:shd w:val="clear" w:color="auto" w:fill="auto"/>
            <w:vAlign w:val="center"/>
          </w:tcPr>
          <w:p w14:paraId="2EB1C29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流式细胞术</w:t>
            </w:r>
          </w:p>
        </w:tc>
        <w:tc>
          <w:tcPr>
            <w:tcW w:w="2419" w:type="dxa"/>
            <w:tcBorders>
              <w:tl2br w:val="nil"/>
              <w:tr2bl w:val="nil"/>
            </w:tcBorders>
            <w:shd w:val="clear" w:color="auto" w:fill="auto"/>
            <w:vAlign w:val="center"/>
          </w:tcPr>
          <w:p w14:paraId="24DA3D3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1.EDTA/肝素抗凝骨髓2-3ml；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2.附骨髓涂片2张；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3.2-8℃快速送检；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4.请务必详尽填写申请单。</w:t>
            </w:r>
          </w:p>
        </w:tc>
        <w:tc>
          <w:tcPr>
            <w:tcW w:w="2020" w:type="dxa"/>
            <w:tcBorders>
              <w:tl2br w:val="nil"/>
              <w:tr2bl w:val="nil"/>
            </w:tcBorders>
            <w:shd w:val="clear" w:color="auto" w:fill="auto"/>
            <w:vAlign w:val="center"/>
          </w:tcPr>
          <w:p w14:paraId="6EFA1FE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26DA7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30E7C3D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2190" w:type="dxa"/>
            <w:tcBorders>
              <w:tl2br w:val="nil"/>
              <w:tr2bl w:val="nil"/>
            </w:tcBorders>
            <w:shd w:val="clear" w:color="auto" w:fill="auto"/>
            <w:vAlign w:val="center"/>
          </w:tcPr>
          <w:p w14:paraId="6A0D070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PNH克隆性检测</w:t>
            </w:r>
          </w:p>
        </w:tc>
        <w:tc>
          <w:tcPr>
            <w:tcW w:w="1722" w:type="dxa"/>
            <w:tcBorders>
              <w:tl2br w:val="nil"/>
              <w:tr2bl w:val="nil"/>
            </w:tcBorders>
            <w:shd w:val="clear" w:color="auto" w:fill="auto"/>
            <w:vAlign w:val="center"/>
          </w:tcPr>
          <w:p w14:paraId="3EDB6F1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流式细胞术</w:t>
            </w:r>
          </w:p>
        </w:tc>
        <w:tc>
          <w:tcPr>
            <w:tcW w:w="2419" w:type="dxa"/>
            <w:tcBorders>
              <w:tl2br w:val="nil"/>
              <w:tr2bl w:val="nil"/>
            </w:tcBorders>
            <w:shd w:val="clear" w:color="auto" w:fill="auto"/>
            <w:vAlign w:val="center"/>
          </w:tcPr>
          <w:p w14:paraId="0B28C53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EDTA/肝素抗凝外周血2-3ml，2-8℃快速送检，请务必详尽填写申请单。</w:t>
            </w:r>
          </w:p>
        </w:tc>
        <w:tc>
          <w:tcPr>
            <w:tcW w:w="2020" w:type="dxa"/>
            <w:tcBorders>
              <w:tl2br w:val="nil"/>
              <w:tr2bl w:val="nil"/>
            </w:tcBorders>
            <w:shd w:val="clear" w:color="auto" w:fill="auto"/>
            <w:vAlign w:val="center"/>
          </w:tcPr>
          <w:p w14:paraId="7AC27CA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周一、周四检测，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周二、周五报告</w:t>
            </w:r>
          </w:p>
        </w:tc>
      </w:tr>
      <w:tr w14:paraId="4F597C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tcBorders>
              <w:tl2br w:val="nil"/>
              <w:tr2bl w:val="nil"/>
            </w:tcBorders>
            <w:shd w:val="clear" w:color="auto" w:fill="auto"/>
            <w:vAlign w:val="center"/>
          </w:tcPr>
          <w:p w14:paraId="0085484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2190" w:type="dxa"/>
            <w:tcBorders>
              <w:tl2br w:val="nil"/>
              <w:tr2bl w:val="nil"/>
            </w:tcBorders>
            <w:shd w:val="clear" w:color="auto" w:fill="auto"/>
            <w:vAlign w:val="center"/>
          </w:tcPr>
          <w:p w14:paraId="23FA8DE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骨髓染色体核型分析</w:t>
            </w:r>
          </w:p>
        </w:tc>
        <w:tc>
          <w:tcPr>
            <w:tcW w:w="1722" w:type="dxa"/>
            <w:tcBorders>
              <w:tl2br w:val="nil"/>
              <w:tr2bl w:val="nil"/>
            </w:tcBorders>
            <w:shd w:val="clear" w:color="auto" w:fill="auto"/>
            <w:vAlign w:val="center"/>
          </w:tcPr>
          <w:p w14:paraId="3835E34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培养法G显带</w:t>
            </w:r>
          </w:p>
        </w:tc>
        <w:tc>
          <w:tcPr>
            <w:tcW w:w="2419" w:type="dxa"/>
            <w:tcBorders>
              <w:tl2br w:val="nil"/>
              <w:tr2bl w:val="nil"/>
            </w:tcBorders>
            <w:shd w:val="clear" w:color="auto" w:fill="auto"/>
            <w:vAlign w:val="center"/>
          </w:tcPr>
          <w:p w14:paraId="2E06B5A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1.骨髓专用培养基2-3ml/BD专用肝素抗凝(绿头管)骨髓2-3ml，2-8℃快速送检，请务必详尽填写申请单。</w:t>
            </w:r>
          </w:p>
        </w:tc>
        <w:tc>
          <w:tcPr>
            <w:tcW w:w="2020" w:type="dxa"/>
            <w:tcBorders>
              <w:tl2br w:val="nil"/>
              <w:tr2bl w:val="nil"/>
            </w:tcBorders>
            <w:shd w:val="clear" w:color="auto" w:fill="auto"/>
            <w:vAlign w:val="center"/>
          </w:tcPr>
          <w:p w14:paraId="7AD0DB3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10天</w:t>
            </w:r>
          </w:p>
        </w:tc>
      </w:tr>
      <w:tr w14:paraId="6A390D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jc w:val="center"/>
        </w:trPr>
        <w:tc>
          <w:tcPr>
            <w:tcW w:w="700" w:type="dxa"/>
            <w:tcBorders>
              <w:tl2br w:val="nil"/>
              <w:tr2bl w:val="nil"/>
            </w:tcBorders>
            <w:shd w:val="clear" w:color="auto" w:fill="auto"/>
            <w:vAlign w:val="center"/>
          </w:tcPr>
          <w:p w14:paraId="1D9C284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2190" w:type="dxa"/>
            <w:tcBorders>
              <w:tl2br w:val="nil"/>
              <w:tr2bl w:val="nil"/>
            </w:tcBorders>
            <w:shd w:val="clear" w:color="auto" w:fill="auto"/>
            <w:vAlign w:val="center"/>
          </w:tcPr>
          <w:p w14:paraId="6005E98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FISH检测</w:t>
            </w:r>
          </w:p>
        </w:tc>
        <w:tc>
          <w:tcPr>
            <w:tcW w:w="1722" w:type="dxa"/>
            <w:tcBorders>
              <w:tl2br w:val="nil"/>
              <w:tr2bl w:val="nil"/>
            </w:tcBorders>
            <w:shd w:val="clear" w:color="auto" w:fill="auto"/>
            <w:vAlign w:val="center"/>
          </w:tcPr>
          <w:p w14:paraId="64D7A5F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FISH</w:t>
            </w:r>
          </w:p>
        </w:tc>
        <w:tc>
          <w:tcPr>
            <w:tcW w:w="2419" w:type="dxa"/>
            <w:tcBorders>
              <w:tl2br w:val="nil"/>
              <w:tr2bl w:val="nil"/>
            </w:tcBorders>
            <w:shd w:val="clear" w:color="auto" w:fill="auto"/>
            <w:vAlign w:val="center"/>
          </w:tcPr>
          <w:p w14:paraId="77B3134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1.肝素/EDTA抗凝骨髓3-5ml/外周血5ml（外周血肿瘤细胞＞30%），2-8℃快速送检；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2.淋巴结组织样本2μm防脱组织白片3张/位点，常温送检；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3.请务必详尽填写申请单。</w:t>
            </w:r>
          </w:p>
        </w:tc>
        <w:tc>
          <w:tcPr>
            <w:tcW w:w="2020" w:type="dxa"/>
            <w:tcBorders>
              <w:tl2br w:val="nil"/>
              <w:tr2bl w:val="nil"/>
            </w:tcBorders>
            <w:shd w:val="clear" w:color="auto" w:fill="auto"/>
            <w:vAlign w:val="center"/>
          </w:tcPr>
          <w:p w14:paraId="544B3F6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295900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00" w:type="dxa"/>
            <w:tcBorders>
              <w:tl2br w:val="nil"/>
              <w:tr2bl w:val="nil"/>
            </w:tcBorders>
            <w:shd w:val="clear" w:color="auto" w:fill="auto"/>
            <w:vAlign w:val="center"/>
          </w:tcPr>
          <w:p w14:paraId="38229DE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2190" w:type="dxa"/>
            <w:tcBorders>
              <w:tl2br w:val="nil"/>
              <w:tr2bl w:val="nil"/>
            </w:tcBorders>
            <w:shd w:val="clear" w:color="auto" w:fill="auto"/>
            <w:vAlign w:val="center"/>
          </w:tcPr>
          <w:p w14:paraId="1A6A0D2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55种融合基因检测</w:t>
            </w:r>
          </w:p>
        </w:tc>
        <w:tc>
          <w:tcPr>
            <w:tcW w:w="1722" w:type="dxa"/>
            <w:tcBorders>
              <w:tl2br w:val="nil"/>
              <w:tr2bl w:val="nil"/>
            </w:tcBorders>
            <w:shd w:val="clear" w:color="auto" w:fill="auto"/>
            <w:vAlign w:val="center"/>
          </w:tcPr>
          <w:p w14:paraId="0605B11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实时荧光定性PCR</w:t>
            </w:r>
          </w:p>
        </w:tc>
        <w:tc>
          <w:tcPr>
            <w:tcW w:w="2419" w:type="dxa"/>
            <w:tcBorders>
              <w:tl2br w:val="nil"/>
              <w:tr2bl w:val="nil"/>
            </w:tcBorders>
            <w:shd w:val="clear" w:color="auto" w:fill="auto"/>
            <w:vAlign w:val="center"/>
          </w:tcPr>
          <w:p w14:paraId="650CBC3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1.EDTA抗凝骨髓2-3ml/外周血5ml，2-8℃快速送检；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2.对于初诊病人为确保准确性，建议使用骨髓;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3.请务必详尽填写申请单。</w:t>
            </w:r>
          </w:p>
        </w:tc>
        <w:tc>
          <w:tcPr>
            <w:tcW w:w="2020" w:type="dxa"/>
            <w:tcBorders>
              <w:tl2br w:val="nil"/>
              <w:tr2bl w:val="nil"/>
            </w:tcBorders>
            <w:shd w:val="clear" w:color="auto" w:fill="auto"/>
            <w:vAlign w:val="center"/>
          </w:tcPr>
          <w:p w14:paraId="0A0C68C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周二、周五检测，次日报告</w:t>
            </w:r>
          </w:p>
        </w:tc>
      </w:tr>
      <w:tr w14:paraId="3E3585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00" w:type="dxa"/>
            <w:tcBorders>
              <w:tl2br w:val="nil"/>
              <w:tr2bl w:val="nil"/>
            </w:tcBorders>
            <w:shd w:val="clear" w:color="auto" w:fill="auto"/>
            <w:vAlign w:val="center"/>
          </w:tcPr>
          <w:p w14:paraId="4F823EF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2190" w:type="dxa"/>
            <w:tcBorders>
              <w:tl2br w:val="nil"/>
              <w:tr2bl w:val="nil"/>
            </w:tcBorders>
            <w:shd w:val="clear" w:color="auto" w:fill="auto"/>
            <w:noWrap/>
            <w:vAlign w:val="center"/>
          </w:tcPr>
          <w:p w14:paraId="260B44E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PML-RARa分型+定量</w:t>
            </w:r>
          </w:p>
        </w:tc>
        <w:tc>
          <w:tcPr>
            <w:tcW w:w="1722" w:type="dxa"/>
            <w:tcBorders>
              <w:tl2br w:val="nil"/>
              <w:tr2bl w:val="nil"/>
            </w:tcBorders>
            <w:shd w:val="clear" w:color="auto" w:fill="auto"/>
            <w:vAlign w:val="center"/>
          </w:tcPr>
          <w:p w14:paraId="3FA2902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实时荧光定量PCR</w:t>
            </w:r>
          </w:p>
        </w:tc>
        <w:tc>
          <w:tcPr>
            <w:tcW w:w="2419" w:type="dxa"/>
            <w:tcBorders>
              <w:tl2br w:val="nil"/>
              <w:tr2bl w:val="nil"/>
            </w:tcBorders>
            <w:shd w:val="clear" w:color="auto" w:fill="auto"/>
            <w:vAlign w:val="center"/>
          </w:tcPr>
          <w:p w14:paraId="0A97315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1.EDTA抗凝骨髓2-3ml/外周血5ml，2-8℃快速送检；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2.对于初诊病人为确保准确性，建议使用骨髓;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3.请务必详尽填写申请单。</w:t>
            </w:r>
          </w:p>
        </w:tc>
        <w:tc>
          <w:tcPr>
            <w:tcW w:w="2020" w:type="dxa"/>
            <w:tcBorders>
              <w:tl2br w:val="nil"/>
              <w:tr2bl w:val="nil"/>
            </w:tcBorders>
            <w:shd w:val="clear" w:color="auto" w:fill="auto"/>
            <w:vAlign w:val="center"/>
          </w:tcPr>
          <w:p w14:paraId="5668E67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周二、周五上午检测，次日报告</w:t>
            </w:r>
          </w:p>
        </w:tc>
      </w:tr>
      <w:tr w14:paraId="14CF5D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700" w:type="dxa"/>
            <w:tcBorders>
              <w:tl2br w:val="nil"/>
              <w:tr2bl w:val="nil"/>
            </w:tcBorders>
            <w:shd w:val="clear" w:color="auto" w:fill="auto"/>
            <w:vAlign w:val="center"/>
          </w:tcPr>
          <w:p w14:paraId="6AE3302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2190" w:type="dxa"/>
            <w:tcBorders>
              <w:tl2br w:val="nil"/>
              <w:tr2bl w:val="nil"/>
            </w:tcBorders>
            <w:shd w:val="clear" w:color="auto" w:fill="auto"/>
            <w:noWrap/>
            <w:vAlign w:val="center"/>
          </w:tcPr>
          <w:p w14:paraId="60D2C6E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BCR-ABL分型+定量</w:t>
            </w:r>
          </w:p>
        </w:tc>
        <w:tc>
          <w:tcPr>
            <w:tcW w:w="1722" w:type="dxa"/>
            <w:tcBorders>
              <w:tl2br w:val="nil"/>
              <w:tr2bl w:val="nil"/>
            </w:tcBorders>
            <w:shd w:val="clear" w:color="auto" w:fill="auto"/>
            <w:vAlign w:val="center"/>
          </w:tcPr>
          <w:p w14:paraId="399D440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实时荧光定量PCR</w:t>
            </w:r>
          </w:p>
        </w:tc>
        <w:tc>
          <w:tcPr>
            <w:tcW w:w="2419" w:type="dxa"/>
            <w:tcBorders>
              <w:tl2br w:val="nil"/>
              <w:tr2bl w:val="nil"/>
            </w:tcBorders>
            <w:shd w:val="clear" w:color="auto" w:fill="auto"/>
            <w:vAlign w:val="center"/>
          </w:tcPr>
          <w:p w14:paraId="627449B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1.EDTA抗凝骨髓2-3ml/外周血5ml，2-8℃快速送检；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2.对于初诊病人为确保准确性，建议使用骨髓;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3.请务必详尽填写申请单。</w:t>
            </w:r>
          </w:p>
        </w:tc>
        <w:tc>
          <w:tcPr>
            <w:tcW w:w="2020" w:type="dxa"/>
            <w:tcBorders>
              <w:tl2br w:val="nil"/>
              <w:tr2bl w:val="nil"/>
            </w:tcBorders>
            <w:shd w:val="clear" w:color="auto" w:fill="auto"/>
            <w:vAlign w:val="center"/>
          </w:tcPr>
          <w:p w14:paraId="4510E74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周二、周五上午检测，次日报告</w:t>
            </w:r>
          </w:p>
        </w:tc>
      </w:tr>
      <w:tr w14:paraId="491D44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700" w:type="dxa"/>
            <w:tcBorders>
              <w:tl2br w:val="nil"/>
              <w:tr2bl w:val="nil"/>
            </w:tcBorders>
            <w:shd w:val="clear" w:color="auto" w:fill="auto"/>
            <w:vAlign w:val="center"/>
          </w:tcPr>
          <w:p w14:paraId="032DC6A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2190" w:type="dxa"/>
            <w:tcBorders>
              <w:tl2br w:val="nil"/>
              <w:tr2bl w:val="nil"/>
            </w:tcBorders>
            <w:shd w:val="clear" w:color="auto" w:fill="auto"/>
            <w:noWrap/>
            <w:vAlign w:val="center"/>
          </w:tcPr>
          <w:p w14:paraId="4C3F164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融合基因定量检测</w:t>
            </w:r>
          </w:p>
        </w:tc>
        <w:tc>
          <w:tcPr>
            <w:tcW w:w="1722" w:type="dxa"/>
            <w:tcBorders>
              <w:tl2br w:val="nil"/>
              <w:tr2bl w:val="nil"/>
            </w:tcBorders>
            <w:shd w:val="clear" w:color="auto" w:fill="auto"/>
            <w:vAlign w:val="center"/>
          </w:tcPr>
          <w:p w14:paraId="3FD6A27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实时荧光定量PCR/ddPCR</w:t>
            </w:r>
          </w:p>
        </w:tc>
        <w:tc>
          <w:tcPr>
            <w:tcW w:w="2419" w:type="dxa"/>
            <w:tcBorders>
              <w:tl2br w:val="nil"/>
              <w:tr2bl w:val="nil"/>
            </w:tcBorders>
            <w:shd w:val="clear" w:color="auto" w:fill="auto"/>
            <w:vAlign w:val="center"/>
          </w:tcPr>
          <w:p w14:paraId="59416D8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1.EDTA抗凝骨髓2-3ml/外周血5ml，2-8℃快速送检；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2.对于初诊病人为确保准确性，建议使用骨髓;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3.请务必详尽填写申请单。</w:t>
            </w:r>
          </w:p>
        </w:tc>
        <w:tc>
          <w:tcPr>
            <w:tcW w:w="2020" w:type="dxa"/>
            <w:tcBorders>
              <w:tl2br w:val="nil"/>
              <w:tr2bl w:val="nil"/>
            </w:tcBorders>
            <w:shd w:val="clear" w:color="auto" w:fill="auto"/>
            <w:vAlign w:val="center"/>
          </w:tcPr>
          <w:p w14:paraId="2430AB1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5B55B9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00" w:type="dxa"/>
            <w:tcBorders>
              <w:tl2br w:val="nil"/>
              <w:tr2bl w:val="nil"/>
            </w:tcBorders>
            <w:shd w:val="clear" w:color="auto" w:fill="auto"/>
            <w:vAlign w:val="center"/>
          </w:tcPr>
          <w:p w14:paraId="74F94CC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2190" w:type="dxa"/>
            <w:tcBorders>
              <w:tl2br w:val="nil"/>
              <w:tr2bl w:val="nil"/>
            </w:tcBorders>
            <w:shd w:val="clear" w:color="auto" w:fill="auto"/>
            <w:vAlign w:val="center"/>
          </w:tcPr>
          <w:p w14:paraId="541E50A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髓系白血病42基因检测</w:t>
            </w:r>
          </w:p>
        </w:tc>
        <w:tc>
          <w:tcPr>
            <w:tcW w:w="1722" w:type="dxa"/>
            <w:tcBorders>
              <w:tl2br w:val="nil"/>
              <w:tr2bl w:val="nil"/>
            </w:tcBorders>
            <w:shd w:val="clear" w:color="auto" w:fill="auto"/>
            <w:vAlign w:val="center"/>
          </w:tcPr>
          <w:p w14:paraId="5635497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NGS</w:t>
            </w:r>
          </w:p>
        </w:tc>
        <w:tc>
          <w:tcPr>
            <w:tcW w:w="2419" w:type="dxa"/>
            <w:tcBorders>
              <w:tl2br w:val="nil"/>
              <w:tr2bl w:val="nil"/>
            </w:tcBorders>
            <w:shd w:val="clear" w:color="auto" w:fill="auto"/>
            <w:vAlign w:val="center"/>
          </w:tcPr>
          <w:p w14:paraId="67727DB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3-5μm防脱白片10-15张/EDTA抗凝骨髓2-3ml/外周血5-10ml，2-8℃快速送检，请务必详尽填写申请单。</w:t>
            </w:r>
          </w:p>
        </w:tc>
        <w:tc>
          <w:tcPr>
            <w:tcW w:w="2020" w:type="dxa"/>
            <w:tcBorders>
              <w:tl2br w:val="nil"/>
              <w:tr2bl w:val="nil"/>
            </w:tcBorders>
            <w:shd w:val="clear" w:color="auto" w:fill="auto"/>
            <w:vAlign w:val="center"/>
          </w:tcPr>
          <w:p w14:paraId="4C38F11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7个工作日</w:t>
            </w:r>
          </w:p>
        </w:tc>
      </w:tr>
      <w:tr w14:paraId="1EAA44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tcBorders>
              <w:tl2br w:val="nil"/>
              <w:tr2bl w:val="nil"/>
            </w:tcBorders>
            <w:shd w:val="clear" w:color="auto" w:fill="auto"/>
            <w:vAlign w:val="center"/>
          </w:tcPr>
          <w:p w14:paraId="41BC4DA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2190" w:type="dxa"/>
            <w:tcBorders>
              <w:tl2br w:val="nil"/>
              <w:tr2bl w:val="nil"/>
            </w:tcBorders>
            <w:shd w:val="clear" w:color="auto" w:fill="auto"/>
            <w:vAlign w:val="center"/>
          </w:tcPr>
          <w:p w14:paraId="35D8BAB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血液病180基因NGS检测</w:t>
            </w:r>
          </w:p>
        </w:tc>
        <w:tc>
          <w:tcPr>
            <w:tcW w:w="1722" w:type="dxa"/>
            <w:tcBorders>
              <w:tl2br w:val="nil"/>
              <w:tr2bl w:val="nil"/>
            </w:tcBorders>
            <w:shd w:val="clear" w:color="auto" w:fill="auto"/>
            <w:vAlign w:val="center"/>
          </w:tcPr>
          <w:p w14:paraId="7C52F3F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NGS</w:t>
            </w:r>
          </w:p>
        </w:tc>
        <w:tc>
          <w:tcPr>
            <w:tcW w:w="2419" w:type="dxa"/>
            <w:tcBorders>
              <w:tl2br w:val="nil"/>
              <w:tr2bl w:val="nil"/>
            </w:tcBorders>
            <w:shd w:val="clear" w:color="auto" w:fill="auto"/>
            <w:vAlign w:val="center"/>
          </w:tcPr>
          <w:p w14:paraId="510B2D8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3-5μm防脱白片10-15张/EDTA抗凝骨髓2-3ml/外周血5-10ml，2-8℃快速送检，请务必详尽填写申请单。</w:t>
            </w:r>
          </w:p>
        </w:tc>
        <w:tc>
          <w:tcPr>
            <w:tcW w:w="2020" w:type="dxa"/>
            <w:tcBorders>
              <w:tl2br w:val="nil"/>
              <w:tr2bl w:val="nil"/>
            </w:tcBorders>
            <w:shd w:val="clear" w:color="auto" w:fill="auto"/>
            <w:vAlign w:val="center"/>
          </w:tcPr>
          <w:p w14:paraId="0D2D4B2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7个工作日</w:t>
            </w:r>
          </w:p>
        </w:tc>
      </w:tr>
      <w:tr w14:paraId="7C504C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00" w:type="dxa"/>
            <w:tcBorders>
              <w:tl2br w:val="nil"/>
              <w:tr2bl w:val="nil"/>
            </w:tcBorders>
            <w:shd w:val="clear" w:color="auto" w:fill="auto"/>
            <w:vAlign w:val="center"/>
          </w:tcPr>
          <w:p w14:paraId="2BE3825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63</w:t>
            </w:r>
          </w:p>
        </w:tc>
        <w:tc>
          <w:tcPr>
            <w:tcW w:w="2190" w:type="dxa"/>
            <w:tcBorders>
              <w:tl2br w:val="nil"/>
              <w:tr2bl w:val="nil"/>
            </w:tcBorders>
            <w:shd w:val="clear" w:color="auto" w:fill="auto"/>
            <w:vAlign w:val="center"/>
          </w:tcPr>
          <w:p w14:paraId="0C4FD56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血清/尿免疫固定电泳</w:t>
            </w:r>
          </w:p>
        </w:tc>
        <w:tc>
          <w:tcPr>
            <w:tcW w:w="1722" w:type="dxa"/>
            <w:tcBorders>
              <w:tl2br w:val="nil"/>
              <w:tr2bl w:val="nil"/>
            </w:tcBorders>
            <w:shd w:val="clear" w:color="auto" w:fill="auto"/>
            <w:vAlign w:val="center"/>
          </w:tcPr>
          <w:p w14:paraId="481CE91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琼脂糖凝胶电泳法</w:t>
            </w:r>
          </w:p>
        </w:tc>
        <w:tc>
          <w:tcPr>
            <w:tcW w:w="2419" w:type="dxa"/>
            <w:tcBorders>
              <w:tl2br w:val="nil"/>
              <w:tr2bl w:val="nil"/>
            </w:tcBorders>
            <w:shd w:val="clear" w:color="auto" w:fill="auto"/>
            <w:vAlign w:val="center"/>
          </w:tcPr>
          <w:p w14:paraId="7BF90AE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（分离胶管）血清1ml，2-8℃快速送检，请务必详尽填写申请单。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（尿管，不添加防腐剂）尿液2ml，2-8℃快速送检，请务必详尽填写申请单。</w:t>
            </w:r>
          </w:p>
        </w:tc>
        <w:tc>
          <w:tcPr>
            <w:tcW w:w="2020" w:type="dxa"/>
            <w:tcBorders>
              <w:tl2br w:val="nil"/>
              <w:tr2bl w:val="nil"/>
            </w:tcBorders>
            <w:shd w:val="clear" w:color="auto" w:fill="auto"/>
            <w:vAlign w:val="center"/>
          </w:tcPr>
          <w:p w14:paraId="71C0908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2天</w:t>
            </w:r>
          </w:p>
        </w:tc>
      </w:tr>
      <w:tr w14:paraId="7FE540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1D04983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2190" w:type="dxa"/>
            <w:tcBorders>
              <w:tl2br w:val="nil"/>
              <w:tr2bl w:val="nil"/>
            </w:tcBorders>
            <w:shd w:val="clear" w:color="auto" w:fill="auto"/>
            <w:vAlign w:val="center"/>
          </w:tcPr>
          <w:p w14:paraId="424D2D3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血清游离轻链检测</w:t>
            </w:r>
          </w:p>
        </w:tc>
        <w:tc>
          <w:tcPr>
            <w:tcW w:w="1722" w:type="dxa"/>
            <w:tcBorders>
              <w:tl2br w:val="nil"/>
              <w:tr2bl w:val="nil"/>
            </w:tcBorders>
            <w:shd w:val="clear" w:color="auto" w:fill="auto"/>
            <w:vAlign w:val="center"/>
          </w:tcPr>
          <w:p w14:paraId="071A46F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散射比浊法</w:t>
            </w:r>
          </w:p>
        </w:tc>
        <w:tc>
          <w:tcPr>
            <w:tcW w:w="2419" w:type="dxa"/>
            <w:tcBorders>
              <w:tl2br w:val="nil"/>
              <w:tr2bl w:val="nil"/>
            </w:tcBorders>
            <w:shd w:val="clear" w:color="auto" w:fill="auto"/>
            <w:vAlign w:val="center"/>
          </w:tcPr>
          <w:p w14:paraId="1275699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（分离胶管）血清2ml，2-8℃快速送检，请务必详尽填写申请单。</w:t>
            </w:r>
          </w:p>
        </w:tc>
        <w:tc>
          <w:tcPr>
            <w:tcW w:w="2020" w:type="dxa"/>
            <w:tcBorders>
              <w:tl2br w:val="nil"/>
              <w:tr2bl w:val="nil"/>
            </w:tcBorders>
            <w:shd w:val="clear" w:color="auto" w:fill="auto"/>
            <w:vAlign w:val="center"/>
          </w:tcPr>
          <w:p w14:paraId="132728E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周一、周三、周五检测，次日报告</w:t>
            </w:r>
          </w:p>
        </w:tc>
      </w:tr>
      <w:tr w14:paraId="5C8F00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1A7ACF8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2190" w:type="dxa"/>
            <w:tcBorders>
              <w:tl2br w:val="nil"/>
              <w:tr2bl w:val="nil"/>
            </w:tcBorders>
            <w:shd w:val="clear" w:color="auto" w:fill="auto"/>
            <w:vAlign w:val="center"/>
          </w:tcPr>
          <w:p w14:paraId="658220C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单基因突变检测 (365）</w:t>
            </w:r>
          </w:p>
        </w:tc>
        <w:tc>
          <w:tcPr>
            <w:tcW w:w="1722" w:type="dxa"/>
            <w:tcBorders>
              <w:tl2br w:val="nil"/>
              <w:tr2bl w:val="nil"/>
            </w:tcBorders>
            <w:shd w:val="clear" w:color="auto" w:fill="auto"/>
            <w:vAlign w:val="center"/>
          </w:tcPr>
          <w:p w14:paraId="01DEBB5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血液科专用</w:t>
            </w:r>
          </w:p>
        </w:tc>
        <w:tc>
          <w:tcPr>
            <w:tcW w:w="2419" w:type="dxa"/>
            <w:vMerge w:val="restart"/>
            <w:tcBorders>
              <w:tl2br w:val="nil"/>
              <w:tr2bl w:val="nil"/>
            </w:tcBorders>
            <w:shd w:val="clear" w:color="auto" w:fill="auto"/>
            <w:vAlign w:val="center"/>
          </w:tcPr>
          <w:p w14:paraId="058EADE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1.EDTA抗凝骨髓2-3ml/外周血5ml，2-8℃快速送检；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2.对于初诊病人为确保准确性，建议使用骨髓;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3.请务必详尽填写申请单。</w:t>
            </w:r>
          </w:p>
        </w:tc>
        <w:tc>
          <w:tcPr>
            <w:tcW w:w="2020" w:type="dxa"/>
            <w:tcBorders>
              <w:tl2br w:val="nil"/>
              <w:tr2bl w:val="nil"/>
            </w:tcBorders>
            <w:shd w:val="clear" w:color="auto" w:fill="auto"/>
            <w:vAlign w:val="center"/>
          </w:tcPr>
          <w:p w14:paraId="79FBE46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0DE04C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11DFDF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2190" w:type="dxa"/>
            <w:tcBorders>
              <w:tl2br w:val="nil"/>
              <w:tr2bl w:val="nil"/>
            </w:tcBorders>
            <w:shd w:val="clear" w:color="auto" w:fill="auto"/>
            <w:vAlign w:val="center"/>
          </w:tcPr>
          <w:p w14:paraId="4ED44D6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单基因突变检测（400）</w:t>
            </w:r>
          </w:p>
        </w:tc>
        <w:tc>
          <w:tcPr>
            <w:tcW w:w="1722" w:type="dxa"/>
            <w:tcBorders>
              <w:tl2br w:val="nil"/>
              <w:tr2bl w:val="nil"/>
            </w:tcBorders>
            <w:shd w:val="clear" w:color="auto" w:fill="auto"/>
            <w:vAlign w:val="center"/>
          </w:tcPr>
          <w:p w14:paraId="1F7A999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血液科专用</w:t>
            </w:r>
          </w:p>
        </w:tc>
        <w:tc>
          <w:tcPr>
            <w:tcW w:w="2419" w:type="dxa"/>
            <w:vMerge w:val="continue"/>
            <w:tcBorders>
              <w:tl2br w:val="nil"/>
              <w:tr2bl w:val="nil"/>
            </w:tcBorders>
            <w:shd w:val="clear" w:color="auto" w:fill="auto"/>
            <w:vAlign w:val="center"/>
          </w:tcPr>
          <w:p w14:paraId="5AAF3A16">
            <w:pPr>
              <w:spacing w:line="360" w:lineRule="auto"/>
              <w:jc w:val="center"/>
              <w:rPr>
                <w:rFonts w:ascii="宋体" w:hAnsi="宋体" w:cs="宋体"/>
                <w:color w:val="auto"/>
                <w:sz w:val="22"/>
                <w:szCs w:val="22"/>
                <w:highlight w:val="none"/>
              </w:rPr>
            </w:pPr>
          </w:p>
        </w:tc>
        <w:tc>
          <w:tcPr>
            <w:tcW w:w="2020" w:type="dxa"/>
            <w:tcBorders>
              <w:tl2br w:val="nil"/>
              <w:tr2bl w:val="nil"/>
            </w:tcBorders>
            <w:shd w:val="clear" w:color="auto" w:fill="auto"/>
            <w:vAlign w:val="center"/>
          </w:tcPr>
          <w:p w14:paraId="04D758F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6B60C8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F8AF18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2190" w:type="dxa"/>
            <w:tcBorders>
              <w:tl2br w:val="nil"/>
              <w:tr2bl w:val="nil"/>
            </w:tcBorders>
            <w:shd w:val="clear" w:color="auto" w:fill="auto"/>
            <w:vAlign w:val="center"/>
          </w:tcPr>
          <w:p w14:paraId="04F8337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单基因突变检测（548）</w:t>
            </w:r>
          </w:p>
        </w:tc>
        <w:tc>
          <w:tcPr>
            <w:tcW w:w="1722" w:type="dxa"/>
            <w:tcBorders>
              <w:tl2br w:val="nil"/>
              <w:tr2bl w:val="nil"/>
            </w:tcBorders>
            <w:shd w:val="clear" w:color="auto" w:fill="auto"/>
            <w:vAlign w:val="center"/>
          </w:tcPr>
          <w:p w14:paraId="5ED11B6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血液科专用</w:t>
            </w:r>
          </w:p>
        </w:tc>
        <w:tc>
          <w:tcPr>
            <w:tcW w:w="2419" w:type="dxa"/>
            <w:vMerge w:val="continue"/>
            <w:tcBorders>
              <w:tl2br w:val="nil"/>
              <w:tr2bl w:val="nil"/>
            </w:tcBorders>
            <w:shd w:val="clear" w:color="auto" w:fill="auto"/>
            <w:vAlign w:val="center"/>
          </w:tcPr>
          <w:p w14:paraId="6F1BFAD5">
            <w:pPr>
              <w:spacing w:line="360" w:lineRule="auto"/>
              <w:jc w:val="center"/>
              <w:rPr>
                <w:rFonts w:ascii="宋体" w:hAnsi="宋体" w:cs="宋体"/>
                <w:color w:val="auto"/>
                <w:sz w:val="22"/>
                <w:szCs w:val="22"/>
                <w:highlight w:val="none"/>
              </w:rPr>
            </w:pPr>
          </w:p>
        </w:tc>
        <w:tc>
          <w:tcPr>
            <w:tcW w:w="2020" w:type="dxa"/>
            <w:tcBorders>
              <w:tl2br w:val="nil"/>
              <w:tr2bl w:val="nil"/>
            </w:tcBorders>
            <w:shd w:val="clear" w:color="auto" w:fill="auto"/>
            <w:vAlign w:val="center"/>
          </w:tcPr>
          <w:p w14:paraId="0123687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3D46E0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tcBorders>
              <w:tl2br w:val="nil"/>
              <w:tr2bl w:val="nil"/>
            </w:tcBorders>
            <w:shd w:val="clear" w:color="auto" w:fill="auto"/>
            <w:vAlign w:val="center"/>
          </w:tcPr>
          <w:p w14:paraId="20E2F36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2190" w:type="dxa"/>
            <w:tcBorders>
              <w:tl2br w:val="nil"/>
              <w:tr2bl w:val="nil"/>
            </w:tcBorders>
            <w:shd w:val="clear" w:color="auto" w:fill="auto"/>
            <w:vAlign w:val="center"/>
          </w:tcPr>
          <w:p w14:paraId="50133A8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MM FISH 6项基础套餐</w:t>
            </w:r>
          </w:p>
        </w:tc>
        <w:tc>
          <w:tcPr>
            <w:tcW w:w="1722" w:type="dxa"/>
            <w:tcBorders>
              <w:tl2br w:val="nil"/>
              <w:tr2bl w:val="nil"/>
            </w:tcBorders>
            <w:shd w:val="clear" w:color="auto" w:fill="auto"/>
            <w:vAlign w:val="center"/>
          </w:tcPr>
          <w:p w14:paraId="068FDE8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FISH</w:t>
            </w:r>
          </w:p>
        </w:tc>
        <w:tc>
          <w:tcPr>
            <w:tcW w:w="2419" w:type="dxa"/>
            <w:tcBorders>
              <w:tl2br w:val="nil"/>
              <w:tr2bl w:val="nil"/>
            </w:tcBorders>
            <w:shd w:val="clear" w:color="auto" w:fill="auto"/>
            <w:vAlign w:val="center"/>
          </w:tcPr>
          <w:p w14:paraId="15847EB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1.肝素或EDTA抗凝骨髓液3-5ml或5ml外周血（CML或外周血肿瘤细胞＞5%）； 2.请详细填写申请单</w:t>
            </w:r>
          </w:p>
        </w:tc>
        <w:tc>
          <w:tcPr>
            <w:tcW w:w="2020" w:type="dxa"/>
            <w:tcBorders>
              <w:tl2br w:val="nil"/>
              <w:tr2bl w:val="nil"/>
            </w:tcBorders>
            <w:shd w:val="clear" w:color="auto" w:fill="auto"/>
            <w:vAlign w:val="center"/>
          </w:tcPr>
          <w:p w14:paraId="3E14950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156BD7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tcBorders>
              <w:tl2br w:val="nil"/>
              <w:tr2bl w:val="nil"/>
            </w:tcBorders>
            <w:shd w:val="clear" w:color="auto" w:fill="auto"/>
            <w:vAlign w:val="center"/>
          </w:tcPr>
          <w:p w14:paraId="732C377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2190" w:type="dxa"/>
            <w:tcBorders>
              <w:tl2br w:val="nil"/>
              <w:tr2bl w:val="nil"/>
            </w:tcBorders>
            <w:shd w:val="clear" w:color="auto" w:fill="auto"/>
            <w:vAlign w:val="center"/>
          </w:tcPr>
          <w:p w14:paraId="2BDE09D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MM FISH 5项加做套餐</w:t>
            </w:r>
          </w:p>
        </w:tc>
        <w:tc>
          <w:tcPr>
            <w:tcW w:w="1722" w:type="dxa"/>
            <w:tcBorders>
              <w:tl2br w:val="nil"/>
              <w:tr2bl w:val="nil"/>
            </w:tcBorders>
            <w:shd w:val="clear" w:color="auto" w:fill="auto"/>
            <w:vAlign w:val="center"/>
          </w:tcPr>
          <w:p w14:paraId="6DEF9E0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FISH</w:t>
            </w:r>
          </w:p>
        </w:tc>
        <w:tc>
          <w:tcPr>
            <w:tcW w:w="2419" w:type="dxa"/>
            <w:tcBorders>
              <w:tl2br w:val="nil"/>
              <w:tr2bl w:val="nil"/>
            </w:tcBorders>
            <w:shd w:val="clear" w:color="auto" w:fill="auto"/>
            <w:vAlign w:val="center"/>
          </w:tcPr>
          <w:p w14:paraId="7373C3C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1.肝素/EDTA抗凝骨髓3-5ml/外周血5ml（外周血肿瘤细胞＞30%）；2.2-8℃快速送检；3.请务必详尽填写申请单。</w:t>
            </w:r>
          </w:p>
        </w:tc>
        <w:tc>
          <w:tcPr>
            <w:tcW w:w="2020" w:type="dxa"/>
            <w:tcBorders>
              <w:tl2br w:val="nil"/>
              <w:tr2bl w:val="nil"/>
            </w:tcBorders>
            <w:shd w:val="clear" w:color="auto" w:fill="auto"/>
            <w:vAlign w:val="center"/>
          </w:tcPr>
          <w:p w14:paraId="15DCE1D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5A0D05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842433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2190" w:type="dxa"/>
            <w:tcBorders>
              <w:tl2br w:val="nil"/>
              <w:tr2bl w:val="nil"/>
            </w:tcBorders>
            <w:shd w:val="clear" w:color="auto" w:fill="auto"/>
            <w:vAlign w:val="center"/>
          </w:tcPr>
          <w:p w14:paraId="1DACEF7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副肿瘤抗体14项+血液</w:t>
            </w:r>
          </w:p>
        </w:tc>
        <w:tc>
          <w:tcPr>
            <w:tcW w:w="1722" w:type="dxa"/>
            <w:tcBorders>
              <w:tl2br w:val="nil"/>
              <w:tr2bl w:val="nil"/>
            </w:tcBorders>
            <w:shd w:val="clear" w:color="auto" w:fill="auto"/>
            <w:vAlign w:val="center"/>
          </w:tcPr>
          <w:p w14:paraId="53AB67A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免疫斑点法</w:t>
            </w:r>
          </w:p>
        </w:tc>
        <w:tc>
          <w:tcPr>
            <w:tcW w:w="2419" w:type="dxa"/>
            <w:vMerge w:val="restart"/>
            <w:tcBorders>
              <w:tl2br w:val="nil"/>
              <w:tr2bl w:val="nil"/>
            </w:tcBorders>
            <w:shd w:val="clear" w:color="auto" w:fill="auto"/>
            <w:vAlign w:val="center"/>
          </w:tcPr>
          <w:p w14:paraId="65F8741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血清/脑脊液，建议血清及脑脊液同时送检，血清与脑脊液至少各1ml</w:t>
            </w:r>
          </w:p>
        </w:tc>
        <w:tc>
          <w:tcPr>
            <w:tcW w:w="2020" w:type="dxa"/>
            <w:tcBorders>
              <w:tl2br w:val="nil"/>
              <w:tr2bl w:val="nil"/>
            </w:tcBorders>
            <w:shd w:val="clear" w:color="auto" w:fill="auto"/>
            <w:vAlign w:val="center"/>
          </w:tcPr>
          <w:p w14:paraId="01E397A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4个工作日</w:t>
            </w:r>
          </w:p>
        </w:tc>
      </w:tr>
      <w:tr w14:paraId="779EA2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16F0DE6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2190" w:type="dxa"/>
            <w:tcBorders>
              <w:tl2br w:val="nil"/>
              <w:tr2bl w:val="nil"/>
            </w:tcBorders>
            <w:shd w:val="clear" w:color="auto" w:fill="auto"/>
            <w:vAlign w:val="center"/>
          </w:tcPr>
          <w:p w14:paraId="0499B32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副肿瘤抗体14项+脑脊液</w:t>
            </w:r>
          </w:p>
        </w:tc>
        <w:tc>
          <w:tcPr>
            <w:tcW w:w="1722" w:type="dxa"/>
            <w:tcBorders>
              <w:tl2br w:val="nil"/>
              <w:tr2bl w:val="nil"/>
            </w:tcBorders>
            <w:shd w:val="clear" w:color="auto" w:fill="auto"/>
            <w:vAlign w:val="center"/>
          </w:tcPr>
          <w:p w14:paraId="058A11A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免疫斑点法</w:t>
            </w:r>
          </w:p>
        </w:tc>
        <w:tc>
          <w:tcPr>
            <w:tcW w:w="2419" w:type="dxa"/>
            <w:vMerge w:val="continue"/>
            <w:tcBorders>
              <w:tl2br w:val="nil"/>
              <w:tr2bl w:val="nil"/>
            </w:tcBorders>
            <w:shd w:val="clear" w:color="auto" w:fill="auto"/>
            <w:vAlign w:val="center"/>
          </w:tcPr>
          <w:p w14:paraId="1EB60BAC">
            <w:pPr>
              <w:spacing w:line="360" w:lineRule="auto"/>
              <w:jc w:val="center"/>
              <w:rPr>
                <w:rFonts w:ascii="宋体" w:hAnsi="宋体" w:cs="宋体"/>
                <w:color w:val="auto"/>
                <w:sz w:val="22"/>
                <w:szCs w:val="22"/>
                <w:highlight w:val="none"/>
              </w:rPr>
            </w:pPr>
          </w:p>
        </w:tc>
        <w:tc>
          <w:tcPr>
            <w:tcW w:w="2020" w:type="dxa"/>
            <w:tcBorders>
              <w:tl2br w:val="nil"/>
              <w:tr2bl w:val="nil"/>
            </w:tcBorders>
            <w:shd w:val="clear" w:color="auto" w:fill="auto"/>
            <w:vAlign w:val="center"/>
          </w:tcPr>
          <w:p w14:paraId="3FF40DD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4个工作日</w:t>
            </w:r>
          </w:p>
        </w:tc>
      </w:tr>
      <w:tr w14:paraId="3A4F24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08C74A8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2190" w:type="dxa"/>
            <w:tcBorders>
              <w:tl2br w:val="nil"/>
              <w:tr2bl w:val="nil"/>
            </w:tcBorders>
            <w:shd w:val="clear" w:color="auto" w:fill="auto"/>
            <w:vAlign w:val="center"/>
          </w:tcPr>
          <w:p w14:paraId="054C6C8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自免脑8项+血液</w:t>
            </w:r>
          </w:p>
        </w:tc>
        <w:tc>
          <w:tcPr>
            <w:tcW w:w="1722" w:type="dxa"/>
            <w:tcBorders>
              <w:tl2br w:val="nil"/>
              <w:tr2bl w:val="nil"/>
            </w:tcBorders>
            <w:shd w:val="clear" w:color="auto" w:fill="auto"/>
            <w:vAlign w:val="center"/>
          </w:tcPr>
          <w:p w14:paraId="2B65710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转染细胞法</w:t>
            </w:r>
          </w:p>
        </w:tc>
        <w:tc>
          <w:tcPr>
            <w:tcW w:w="2419" w:type="dxa"/>
            <w:vMerge w:val="restart"/>
            <w:tcBorders>
              <w:tl2br w:val="nil"/>
              <w:tr2bl w:val="nil"/>
            </w:tcBorders>
            <w:shd w:val="clear" w:color="auto" w:fill="auto"/>
            <w:vAlign w:val="center"/>
          </w:tcPr>
          <w:p w14:paraId="600EBB0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血清/脑脊液，建议血清及脑脊液同时送检，血清与脑脊液至少各1ml</w:t>
            </w:r>
          </w:p>
        </w:tc>
        <w:tc>
          <w:tcPr>
            <w:tcW w:w="2020" w:type="dxa"/>
            <w:tcBorders>
              <w:tl2br w:val="nil"/>
              <w:tr2bl w:val="nil"/>
            </w:tcBorders>
            <w:shd w:val="clear" w:color="auto" w:fill="auto"/>
            <w:vAlign w:val="center"/>
          </w:tcPr>
          <w:p w14:paraId="67D576B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4个工作日</w:t>
            </w:r>
          </w:p>
        </w:tc>
      </w:tr>
      <w:tr w14:paraId="273887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714146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2190" w:type="dxa"/>
            <w:tcBorders>
              <w:tl2br w:val="nil"/>
              <w:tr2bl w:val="nil"/>
            </w:tcBorders>
            <w:shd w:val="clear" w:color="auto" w:fill="auto"/>
            <w:vAlign w:val="center"/>
          </w:tcPr>
          <w:p w14:paraId="4624152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自免脑8项+脑脊液</w:t>
            </w:r>
          </w:p>
        </w:tc>
        <w:tc>
          <w:tcPr>
            <w:tcW w:w="1722" w:type="dxa"/>
            <w:tcBorders>
              <w:tl2br w:val="nil"/>
              <w:tr2bl w:val="nil"/>
            </w:tcBorders>
            <w:shd w:val="clear" w:color="auto" w:fill="auto"/>
            <w:vAlign w:val="center"/>
          </w:tcPr>
          <w:p w14:paraId="608EC41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转染细胞法</w:t>
            </w:r>
          </w:p>
        </w:tc>
        <w:tc>
          <w:tcPr>
            <w:tcW w:w="2419" w:type="dxa"/>
            <w:vMerge w:val="continue"/>
            <w:tcBorders>
              <w:tl2br w:val="nil"/>
              <w:tr2bl w:val="nil"/>
            </w:tcBorders>
            <w:shd w:val="clear" w:color="auto" w:fill="auto"/>
            <w:vAlign w:val="center"/>
          </w:tcPr>
          <w:p w14:paraId="40AAF13A">
            <w:pPr>
              <w:spacing w:line="360" w:lineRule="auto"/>
              <w:jc w:val="center"/>
              <w:rPr>
                <w:rFonts w:ascii="宋体" w:hAnsi="宋体" w:cs="宋体"/>
                <w:color w:val="auto"/>
                <w:sz w:val="22"/>
                <w:szCs w:val="22"/>
                <w:highlight w:val="none"/>
              </w:rPr>
            </w:pPr>
          </w:p>
        </w:tc>
        <w:tc>
          <w:tcPr>
            <w:tcW w:w="2020" w:type="dxa"/>
            <w:tcBorders>
              <w:tl2br w:val="nil"/>
              <w:tr2bl w:val="nil"/>
            </w:tcBorders>
            <w:shd w:val="clear" w:color="auto" w:fill="auto"/>
            <w:vAlign w:val="center"/>
          </w:tcPr>
          <w:p w14:paraId="70B8BBA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4个工作日</w:t>
            </w:r>
          </w:p>
        </w:tc>
      </w:tr>
      <w:tr w14:paraId="7C372C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26B6CE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2190" w:type="dxa"/>
            <w:tcBorders>
              <w:tl2br w:val="nil"/>
              <w:tr2bl w:val="nil"/>
            </w:tcBorders>
            <w:shd w:val="clear" w:color="auto" w:fill="auto"/>
            <w:vAlign w:val="center"/>
          </w:tcPr>
          <w:p w14:paraId="05AF664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肌炎抗体谱12项</w:t>
            </w:r>
          </w:p>
        </w:tc>
        <w:tc>
          <w:tcPr>
            <w:tcW w:w="1722" w:type="dxa"/>
            <w:tcBorders>
              <w:tl2br w:val="nil"/>
              <w:tr2bl w:val="nil"/>
            </w:tcBorders>
            <w:shd w:val="clear" w:color="auto" w:fill="auto"/>
            <w:vAlign w:val="center"/>
          </w:tcPr>
          <w:p w14:paraId="7888BDC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免疫斑点法</w:t>
            </w:r>
          </w:p>
        </w:tc>
        <w:tc>
          <w:tcPr>
            <w:tcW w:w="2419" w:type="dxa"/>
            <w:tcBorders>
              <w:tl2br w:val="nil"/>
              <w:tr2bl w:val="nil"/>
            </w:tcBorders>
            <w:shd w:val="clear" w:color="auto" w:fill="auto"/>
            <w:vAlign w:val="center"/>
          </w:tcPr>
          <w:p w14:paraId="70E7E72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血清2ml</w:t>
            </w:r>
          </w:p>
        </w:tc>
        <w:tc>
          <w:tcPr>
            <w:tcW w:w="2020" w:type="dxa"/>
            <w:tcBorders>
              <w:tl2br w:val="nil"/>
              <w:tr2bl w:val="nil"/>
            </w:tcBorders>
            <w:shd w:val="clear" w:color="auto" w:fill="auto"/>
            <w:vAlign w:val="center"/>
          </w:tcPr>
          <w:p w14:paraId="098885C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45BCD6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 w:type="dxa"/>
            <w:tcBorders>
              <w:tl2br w:val="nil"/>
              <w:tr2bl w:val="nil"/>
            </w:tcBorders>
            <w:shd w:val="clear" w:color="auto" w:fill="auto"/>
            <w:vAlign w:val="center"/>
          </w:tcPr>
          <w:p w14:paraId="5A94D79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2190" w:type="dxa"/>
            <w:tcBorders>
              <w:tl2br w:val="nil"/>
              <w:tr2bl w:val="nil"/>
            </w:tcBorders>
            <w:shd w:val="clear" w:color="auto" w:fill="auto"/>
            <w:vAlign w:val="center"/>
          </w:tcPr>
          <w:p w14:paraId="750728D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抗β2糖蛋白1抗体三项</w:t>
            </w:r>
          </w:p>
        </w:tc>
        <w:tc>
          <w:tcPr>
            <w:tcW w:w="1722" w:type="dxa"/>
            <w:tcBorders>
              <w:tl2br w:val="nil"/>
              <w:tr2bl w:val="nil"/>
            </w:tcBorders>
            <w:shd w:val="clear" w:color="auto" w:fill="auto"/>
            <w:vAlign w:val="center"/>
          </w:tcPr>
          <w:p w14:paraId="382F5F7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化学发光法</w:t>
            </w:r>
          </w:p>
        </w:tc>
        <w:tc>
          <w:tcPr>
            <w:tcW w:w="2419" w:type="dxa"/>
            <w:tcBorders>
              <w:tl2br w:val="nil"/>
              <w:tr2bl w:val="nil"/>
            </w:tcBorders>
            <w:shd w:val="clear" w:color="auto" w:fill="auto"/>
            <w:vAlign w:val="center"/>
          </w:tcPr>
          <w:p w14:paraId="70FD20A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w:t>
            </w:r>
          </w:p>
        </w:tc>
        <w:tc>
          <w:tcPr>
            <w:tcW w:w="2020" w:type="dxa"/>
            <w:tcBorders>
              <w:tl2br w:val="nil"/>
              <w:tr2bl w:val="nil"/>
            </w:tcBorders>
            <w:shd w:val="clear" w:color="auto" w:fill="auto"/>
            <w:vAlign w:val="center"/>
          </w:tcPr>
          <w:p w14:paraId="526AE96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周一至周五白天检测,次日报告</w:t>
            </w:r>
          </w:p>
        </w:tc>
      </w:tr>
      <w:tr w14:paraId="74EC77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27A6343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2190" w:type="dxa"/>
            <w:tcBorders>
              <w:tl2br w:val="nil"/>
              <w:tr2bl w:val="nil"/>
            </w:tcBorders>
            <w:shd w:val="clear" w:color="auto" w:fill="auto"/>
            <w:vAlign w:val="center"/>
          </w:tcPr>
          <w:p w14:paraId="332285B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AQP4抗体检测</w:t>
            </w:r>
          </w:p>
        </w:tc>
        <w:tc>
          <w:tcPr>
            <w:tcW w:w="1722" w:type="dxa"/>
            <w:tcBorders>
              <w:tl2br w:val="nil"/>
              <w:tr2bl w:val="nil"/>
            </w:tcBorders>
            <w:shd w:val="clear" w:color="auto" w:fill="auto"/>
            <w:vAlign w:val="center"/>
          </w:tcPr>
          <w:p w14:paraId="2A04E94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转染细胞法</w:t>
            </w:r>
          </w:p>
        </w:tc>
        <w:tc>
          <w:tcPr>
            <w:tcW w:w="2419" w:type="dxa"/>
            <w:tcBorders>
              <w:tl2br w:val="nil"/>
              <w:tr2bl w:val="nil"/>
            </w:tcBorders>
            <w:shd w:val="clear" w:color="auto" w:fill="auto"/>
            <w:vAlign w:val="center"/>
          </w:tcPr>
          <w:p w14:paraId="05C367D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血清2ml</w:t>
            </w:r>
          </w:p>
        </w:tc>
        <w:tc>
          <w:tcPr>
            <w:tcW w:w="2020" w:type="dxa"/>
            <w:tcBorders>
              <w:tl2br w:val="nil"/>
              <w:tr2bl w:val="nil"/>
            </w:tcBorders>
            <w:shd w:val="clear" w:color="auto" w:fill="auto"/>
            <w:vAlign w:val="center"/>
          </w:tcPr>
          <w:p w14:paraId="2663E45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145267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31795BD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2190" w:type="dxa"/>
            <w:tcBorders>
              <w:tl2br w:val="nil"/>
              <w:tr2bl w:val="nil"/>
            </w:tcBorders>
            <w:shd w:val="clear" w:color="auto" w:fill="auto"/>
            <w:vAlign w:val="center"/>
          </w:tcPr>
          <w:p w14:paraId="4676721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MOG活细胞检测</w:t>
            </w:r>
          </w:p>
        </w:tc>
        <w:tc>
          <w:tcPr>
            <w:tcW w:w="1722" w:type="dxa"/>
            <w:tcBorders>
              <w:tl2br w:val="nil"/>
              <w:tr2bl w:val="nil"/>
            </w:tcBorders>
            <w:shd w:val="clear" w:color="auto" w:fill="auto"/>
            <w:vAlign w:val="center"/>
          </w:tcPr>
          <w:p w14:paraId="3671CA1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转染细胞法</w:t>
            </w:r>
          </w:p>
        </w:tc>
        <w:tc>
          <w:tcPr>
            <w:tcW w:w="2419" w:type="dxa"/>
            <w:tcBorders>
              <w:tl2br w:val="nil"/>
              <w:tr2bl w:val="nil"/>
            </w:tcBorders>
            <w:shd w:val="clear" w:color="auto" w:fill="auto"/>
            <w:vAlign w:val="center"/>
          </w:tcPr>
          <w:p w14:paraId="628F6C0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血清/脑脊液</w:t>
            </w:r>
          </w:p>
        </w:tc>
        <w:tc>
          <w:tcPr>
            <w:tcW w:w="2020" w:type="dxa"/>
            <w:tcBorders>
              <w:tl2br w:val="nil"/>
              <w:tr2bl w:val="nil"/>
            </w:tcBorders>
            <w:shd w:val="clear" w:color="auto" w:fill="auto"/>
            <w:vAlign w:val="center"/>
          </w:tcPr>
          <w:p w14:paraId="26B0795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177409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610B51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2190" w:type="dxa"/>
            <w:tcBorders>
              <w:tl2br w:val="nil"/>
              <w:tr2bl w:val="nil"/>
            </w:tcBorders>
            <w:shd w:val="clear" w:color="auto" w:fill="auto"/>
            <w:vAlign w:val="center"/>
          </w:tcPr>
          <w:p w14:paraId="1DDC5C0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KL-6</w:t>
            </w:r>
          </w:p>
        </w:tc>
        <w:tc>
          <w:tcPr>
            <w:tcW w:w="1722" w:type="dxa"/>
            <w:tcBorders>
              <w:tl2br w:val="nil"/>
              <w:tr2bl w:val="nil"/>
            </w:tcBorders>
            <w:shd w:val="clear" w:color="auto" w:fill="auto"/>
            <w:vAlign w:val="center"/>
          </w:tcPr>
          <w:p w14:paraId="08FDE5F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化学发光免疫分析法</w:t>
            </w:r>
          </w:p>
        </w:tc>
        <w:tc>
          <w:tcPr>
            <w:tcW w:w="2419" w:type="dxa"/>
            <w:tcBorders>
              <w:tl2br w:val="nil"/>
              <w:tr2bl w:val="nil"/>
            </w:tcBorders>
            <w:shd w:val="clear" w:color="auto" w:fill="auto"/>
            <w:vAlign w:val="center"/>
          </w:tcPr>
          <w:p w14:paraId="752C48B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血清1ml</w:t>
            </w:r>
          </w:p>
        </w:tc>
        <w:tc>
          <w:tcPr>
            <w:tcW w:w="2020" w:type="dxa"/>
            <w:tcBorders>
              <w:tl2br w:val="nil"/>
              <w:tr2bl w:val="nil"/>
            </w:tcBorders>
            <w:shd w:val="clear" w:color="auto" w:fill="auto"/>
            <w:vAlign w:val="center"/>
          </w:tcPr>
          <w:p w14:paraId="16658B4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周一、周四检测，次日报告</w:t>
            </w:r>
          </w:p>
        </w:tc>
      </w:tr>
      <w:tr w14:paraId="19D085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575C56F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2190" w:type="dxa"/>
            <w:tcBorders>
              <w:tl2br w:val="nil"/>
              <w:tr2bl w:val="nil"/>
            </w:tcBorders>
            <w:shd w:val="clear" w:color="auto" w:fill="auto"/>
            <w:vAlign w:val="center"/>
          </w:tcPr>
          <w:p w14:paraId="099FCD5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单基因遗传病验证（单个位点）</w:t>
            </w:r>
          </w:p>
        </w:tc>
        <w:tc>
          <w:tcPr>
            <w:tcW w:w="1722" w:type="dxa"/>
            <w:tcBorders>
              <w:tl2br w:val="nil"/>
              <w:tr2bl w:val="nil"/>
            </w:tcBorders>
            <w:shd w:val="clear" w:color="auto" w:fill="auto"/>
            <w:vAlign w:val="center"/>
          </w:tcPr>
          <w:p w14:paraId="3BBF6C3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Sanger测序法</w:t>
            </w:r>
          </w:p>
        </w:tc>
        <w:tc>
          <w:tcPr>
            <w:tcW w:w="2419" w:type="dxa"/>
            <w:tcBorders>
              <w:tl2br w:val="nil"/>
              <w:tr2bl w:val="nil"/>
            </w:tcBorders>
            <w:shd w:val="clear" w:color="auto" w:fill="auto"/>
            <w:vAlign w:val="center"/>
          </w:tcPr>
          <w:p w14:paraId="0B91CBD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EDTA抗凝全血2ml</w:t>
            </w:r>
          </w:p>
        </w:tc>
        <w:tc>
          <w:tcPr>
            <w:tcW w:w="2020" w:type="dxa"/>
            <w:tcBorders>
              <w:tl2br w:val="nil"/>
              <w:tr2bl w:val="nil"/>
            </w:tcBorders>
            <w:shd w:val="clear" w:color="auto" w:fill="auto"/>
            <w:vAlign w:val="center"/>
          </w:tcPr>
          <w:p w14:paraId="4E5454D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7个工作日</w:t>
            </w:r>
          </w:p>
        </w:tc>
      </w:tr>
      <w:tr w14:paraId="29E768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00" w:type="dxa"/>
            <w:tcBorders>
              <w:tl2br w:val="nil"/>
              <w:tr2bl w:val="nil"/>
            </w:tcBorders>
            <w:shd w:val="clear" w:color="auto" w:fill="auto"/>
            <w:vAlign w:val="center"/>
          </w:tcPr>
          <w:p w14:paraId="0DC655F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2190" w:type="dxa"/>
            <w:tcBorders>
              <w:tl2br w:val="nil"/>
              <w:tr2bl w:val="nil"/>
            </w:tcBorders>
            <w:shd w:val="clear" w:color="auto" w:fill="auto"/>
            <w:vAlign w:val="center"/>
          </w:tcPr>
          <w:p w14:paraId="389C056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心脑血管用药21基因</w:t>
            </w:r>
          </w:p>
        </w:tc>
        <w:tc>
          <w:tcPr>
            <w:tcW w:w="1722" w:type="dxa"/>
            <w:tcBorders>
              <w:tl2br w:val="nil"/>
              <w:tr2bl w:val="nil"/>
            </w:tcBorders>
            <w:shd w:val="clear" w:color="auto" w:fill="auto"/>
            <w:vAlign w:val="center"/>
          </w:tcPr>
          <w:p w14:paraId="013F8E7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核酸质谱法MassARRAY</w:t>
            </w:r>
          </w:p>
        </w:tc>
        <w:tc>
          <w:tcPr>
            <w:tcW w:w="2419" w:type="dxa"/>
            <w:tcBorders>
              <w:tl2br w:val="nil"/>
              <w:tr2bl w:val="nil"/>
            </w:tcBorders>
            <w:shd w:val="clear" w:color="auto" w:fill="auto"/>
            <w:vAlign w:val="center"/>
          </w:tcPr>
          <w:p w14:paraId="525EEC8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1、外周血：EDTA抗凝全血2ml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2、口腔拭子：2根，均匀涂刮，采集足够的口腔黏膜上皮组织细胞</w:t>
            </w:r>
          </w:p>
        </w:tc>
        <w:tc>
          <w:tcPr>
            <w:tcW w:w="2020" w:type="dxa"/>
            <w:tcBorders>
              <w:tl2br w:val="nil"/>
              <w:tr2bl w:val="nil"/>
            </w:tcBorders>
            <w:shd w:val="clear" w:color="auto" w:fill="auto"/>
            <w:vAlign w:val="center"/>
          </w:tcPr>
          <w:p w14:paraId="59F064E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3个工作日</w:t>
            </w:r>
          </w:p>
        </w:tc>
      </w:tr>
      <w:tr w14:paraId="27BA24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462E978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2190" w:type="dxa"/>
            <w:tcBorders>
              <w:tl2br w:val="nil"/>
              <w:tr2bl w:val="nil"/>
            </w:tcBorders>
            <w:shd w:val="clear" w:color="auto" w:fill="auto"/>
            <w:vAlign w:val="center"/>
          </w:tcPr>
          <w:p w14:paraId="6A52D98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血液病TP53</w:t>
            </w:r>
          </w:p>
        </w:tc>
        <w:tc>
          <w:tcPr>
            <w:tcW w:w="1722" w:type="dxa"/>
            <w:tcBorders>
              <w:tl2br w:val="nil"/>
              <w:tr2bl w:val="nil"/>
            </w:tcBorders>
            <w:shd w:val="clear" w:color="auto" w:fill="auto"/>
            <w:vAlign w:val="center"/>
          </w:tcPr>
          <w:p w14:paraId="721C403D">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Sanger测序法</w:t>
            </w:r>
          </w:p>
        </w:tc>
        <w:tc>
          <w:tcPr>
            <w:tcW w:w="2419" w:type="dxa"/>
            <w:tcBorders>
              <w:tl2br w:val="nil"/>
              <w:tr2bl w:val="nil"/>
            </w:tcBorders>
            <w:shd w:val="clear" w:color="auto" w:fill="auto"/>
            <w:vAlign w:val="center"/>
          </w:tcPr>
          <w:p w14:paraId="606F678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2-3ml骨髓或外周血（EDTA抗凝）</w:t>
            </w:r>
          </w:p>
        </w:tc>
        <w:tc>
          <w:tcPr>
            <w:tcW w:w="2020" w:type="dxa"/>
            <w:tcBorders>
              <w:tl2br w:val="nil"/>
              <w:tr2bl w:val="nil"/>
            </w:tcBorders>
            <w:shd w:val="clear" w:color="auto" w:fill="auto"/>
            <w:vAlign w:val="center"/>
          </w:tcPr>
          <w:p w14:paraId="2D91E52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45CD8B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00" w:type="dxa"/>
            <w:tcBorders>
              <w:tl2br w:val="nil"/>
              <w:tr2bl w:val="nil"/>
            </w:tcBorders>
            <w:shd w:val="clear" w:color="auto" w:fill="auto"/>
            <w:vAlign w:val="center"/>
          </w:tcPr>
          <w:p w14:paraId="72F16D53">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2190" w:type="dxa"/>
            <w:tcBorders>
              <w:tl2br w:val="nil"/>
              <w:tr2bl w:val="nil"/>
            </w:tcBorders>
            <w:shd w:val="clear" w:color="auto" w:fill="auto"/>
            <w:vAlign w:val="center"/>
          </w:tcPr>
          <w:p w14:paraId="4EE47A6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ABL激酶突变</w:t>
            </w:r>
          </w:p>
        </w:tc>
        <w:tc>
          <w:tcPr>
            <w:tcW w:w="1722" w:type="dxa"/>
            <w:tcBorders>
              <w:tl2br w:val="nil"/>
              <w:tr2bl w:val="nil"/>
            </w:tcBorders>
            <w:shd w:val="clear" w:color="auto" w:fill="auto"/>
            <w:vAlign w:val="center"/>
          </w:tcPr>
          <w:p w14:paraId="10DEDB3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Sanger测序法</w:t>
            </w:r>
          </w:p>
        </w:tc>
        <w:tc>
          <w:tcPr>
            <w:tcW w:w="2419" w:type="dxa"/>
            <w:tcBorders>
              <w:tl2br w:val="nil"/>
              <w:tr2bl w:val="nil"/>
            </w:tcBorders>
            <w:shd w:val="clear" w:color="auto" w:fill="auto"/>
            <w:vAlign w:val="center"/>
          </w:tcPr>
          <w:p w14:paraId="62B3F5A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2-3ml骨髓或外周血（EDTA抗凝）</w:t>
            </w:r>
          </w:p>
        </w:tc>
        <w:tc>
          <w:tcPr>
            <w:tcW w:w="2020" w:type="dxa"/>
            <w:tcBorders>
              <w:tl2br w:val="nil"/>
              <w:tr2bl w:val="nil"/>
            </w:tcBorders>
            <w:shd w:val="clear" w:color="auto" w:fill="auto"/>
            <w:vAlign w:val="center"/>
          </w:tcPr>
          <w:p w14:paraId="29052840">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5个工作日</w:t>
            </w:r>
          </w:p>
        </w:tc>
      </w:tr>
      <w:tr w14:paraId="237993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700" w:type="dxa"/>
            <w:tcBorders>
              <w:tl2br w:val="nil"/>
              <w:tr2bl w:val="nil"/>
            </w:tcBorders>
            <w:shd w:val="clear" w:color="auto" w:fill="auto"/>
            <w:vAlign w:val="center"/>
          </w:tcPr>
          <w:p w14:paraId="63F3F8A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83</w:t>
            </w:r>
          </w:p>
        </w:tc>
        <w:tc>
          <w:tcPr>
            <w:tcW w:w="2190" w:type="dxa"/>
            <w:tcBorders>
              <w:tl2br w:val="nil"/>
              <w:tr2bl w:val="nil"/>
            </w:tcBorders>
            <w:shd w:val="clear" w:color="auto" w:fill="auto"/>
            <w:vAlign w:val="center"/>
          </w:tcPr>
          <w:p w14:paraId="59576BC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人β淀粉样蛋白</w:t>
            </w:r>
          </w:p>
        </w:tc>
        <w:tc>
          <w:tcPr>
            <w:tcW w:w="1722" w:type="dxa"/>
            <w:tcBorders>
              <w:tl2br w:val="nil"/>
              <w:tr2bl w:val="nil"/>
            </w:tcBorders>
            <w:shd w:val="clear" w:color="auto" w:fill="auto"/>
            <w:vAlign w:val="center"/>
          </w:tcPr>
          <w:p w14:paraId="60EA8D6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IP-MS</w:t>
            </w:r>
          </w:p>
        </w:tc>
        <w:tc>
          <w:tcPr>
            <w:tcW w:w="2419" w:type="dxa"/>
            <w:tcBorders>
              <w:tl2br w:val="nil"/>
              <w:tr2bl w:val="nil"/>
            </w:tcBorders>
            <w:shd w:val="clear" w:color="auto" w:fill="auto"/>
            <w:vAlign w:val="center"/>
          </w:tcPr>
          <w:p w14:paraId="4B2251C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EDTA采血管采集全血5ml，倒置混合10次，室温静置30min后1800×g离心10min，取上清分装在聚丙烯管中，2-8℃运输送检.</w:t>
            </w:r>
          </w:p>
        </w:tc>
        <w:tc>
          <w:tcPr>
            <w:tcW w:w="2020" w:type="dxa"/>
            <w:tcBorders>
              <w:tl2br w:val="nil"/>
              <w:tr2bl w:val="nil"/>
            </w:tcBorders>
            <w:shd w:val="clear" w:color="auto" w:fill="auto"/>
            <w:vAlign w:val="center"/>
          </w:tcPr>
          <w:p w14:paraId="0537B8E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每周三检测，次日报告</w:t>
            </w:r>
          </w:p>
        </w:tc>
      </w:tr>
      <w:tr w14:paraId="3E4607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700" w:type="dxa"/>
            <w:tcBorders>
              <w:tl2br w:val="nil"/>
              <w:tr2bl w:val="nil"/>
            </w:tcBorders>
            <w:shd w:val="clear" w:color="auto" w:fill="auto"/>
            <w:vAlign w:val="center"/>
          </w:tcPr>
          <w:p w14:paraId="22C2BC47">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84</w:t>
            </w:r>
          </w:p>
        </w:tc>
        <w:tc>
          <w:tcPr>
            <w:tcW w:w="2190" w:type="dxa"/>
            <w:tcBorders>
              <w:tl2br w:val="nil"/>
              <w:tr2bl w:val="nil"/>
            </w:tcBorders>
            <w:shd w:val="clear" w:color="auto" w:fill="auto"/>
            <w:vAlign w:val="center"/>
          </w:tcPr>
          <w:p w14:paraId="197C619E">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易栓症风险基因检测</w:t>
            </w:r>
          </w:p>
        </w:tc>
        <w:tc>
          <w:tcPr>
            <w:tcW w:w="1722" w:type="dxa"/>
            <w:tcBorders>
              <w:tl2br w:val="nil"/>
              <w:tr2bl w:val="nil"/>
            </w:tcBorders>
            <w:shd w:val="clear" w:color="auto" w:fill="auto"/>
            <w:vAlign w:val="center"/>
          </w:tcPr>
          <w:p w14:paraId="7F9CCED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核酸质谱法</w:t>
            </w:r>
          </w:p>
        </w:tc>
        <w:tc>
          <w:tcPr>
            <w:tcW w:w="2419" w:type="dxa"/>
            <w:tcBorders>
              <w:tl2br w:val="nil"/>
              <w:tr2bl w:val="nil"/>
            </w:tcBorders>
            <w:shd w:val="clear" w:color="auto" w:fill="auto"/>
            <w:vAlign w:val="center"/>
          </w:tcPr>
          <w:p w14:paraId="4D984CBC">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EDTA抗凝全血2ml</w:t>
            </w:r>
          </w:p>
        </w:tc>
        <w:tc>
          <w:tcPr>
            <w:tcW w:w="2020" w:type="dxa"/>
            <w:tcBorders>
              <w:tl2br w:val="nil"/>
              <w:tr2bl w:val="nil"/>
            </w:tcBorders>
            <w:shd w:val="clear" w:color="auto" w:fill="auto"/>
            <w:vAlign w:val="center"/>
          </w:tcPr>
          <w:p w14:paraId="60D8243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3天</w:t>
            </w:r>
          </w:p>
        </w:tc>
      </w:tr>
    </w:tbl>
    <w:p w14:paraId="313E24F1">
      <w:pPr>
        <w:pStyle w:val="24"/>
        <w:rPr>
          <w:color w:val="auto"/>
          <w:highlight w:val="none"/>
        </w:rPr>
      </w:pPr>
    </w:p>
    <w:p w14:paraId="15896F54">
      <w:pPr>
        <w:rPr>
          <w:rFonts w:ascii="仿宋" w:hAnsi="仿宋" w:eastAsia="仿宋" w:cs="仿宋_GB2312"/>
          <w:b/>
          <w:color w:val="auto"/>
          <w:sz w:val="36"/>
          <w:szCs w:val="36"/>
          <w:highlight w:val="none"/>
        </w:rPr>
      </w:pPr>
      <w:bookmarkStart w:id="30" w:name="_Toc28740"/>
      <w:r>
        <w:rPr>
          <w:rFonts w:hint="eastAsia" w:ascii="仿宋" w:hAnsi="仿宋" w:eastAsia="仿宋" w:cs="仿宋_GB2312"/>
          <w:b/>
          <w:color w:val="auto"/>
          <w:sz w:val="36"/>
          <w:szCs w:val="36"/>
          <w:highlight w:val="none"/>
        </w:rPr>
        <w:br w:type="page"/>
      </w:r>
    </w:p>
    <w:p w14:paraId="63EDCDCE">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1" w:name="_Toc184310326"/>
      <w:bookmarkEnd w:id="31"/>
      <w:bookmarkStart w:id="32" w:name="_Toc184312139"/>
      <w:bookmarkEnd w:id="32"/>
      <w:bookmarkStart w:id="33" w:name="_Toc184312069"/>
      <w:bookmarkEnd w:id="33"/>
      <w:bookmarkStart w:id="34" w:name="_Toc184312112"/>
      <w:bookmarkEnd w:id="34"/>
      <w:bookmarkStart w:id="35" w:name="_Toc184310289"/>
      <w:bookmarkEnd w:id="35"/>
      <w:bookmarkStart w:id="36" w:name="_Toc184308059"/>
      <w:bookmarkEnd w:id="36"/>
      <w:bookmarkStart w:id="37" w:name="_Toc184313282"/>
      <w:bookmarkEnd w:id="37"/>
      <w:bookmarkStart w:id="38" w:name="_Toc184314441"/>
      <w:bookmarkEnd w:id="38"/>
      <w:bookmarkStart w:id="39" w:name="_Toc184313239"/>
      <w:bookmarkEnd w:id="39"/>
      <w:bookmarkStart w:id="40" w:name="_Toc184310287"/>
      <w:bookmarkEnd w:id="40"/>
      <w:bookmarkStart w:id="41" w:name="_Toc184310311"/>
      <w:bookmarkEnd w:id="41"/>
      <w:bookmarkStart w:id="42" w:name="_Toc184308065"/>
      <w:bookmarkEnd w:id="42"/>
      <w:bookmarkStart w:id="43" w:name="_Toc184308057"/>
      <w:bookmarkEnd w:id="43"/>
      <w:bookmarkStart w:id="44" w:name="_Toc184314435"/>
      <w:bookmarkEnd w:id="44"/>
      <w:bookmarkStart w:id="45" w:name="_Toc184314452"/>
      <w:bookmarkEnd w:id="45"/>
      <w:bookmarkStart w:id="46" w:name="_Toc184310279"/>
      <w:bookmarkEnd w:id="46"/>
      <w:bookmarkStart w:id="47" w:name="_Toc184312068"/>
      <w:bookmarkEnd w:id="47"/>
      <w:bookmarkStart w:id="48" w:name="_Toc184310331"/>
      <w:bookmarkEnd w:id="48"/>
      <w:bookmarkStart w:id="49" w:name="_Toc184313278"/>
      <w:bookmarkEnd w:id="49"/>
      <w:bookmarkStart w:id="50" w:name="_Toc184308036"/>
      <w:bookmarkEnd w:id="50"/>
      <w:bookmarkStart w:id="51" w:name="_Toc184314471"/>
      <w:bookmarkEnd w:id="51"/>
      <w:bookmarkStart w:id="52" w:name="_Toc184312132"/>
      <w:bookmarkEnd w:id="52"/>
      <w:bookmarkStart w:id="53" w:name="_Toc184312102"/>
      <w:bookmarkEnd w:id="53"/>
      <w:bookmarkStart w:id="54" w:name="_Toc184314451"/>
      <w:bookmarkEnd w:id="54"/>
      <w:bookmarkStart w:id="55" w:name="_Toc184310330"/>
      <w:bookmarkEnd w:id="55"/>
      <w:bookmarkStart w:id="56" w:name="_Toc184310337"/>
      <w:bookmarkEnd w:id="56"/>
      <w:bookmarkStart w:id="57" w:name="_Toc184310329"/>
      <w:bookmarkEnd w:id="57"/>
      <w:bookmarkStart w:id="58" w:name="_Toc184308050"/>
      <w:bookmarkEnd w:id="58"/>
      <w:bookmarkStart w:id="59" w:name="_Toc184313294"/>
      <w:bookmarkEnd w:id="59"/>
      <w:bookmarkStart w:id="60" w:name="_Toc184312124"/>
      <w:bookmarkEnd w:id="60"/>
      <w:bookmarkStart w:id="61" w:name="_Toc184313303"/>
      <w:bookmarkEnd w:id="61"/>
      <w:bookmarkStart w:id="62" w:name="_Toc184313238"/>
      <w:bookmarkEnd w:id="62"/>
      <w:bookmarkStart w:id="63" w:name="_Toc184312113"/>
      <w:bookmarkEnd w:id="63"/>
      <w:bookmarkStart w:id="64" w:name="_Toc184314445"/>
      <w:bookmarkEnd w:id="64"/>
      <w:bookmarkStart w:id="65" w:name="_Toc184308096"/>
      <w:bookmarkEnd w:id="65"/>
      <w:bookmarkStart w:id="66" w:name="_Toc184310273"/>
      <w:bookmarkEnd w:id="66"/>
      <w:bookmarkStart w:id="67" w:name="_Toc184313246"/>
      <w:bookmarkEnd w:id="67"/>
      <w:bookmarkStart w:id="68" w:name="_Toc184313255"/>
      <w:bookmarkEnd w:id="68"/>
      <w:bookmarkStart w:id="69" w:name="_Toc184313264"/>
      <w:bookmarkEnd w:id="69"/>
      <w:bookmarkStart w:id="70" w:name="_Toc184313276"/>
      <w:bookmarkEnd w:id="70"/>
      <w:bookmarkStart w:id="71" w:name="_Toc184312128"/>
      <w:bookmarkEnd w:id="71"/>
      <w:bookmarkStart w:id="72" w:name="_Toc184312116"/>
      <w:bookmarkEnd w:id="72"/>
      <w:bookmarkStart w:id="73" w:name="_Toc184314474"/>
      <w:bookmarkEnd w:id="73"/>
      <w:bookmarkStart w:id="74" w:name="_Toc184310304"/>
      <w:bookmarkEnd w:id="74"/>
      <w:bookmarkStart w:id="75" w:name="_Toc184314448"/>
      <w:bookmarkEnd w:id="75"/>
      <w:bookmarkStart w:id="76" w:name="_Toc184314480"/>
      <w:bookmarkEnd w:id="76"/>
      <w:bookmarkStart w:id="77" w:name="_Toc184314465"/>
      <w:bookmarkEnd w:id="77"/>
      <w:bookmarkStart w:id="78" w:name="_Toc184314446"/>
      <w:bookmarkEnd w:id="78"/>
      <w:bookmarkStart w:id="79" w:name="_Toc184308099"/>
      <w:bookmarkEnd w:id="79"/>
      <w:bookmarkStart w:id="80" w:name="_Toc184308074"/>
      <w:bookmarkEnd w:id="80"/>
      <w:bookmarkStart w:id="81" w:name="_Toc184308075"/>
      <w:bookmarkEnd w:id="81"/>
      <w:bookmarkStart w:id="82" w:name="_Toc184308068"/>
      <w:bookmarkEnd w:id="82"/>
      <w:bookmarkStart w:id="83" w:name="_Toc184312088"/>
      <w:bookmarkEnd w:id="83"/>
      <w:bookmarkStart w:id="84" w:name="_Toc184313297"/>
      <w:bookmarkEnd w:id="84"/>
      <w:bookmarkStart w:id="85" w:name="_Toc184308078"/>
      <w:bookmarkEnd w:id="85"/>
      <w:bookmarkStart w:id="86" w:name="_Toc184312099"/>
      <w:bookmarkEnd w:id="86"/>
      <w:bookmarkStart w:id="87" w:name="_Toc184308094"/>
      <w:bookmarkEnd w:id="87"/>
      <w:bookmarkStart w:id="88" w:name="_Toc184308105"/>
      <w:bookmarkEnd w:id="88"/>
      <w:bookmarkStart w:id="89" w:name="_Toc184310303"/>
      <w:bookmarkEnd w:id="89"/>
      <w:bookmarkStart w:id="90" w:name="_Toc184310285"/>
      <w:bookmarkEnd w:id="90"/>
      <w:bookmarkStart w:id="91" w:name="_Toc184308087"/>
      <w:bookmarkEnd w:id="91"/>
      <w:bookmarkStart w:id="92" w:name="_Toc184313281"/>
      <w:bookmarkEnd w:id="92"/>
      <w:bookmarkStart w:id="93" w:name="_Toc184310300"/>
      <w:bookmarkEnd w:id="93"/>
      <w:bookmarkStart w:id="94" w:name="_Toc184313244"/>
      <w:bookmarkEnd w:id="94"/>
      <w:bookmarkStart w:id="95" w:name="_Toc184312136"/>
      <w:bookmarkEnd w:id="95"/>
      <w:bookmarkStart w:id="96" w:name="_Toc184314450"/>
      <w:bookmarkEnd w:id="96"/>
      <w:bookmarkStart w:id="97" w:name="_Toc184314459"/>
      <w:bookmarkEnd w:id="97"/>
      <w:bookmarkStart w:id="98" w:name="_Toc184313262"/>
      <w:bookmarkEnd w:id="98"/>
      <w:bookmarkStart w:id="99" w:name="_Toc184310277"/>
      <w:bookmarkEnd w:id="99"/>
      <w:bookmarkStart w:id="100" w:name="_Toc184314440"/>
      <w:bookmarkEnd w:id="100"/>
      <w:bookmarkStart w:id="101" w:name="_Toc184313252"/>
      <w:bookmarkEnd w:id="101"/>
      <w:bookmarkStart w:id="102" w:name="_Toc184312098"/>
      <w:bookmarkEnd w:id="102"/>
      <w:bookmarkStart w:id="103" w:name="_Toc184313300"/>
      <w:bookmarkEnd w:id="103"/>
      <w:bookmarkStart w:id="104" w:name="_Toc184312077"/>
      <w:bookmarkEnd w:id="104"/>
      <w:bookmarkStart w:id="105" w:name="_Toc184313286"/>
      <w:bookmarkEnd w:id="105"/>
      <w:bookmarkStart w:id="106" w:name="_Toc184313275"/>
      <w:bookmarkEnd w:id="106"/>
      <w:bookmarkStart w:id="107" w:name="_Toc184312122"/>
      <w:bookmarkEnd w:id="107"/>
      <w:bookmarkStart w:id="108" w:name="_Toc184308091"/>
      <w:bookmarkEnd w:id="108"/>
      <w:bookmarkStart w:id="109" w:name="_Toc184314453"/>
      <w:bookmarkEnd w:id="109"/>
      <w:bookmarkStart w:id="110" w:name="_Toc184310335"/>
      <w:bookmarkEnd w:id="110"/>
      <w:bookmarkStart w:id="111" w:name="_Toc184310338"/>
      <w:bookmarkEnd w:id="111"/>
      <w:bookmarkStart w:id="112" w:name="_Toc184314420"/>
      <w:bookmarkEnd w:id="112"/>
      <w:bookmarkStart w:id="113" w:name="_Toc184314444"/>
      <w:bookmarkEnd w:id="113"/>
      <w:bookmarkStart w:id="114" w:name="_Toc184312093"/>
      <w:bookmarkEnd w:id="114"/>
      <w:bookmarkStart w:id="115" w:name="_Toc184312086"/>
      <w:bookmarkEnd w:id="115"/>
      <w:bookmarkStart w:id="116" w:name="_Toc184313288"/>
      <w:bookmarkEnd w:id="116"/>
      <w:bookmarkStart w:id="117" w:name="_Toc184310282"/>
      <w:bookmarkEnd w:id="117"/>
      <w:bookmarkStart w:id="118" w:name="_Toc184312133"/>
      <w:bookmarkEnd w:id="118"/>
      <w:bookmarkStart w:id="119" w:name="_Toc184312096"/>
      <w:bookmarkEnd w:id="119"/>
      <w:bookmarkStart w:id="120" w:name="_Toc184310290"/>
      <w:bookmarkEnd w:id="120"/>
      <w:bookmarkStart w:id="121" w:name="_Toc184310309"/>
      <w:bookmarkEnd w:id="121"/>
      <w:bookmarkStart w:id="122" w:name="_Toc184313307"/>
      <w:bookmarkEnd w:id="122"/>
      <w:bookmarkStart w:id="123" w:name="_Toc184312135"/>
      <w:bookmarkEnd w:id="123"/>
      <w:bookmarkStart w:id="124" w:name="_Toc184310275"/>
      <w:bookmarkEnd w:id="124"/>
      <w:bookmarkStart w:id="125" w:name="_Toc184308053"/>
      <w:bookmarkEnd w:id="125"/>
      <w:bookmarkStart w:id="126" w:name="_Toc184310296"/>
      <w:bookmarkEnd w:id="126"/>
      <w:bookmarkStart w:id="127" w:name="_Toc184314423"/>
      <w:bookmarkEnd w:id="127"/>
      <w:bookmarkStart w:id="128" w:name="_Toc184308085"/>
      <w:bookmarkEnd w:id="128"/>
      <w:bookmarkStart w:id="129" w:name="_Toc184310334"/>
      <w:bookmarkEnd w:id="129"/>
      <w:bookmarkStart w:id="130" w:name="_Toc184312118"/>
      <w:bookmarkEnd w:id="130"/>
      <w:bookmarkStart w:id="131" w:name="_Toc184314462"/>
      <w:bookmarkEnd w:id="131"/>
      <w:bookmarkStart w:id="132" w:name="_Toc184310323"/>
      <w:bookmarkEnd w:id="132"/>
      <w:bookmarkStart w:id="133" w:name="_Toc184313268"/>
      <w:bookmarkEnd w:id="133"/>
      <w:bookmarkStart w:id="134" w:name="_Toc184310319"/>
      <w:bookmarkEnd w:id="134"/>
      <w:bookmarkStart w:id="135" w:name="_Toc184314469"/>
      <w:bookmarkEnd w:id="135"/>
      <w:bookmarkStart w:id="136" w:name="_Toc184308066"/>
      <w:bookmarkEnd w:id="136"/>
      <w:bookmarkStart w:id="137" w:name="_Toc184308090"/>
      <w:bookmarkEnd w:id="137"/>
      <w:bookmarkStart w:id="138" w:name="_Toc184312085"/>
      <w:bookmarkEnd w:id="138"/>
      <w:bookmarkStart w:id="139" w:name="_Toc184310328"/>
      <w:bookmarkEnd w:id="139"/>
      <w:bookmarkStart w:id="140" w:name="_Toc184308055"/>
      <w:bookmarkEnd w:id="140"/>
      <w:bookmarkStart w:id="141" w:name="_Toc184310317"/>
      <w:bookmarkEnd w:id="141"/>
      <w:bookmarkStart w:id="142" w:name="_Toc184308098"/>
      <w:bookmarkEnd w:id="142"/>
      <w:bookmarkStart w:id="143" w:name="_Toc184313277"/>
      <w:bookmarkEnd w:id="143"/>
      <w:bookmarkStart w:id="144" w:name="_Toc184314424"/>
      <w:bookmarkEnd w:id="144"/>
      <w:bookmarkStart w:id="145" w:name="_Toc184308045"/>
      <w:bookmarkEnd w:id="145"/>
      <w:bookmarkStart w:id="146" w:name="_Toc184313285"/>
      <w:bookmarkEnd w:id="146"/>
      <w:bookmarkStart w:id="147" w:name="_Toc184313257"/>
      <w:bookmarkEnd w:id="147"/>
      <w:bookmarkStart w:id="148" w:name="_Toc184314434"/>
      <w:bookmarkEnd w:id="148"/>
      <w:bookmarkStart w:id="149" w:name="_Toc184312100"/>
      <w:bookmarkEnd w:id="149"/>
      <w:bookmarkStart w:id="150" w:name="_Toc184314413"/>
      <w:bookmarkEnd w:id="150"/>
      <w:bookmarkStart w:id="151" w:name="_Toc184308106"/>
      <w:bookmarkEnd w:id="151"/>
      <w:bookmarkStart w:id="152" w:name="_Toc184312094"/>
      <w:bookmarkEnd w:id="152"/>
      <w:bookmarkStart w:id="153" w:name="_Toc184308056"/>
      <w:bookmarkEnd w:id="153"/>
      <w:bookmarkStart w:id="154" w:name="_Toc184310280"/>
      <w:bookmarkEnd w:id="154"/>
      <w:bookmarkStart w:id="155" w:name="_Toc184308081"/>
      <w:bookmarkEnd w:id="155"/>
      <w:bookmarkStart w:id="156" w:name="_Toc184313249"/>
      <w:bookmarkEnd w:id="156"/>
      <w:bookmarkStart w:id="157" w:name="_Toc184312106"/>
      <w:bookmarkEnd w:id="157"/>
      <w:bookmarkStart w:id="158" w:name="_Toc184312125"/>
      <w:bookmarkEnd w:id="158"/>
      <w:bookmarkStart w:id="159" w:name="_Toc184314476"/>
      <w:bookmarkEnd w:id="159"/>
      <w:bookmarkStart w:id="160" w:name="_Toc184312127"/>
      <w:bookmarkEnd w:id="160"/>
      <w:bookmarkStart w:id="161" w:name="_Toc184308071"/>
      <w:bookmarkEnd w:id="161"/>
      <w:bookmarkStart w:id="162" w:name="_Toc184308079"/>
      <w:bookmarkEnd w:id="162"/>
      <w:bookmarkStart w:id="163" w:name="_Toc184313260"/>
      <w:bookmarkEnd w:id="163"/>
      <w:bookmarkStart w:id="164" w:name="_Toc184314454"/>
      <w:bookmarkEnd w:id="164"/>
      <w:bookmarkStart w:id="165" w:name="_Toc184314449"/>
      <w:bookmarkEnd w:id="165"/>
      <w:bookmarkStart w:id="166" w:name="_Toc184313272"/>
      <w:bookmarkEnd w:id="166"/>
      <w:bookmarkStart w:id="167" w:name="_Toc184314411"/>
      <w:bookmarkEnd w:id="167"/>
      <w:bookmarkStart w:id="168" w:name="_Toc184310284"/>
      <w:bookmarkEnd w:id="168"/>
      <w:bookmarkStart w:id="169" w:name="_Toc184310283"/>
      <w:bookmarkEnd w:id="169"/>
      <w:bookmarkStart w:id="170" w:name="_Toc184310315"/>
      <w:bookmarkEnd w:id="170"/>
      <w:bookmarkStart w:id="171" w:name="_Toc184312076"/>
      <w:bookmarkEnd w:id="171"/>
      <w:bookmarkStart w:id="172" w:name="_Toc184314461"/>
      <w:bookmarkEnd w:id="172"/>
      <w:bookmarkStart w:id="173" w:name="_Toc184313267"/>
      <w:bookmarkEnd w:id="173"/>
      <w:bookmarkStart w:id="174" w:name="_Toc184313309"/>
      <w:bookmarkEnd w:id="174"/>
      <w:bookmarkStart w:id="175" w:name="_Toc184308070"/>
      <w:bookmarkEnd w:id="175"/>
      <w:bookmarkStart w:id="176" w:name="_Toc184310342"/>
      <w:bookmarkEnd w:id="176"/>
      <w:bookmarkStart w:id="177" w:name="_Toc184312120"/>
      <w:bookmarkEnd w:id="177"/>
      <w:bookmarkStart w:id="178" w:name="_Toc184308102"/>
      <w:bookmarkEnd w:id="178"/>
      <w:bookmarkStart w:id="179" w:name="_Toc184308103"/>
      <w:bookmarkEnd w:id="179"/>
      <w:bookmarkStart w:id="180" w:name="_Toc184312105"/>
      <w:bookmarkEnd w:id="180"/>
      <w:bookmarkStart w:id="181" w:name="_Toc184314468"/>
      <w:bookmarkEnd w:id="181"/>
      <w:bookmarkStart w:id="182" w:name="_Toc184314464"/>
      <w:bookmarkEnd w:id="182"/>
      <w:bookmarkStart w:id="183" w:name="_Toc184312095"/>
      <w:bookmarkEnd w:id="183"/>
      <w:bookmarkStart w:id="184" w:name="_Toc184310321"/>
      <w:bookmarkEnd w:id="184"/>
      <w:bookmarkStart w:id="185" w:name="_Toc184314428"/>
      <w:bookmarkEnd w:id="185"/>
      <w:bookmarkStart w:id="186" w:name="_Toc184310325"/>
      <w:bookmarkEnd w:id="186"/>
      <w:bookmarkStart w:id="187" w:name="_Toc184308044"/>
      <w:bookmarkEnd w:id="187"/>
      <w:bookmarkStart w:id="188" w:name="_Toc184313304"/>
      <w:bookmarkEnd w:id="188"/>
      <w:bookmarkStart w:id="189" w:name="_Toc184310297"/>
      <w:bookmarkEnd w:id="189"/>
      <w:bookmarkStart w:id="190" w:name="_Toc184314414"/>
      <w:bookmarkEnd w:id="190"/>
      <w:bookmarkStart w:id="191" w:name="_Toc184314447"/>
      <w:bookmarkEnd w:id="191"/>
      <w:bookmarkStart w:id="192" w:name="_Toc184312082"/>
      <w:bookmarkEnd w:id="192"/>
      <w:bookmarkStart w:id="193" w:name="_Toc184308073"/>
      <w:bookmarkEnd w:id="193"/>
      <w:bookmarkStart w:id="194" w:name="_Toc184313242"/>
      <w:bookmarkEnd w:id="194"/>
      <w:bookmarkStart w:id="195" w:name="_Toc184308077"/>
      <w:bookmarkEnd w:id="195"/>
      <w:bookmarkStart w:id="196" w:name="_Toc184313310"/>
      <w:bookmarkEnd w:id="196"/>
      <w:bookmarkStart w:id="197" w:name="_Toc184310343"/>
      <w:bookmarkEnd w:id="197"/>
      <w:bookmarkStart w:id="198" w:name="_Toc184308040"/>
      <w:bookmarkEnd w:id="198"/>
      <w:bookmarkStart w:id="199" w:name="_Toc184314417"/>
      <w:bookmarkEnd w:id="199"/>
      <w:bookmarkStart w:id="200" w:name="_Toc184312103"/>
      <w:bookmarkEnd w:id="200"/>
      <w:bookmarkStart w:id="201" w:name="_Toc184314422"/>
      <w:bookmarkEnd w:id="201"/>
      <w:bookmarkStart w:id="202" w:name="_Toc184313265"/>
      <w:bookmarkEnd w:id="202"/>
      <w:bookmarkStart w:id="203" w:name="_Toc184313299"/>
      <w:bookmarkEnd w:id="203"/>
      <w:bookmarkStart w:id="204" w:name="_Toc184310274"/>
      <w:bookmarkEnd w:id="204"/>
      <w:bookmarkStart w:id="205" w:name="_Toc184308049"/>
      <w:bookmarkEnd w:id="205"/>
      <w:bookmarkStart w:id="206" w:name="_Toc184313251"/>
      <w:bookmarkEnd w:id="206"/>
      <w:bookmarkStart w:id="207" w:name="_Toc184312137"/>
      <w:bookmarkEnd w:id="207"/>
      <w:bookmarkStart w:id="208" w:name="_Toc184310288"/>
      <w:bookmarkEnd w:id="208"/>
      <w:bookmarkStart w:id="209" w:name="_Toc184313261"/>
      <w:bookmarkEnd w:id="209"/>
      <w:bookmarkStart w:id="210" w:name="_Toc184313306"/>
      <w:bookmarkEnd w:id="210"/>
      <w:bookmarkStart w:id="211" w:name="_Toc184312072"/>
      <w:bookmarkEnd w:id="211"/>
      <w:bookmarkStart w:id="212" w:name="_Toc184314437"/>
      <w:bookmarkEnd w:id="212"/>
      <w:bookmarkStart w:id="213" w:name="_Toc184313254"/>
      <w:bookmarkEnd w:id="213"/>
      <w:bookmarkStart w:id="214" w:name="_Toc184308084"/>
      <w:bookmarkEnd w:id="214"/>
      <w:bookmarkStart w:id="215" w:name="_Toc184313266"/>
      <w:bookmarkEnd w:id="215"/>
      <w:bookmarkStart w:id="216" w:name="_Toc184310272"/>
      <w:bookmarkEnd w:id="216"/>
      <w:bookmarkStart w:id="217" w:name="_Toc184313292"/>
      <w:bookmarkEnd w:id="217"/>
      <w:bookmarkStart w:id="218" w:name="_Toc184312067"/>
      <w:bookmarkEnd w:id="218"/>
      <w:bookmarkStart w:id="219" w:name="_Toc184312078"/>
      <w:bookmarkEnd w:id="219"/>
      <w:bookmarkStart w:id="220" w:name="_Toc184310291"/>
      <w:bookmarkEnd w:id="220"/>
      <w:bookmarkStart w:id="221" w:name="_Toc184313245"/>
      <w:bookmarkEnd w:id="221"/>
      <w:bookmarkStart w:id="222" w:name="_Toc184312108"/>
      <w:bookmarkEnd w:id="222"/>
      <w:bookmarkStart w:id="223" w:name="_Toc184314433"/>
      <w:bookmarkEnd w:id="223"/>
      <w:bookmarkStart w:id="224" w:name="_Toc184313301"/>
      <w:bookmarkEnd w:id="224"/>
      <w:bookmarkStart w:id="225" w:name="_Toc184314426"/>
      <w:bookmarkEnd w:id="225"/>
      <w:bookmarkStart w:id="226" w:name="_Toc184313290"/>
      <w:bookmarkEnd w:id="226"/>
      <w:bookmarkStart w:id="227" w:name="_Toc184308101"/>
      <w:bookmarkEnd w:id="227"/>
      <w:bookmarkStart w:id="228" w:name="_Toc184310327"/>
      <w:bookmarkEnd w:id="228"/>
      <w:bookmarkStart w:id="229" w:name="_Toc184310299"/>
      <w:bookmarkEnd w:id="229"/>
      <w:bookmarkStart w:id="230" w:name="_Toc184308061"/>
      <w:bookmarkEnd w:id="230"/>
      <w:bookmarkStart w:id="231" w:name="_Toc184314415"/>
      <w:bookmarkEnd w:id="231"/>
      <w:bookmarkStart w:id="232" w:name="_Toc184313295"/>
      <w:bookmarkEnd w:id="232"/>
      <w:bookmarkStart w:id="233" w:name="_Toc184314467"/>
      <w:bookmarkEnd w:id="233"/>
      <w:bookmarkStart w:id="234" w:name="_Toc184312084"/>
      <w:bookmarkEnd w:id="234"/>
      <w:bookmarkStart w:id="235" w:name="_Toc184308064"/>
      <w:bookmarkEnd w:id="235"/>
      <w:bookmarkStart w:id="236" w:name="_Toc184313247"/>
      <w:bookmarkEnd w:id="236"/>
      <w:bookmarkStart w:id="237" w:name="_Toc184310286"/>
      <w:bookmarkEnd w:id="237"/>
      <w:bookmarkStart w:id="238" w:name="_Toc184314410"/>
      <w:bookmarkEnd w:id="238"/>
      <w:bookmarkStart w:id="239" w:name="_Toc184313298"/>
      <w:bookmarkEnd w:id="239"/>
      <w:bookmarkStart w:id="240" w:name="_Toc184312089"/>
      <w:bookmarkEnd w:id="240"/>
      <w:bookmarkStart w:id="241" w:name="_Toc184310278"/>
      <w:bookmarkEnd w:id="241"/>
      <w:bookmarkStart w:id="242" w:name="_Toc184310336"/>
      <w:bookmarkEnd w:id="242"/>
      <w:bookmarkStart w:id="243" w:name="_Toc184312101"/>
      <w:bookmarkEnd w:id="243"/>
      <w:bookmarkStart w:id="244" w:name="_Toc184314466"/>
      <w:bookmarkEnd w:id="244"/>
      <w:bookmarkStart w:id="245" w:name="_Toc184308038"/>
      <w:bookmarkEnd w:id="245"/>
      <w:bookmarkStart w:id="246" w:name="_Toc184312131"/>
      <w:bookmarkEnd w:id="246"/>
      <w:bookmarkStart w:id="247" w:name="_Toc184314439"/>
      <w:bookmarkEnd w:id="247"/>
      <w:bookmarkStart w:id="248" w:name="_Toc184313253"/>
      <w:bookmarkEnd w:id="248"/>
      <w:bookmarkStart w:id="249" w:name="_Toc184310332"/>
      <w:bookmarkEnd w:id="249"/>
      <w:bookmarkStart w:id="250" w:name="_Toc184312104"/>
      <w:bookmarkEnd w:id="250"/>
      <w:bookmarkStart w:id="251" w:name="_Toc184312111"/>
      <w:bookmarkEnd w:id="251"/>
      <w:bookmarkStart w:id="252" w:name="_Toc184314412"/>
      <w:bookmarkEnd w:id="252"/>
      <w:bookmarkStart w:id="253" w:name="_Toc184313258"/>
      <w:bookmarkEnd w:id="253"/>
      <w:bookmarkStart w:id="254" w:name="_Toc184313296"/>
      <w:bookmarkEnd w:id="254"/>
      <w:bookmarkStart w:id="255" w:name="_Toc184312091"/>
      <w:bookmarkEnd w:id="255"/>
      <w:bookmarkStart w:id="256" w:name="_Toc184310320"/>
      <w:bookmarkEnd w:id="256"/>
      <w:bookmarkStart w:id="257" w:name="_Toc184313271"/>
      <w:bookmarkEnd w:id="257"/>
      <w:bookmarkStart w:id="258" w:name="_Toc184308062"/>
      <w:bookmarkEnd w:id="258"/>
      <w:bookmarkStart w:id="259" w:name="_Toc184313291"/>
      <w:bookmarkEnd w:id="259"/>
      <w:bookmarkStart w:id="260" w:name="_Toc184314419"/>
      <w:bookmarkEnd w:id="260"/>
      <w:bookmarkStart w:id="261" w:name="_Toc184308047"/>
      <w:bookmarkEnd w:id="261"/>
      <w:bookmarkStart w:id="262" w:name="_Toc184314457"/>
      <w:bookmarkEnd w:id="262"/>
      <w:bookmarkStart w:id="263" w:name="_Toc184308080"/>
      <w:bookmarkEnd w:id="263"/>
      <w:bookmarkStart w:id="264" w:name="_Toc184312138"/>
      <w:bookmarkEnd w:id="264"/>
      <w:bookmarkStart w:id="265" w:name="_Toc184312129"/>
      <w:bookmarkEnd w:id="265"/>
      <w:bookmarkStart w:id="266" w:name="_Toc184312087"/>
      <w:bookmarkEnd w:id="266"/>
      <w:bookmarkStart w:id="267" w:name="_Toc184313240"/>
      <w:bookmarkEnd w:id="267"/>
      <w:bookmarkStart w:id="268" w:name="_Toc184312080"/>
      <w:bookmarkEnd w:id="268"/>
      <w:bookmarkStart w:id="269" w:name="_Toc184314418"/>
      <w:bookmarkEnd w:id="269"/>
      <w:bookmarkStart w:id="270" w:name="_Toc184308095"/>
      <w:bookmarkEnd w:id="270"/>
      <w:bookmarkStart w:id="271" w:name="_Toc184314470"/>
      <w:bookmarkEnd w:id="271"/>
      <w:bookmarkStart w:id="272" w:name="_Toc184310306"/>
      <w:bookmarkEnd w:id="272"/>
      <w:bookmarkStart w:id="273" w:name="_Toc184313283"/>
      <w:bookmarkEnd w:id="273"/>
      <w:bookmarkStart w:id="274" w:name="_Toc184313287"/>
      <w:bookmarkEnd w:id="274"/>
      <w:bookmarkStart w:id="275" w:name="_Toc184310313"/>
      <w:bookmarkEnd w:id="275"/>
      <w:bookmarkStart w:id="276" w:name="_Toc184310316"/>
      <w:bookmarkEnd w:id="276"/>
      <w:bookmarkStart w:id="277" w:name="_Toc184308051"/>
      <w:bookmarkEnd w:id="277"/>
      <w:bookmarkStart w:id="278" w:name="_Toc184308092"/>
      <w:bookmarkEnd w:id="278"/>
      <w:bookmarkStart w:id="279" w:name="_Toc184310318"/>
      <w:bookmarkEnd w:id="279"/>
      <w:bookmarkStart w:id="280" w:name="_Toc184313270"/>
      <w:bookmarkEnd w:id="280"/>
      <w:bookmarkStart w:id="281" w:name="_Toc184314456"/>
      <w:bookmarkEnd w:id="281"/>
      <w:bookmarkStart w:id="282" w:name="_Toc184312074"/>
      <w:bookmarkEnd w:id="282"/>
      <w:bookmarkStart w:id="283" w:name="_Toc184312081"/>
      <w:bookmarkEnd w:id="283"/>
      <w:bookmarkStart w:id="284" w:name="_Toc184312110"/>
      <w:bookmarkEnd w:id="284"/>
      <w:bookmarkStart w:id="285" w:name="_Toc184308067"/>
      <w:bookmarkEnd w:id="285"/>
      <w:bookmarkStart w:id="286" w:name="_Toc184310294"/>
      <w:bookmarkEnd w:id="286"/>
      <w:bookmarkStart w:id="287" w:name="_Toc184314436"/>
      <w:bookmarkEnd w:id="287"/>
      <w:bookmarkStart w:id="288" w:name="_Toc184308072"/>
      <w:bookmarkEnd w:id="288"/>
      <w:bookmarkStart w:id="289" w:name="_Toc184313243"/>
      <w:bookmarkEnd w:id="289"/>
      <w:bookmarkStart w:id="290" w:name="_Toc184314421"/>
      <w:bookmarkEnd w:id="290"/>
      <w:bookmarkStart w:id="291" w:name="_Toc184308082"/>
      <w:bookmarkEnd w:id="291"/>
      <w:bookmarkStart w:id="292" w:name="_Toc184314425"/>
      <w:bookmarkEnd w:id="292"/>
      <w:bookmarkStart w:id="293" w:name="_Toc184310339"/>
      <w:bookmarkEnd w:id="293"/>
      <w:bookmarkStart w:id="294" w:name="_Toc184308069"/>
      <w:bookmarkEnd w:id="294"/>
      <w:bookmarkStart w:id="295" w:name="_Toc184308060"/>
      <w:bookmarkEnd w:id="295"/>
      <w:bookmarkStart w:id="296" w:name="_Toc184313274"/>
      <w:bookmarkEnd w:id="296"/>
      <w:bookmarkStart w:id="297" w:name="_Toc184314432"/>
      <w:bookmarkEnd w:id="297"/>
      <w:bookmarkStart w:id="298" w:name="_Toc184308041"/>
      <w:bookmarkEnd w:id="298"/>
      <w:bookmarkStart w:id="299" w:name="_Toc184312119"/>
      <w:bookmarkEnd w:id="299"/>
      <w:bookmarkStart w:id="300" w:name="_Toc184310305"/>
      <w:bookmarkEnd w:id="300"/>
      <w:bookmarkStart w:id="301" w:name="_Toc184310301"/>
      <w:bookmarkEnd w:id="301"/>
      <w:bookmarkStart w:id="302" w:name="_Toc184312134"/>
      <w:bookmarkEnd w:id="302"/>
      <w:bookmarkStart w:id="303" w:name="_Toc184314416"/>
      <w:bookmarkEnd w:id="303"/>
      <w:bookmarkStart w:id="304" w:name="_Toc184314473"/>
      <w:bookmarkEnd w:id="304"/>
      <w:bookmarkStart w:id="305" w:name="_Toc184312117"/>
      <w:bookmarkEnd w:id="305"/>
      <w:bookmarkStart w:id="306" w:name="_Toc184308048"/>
      <w:bookmarkEnd w:id="306"/>
      <w:bookmarkStart w:id="307" w:name="_Toc184314472"/>
      <w:bookmarkEnd w:id="307"/>
      <w:bookmarkStart w:id="308" w:name="_Toc184310281"/>
      <w:bookmarkEnd w:id="308"/>
      <w:bookmarkStart w:id="309" w:name="_Toc184308058"/>
      <w:bookmarkEnd w:id="309"/>
      <w:bookmarkStart w:id="310" w:name="_Toc184312130"/>
      <w:bookmarkEnd w:id="310"/>
      <w:bookmarkStart w:id="311" w:name="_Toc184308054"/>
      <w:bookmarkEnd w:id="311"/>
      <w:bookmarkStart w:id="312" w:name="_Toc184310324"/>
      <w:bookmarkEnd w:id="312"/>
      <w:bookmarkStart w:id="313" w:name="_Toc184310276"/>
      <w:bookmarkEnd w:id="313"/>
      <w:bookmarkStart w:id="314" w:name="_Toc184308039"/>
      <w:bookmarkEnd w:id="314"/>
      <w:bookmarkStart w:id="315" w:name="_Toc184310314"/>
      <w:bookmarkEnd w:id="315"/>
      <w:bookmarkStart w:id="316" w:name="_Toc184314463"/>
      <w:bookmarkEnd w:id="316"/>
      <w:bookmarkStart w:id="317" w:name="_Toc184308046"/>
      <w:bookmarkEnd w:id="317"/>
      <w:bookmarkStart w:id="318" w:name="_Toc184308043"/>
      <w:bookmarkEnd w:id="318"/>
      <w:bookmarkStart w:id="319" w:name="_Toc184314482"/>
      <w:bookmarkEnd w:id="319"/>
      <w:bookmarkStart w:id="320" w:name="_Toc184312115"/>
      <w:bookmarkEnd w:id="320"/>
      <w:bookmarkStart w:id="321" w:name="_Toc184310310"/>
      <w:bookmarkEnd w:id="321"/>
      <w:bookmarkStart w:id="322" w:name="_Toc184312083"/>
      <w:bookmarkEnd w:id="322"/>
      <w:bookmarkStart w:id="323" w:name="_Toc184308097"/>
      <w:bookmarkEnd w:id="323"/>
      <w:bookmarkStart w:id="324" w:name="_Toc184308063"/>
      <w:bookmarkEnd w:id="324"/>
      <w:bookmarkStart w:id="325" w:name="_Toc184313308"/>
      <w:bookmarkEnd w:id="325"/>
      <w:bookmarkStart w:id="326" w:name="_Toc184308086"/>
      <w:bookmarkEnd w:id="326"/>
      <w:bookmarkStart w:id="327" w:name="_Toc184308076"/>
      <w:bookmarkEnd w:id="327"/>
      <w:bookmarkStart w:id="328" w:name="_Toc184313269"/>
      <w:bookmarkEnd w:id="328"/>
      <w:bookmarkStart w:id="329" w:name="_Toc184312073"/>
      <w:bookmarkEnd w:id="329"/>
      <w:bookmarkStart w:id="330" w:name="_Toc184313263"/>
      <w:bookmarkEnd w:id="330"/>
      <w:bookmarkStart w:id="331" w:name="_Toc184313293"/>
      <w:bookmarkEnd w:id="331"/>
      <w:bookmarkStart w:id="332" w:name="_Toc184313259"/>
      <w:bookmarkEnd w:id="332"/>
      <w:bookmarkStart w:id="333" w:name="_Toc184312109"/>
      <w:bookmarkEnd w:id="333"/>
      <w:bookmarkStart w:id="334" w:name="_Toc184308088"/>
      <w:bookmarkEnd w:id="334"/>
      <w:bookmarkStart w:id="335" w:name="_Toc184312097"/>
      <w:bookmarkEnd w:id="335"/>
      <w:bookmarkStart w:id="336" w:name="_Toc184313256"/>
      <w:bookmarkEnd w:id="336"/>
      <w:bookmarkStart w:id="337" w:name="_Toc184314458"/>
      <w:bookmarkEnd w:id="337"/>
      <w:bookmarkStart w:id="338" w:name="_Toc184314460"/>
      <w:bookmarkEnd w:id="338"/>
      <w:bookmarkStart w:id="339" w:name="_Toc184312090"/>
      <w:bookmarkEnd w:id="339"/>
      <w:bookmarkStart w:id="340" w:name="_Toc184313302"/>
      <w:bookmarkEnd w:id="340"/>
      <w:bookmarkStart w:id="341" w:name="_Toc184313248"/>
      <w:bookmarkEnd w:id="341"/>
      <w:bookmarkStart w:id="342" w:name="_Toc184312079"/>
      <w:bookmarkEnd w:id="342"/>
      <w:bookmarkStart w:id="343" w:name="_Toc184313280"/>
      <w:bookmarkEnd w:id="343"/>
      <w:bookmarkStart w:id="344" w:name="_Toc184312075"/>
      <w:bookmarkEnd w:id="344"/>
      <w:bookmarkStart w:id="345" w:name="_Toc184310307"/>
      <w:bookmarkEnd w:id="345"/>
      <w:bookmarkStart w:id="346" w:name="_Toc184314430"/>
      <w:bookmarkEnd w:id="346"/>
      <w:bookmarkStart w:id="347" w:name="_Toc184314429"/>
      <w:bookmarkEnd w:id="347"/>
      <w:bookmarkStart w:id="348" w:name="_Toc184308052"/>
      <w:bookmarkEnd w:id="348"/>
      <w:bookmarkStart w:id="349" w:name="_Toc184310302"/>
      <w:bookmarkEnd w:id="349"/>
      <w:bookmarkStart w:id="350" w:name="_Toc184310322"/>
      <w:bookmarkEnd w:id="350"/>
      <w:bookmarkStart w:id="351" w:name="_Toc184308042"/>
      <w:bookmarkEnd w:id="351"/>
      <w:bookmarkStart w:id="352" w:name="_Toc184314438"/>
      <w:bookmarkEnd w:id="352"/>
      <w:bookmarkStart w:id="353" w:name="_Toc184314442"/>
      <w:bookmarkEnd w:id="353"/>
      <w:bookmarkStart w:id="354" w:name="_Toc184314478"/>
      <w:bookmarkEnd w:id="354"/>
      <w:bookmarkStart w:id="355" w:name="_Toc184308100"/>
      <w:bookmarkEnd w:id="355"/>
      <w:bookmarkStart w:id="356" w:name="_Toc184312114"/>
      <w:bookmarkEnd w:id="356"/>
      <w:bookmarkStart w:id="357" w:name="_Toc184312092"/>
      <w:bookmarkEnd w:id="357"/>
      <w:bookmarkStart w:id="358" w:name="_Toc184310341"/>
      <w:bookmarkEnd w:id="358"/>
      <w:bookmarkStart w:id="359" w:name="_Toc184310312"/>
      <w:bookmarkEnd w:id="359"/>
      <w:bookmarkStart w:id="360" w:name="_Toc184313250"/>
      <w:bookmarkEnd w:id="360"/>
      <w:bookmarkStart w:id="361" w:name="_Toc184313273"/>
      <w:bookmarkEnd w:id="361"/>
      <w:bookmarkStart w:id="362" w:name="_Toc184314431"/>
      <w:bookmarkEnd w:id="362"/>
      <w:bookmarkStart w:id="363" w:name="_Toc184312070"/>
      <w:bookmarkEnd w:id="363"/>
      <w:bookmarkStart w:id="364" w:name="_Toc184310295"/>
      <w:bookmarkEnd w:id="364"/>
      <w:bookmarkStart w:id="365" w:name="_Toc184314475"/>
      <w:bookmarkEnd w:id="365"/>
      <w:bookmarkStart w:id="366" w:name="_Toc184314477"/>
      <w:bookmarkEnd w:id="366"/>
      <w:bookmarkStart w:id="367" w:name="_Toc184312126"/>
      <w:bookmarkEnd w:id="367"/>
      <w:bookmarkStart w:id="368" w:name="_Toc184314427"/>
      <w:bookmarkEnd w:id="368"/>
      <w:bookmarkStart w:id="369" w:name="_Toc184308089"/>
      <w:bookmarkEnd w:id="369"/>
      <w:bookmarkStart w:id="370" w:name="_Toc184308037"/>
      <w:bookmarkEnd w:id="370"/>
      <w:bookmarkStart w:id="371" w:name="_Toc184313305"/>
      <w:bookmarkEnd w:id="371"/>
      <w:bookmarkStart w:id="372" w:name="_Toc184308093"/>
      <w:bookmarkEnd w:id="372"/>
      <w:bookmarkStart w:id="373" w:name="_Toc184310308"/>
      <w:bookmarkEnd w:id="373"/>
      <w:bookmarkStart w:id="374" w:name="_Toc184312107"/>
      <w:bookmarkEnd w:id="374"/>
      <w:bookmarkStart w:id="375" w:name="_Toc184313284"/>
      <w:bookmarkEnd w:id="375"/>
      <w:bookmarkStart w:id="376" w:name="_Toc184310333"/>
      <w:bookmarkEnd w:id="376"/>
      <w:bookmarkStart w:id="377" w:name="_Toc184308108"/>
      <w:bookmarkEnd w:id="377"/>
      <w:bookmarkStart w:id="378" w:name="_Toc184313279"/>
      <w:bookmarkEnd w:id="378"/>
      <w:bookmarkStart w:id="379" w:name="_Toc184308083"/>
      <w:bookmarkEnd w:id="379"/>
      <w:bookmarkStart w:id="380" w:name="_Toc184313289"/>
      <w:bookmarkEnd w:id="380"/>
      <w:bookmarkStart w:id="381" w:name="_Toc184314455"/>
      <w:bookmarkEnd w:id="381"/>
      <w:bookmarkStart w:id="382" w:name="_Toc184310298"/>
      <w:bookmarkEnd w:id="382"/>
      <w:bookmarkStart w:id="383" w:name="_Toc184308104"/>
      <w:bookmarkEnd w:id="383"/>
      <w:bookmarkStart w:id="384" w:name="_Toc184310344"/>
      <w:bookmarkEnd w:id="384"/>
      <w:bookmarkStart w:id="385" w:name="_Toc184308107"/>
      <w:bookmarkEnd w:id="385"/>
      <w:bookmarkStart w:id="386" w:name="_Toc184314443"/>
      <w:bookmarkEnd w:id="386"/>
      <w:bookmarkStart w:id="387" w:name="_Toc184314481"/>
      <w:bookmarkEnd w:id="387"/>
      <w:bookmarkStart w:id="388" w:name="_Toc184310340"/>
      <w:bookmarkEnd w:id="388"/>
      <w:bookmarkStart w:id="389" w:name="_Toc184314479"/>
      <w:bookmarkEnd w:id="389"/>
      <w:bookmarkStart w:id="390" w:name="_Toc184310293"/>
      <w:bookmarkEnd w:id="390"/>
      <w:bookmarkStart w:id="391" w:name="_Toc184312121"/>
      <w:bookmarkEnd w:id="391"/>
      <w:bookmarkStart w:id="392" w:name="_Toc184310292"/>
      <w:bookmarkEnd w:id="392"/>
      <w:bookmarkStart w:id="393" w:name="_Toc184312071"/>
      <w:bookmarkEnd w:id="393"/>
      <w:bookmarkStart w:id="394" w:name="_Toc184312123"/>
      <w:bookmarkEnd w:id="394"/>
      <w:bookmarkStart w:id="395" w:name="_Toc184313241"/>
      <w:bookmarkEnd w:id="395"/>
      <w:r>
        <w:rPr>
          <w:rFonts w:hint="eastAsia" w:ascii="仿宋" w:hAnsi="仿宋" w:eastAsia="仿宋" w:cs="仿宋_GB2312"/>
          <w:b/>
          <w:color w:val="auto"/>
          <w:sz w:val="36"/>
          <w:szCs w:val="36"/>
          <w:highlight w:val="none"/>
        </w:rPr>
        <w:t>评标办法</w:t>
      </w:r>
      <w:bookmarkEnd w:id="30"/>
    </w:p>
    <w:p w14:paraId="24926FBA">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tbl>
      <w:tblPr>
        <w:tblStyle w:val="63"/>
        <w:tblW w:w="84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543"/>
        <w:gridCol w:w="725"/>
        <w:gridCol w:w="942"/>
        <w:gridCol w:w="1505"/>
      </w:tblGrid>
      <w:tr w14:paraId="45D6D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14:paraId="70FA51AC">
            <w:pPr>
              <w:snapToGrid w:val="0"/>
              <w:spacing w:line="400" w:lineRule="exact"/>
              <w:jc w:val="center"/>
              <w:outlineLvl w:val="0"/>
              <w:rPr>
                <w:rFonts w:ascii="仿宋" w:hAnsi="仿宋" w:eastAsia="仿宋" w:cs="仿宋_GB2312"/>
                <w:bCs/>
                <w:color w:val="auto"/>
                <w:sz w:val="24"/>
                <w:highlight w:val="none"/>
              </w:rPr>
            </w:pPr>
            <w:bookmarkStart w:id="396" w:name="_Toc17588"/>
            <w:r>
              <w:rPr>
                <w:rFonts w:hint="eastAsia" w:ascii="仿宋" w:hAnsi="仿宋" w:eastAsia="仿宋" w:cs="仿宋_GB2312"/>
                <w:bCs/>
                <w:color w:val="auto"/>
                <w:sz w:val="24"/>
                <w:highlight w:val="none"/>
              </w:rPr>
              <w:t>序号</w:t>
            </w:r>
            <w:bookmarkEnd w:id="396"/>
          </w:p>
        </w:tc>
        <w:tc>
          <w:tcPr>
            <w:tcW w:w="4543" w:type="dxa"/>
            <w:tcBorders>
              <w:tl2br w:val="nil"/>
              <w:tr2bl w:val="nil"/>
            </w:tcBorders>
            <w:vAlign w:val="center"/>
          </w:tcPr>
          <w:p w14:paraId="79CA3A95">
            <w:pPr>
              <w:spacing w:line="360" w:lineRule="auto"/>
              <w:jc w:val="center"/>
              <w:outlineLvl w:val="0"/>
              <w:rPr>
                <w:rFonts w:ascii="仿宋" w:hAnsi="仿宋" w:eastAsia="仿宋" w:cs="仿宋_GB2312"/>
                <w:bCs/>
                <w:color w:val="auto"/>
                <w:sz w:val="24"/>
                <w:highlight w:val="none"/>
              </w:rPr>
            </w:pPr>
            <w:bookmarkStart w:id="397" w:name="_Toc22841"/>
            <w:r>
              <w:rPr>
                <w:rFonts w:hint="eastAsia" w:ascii="仿宋" w:hAnsi="仿宋" w:eastAsia="仿宋" w:cs="仿宋_GB2312"/>
                <w:bCs/>
                <w:color w:val="auto"/>
                <w:sz w:val="24"/>
                <w:highlight w:val="none"/>
              </w:rPr>
              <w:t>评标标准</w:t>
            </w:r>
            <w:bookmarkEnd w:id="397"/>
          </w:p>
        </w:tc>
        <w:tc>
          <w:tcPr>
            <w:tcW w:w="725" w:type="dxa"/>
            <w:tcBorders>
              <w:tl2br w:val="nil"/>
              <w:tr2bl w:val="nil"/>
            </w:tcBorders>
            <w:vAlign w:val="center"/>
          </w:tcPr>
          <w:p w14:paraId="1BA95087">
            <w:pPr>
              <w:spacing w:line="360" w:lineRule="auto"/>
              <w:jc w:val="center"/>
              <w:outlineLvl w:val="0"/>
              <w:rPr>
                <w:rFonts w:ascii="仿宋" w:hAnsi="仿宋" w:eastAsia="仿宋" w:cs="仿宋_GB2312"/>
                <w:bCs/>
                <w:color w:val="auto"/>
                <w:sz w:val="24"/>
                <w:highlight w:val="none"/>
              </w:rPr>
            </w:pPr>
            <w:bookmarkStart w:id="398" w:name="_Toc27932"/>
            <w:r>
              <w:rPr>
                <w:rFonts w:hint="eastAsia" w:ascii="仿宋" w:hAnsi="仿宋" w:eastAsia="仿宋" w:cs="仿宋_GB2312"/>
                <w:bCs/>
                <w:color w:val="auto"/>
                <w:sz w:val="24"/>
                <w:highlight w:val="none"/>
              </w:rPr>
              <w:t>权重</w:t>
            </w:r>
            <w:bookmarkEnd w:id="398"/>
          </w:p>
        </w:tc>
        <w:tc>
          <w:tcPr>
            <w:tcW w:w="942" w:type="dxa"/>
            <w:tcBorders>
              <w:tl2br w:val="nil"/>
              <w:tr2bl w:val="nil"/>
            </w:tcBorders>
            <w:vAlign w:val="center"/>
          </w:tcPr>
          <w:p w14:paraId="69697A22">
            <w:pPr>
              <w:spacing w:line="360" w:lineRule="auto"/>
              <w:jc w:val="center"/>
              <w:outlineLvl w:val="0"/>
              <w:rPr>
                <w:rFonts w:ascii="仿宋" w:hAnsi="仿宋" w:eastAsia="仿宋" w:cs="仿宋_GB2312"/>
                <w:bCs/>
                <w:color w:val="auto"/>
                <w:sz w:val="24"/>
                <w:highlight w:val="none"/>
              </w:rPr>
            </w:pPr>
            <w:bookmarkStart w:id="399" w:name="_Toc26704"/>
            <w:r>
              <w:rPr>
                <w:rFonts w:hint="eastAsia" w:ascii="仿宋" w:hAnsi="仿宋" w:eastAsia="仿宋" w:cs="仿宋_GB2312"/>
                <w:bCs/>
                <w:color w:val="auto"/>
                <w:sz w:val="24"/>
                <w:highlight w:val="none"/>
              </w:rPr>
              <w:t>主观分/客观分属性</w:t>
            </w:r>
          </w:p>
        </w:tc>
        <w:tc>
          <w:tcPr>
            <w:tcW w:w="1505" w:type="dxa"/>
            <w:tcBorders>
              <w:tl2br w:val="nil"/>
              <w:tr2bl w:val="nil"/>
            </w:tcBorders>
            <w:vAlign w:val="center"/>
          </w:tcPr>
          <w:p w14:paraId="6551CA1C">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bookmarkEnd w:id="399"/>
          </w:p>
        </w:tc>
      </w:tr>
      <w:tr w14:paraId="317D3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07ED46FE">
            <w:pPr>
              <w:pStyle w:val="36"/>
              <w:snapToGrid w:val="0"/>
              <w:ind w:firstLine="0"/>
              <w:jc w:val="center"/>
              <w:rPr>
                <w:rFonts w:ascii="仿宋" w:hAnsi="仿宋" w:eastAsia="仿宋" w:cs="仿宋_GB2312"/>
                <w:color w:val="auto"/>
                <w:kern w:val="2"/>
                <w:sz w:val="24"/>
                <w:szCs w:val="24"/>
                <w:highlight w:val="none"/>
              </w:rPr>
            </w:pPr>
            <w:r>
              <w:rPr>
                <w:rFonts w:hint="eastAsia" w:ascii="仿宋" w:hAnsi="仿宋" w:eastAsia="仿宋" w:cs="仿宋_GB2312"/>
                <w:color w:val="auto"/>
                <w:kern w:val="2"/>
                <w:sz w:val="24"/>
                <w:szCs w:val="24"/>
                <w:highlight w:val="none"/>
              </w:rPr>
              <w:t>1</w:t>
            </w:r>
          </w:p>
        </w:tc>
        <w:tc>
          <w:tcPr>
            <w:tcW w:w="4543" w:type="dxa"/>
            <w:tcBorders>
              <w:tl2br w:val="nil"/>
              <w:tr2bl w:val="nil"/>
            </w:tcBorders>
            <w:shd w:val="clear" w:color="auto" w:fill="auto"/>
            <w:vAlign w:val="center"/>
          </w:tcPr>
          <w:p w14:paraId="43030A21">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采购需求响应：投标文件根据采购文件第三部分“二、服务要求”的响应情况，全部满足的得</w:t>
            </w:r>
            <w:r>
              <w:rPr>
                <w:rFonts w:hint="eastAsia" w:ascii="仿宋" w:hAnsi="仿宋" w:eastAsia="仿宋" w:cs="仿宋"/>
                <w:color w:val="auto"/>
                <w:kern w:val="0"/>
                <w:sz w:val="24"/>
                <w:highlight w:val="none"/>
                <w:lang w:val="en-US" w:eastAsia="zh-CN" w:bidi="ar"/>
              </w:rPr>
              <w:t>51</w:t>
            </w:r>
            <w:r>
              <w:rPr>
                <w:rFonts w:hint="eastAsia" w:ascii="仿宋" w:hAnsi="仿宋" w:eastAsia="仿宋" w:cs="仿宋"/>
                <w:color w:val="auto"/>
                <w:kern w:val="0"/>
                <w:sz w:val="24"/>
                <w:highlight w:val="none"/>
                <w:lang w:bidi="ar"/>
              </w:rPr>
              <w:t>分，每一条（最低一级序号的要求项即为一条，相同内容的条款不重复计算条数，“▲”条款除外）不能完全响应采购需求的要求，扣</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分，超过16条负偏离的将作为无效文件处理。</w:t>
            </w:r>
          </w:p>
        </w:tc>
        <w:tc>
          <w:tcPr>
            <w:tcW w:w="725" w:type="dxa"/>
            <w:tcBorders>
              <w:tl2br w:val="nil"/>
              <w:tr2bl w:val="nil"/>
            </w:tcBorders>
            <w:shd w:val="clear" w:color="auto" w:fill="auto"/>
            <w:vAlign w:val="center"/>
          </w:tcPr>
          <w:p w14:paraId="0C1E8535">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51</w:t>
            </w:r>
          </w:p>
        </w:tc>
        <w:tc>
          <w:tcPr>
            <w:tcW w:w="942" w:type="dxa"/>
            <w:tcBorders>
              <w:tl2br w:val="nil"/>
              <w:tr2bl w:val="nil"/>
            </w:tcBorders>
            <w:shd w:val="clear" w:color="auto" w:fill="auto"/>
            <w:vAlign w:val="center"/>
          </w:tcPr>
          <w:p w14:paraId="5698AF70">
            <w:pPr>
              <w:spacing w:line="360" w:lineRule="auto"/>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客观分</w:t>
            </w:r>
          </w:p>
        </w:tc>
        <w:tc>
          <w:tcPr>
            <w:tcW w:w="1505" w:type="dxa"/>
            <w:tcBorders>
              <w:tl2br w:val="nil"/>
              <w:tr2bl w:val="nil"/>
            </w:tcBorders>
            <w:vAlign w:val="center"/>
          </w:tcPr>
          <w:p w14:paraId="44C0FA22">
            <w:pPr>
              <w:snapToGrid w:val="0"/>
              <w:jc w:val="center"/>
              <w:outlineLvl w:val="0"/>
              <w:rPr>
                <w:rFonts w:ascii="仿宋" w:hAnsi="仿宋" w:eastAsia="仿宋" w:cs="仿宋_GB2312"/>
                <w:bCs/>
                <w:color w:val="auto"/>
                <w:sz w:val="24"/>
                <w:highlight w:val="none"/>
              </w:rPr>
            </w:pPr>
          </w:p>
        </w:tc>
      </w:tr>
      <w:tr w14:paraId="2CCBC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50E2C478">
            <w:pPr>
              <w:pStyle w:val="36"/>
              <w:snapToGrid w:val="0"/>
              <w:ind w:firstLine="0"/>
              <w:jc w:val="center"/>
              <w:rPr>
                <w:rFonts w:ascii="仿宋" w:hAnsi="仿宋" w:eastAsia="仿宋" w:cs="仿宋_GB2312"/>
                <w:color w:val="auto"/>
                <w:kern w:val="2"/>
                <w:sz w:val="24"/>
                <w:szCs w:val="24"/>
                <w:highlight w:val="none"/>
              </w:rPr>
            </w:pPr>
            <w:r>
              <w:rPr>
                <w:rFonts w:hint="eastAsia" w:ascii="仿宋" w:hAnsi="仿宋" w:eastAsia="仿宋" w:cs="仿宋_GB2312"/>
                <w:color w:val="auto"/>
                <w:kern w:val="2"/>
                <w:sz w:val="24"/>
                <w:szCs w:val="24"/>
                <w:highlight w:val="none"/>
              </w:rPr>
              <w:t>2</w:t>
            </w:r>
          </w:p>
        </w:tc>
        <w:tc>
          <w:tcPr>
            <w:tcW w:w="4543" w:type="dxa"/>
            <w:tcBorders>
              <w:tl2br w:val="nil"/>
              <w:tr2bl w:val="nil"/>
            </w:tcBorders>
            <w:shd w:val="clear" w:color="auto" w:fill="auto"/>
            <w:vAlign w:val="center"/>
          </w:tcPr>
          <w:p w14:paraId="4F997B5C">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业绩：投标人承担过医院的普检或特检检测服务业绩（提供合同复印件），每提供一个得0.5分，最多得1分。同一用户不重复得分。</w:t>
            </w:r>
          </w:p>
        </w:tc>
        <w:tc>
          <w:tcPr>
            <w:tcW w:w="725" w:type="dxa"/>
            <w:tcBorders>
              <w:tl2br w:val="nil"/>
              <w:tr2bl w:val="nil"/>
            </w:tcBorders>
            <w:shd w:val="clear" w:color="auto" w:fill="auto"/>
            <w:vAlign w:val="center"/>
          </w:tcPr>
          <w:p w14:paraId="19516C0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942" w:type="dxa"/>
            <w:tcBorders>
              <w:tl2br w:val="nil"/>
              <w:tr2bl w:val="nil"/>
            </w:tcBorders>
            <w:shd w:val="clear" w:color="auto" w:fill="auto"/>
            <w:vAlign w:val="center"/>
          </w:tcPr>
          <w:p w14:paraId="490788DF">
            <w:pPr>
              <w:spacing w:line="360" w:lineRule="auto"/>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客观分</w:t>
            </w:r>
          </w:p>
        </w:tc>
        <w:tc>
          <w:tcPr>
            <w:tcW w:w="1505" w:type="dxa"/>
            <w:tcBorders>
              <w:tl2br w:val="nil"/>
              <w:tr2bl w:val="nil"/>
            </w:tcBorders>
            <w:vAlign w:val="center"/>
          </w:tcPr>
          <w:p w14:paraId="3CE9616C">
            <w:pPr>
              <w:spacing w:line="360" w:lineRule="auto"/>
              <w:jc w:val="center"/>
              <w:outlineLvl w:val="0"/>
              <w:rPr>
                <w:rFonts w:ascii="仿宋" w:hAnsi="仿宋" w:eastAsia="仿宋" w:cs="仿宋_GB2312"/>
                <w:color w:val="auto"/>
                <w:sz w:val="24"/>
                <w:highlight w:val="none"/>
              </w:rPr>
            </w:pPr>
          </w:p>
        </w:tc>
      </w:tr>
      <w:tr w14:paraId="3EE1A5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266825FD">
            <w:pPr>
              <w:pStyle w:val="36"/>
              <w:snapToGrid w:val="0"/>
              <w:ind w:firstLine="0"/>
              <w:jc w:val="center"/>
              <w:rPr>
                <w:rFonts w:ascii="仿宋" w:hAnsi="仿宋" w:eastAsia="仿宋" w:cs="仿宋_GB2312"/>
                <w:color w:val="auto"/>
                <w:kern w:val="2"/>
                <w:sz w:val="24"/>
                <w:szCs w:val="24"/>
                <w:highlight w:val="none"/>
              </w:rPr>
            </w:pPr>
            <w:r>
              <w:rPr>
                <w:rFonts w:hint="eastAsia" w:ascii="仿宋" w:hAnsi="仿宋" w:eastAsia="仿宋" w:cs="仿宋_GB2312"/>
                <w:color w:val="auto"/>
                <w:kern w:val="2"/>
                <w:sz w:val="24"/>
                <w:szCs w:val="24"/>
                <w:highlight w:val="none"/>
              </w:rPr>
              <w:t>3</w:t>
            </w:r>
          </w:p>
        </w:tc>
        <w:tc>
          <w:tcPr>
            <w:tcW w:w="4543" w:type="dxa"/>
            <w:tcBorders>
              <w:tl2br w:val="nil"/>
              <w:tr2bl w:val="nil"/>
            </w:tcBorders>
            <w:shd w:val="clear" w:color="auto" w:fill="auto"/>
            <w:vAlign w:val="center"/>
          </w:tcPr>
          <w:p w14:paraId="6F478327">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根据供应商提供的项目总体实施方案评分（3,2,1,0分）</w:t>
            </w:r>
          </w:p>
        </w:tc>
        <w:tc>
          <w:tcPr>
            <w:tcW w:w="725" w:type="dxa"/>
            <w:tcBorders>
              <w:tl2br w:val="nil"/>
              <w:tr2bl w:val="nil"/>
            </w:tcBorders>
            <w:shd w:val="clear" w:color="auto" w:fill="auto"/>
            <w:vAlign w:val="center"/>
          </w:tcPr>
          <w:p w14:paraId="09FF1F2D">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42" w:type="dxa"/>
            <w:tcBorders>
              <w:tl2br w:val="nil"/>
              <w:tr2bl w:val="nil"/>
            </w:tcBorders>
            <w:shd w:val="clear" w:color="auto" w:fill="auto"/>
            <w:vAlign w:val="center"/>
          </w:tcPr>
          <w:p w14:paraId="4F76D67D">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505" w:type="dxa"/>
            <w:tcBorders>
              <w:tl2br w:val="nil"/>
              <w:tr2bl w:val="nil"/>
            </w:tcBorders>
            <w:vAlign w:val="center"/>
          </w:tcPr>
          <w:p w14:paraId="6E8C0587">
            <w:pPr>
              <w:spacing w:line="360" w:lineRule="auto"/>
              <w:jc w:val="center"/>
              <w:outlineLvl w:val="0"/>
              <w:rPr>
                <w:rFonts w:ascii="仿宋" w:hAnsi="仿宋" w:eastAsia="仿宋" w:cs="仿宋_GB2312"/>
                <w:color w:val="auto"/>
                <w:sz w:val="24"/>
                <w:highlight w:val="none"/>
              </w:rPr>
            </w:pPr>
          </w:p>
        </w:tc>
      </w:tr>
      <w:tr w14:paraId="031EB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791EA2C9">
            <w:pPr>
              <w:pStyle w:val="36"/>
              <w:snapToGrid w:val="0"/>
              <w:ind w:firstLine="0"/>
              <w:jc w:val="center"/>
              <w:rPr>
                <w:rFonts w:ascii="仿宋" w:hAnsi="仿宋" w:eastAsia="仿宋" w:cs="仿宋_GB2312"/>
                <w:color w:val="auto"/>
                <w:kern w:val="2"/>
                <w:sz w:val="24"/>
                <w:szCs w:val="24"/>
                <w:highlight w:val="none"/>
              </w:rPr>
            </w:pPr>
            <w:r>
              <w:rPr>
                <w:rFonts w:hint="eastAsia" w:ascii="仿宋" w:hAnsi="仿宋" w:eastAsia="仿宋" w:cs="仿宋_GB2312"/>
                <w:color w:val="auto"/>
                <w:kern w:val="2"/>
                <w:sz w:val="24"/>
                <w:szCs w:val="24"/>
                <w:highlight w:val="none"/>
              </w:rPr>
              <w:t>4</w:t>
            </w:r>
          </w:p>
        </w:tc>
        <w:tc>
          <w:tcPr>
            <w:tcW w:w="4543" w:type="dxa"/>
            <w:tcBorders>
              <w:tl2br w:val="nil"/>
              <w:tr2bl w:val="nil"/>
            </w:tcBorders>
            <w:shd w:val="clear" w:color="auto" w:fill="auto"/>
            <w:vAlign w:val="center"/>
          </w:tcPr>
          <w:p w14:paraId="36EA2322">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根据实验室质量保证措施方案进行评分。（3,2,1,0分）</w:t>
            </w:r>
          </w:p>
        </w:tc>
        <w:tc>
          <w:tcPr>
            <w:tcW w:w="725" w:type="dxa"/>
            <w:tcBorders>
              <w:tl2br w:val="nil"/>
              <w:tr2bl w:val="nil"/>
            </w:tcBorders>
            <w:shd w:val="clear" w:color="auto" w:fill="auto"/>
            <w:vAlign w:val="center"/>
          </w:tcPr>
          <w:p w14:paraId="5B2AE79B">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42" w:type="dxa"/>
            <w:tcBorders>
              <w:tl2br w:val="nil"/>
              <w:tr2bl w:val="nil"/>
            </w:tcBorders>
            <w:shd w:val="clear" w:color="auto" w:fill="auto"/>
            <w:vAlign w:val="center"/>
          </w:tcPr>
          <w:p w14:paraId="3E6B22CF">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505" w:type="dxa"/>
            <w:tcBorders>
              <w:tl2br w:val="nil"/>
              <w:tr2bl w:val="nil"/>
            </w:tcBorders>
            <w:vAlign w:val="center"/>
          </w:tcPr>
          <w:p w14:paraId="3CA60E23">
            <w:pPr>
              <w:spacing w:line="360" w:lineRule="auto"/>
              <w:jc w:val="center"/>
              <w:outlineLvl w:val="0"/>
              <w:rPr>
                <w:rFonts w:ascii="仿宋" w:hAnsi="仿宋" w:eastAsia="仿宋" w:cs="仿宋_GB2312"/>
                <w:color w:val="auto"/>
                <w:sz w:val="24"/>
                <w:highlight w:val="none"/>
              </w:rPr>
            </w:pPr>
          </w:p>
        </w:tc>
      </w:tr>
      <w:tr w14:paraId="36683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69713A5D">
            <w:pPr>
              <w:pStyle w:val="36"/>
              <w:snapToGrid w:val="0"/>
              <w:ind w:firstLine="0"/>
              <w:jc w:val="center"/>
              <w:rPr>
                <w:rFonts w:ascii="仿宋" w:hAnsi="仿宋" w:eastAsia="仿宋" w:cs="仿宋_GB2312"/>
                <w:color w:val="auto"/>
                <w:kern w:val="2"/>
                <w:sz w:val="24"/>
                <w:szCs w:val="24"/>
                <w:highlight w:val="none"/>
              </w:rPr>
            </w:pPr>
            <w:r>
              <w:rPr>
                <w:rFonts w:hint="eastAsia" w:ascii="仿宋" w:hAnsi="仿宋" w:eastAsia="仿宋" w:cs="仿宋_GB2312"/>
                <w:color w:val="auto"/>
                <w:sz w:val="24"/>
                <w:highlight w:val="none"/>
              </w:rPr>
              <w:t>5</w:t>
            </w:r>
          </w:p>
        </w:tc>
        <w:tc>
          <w:tcPr>
            <w:tcW w:w="4543" w:type="dxa"/>
            <w:tcBorders>
              <w:tl2br w:val="nil"/>
              <w:tr2bl w:val="nil"/>
            </w:tcBorders>
            <w:shd w:val="clear" w:color="auto" w:fill="auto"/>
            <w:vAlign w:val="center"/>
          </w:tcPr>
          <w:p w14:paraId="4E56F817">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样本运输方案</w:t>
            </w:r>
          </w:p>
        </w:tc>
        <w:tc>
          <w:tcPr>
            <w:tcW w:w="725" w:type="dxa"/>
            <w:tcBorders>
              <w:tl2br w:val="nil"/>
              <w:tr2bl w:val="nil"/>
            </w:tcBorders>
            <w:shd w:val="clear" w:color="auto" w:fill="auto"/>
            <w:vAlign w:val="center"/>
          </w:tcPr>
          <w:p w14:paraId="562DE39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p>
        </w:tc>
        <w:tc>
          <w:tcPr>
            <w:tcW w:w="942" w:type="dxa"/>
            <w:tcBorders>
              <w:tl2br w:val="nil"/>
              <w:tr2bl w:val="nil"/>
            </w:tcBorders>
            <w:shd w:val="clear" w:color="auto" w:fill="auto"/>
            <w:vAlign w:val="center"/>
          </w:tcPr>
          <w:p w14:paraId="00928393">
            <w:pPr>
              <w:spacing w:line="360" w:lineRule="auto"/>
              <w:jc w:val="center"/>
              <w:rPr>
                <w:rFonts w:ascii="仿宋" w:hAnsi="仿宋" w:eastAsia="仿宋" w:cs="仿宋_GB2312"/>
                <w:bCs/>
                <w:color w:val="auto"/>
                <w:sz w:val="24"/>
                <w:highlight w:val="none"/>
              </w:rPr>
            </w:pPr>
          </w:p>
        </w:tc>
        <w:tc>
          <w:tcPr>
            <w:tcW w:w="1505" w:type="dxa"/>
            <w:tcBorders>
              <w:tl2br w:val="nil"/>
              <w:tr2bl w:val="nil"/>
            </w:tcBorders>
            <w:vAlign w:val="center"/>
          </w:tcPr>
          <w:p w14:paraId="76D2D9C3">
            <w:pPr>
              <w:spacing w:line="360" w:lineRule="auto"/>
              <w:jc w:val="center"/>
              <w:outlineLvl w:val="0"/>
              <w:rPr>
                <w:rFonts w:ascii="仿宋" w:hAnsi="仿宋" w:eastAsia="仿宋" w:cs="仿宋_GB2312"/>
                <w:color w:val="auto"/>
                <w:sz w:val="24"/>
                <w:highlight w:val="none"/>
              </w:rPr>
            </w:pPr>
          </w:p>
        </w:tc>
      </w:tr>
      <w:tr w14:paraId="4BC1A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511D39B8">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5.1</w:t>
            </w:r>
          </w:p>
        </w:tc>
        <w:tc>
          <w:tcPr>
            <w:tcW w:w="4543" w:type="dxa"/>
            <w:tcBorders>
              <w:tl2br w:val="nil"/>
              <w:tr2bl w:val="nil"/>
            </w:tcBorders>
            <w:shd w:val="clear" w:color="auto" w:fill="auto"/>
            <w:vAlign w:val="center"/>
          </w:tcPr>
          <w:p w14:paraId="46966B41">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物流运输方案，根据供应商的物流运输方案的响应情况进行评分，（3,2,1,0分）</w:t>
            </w:r>
          </w:p>
        </w:tc>
        <w:tc>
          <w:tcPr>
            <w:tcW w:w="725" w:type="dxa"/>
            <w:tcBorders>
              <w:tl2br w:val="nil"/>
              <w:tr2bl w:val="nil"/>
            </w:tcBorders>
            <w:shd w:val="clear" w:color="auto" w:fill="auto"/>
            <w:vAlign w:val="center"/>
          </w:tcPr>
          <w:p w14:paraId="2F61910F">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42" w:type="dxa"/>
            <w:tcBorders>
              <w:tl2br w:val="nil"/>
              <w:tr2bl w:val="nil"/>
            </w:tcBorders>
            <w:shd w:val="clear" w:color="auto" w:fill="auto"/>
            <w:vAlign w:val="center"/>
          </w:tcPr>
          <w:p w14:paraId="40E4298D">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505" w:type="dxa"/>
            <w:tcBorders>
              <w:tl2br w:val="nil"/>
              <w:tr2bl w:val="nil"/>
            </w:tcBorders>
            <w:vAlign w:val="center"/>
          </w:tcPr>
          <w:p w14:paraId="2B6C8129">
            <w:pPr>
              <w:spacing w:line="360" w:lineRule="auto"/>
              <w:jc w:val="center"/>
              <w:outlineLvl w:val="0"/>
              <w:rPr>
                <w:rFonts w:ascii="仿宋" w:hAnsi="仿宋" w:eastAsia="仿宋" w:cs="仿宋_GB2312"/>
                <w:color w:val="auto"/>
                <w:sz w:val="24"/>
                <w:highlight w:val="none"/>
              </w:rPr>
            </w:pPr>
          </w:p>
        </w:tc>
      </w:tr>
      <w:tr w14:paraId="179031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71C8A096">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5.2</w:t>
            </w:r>
          </w:p>
        </w:tc>
        <w:tc>
          <w:tcPr>
            <w:tcW w:w="4543" w:type="dxa"/>
            <w:tcBorders>
              <w:tl2br w:val="nil"/>
              <w:tr2bl w:val="nil"/>
            </w:tcBorders>
            <w:shd w:val="clear" w:color="auto" w:fill="auto"/>
            <w:vAlign w:val="center"/>
          </w:tcPr>
          <w:p w14:paraId="5A42CFE2">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根据供应商提供针对本项目的运输应急预案评分（3,2,1,0分）</w:t>
            </w:r>
          </w:p>
        </w:tc>
        <w:tc>
          <w:tcPr>
            <w:tcW w:w="725" w:type="dxa"/>
            <w:tcBorders>
              <w:tl2br w:val="nil"/>
              <w:tr2bl w:val="nil"/>
            </w:tcBorders>
            <w:shd w:val="clear" w:color="auto" w:fill="auto"/>
            <w:vAlign w:val="center"/>
          </w:tcPr>
          <w:p w14:paraId="2E1025EB">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42" w:type="dxa"/>
            <w:tcBorders>
              <w:tl2br w:val="nil"/>
              <w:tr2bl w:val="nil"/>
            </w:tcBorders>
            <w:shd w:val="clear" w:color="auto" w:fill="auto"/>
            <w:vAlign w:val="center"/>
          </w:tcPr>
          <w:p w14:paraId="0DB533B3">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05" w:type="dxa"/>
            <w:tcBorders>
              <w:tl2br w:val="nil"/>
              <w:tr2bl w:val="nil"/>
            </w:tcBorders>
            <w:vAlign w:val="center"/>
          </w:tcPr>
          <w:p w14:paraId="3F0ED408">
            <w:pPr>
              <w:spacing w:line="360" w:lineRule="auto"/>
              <w:jc w:val="center"/>
              <w:outlineLvl w:val="0"/>
              <w:rPr>
                <w:rFonts w:ascii="仿宋" w:hAnsi="仿宋" w:eastAsia="仿宋" w:cs="仿宋_GB2312"/>
                <w:color w:val="auto"/>
                <w:sz w:val="24"/>
                <w:highlight w:val="none"/>
              </w:rPr>
            </w:pPr>
          </w:p>
        </w:tc>
      </w:tr>
      <w:tr w14:paraId="45133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5BD58071">
            <w:pPr>
              <w:spacing w:line="360" w:lineRule="auto"/>
              <w:jc w:val="center"/>
              <w:outlineLvl w:val="0"/>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5.3</w:t>
            </w:r>
          </w:p>
        </w:tc>
        <w:tc>
          <w:tcPr>
            <w:tcW w:w="4543" w:type="dxa"/>
            <w:tcBorders>
              <w:tl2br w:val="nil"/>
              <w:tr2bl w:val="nil"/>
            </w:tcBorders>
            <w:shd w:val="clear" w:color="auto" w:fill="auto"/>
            <w:vAlign w:val="center"/>
          </w:tcPr>
          <w:p w14:paraId="0BF051F3">
            <w:pPr>
              <w:widowControl/>
              <w:jc w:val="left"/>
              <w:textAlignment w:val="center"/>
              <w:rPr>
                <w:rFonts w:ascii="仿宋" w:hAnsi="仿宋" w:eastAsia="仿宋" w:cs="仿宋_GB2312"/>
                <w:color w:val="auto"/>
                <w:sz w:val="24"/>
                <w:highlight w:val="none"/>
              </w:rPr>
            </w:pPr>
            <w:r>
              <w:rPr>
                <w:rFonts w:hint="eastAsia" w:ascii="仿宋" w:hAnsi="仿宋" w:eastAsia="仿宋" w:cs="仿宋"/>
                <w:color w:val="auto"/>
                <w:kern w:val="0"/>
                <w:sz w:val="24"/>
                <w:highlight w:val="none"/>
                <w:lang w:bidi="ar"/>
              </w:rPr>
              <w:t>培训方案：根据投标人实际情况提供样本取样、样本保存、质量控制、技术提升等相关内容的培训服务方案，包括但不限于培训内容、计划安排时间等。（3,2,1,0分）</w:t>
            </w:r>
          </w:p>
        </w:tc>
        <w:tc>
          <w:tcPr>
            <w:tcW w:w="725" w:type="dxa"/>
            <w:tcBorders>
              <w:tl2br w:val="nil"/>
              <w:tr2bl w:val="nil"/>
            </w:tcBorders>
            <w:shd w:val="clear" w:color="auto" w:fill="auto"/>
            <w:vAlign w:val="center"/>
          </w:tcPr>
          <w:p w14:paraId="3C0466C5">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42" w:type="dxa"/>
            <w:tcBorders>
              <w:tl2br w:val="nil"/>
              <w:tr2bl w:val="nil"/>
            </w:tcBorders>
            <w:shd w:val="clear" w:color="auto" w:fill="auto"/>
            <w:vAlign w:val="center"/>
          </w:tcPr>
          <w:p w14:paraId="421F379C">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05" w:type="dxa"/>
            <w:tcBorders>
              <w:tl2br w:val="nil"/>
              <w:tr2bl w:val="nil"/>
            </w:tcBorders>
            <w:vAlign w:val="center"/>
          </w:tcPr>
          <w:p w14:paraId="774B11EA">
            <w:pPr>
              <w:spacing w:line="360" w:lineRule="auto"/>
              <w:jc w:val="center"/>
              <w:outlineLvl w:val="0"/>
              <w:rPr>
                <w:rFonts w:ascii="仿宋" w:hAnsi="仿宋" w:eastAsia="仿宋" w:cs="仿宋_GB2312"/>
                <w:color w:val="auto"/>
                <w:sz w:val="24"/>
                <w:highlight w:val="none"/>
              </w:rPr>
            </w:pPr>
          </w:p>
        </w:tc>
      </w:tr>
      <w:tr w14:paraId="1C932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5898D2EC">
            <w:pPr>
              <w:spacing w:line="360" w:lineRule="auto"/>
              <w:jc w:val="center"/>
              <w:outlineLvl w:val="0"/>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5.4</w:t>
            </w:r>
          </w:p>
        </w:tc>
        <w:tc>
          <w:tcPr>
            <w:tcW w:w="4543" w:type="dxa"/>
            <w:tcBorders>
              <w:tl2br w:val="nil"/>
              <w:tr2bl w:val="nil"/>
            </w:tcBorders>
            <w:shd w:val="clear" w:color="auto" w:fill="auto"/>
            <w:vAlign w:val="center"/>
          </w:tcPr>
          <w:p w14:paraId="2FE8B4EE">
            <w:pPr>
              <w:widowControl/>
              <w:jc w:val="left"/>
              <w:textAlignment w:val="center"/>
              <w:rPr>
                <w:rFonts w:ascii="仿宋" w:hAnsi="仿宋" w:eastAsia="仿宋" w:cs="仿宋_GB2312"/>
                <w:color w:val="auto"/>
                <w:kern w:val="0"/>
                <w:sz w:val="24"/>
                <w:szCs w:val="20"/>
                <w:highlight w:val="none"/>
              </w:rPr>
            </w:pPr>
            <w:r>
              <w:rPr>
                <w:rFonts w:hint="eastAsia" w:ascii="仿宋" w:hAnsi="仿宋" w:eastAsia="仿宋" w:cs="仿宋"/>
                <w:color w:val="auto"/>
                <w:kern w:val="0"/>
                <w:sz w:val="24"/>
                <w:highlight w:val="none"/>
                <w:lang w:bidi="ar"/>
              </w:rPr>
              <w:t>根据供应商提供的医疗纠纷解决方案评分（3,2,1,0分）</w:t>
            </w:r>
          </w:p>
        </w:tc>
        <w:tc>
          <w:tcPr>
            <w:tcW w:w="725" w:type="dxa"/>
            <w:tcBorders>
              <w:tl2br w:val="nil"/>
              <w:tr2bl w:val="nil"/>
            </w:tcBorders>
            <w:shd w:val="clear" w:color="auto" w:fill="auto"/>
            <w:vAlign w:val="center"/>
          </w:tcPr>
          <w:p w14:paraId="59C9D9E5">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42" w:type="dxa"/>
            <w:tcBorders>
              <w:tl2br w:val="nil"/>
              <w:tr2bl w:val="nil"/>
            </w:tcBorders>
            <w:shd w:val="clear" w:color="auto" w:fill="auto"/>
            <w:vAlign w:val="center"/>
          </w:tcPr>
          <w:p w14:paraId="46FDFBE7">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05" w:type="dxa"/>
            <w:tcBorders>
              <w:tl2br w:val="nil"/>
              <w:tr2bl w:val="nil"/>
            </w:tcBorders>
            <w:vAlign w:val="center"/>
          </w:tcPr>
          <w:p w14:paraId="704D7DB3">
            <w:pPr>
              <w:spacing w:line="360" w:lineRule="auto"/>
              <w:jc w:val="center"/>
              <w:outlineLvl w:val="0"/>
              <w:rPr>
                <w:rFonts w:ascii="仿宋" w:hAnsi="仿宋" w:eastAsia="仿宋" w:cs="仿宋_GB2312"/>
                <w:color w:val="auto"/>
                <w:sz w:val="24"/>
                <w:highlight w:val="none"/>
              </w:rPr>
            </w:pPr>
          </w:p>
        </w:tc>
      </w:tr>
      <w:tr w14:paraId="6FAA2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525D17B8">
            <w:pPr>
              <w:spacing w:line="360" w:lineRule="auto"/>
              <w:jc w:val="center"/>
              <w:outlineLvl w:val="0"/>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6</w:t>
            </w:r>
          </w:p>
        </w:tc>
        <w:tc>
          <w:tcPr>
            <w:tcW w:w="4543" w:type="dxa"/>
            <w:tcBorders>
              <w:tl2br w:val="nil"/>
              <w:tr2bl w:val="nil"/>
            </w:tcBorders>
            <w:shd w:val="clear" w:color="auto" w:fill="auto"/>
            <w:vAlign w:val="center"/>
          </w:tcPr>
          <w:p w14:paraId="606A69DD">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报价评分</w:t>
            </w:r>
          </w:p>
          <w:p w14:paraId="353FE40F">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各供应商的报价得分=普检检测服务报价得分+特检检测服务报价得分</w:t>
            </w:r>
          </w:p>
        </w:tc>
        <w:tc>
          <w:tcPr>
            <w:tcW w:w="725" w:type="dxa"/>
            <w:tcBorders>
              <w:tl2br w:val="nil"/>
              <w:tr2bl w:val="nil"/>
            </w:tcBorders>
            <w:shd w:val="clear" w:color="auto" w:fill="auto"/>
            <w:vAlign w:val="center"/>
          </w:tcPr>
          <w:p w14:paraId="16B5735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w:t>
            </w:r>
          </w:p>
        </w:tc>
        <w:tc>
          <w:tcPr>
            <w:tcW w:w="942" w:type="dxa"/>
            <w:tcBorders>
              <w:tl2br w:val="nil"/>
              <w:tr2bl w:val="nil"/>
            </w:tcBorders>
            <w:shd w:val="clear" w:color="auto" w:fill="auto"/>
            <w:vAlign w:val="center"/>
          </w:tcPr>
          <w:p w14:paraId="3889E422">
            <w:pPr>
              <w:spacing w:line="360" w:lineRule="auto"/>
              <w:jc w:val="center"/>
              <w:rPr>
                <w:rFonts w:ascii="仿宋" w:hAnsi="仿宋" w:eastAsia="仿宋" w:cs="仿宋_GB2312"/>
                <w:color w:val="auto"/>
                <w:sz w:val="24"/>
                <w:highlight w:val="none"/>
              </w:rPr>
            </w:pPr>
          </w:p>
        </w:tc>
        <w:tc>
          <w:tcPr>
            <w:tcW w:w="1505" w:type="dxa"/>
            <w:tcBorders>
              <w:tl2br w:val="nil"/>
              <w:tr2bl w:val="nil"/>
            </w:tcBorders>
            <w:vAlign w:val="center"/>
          </w:tcPr>
          <w:p w14:paraId="7E9DC58D">
            <w:pPr>
              <w:spacing w:line="360" w:lineRule="auto"/>
              <w:jc w:val="center"/>
              <w:outlineLvl w:val="0"/>
              <w:rPr>
                <w:rFonts w:ascii="仿宋" w:hAnsi="仿宋" w:eastAsia="仿宋" w:cs="仿宋_GB2312"/>
                <w:color w:val="auto"/>
                <w:sz w:val="24"/>
                <w:highlight w:val="none"/>
              </w:rPr>
            </w:pPr>
          </w:p>
        </w:tc>
      </w:tr>
      <w:tr w14:paraId="72B1B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5D3657E4">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6.1</w:t>
            </w:r>
          </w:p>
        </w:tc>
        <w:tc>
          <w:tcPr>
            <w:tcW w:w="4543" w:type="dxa"/>
            <w:tcBorders>
              <w:tl2br w:val="nil"/>
              <w:tr2bl w:val="nil"/>
            </w:tcBorders>
            <w:shd w:val="clear" w:color="auto" w:fill="auto"/>
            <w:vAlign w:val="center"/>
          </w:tcPr>
          <w:p w14:paraId="21C3834D">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普检检测服务报价：</w:t>
            </w:r>
          </w:p>
          <w:p w14:paraId="1D1CF64B">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有效投标报价的最低价作为评标基准价，其最低报价为满分；按［普检检测服务报价得分=（评标基准价/投标报价）*</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］的计算公式计算。</w:t>
            </w:r>
          </w:p>
          <w:p w14:paraId="54AF364A">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0BB4C9AA">
            <w:pPr>
              <w:jc w:val="left"/>
              <w:outlineLvl w:val="0"/>
              <w:rPr>
                <w:rFonts w:ascii="仿宋" w:hAnsi="仿宋" w:eastAsia="仿宋" w:cs="仿宋_GB2312"/>
                <w:bCs/>
                <w:color w:val="auto"/>
                <w:sz w:val="24"/>
                <w:szCs w:val="20"/>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对于未预留份额专门面向中小企业的政府采购服务项目，以及预留份额政府采购服务项目中的非预留部分标项，对小型和微型企业的投标报价给予10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%的扣除，用扣除后的价格参加评审。</w:t>
            </w:r>
          </w:p>
        </w:tc>
        <w:tc>
          <w:tcPr>
            <w:tcW w:w="725" w:type="dxa"/>
            <w:tcBorders>
              <w:tl2br w:val="nil"/>
              <w:tr2bl w:val="nil"/>
            </w:tcBorders>
            <w:shd w:val="clear" w:color="auto" w:fill="auto"/>
            <w:vAlign w:val="center"/>
          </w:tcPr>
          <w:p w14:paraId="2872957C">
            <w:pPr>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942" w:type="dxa"/>
            <w:tcBorders>
              <w:tl2br w:val="nil"/>
              <w:tr2bl w:val="nil"/>
            </w:tcBorders>
            <w:shd w:val="clear" w:color="auto" w:fill="auto"/>
            <w:vAlign w:val="center"/>
          </w:tcPr>
          <w:p w14:paraId="31F1A9AB">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505" w:type="dxa"/>
            <w:tcBorders>
              <w:tl2br w:val="nil"/>
              <w:tr2bl w:val="nil"/>
            </w:tcBorders>
            <w:vAlign w:val="center"/>
          </w:tcPr>
          <w:p w14:paraId="29DAA33A">
            <w:pPr>
              <w:spacing w:line="360" w:lineRule="auto"/>
              <w:jc w:val="center"/>
              <w:outlineLvl w:val="0"/>
              <w:rPr>
                <w:rFonts w:ascii="仿宋" w:hAnsi="仿宋" w:eastAsia="仿宋" w:cs="仿宋_GB2312"/>
                <w:color w:val="auto"/>
                <w:sz w:val="24"/>
                <w:highlight w:val="none"/>
              </w:rPr>
            </w:pPr>
          </w:p>
        </w:tc>
      </w:tr>
      <w:tr w14:paraId="4956F7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shd w:val="clear" w:color="auto" w:fill="auto"/>
            <w:vAlign w:val="center"/>
          </w:tcPr>
          <w:p w14:paraId="2F79809F">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6.2</w:t>
            </w:r>
          </w:p>
        </w:tc>
        <w:tc>
          <w:tcPr>
            <w:tcW w:w="4543" w:type="dxa"/>
            <w:tcBorders>
              <w:tl2br w:val="nil"/>
              <w:tr2bl w:val="nil"/>
            </w:tcBorders>
            <w:shd w:val="clear" w:color="auto" w:fill="auto"/>
            <w:vAlign w:val="center"/>
          </w:tcPr>
          <w:p w14:paraId="1C6718C0">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特检检测服务报价：</w:t>
            </w:r>
          </w:p>
          <w:p w14:paraId="60606D47">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有效投标报价的最低价作为评标基准价，其最低报价为满分；按［特检检测服务报价得分=（评标基准价/投标报价）*</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］的计算公式计算。</w:t>
            </w:r>
          </w:p>
          <w:p w14:paraId="468FC60C">
            <w:pPr>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1328773B">
            <w:pPr>
              <w:jc w:val="left"/>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对于未预留份额专门面向中小企业的政府采购服务项目，以及预留份额政府采购服务项目中的非预留部分标项，对小型和微型企业的投标报价给予10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 %的扣除，用扣除后的价格参加评审。</w:t>
            </w:r>
          </w:p>
        </w:tc>
        <w:tc>
          <w:tcPr>
            <w:tcW w:w="725" w:type="dxa"/>
            <w:tcBorders>
              <w:tl2br w:val="nil"/>
              <w:tr2bl w:val="nil"/>
            </w:tcBorders>
            <w:shd w:val="clear" w:color="auto" w:fill="auto"/>
            <w:vAlign w:val="center"/>
          </w:tcPr>
          <w:p w14:paraId="7211D7E6">
            <w:pPr>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
                <w:color w:val="auto"/>
                <w:sz w:val="24"/>
                <w:highlight w:val="none"/>
                <w:lang w:val="en-US" w:eastAsia="zh-CN"/>
              </w:rPr>
              <w:t>24</w:t>
            </w:r>
          </w:p>
        </w:tc>
        <w:tc>
          <w:tcPr>
            <w:tcW w:w="942" w:type="dxa"/>
            <w:tcBorders>
              <w:tl2br w:val="nil"/>
              <w:tr2bl w:val="nil"/>
            </w:tcBorders>
            <w:shd w:val="clear" w:color="auto" w:fill="auto"/>
            <w:vAlign w:val="center"/>
          </w:tcPr>
          <w:p w14:paraId="3F282A4A">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505" w:type="dxa"/>
            <w:tcBorders>
              <w:tl2br w:val="nil"/>
              <w:tr2bl w:val="nil"/>
            </w:tcBorders>
            <w:vAlign w:val="center"/>
          </w:tcPr>
          <w:p w14:paraId="3C995C40">
            <w:pPr>
              <w:spacing w:line="360" w:lineRule="auto"/>
              <w:jc w:val="center"/>
              <w:outlineLvl w:val="0"/>
              <w:rPr>
                <w:rFonts w:ascii="仿宋" w:hAnsi="仿宋" w:eastAsia="仿宋" w:cs="仿宋_GB2312"/>
                <w:color w:val="auto"/>
                <w:sz w:val="24"/>
                <w:highlight w:val="none"/>
              </w:rPr>
            </w:pPr>
          </w:p>
        </w:tc>
      </w:tr>
    </w:tbl>
    <w:p w14:paraId="692DBF71">
      <w:pPr>
        <w:snapToGrid w:val="0"/>
        <w:spacing w:line="360" w:lineRule="auto"/>
        <w:rPr>
          <w:rFonts w:ascii="仿宋" w:hAnsi="仿宋" w:eastAsia="仿宋" w:cs="仿宋_GB2312"/>
          <w:b/>
          <w:color w:val="auto"/>
          <w:sz w:val="24"/>
          <w:highlight w:val="none"/>
        </w:rPr>
      </w:pPr>
    </w:p>
    <w:p w14:paraId="35644447">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07CF49D7">
      <w:pPr>
        <w:rPr>
          <w:rFonts w:ascii="仿宋_GB2312" w:hAnsi="仿宋" w:eastAsia="仿宋_GB2312" w:cs="仿宋_GB2312"/>
          <w:b/>
          <w:color w:val="auto"/>
          <w:sz w:val="32"/>
          <w:highlight w:val="none"/>
        </w:rPr>
      </w:pPr>
      <w:r>
        <w:rPr>
          <w:rFonts w:ascii="仿宋_GB2312" w:hAnsi="仿宋" w:eastAsia="仿宋_GB2312" w:cs="仿宋_GB2312"/>
          <w:b/>
          <w:color w:val="auto"/>
          <w:sz w:val="32"/>
          <w:highlight w:val="none"/>
        </w:rPr>
        <w:br w:type="page"/>
      </w:r>
    </w:p>
    <w:p w14:paraId="4B28BC1A">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14:paraId="0B7AD5D1">
      <w:pPr>
        <w:numPr>
          <w:ilvl w:val="0"/>
          <w:numId w:val="4"/>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5422441F">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14:paraId="143B123B">
      <w:pPr>
        <w:numPr>
          <w:ilvl w:val="0"/>
          <w:numId w:val="4"/>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14:paraId="04BB7526">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14:paraId="3930431A">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171DAFF">
      <w:pPr>
        <w:numPr>
          <w:ilvl w:val="1"/>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09898C28">
      <w:pPr>
        <w:numPr>
          <w:ilvl w:val="255"/>
          <w:numId w:val="0"/>
        </w:numPr>
        <w:tabs>
          <w:tab w:val="left" w:pos="210"/>
        </w:tabs>
        <w:adjustRightInd/>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9AAFB8A">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17722955">
      <w:pPr>
        <w:numPr>
          <w:ilvl w:val="1"/>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14:paraId="04011366">
      <w:pPr>
        <w:numPr>
          <w:ilvl w:val="2"/>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14:paraId="7406546F">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投标文件中开标一览表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报价表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内容与投标文件中相应内容不一致的，以开标一览表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报价表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为准</w:t>
      </w:r>
      <w:r>
        <w:rPr>
          <w:rFonts w:ascii="仿宋_GB2312" w:hAnsi="仿宋" w:eastAsia="仿宋_GB2312" w:cs="Arial"/>
          <w:color w:val="auto"/>
          <w:kern w:val="0"/>
          <w:sz w:val="24"/>
          <w:highlight w:val="none"/>
        </w:rPr>
        <w:t>;</w:t>
      </w:r>
    </w:p>
    <w:p w14:paraId="26E4D2E1">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大写金额和小写金额不一致的，以大写金额为准</w:t>
      </w:r>
      <w:r>
        <w:rPr>
          <w:rFonts w:ascii="仿宋_GB2312" w:hAnsi="仿宋" w:eastAsia="仿宋_GB2312" w:cs="Arial"/>
          <w:color w:val="auto"/>
          <w:kern w:val="0"/>
          <w:sz w:val="24"/>
          <w:highlight w:val="none"/>
        </w:rPr>
        <w:t>;</w:t>
      </w:r>
    </w:p>
    <w:p w14:paraId="064FB937">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单价金额小数点或者百分比有明显错位的，以开标一览表的总价为准，并修改单价</w:t>
      </w:r>
      <w:r>
        <w:rPr>
          <w:rFonts w:ascii="仿宋_GB2312" w:hAnsi="仿宋" w:eastAsia="仿宋_GB2312" w:cs="Arial"/>
          <w:color w:val="auto"/>
          <w:kern w:val="0"/>
          <w:sz w:val="24"/>
          <w:highlight w:val="none"/>
        </w:rPr>
        <w:t>;</w:t>
      </w:r>
    </w:p>
    <w:p w14:paraId="1F3FCCC0">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总价金额与按单价汇总金额不一致的，以单价金额计算结果为准。</w:t>
      </w:r>
    </w:p>
    <w:p w14:paraId="2E43392F">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同时出现两种以上不一致的，按照</w:t>
      </w:r>
      <w:r>
        <w:rPr>
          <w:rFonts w:ascii="仿宋_GB2312" w:hAnsi="仿宋" w:eastAsia="仿宋_GB2312" w:cs="Arial"/>
          <w:color w:val="auto"/>
          <w:kern w:val="0"/>
          <w:sz w:val="24"/>
          <w:highlight w:val="none"/>
        </w:rPr>
        <w:t>3.4.1</w:t>
      </w:r>
      <w:r>
        <w:rPr>
          <w:rFonts w:hint="eastAsia" w:ascii="仿宋_GB2312" w:hAnsi="仿宋" w:eastAsia="仿宋_GB2312" w:cs="Arial"/>
          <w:color w:val="auto"/>
          <w:kern w:val="0"/>
          <w:sz w:val="24"/>
          <w:highlight w:val="none"/>
        </w:rPr>
        <w:t>规定的顺序修正。修正后的报价按照财政部第</w:t>
      </w:r>
      <w:r>
        <w:rPr>
          <w:rFonts w:ascii="仿宋_GB2312" w:hAnsi="仿宋" w:eastAsia="仿宋_GB2312" w:cs="Arial"/>
          <w:color w:val="auto"/>
          <w:kern w:val="0"/>
          <w:sz w:val="24"/>
          <w:highlight w:val="none"/>
        </w:rPr>
        <w:t>87</w:t>
      </w:r>
      <w:r>
        <w:rPr>
          <w:rFonts w:hint="eastAsia" w:ascii="仿宋_GB2312" w:hAnsi="仿宋" w:eastAsia="仿宋_GB2312" w:cs="Arial"/>
          <w:color w:val="auto"/>
          <w:kern w:val="0"/>
          <w:sz w:val="24"/>
          <w:highlight w:val="none"/>
        </w:rPr>
        <w:t>号令</w:t>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《政府采购货物和服务招标投标管理办法》第五十一条第二款的规定经投标人确认后产生约束力。</w:t>
      </w:r>
    </w:p>
    <w:p w14:paraId="199B1B7E">
      <w:pPr>
        <w:numPr>
          <w:ilvl w:val="2"/>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14:paraId="5825FF55">
      <w:pPr>
        <w:numPr>
          <w:ilvl w:val="2"/>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14:paraId="36CE4187">
      <w:pPr>
        <w:numPr>
          <w:ilvl w:val="2"/>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投标人不能证明其报价合理性的，评标委员会应当将其作为无效投标处理。</w:t>
      </w:r>
    </w:p>
    <w:p w14:paraId="577622A8">
      <w:pPr>
        <w:numPr>
          <w:ilvl w:val="2"/>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b/>
          <w:bCs/>
          <w:color w:val="auto"/>
          <w:kern w:val="0"/>
          <w:sz w:val="24"/>
          <w:highlight w:val="none"/>
        </w:rPr>
        <w:t>10%</w:t>
      </w:r>
      <w:r>
        <w:rPr>
          <w:rFonts w:hint="eastAsia" w:ascii="仿宋_GB2312" w:hAnsi="仿宋" w:eastAsia="仿宋_GB2312" w:cs="Arial"/>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color w:val="auto"/>
          <w:kern w:val="0"/>
          <w:sz w:val="24"/>
          <w:highlight w:val="none"/>
        </w:rPr>
        <w:t>30%</w:t>
      </w:r>
      <w:r>
        <w:rPr>
          <w:rFonts w:hint="eastAsia" w:ascii="仿宋_GB2312" w:hAnsi="仿宋" w:eastAsia="仿宋_GB2312" w:cs="Arial"/>
          <w:color w:val="auto"/>
          <w:kern w:val="0"/>
          <w:sz w:val="24"/>
          <w:highlight w:val="none"/>
        </w:rPr>
        <w:t>以上的，对联合体或者大中型企业的报价给予</w:t>
      </w:r>
      <w:r>
        <w:rPr>
          <w:rFonts w:ascii="仿宋_GB2312" w:hAnsi="仿宋" w:eastAsia="仿宋_GB2312" w:cs="Arial"/>
          <w:b/>
          <w:bCs/>
          <w:color w:val="auto"/>
          <w:kern w:val="0"/>
          <w:sz w:val="24"/>
          <w:highlight w:val="none"/>
        </w:rPr>
        <w:t>4%</w:t>
      </w:r>
      <w:r>
        <w:rPr>
          <w:rFonts w:hint="eastAsia" w:ascii="仿宋_GB2312" w:hAnsi="仿宋" w:eastAsia="仿宋_GB2312" w:cs="Arial"/>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6F1C1A13">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评分时保留小数点后</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位小数，计算评分值时保留小数点后</w:t>
      </w:r>
      <w:r>
        <w:rPr>
          <w:rFonts w:ascii="仿宋_GB2312" w:hAnsi="仿宋" w:eastAsia="仿宋_GB2312" w:cs="Arial"/>
          <w:color w:val="auto"/>
          <w:kern w:val="0"/>
          <w:sz w:val="24"/>
          <w:highlight w:val="none"/>
        </w:rPr>
        <w:t>2</w:t>
      </w:r>
      <w:r>
        <w:rPr>
          <w:rFonts w:hint="eastAsia" w:ascii="仿宋_GB2312" w:hAnsi="仿宋" w:eastAsia="仿宋_GB2312" w:cs="Arial"/>
          <w:color w:val="auto"/>
          <w:kern w:val="0"/>
          <w:sz w:val="24"/>
          <w:highlight w:val="none"/>
        </w:rPr>
        <w:t>位小数。</w:t>
      </w:r>
    </w:p>
    <w:p w14:paraId="0DD9E62A">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50C9B659">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81E798">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14:paraId="4C2E7951">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AAB379">
      <w:pPr>
        <w:numPr>
          <w:ilvl w:val="1"/>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14:paraId="2914505A">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14:paraId="2F1BAC9F">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14:paraId="1EF51189">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7C8A0FFF">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14:paraId="32A6BC02">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14:paraId="2F522AD3">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r>
        <w:rPr>
          <w:rFonts w:ascii="仿宋_GB2312" w:hAnsi="仿宋" w:eastAsia="仿宋_GB2312" w:cs="Arial"/>
          <w:b/>
          <w:bCs/>
          <w:color w:val="auto"/>
          <w:kern w:val="0"/>
          <w:sz w:val="24"/>
          <w:highlight w:val="none"/>
        </w:rPr>
        <w:t>;</w:t>
      </w:r>
    </w:p>
    <w:p w14:paraId="152F3DA6">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r>
        <w:rPr>
          <w:rFonts w:ascii="仿宋_GB2312" w:hAnsi="仿宋" w:eastAsia="仿宋_GB2312" w:cs="Arial"/>
          <w:b/>
          <w:bCs/>
          <w:color w:val="auto"/>
          <w:kern w:val="0"/>
          <w:sz w:val="24"/>
          <w:highlight w:val="none"/>
        </w:rPr>
        <w:t>;</w:t>
      </w:r>
    </w:p>
    <w:p w14:paraId="0C15BAC5">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Arial"/>
          <w:b/>
          <w:bCs/>
          <w:color w:val="auto"/>
          <w:kern w:val="0"/>
          <w:sz w:val="24"/>
          <w:highlight w:val="none"/>
        </w:rPr>
        <w:t>;</w:t>
      </w:r>
    </w:p>
    <w:p w14:paraId="376D261A">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14:paraId="7392862A">
      <w:pPr>
        <w:numPr>
          <w:ilvl w:val="2"/>
          <w:numId w:val="6"/>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14:paraId="6778C60C">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r>
        <w:rPr>
          <w:rFonts w:hint="eastAsia" w:ascii="仿宋" w:hAnsi="仿宋" w:eastAsia="仿宋" w:cs="仿宋"/>
          <w:b/>
          <w:bCs/>
          <w:color w:val="auto"/>
          <w:kern w:val="0"/>
          <w:sz w:val="24"/>
          <w:highlight w:val="none"/>
          <w:lang w:eastAsia="zh-CN"/>
        </w:rPr>
        <w:t>（如发现供应商之间IP地址、MAC地址或设备硬件号信息相同的，相关供应商均投标无效。）</w:t>
      </w:r>
    </w:p>
    <w:p w14:paraId="627C5E4C">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14:paraId="532CB92D">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投标文件不满足招标文件的其它实质性要求的；</w:t>
      </w:r>
    </w:p>
    <w:p w14:paraId="4A3356D8">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14:paraId="5B276156">
      <w:pPr>
        <w:numPr>
          <w:ilvl w:val="0"/>
          <w:numId w:val="6"/>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color w:val="auto"/>
          <w:kern w:val="0"/>
          <w:sz w:val="24"/>
          <w:highlight w:val="none"/>
        </w:rPr>
        <w:t>根据《中华人民共和国政府采购法》第三十六条之规定，在采购中，出现下列情形之一的，应予废标：</w:t>
      </w:r>
    </w:p>
    <w:p w14:paraId="78AE99D0">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符合专业条件的供应商或者对招标文件作实质响应的供应商不足</w:t>
      </w:r>
      <w:r>
        <w:rPr>
          <w:rFonts w:ascii="仿宋_GB2312" w:hAnsi="仿宋" w:eastAsia="仿宋_GB2312" w:cs="Arial"/>
          <w:color w:val="auto"/>
          <w:kern w:val="0"/>
          <w:sz w:val="24"/>
          <w:highlight w:val="none"/>
        </w:rPr>
        <w:t>3</w:t>
      </w:r>
      <w:r>
        <w:rPr>
          <w:rFonts w:hint="eastAsia" w:ascii="仿宋_GB2312" w:hAnsi="仿宋" w:eastAsia="仿宋_GB2312" w:cs="Arial"/>
          <w:color w:val="auto"/>
          <w:kern w:val="0"/>
          <w:sz w:val="24"/>
          <w:highlight w:val="none"/>
        </w:rPr>
        <w:t>家的；</w:t>
      </w:r>
    </w:p>
    <w:p w14:paraId="042A969B">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出现影响采购公正的违法、违规行为的；</w:t>
      </w:r>
    </w:p>
    <w:p w14:paraId="07CECF20">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投标人的报价均超过了采购预算，采购人不能支付的；</w:t>
      </w:r>
    </w:p>
    <w:p w14:paraId="718A2492">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因重大变故，采购任务取消的。</w:t>
      </w:r>
    </w:p>
    <w:p w14:paraId="03079E16">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废标后，采购代理机构应当将废标理由通知所有投标人。</w:t>
      </w:r>
    </w:p>
    <w:p w14:paraId="5ED35915">
      <w:pPr>
        <w:numPr>
          <w:ilvl w:val="0"/>
          <w:numId w:val="6"/>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FB9EB52">
      <w:pPr>
        <w:numPr>
          <w:ilvl w:val="0"/>
          <w:numId w:val="6"/>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color w:val="auto"/>
          <w:kern w:val="0"/>
          <w:sz w:val="24"/>
          <w:highlight w:val="none"/>
        </w:rPr>
        <w:t>有政府采购法第七十一条、第七十二条规定的违法行为之一，影响或者可能影响中标、成交结果的，依照下列规定处理：</w:t>
      </w:r>
    </w:p>
    <w:p w14:paraId="48A794C5">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未确定中标或者中标人的，终止本次政府采购活动，重新开展政府采购活动。</w:t>
      </w:r>
    </w:p>
    <w:p w14:paraId="68A23A60">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3D684674">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6EF20B7C">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政府采购合同已经履行，给采购人、供应商造成损失的，由责任人承担赔偿责任。</w:t>
      </w:r>
    </w:p>
    <w:p w14:paraId="3E0BC134">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w:t>
      </w:r>
      <w:r>
        <w:rPr>
          <w:rFonts w:ascii="仿宋_GB2312" w:hAnsi="仿宋" w:eastAsia="仿宋_GB2312" w:cs="Arial"/>
          <w:color w:val="auto"/>
          <w:kern w:val="0"/>
          <w:sz w:val="24"/>
          <w:highlight w:val="none"/>
        </w:rPr>
        <w:t>7.1-7.4</w:t>
      </w:r>
      <w:r>
        <w:rPr>
          <w:rFonts w:hint="eastAsia" w:ascii="仿宋_GB2312" w:hAnsi="仿宋" w:eastAsia="仿宋_GB2312" w:cs="Arial"/>
          <w:color w:val="auto"/>
          <w:kern w:val="0"/>
          <w:sz w:val="24"/>
          <w:highlight w:val="none"/>
        </w:rPr>
        <w:t>规定处理。</w:t>
      </w:r>
    </w:p>
    <w:bookmarkEnd w:id="28"/>
    <w:p w14:paraId="7486BB43">
      <w:pPr>
        <w:pStyle w:val="24"/>
        <w:rPr>
          <w:color w:val="auto"/>
          <w:highlight w:val="none"/>
        </w:rPr>
      </w:pPr>
      <w:bookmarkStart w:id="400" w:name="第五部分"/>
      <w:bookmarkStart w:id="401" w:name="_Toc86217003"/>
    </w:p>
    <w:p w14:paraId="0760D3C0">
      <w:pPr>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14:paraId="78477F93">
      <w:pPr>
        <w:spacing w:line="360" w:lineRule="auto"/>
        <w:jc w:val="center"/>
        <w:outlineLvl w:val="0"/>
        <w:rPr>
          <w:rFonts w:ascii="仿宋_GB2312" w:hAnsi="仿宋" w:eastAsia="仿宋_GB2312" w:cs="仿宋_GB2312"/>
          <w:b/>
          <w:color w:val="auto"/>
          <w:sz w:val="36"/>
          <w:szCs w:val="36"/>
          <w:highlight w:val="none"/>
        </w:rPr>
      </w:pPr>
      <w:bookmarkStart w:id="402" w:name="_Toc26904"/>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bookmarkEnd w:id="402"/>
    </w:p>
    <w:p w14:paraId="667AE2E2">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304EF94E">
      <w:pPr>
        <w:spacing w:line="480" w:lineRule="auto"/>
        <w:jc w:val="center"/>
        <w:rPr>
          <w:rFonts w:ascii="楷体" w:hAnsi="楷体" w:eastAsia="楷体"/>
          <w:b/>
          <w:color w:val="auto"/>
          <w:sz w:val="28"/>
          <w:szCs w:val="28"/>
          <w:highlight w:val="none"/>
        </w:rPr>
      </w:pPr>
    </w:p>
    <w:p w14:paraId="2764F13E">
      <w:pPr>
        <w:spacing w:line="480" w:lineRule="auto"/>
        <w:jc w:val="center"/>
        <w:rPr>
          <w:rFonts w:ascii="仿宋" w:hAnsi="仿宋" w:eastAsia="仿宋"/>
          <w:b/>
          <w:color w:val="auto"/>
          <w:sz w:val="24"/>
          <w:highlight w:val="none"/>
        </w:rPr>
      </w:pPr>
    </w:p>
    <w:p w14:paraId="240FFB02">
      <w:pPr>
        <w:pStyle w:val="24"/>
        <w:rPr>
          <w:color w:val="auto"/>
          <w:highlight w:val="none"/>
        </w:rPr>
      </w:pPr>
    </w:p>
    <w:p w14:paraId="512A9B33">
      <w:pPr>
        <w:spacing w:line="480" w:lineRule="auto"/>
        <w:jc w:val="center"/>
        <w:rPr>
          <w:rFonts w:ascii="仿宋" w:hAnsi="仿宋" w:eastAsia="仿宋"/>
          <w:b/>
          <w:color w:val="auto"/>
          <w:sz w:val="24"/>
          <w:highlight w:val="none"/>
        </w:rPr>
      </w:pPr>
    </w:p>
    <w:p w14:paraId="0127DBD0">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3817CF24">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3EBE263D">
      <w:pPr>
        <w:pStyle w:val="705"/>
        <w:rPr>
          <w:rFonts w:ascii="仿宋" w:hAnsi="仿宋" w:eastAsia="仿宋"/>
          <w:color w:val="auto"/>
          <w:szCs w:val="24"/>
          <w:highlight w:val="none"/>
        </w:rPr>
      </w:pPr>
    </w:p>
    <w:p w14:paraId="0A739171">
      <w:pPr>
        <w:pStyle w:val="705"/>
        <w:rPr>
          <w:rFonts w:ascii="仿宋" w:hAnsi="仿宋" w:eastAsia="仿宋"/>
          <w:color w:val="auto"/>
          <w:szCs w:val="24"/>
          <w:highlight w:val="none"/>
        </w:rPr>
      </w:pPr>
    </w:p>
    <w:p w14:paraId="14DB9D74">
      <w:pPr>
        <w:pStyle w:val="705"/>
        <w:jc w:val="center"/>
        <w:rPr>
          <w:rFonts w:ascii="仿宋" w:hAnsi="仿宋" w:eastAsia="仿宋"/>
          <w:color w:val="auto"/>
          <w:szCs w:val="24"/>
          <w:highlight w:val="none"/>
        </w:rPr>
      </w:pPr>
    </w:p>
    <w:p w14:paraId="54A8DF81">
      <w:pPr>
        <w:rPr>
          <w:rFonts w:ascii="仿宋" w:hAnsi="仿宋" w:eastAsia="仿宋"/>
          <w:b/>
          <w:color w:val="auto"/>
          <w:highlight w:val="none"/>
        </w:rPr>
      </w:pPr>
      <w:r>
        <w:rPr>
          <w:rFonts w:hint="eastAsia" w:ascii="仿宋" w:hAnsi="仿宋" w:eastAsia="仿宋"/>
          <w:b/>
          <w:color w:val="auto"/>
          <w:highlight w:val="none"/>
        </w:rPr>
        <w:br w:type="page"/>
      </w:r>
    </w:p>
    <w:p w14:paraId="22E8A7E8">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第一部分 合同书</w:t>
      </w:r>
    </w:p>
    <w:p w14:paraId="501B21F1">
      <w:pPr>
        <w:pStyle w:val="705"/>
        <w:rPr>
          <w:rFonts w:ascii="仿宋" w:hAnsi="仿宋" w:eastAsia="仿宋"/>
          <w:color w:val="auto"/>
          <w:szCs w:val="24"/>
          <w:highlight w:val="none"/>
        </w:rPr>
      </w:pPr>
    </w:p>
    <w:p w14:paraId="08CCCFC5">
      <w:pPr>
        <w:pStyle w:val="705"/>
        <w:rPr>
          <w:rFonts w:ascii="仿宋" w:hAnsi="仿宋" w:eastAsia="仿宋"/>
          <w:color w:val="auto"/>
          <w:szCs w:val="24"/>
          <w:highlight w:val="none"/>
        </w:rPr>
      </w:pPr>
    </w:p>
    <w:p w14:paraId="16118F0C">
      <w:pPr>
        <w:spacing w:before="120" w:line="22" w:lineRule="atLeast"/>
        <w:rPr>
          <w:rFonts w:ascii="仿宋" w:hAnsi="仿宋" w:eastAsia="仿宋"/>
          <w:color w:val="auto"/>
          <w:sz w:val="24"/>
          <w:highlight w:val="none"/>
        </w:rPr>
      </w:pPr>
    </w:p>
    <w:p w14:paraId="2FE28935">
      <w:pPr>
        <w:spacing w:before="120" w:line="22" w:lineRule="atLeast"/>
        <w:ind w:left="960"/>
        <w:rPr>
          <w:rFonts w:ascii="仿宋" w:hAnsi="仿宋" w:eastAsia="仿宋"/>
          <w:color w:val="auto"/>
          <w:sz w:val="24"/>
          <w:highlight w:val="none"/>
        </w:rPr>
      </w:pPr>
    </w:p>
    <w:p w14:paraId="5FDB639C">
      <w:pPr>
        <w:spacing w:before="120" w:line="22" w:lineRule="atLeast"/>
        <w:ind w:left="960"/>
        <w:rPr>
          <w:rFonts w:ascii="仿宋" w:hAnsi="仿宋" w:eastAsia="仿宋"/>
          <w:color w:val="auto"/>
          <w:sz w:val="24"/>
          <w:highlight w:val="none"/>
        </w:rPr>
      </w:pPr>
    </w:p>
    <w:p w14:paraId="7369F40A">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7388D74F">
      <w:pPr>
        <w:pStyle w:val="602"/>
        <w:spacing w:before="120" w:line="22" w:lineRule="atLeast"/>
        <w:rPr>
          <w:rFonts w:ascii="仿宋" w:hAnsi="仿宋" w:eastAsia="仿宋"/>
          <w:color w:val="auto"/>
          <w:szCs w:val="24"/>
          <w:highlight w:val="none"/>
        </w:rPr>
      </w:pPr>
    </w:p>
    <w:p w14:paraId="34E414A2">
      <w:pPr>
        <w:pStyle w:val="602"/>
        <w:spacing w:before="120" w:line="22" w:lineRule="atLeast"/>
        <w:rPr>
          <w:rFonts w:ascii="仿宋" w:hAnsi="仿宋" w:eastAsia="仿宋"/>
          <w:color w:val="auto"/>
          <w:szCs w:val="24"/>
          <w:highlight w:val="none"/>
        </w:rPr>
      </w:pPr>
    </w:p>
    <w:p w14:paraId="4C790BAF">
      <w:pPr>
        <w:rPr>
          <w:rFonts w:ascii="仿宋" w:hAnsi="仿宋" w:eastAsia="仿宋"/>
          <w:color w:val="auto"/>
          <w:sz w:val="24"/>
          <w:highlight w:val="none"/>
        </w:rPr>
      </w:pPr>
    </w:p>
    <w:p w14:paraId="03BEFBBC">
      <w:pPr>
        <w:spacing w:before="120" w:line="22" w:lineRule="atLeast"/>
        <w:ind w:left="960"/>
        <w:rPr>
          <w:rFonts w:ascii="仿宋" w:hAnsi="仿宋" w:eastAsia="仿宋"/>
          <w:color w:val="auto"/>
          <w:sz w:val="24"/>
          <w:highlight w:val="none"/>
        </w:rPr>
      </w:pPr>
    </w:p>
    <w:p w14:paraId="158F63E9">
      <w:pPr>
        <w:spacing w:before="120" w:line="22" w:lineRule="atLeast"/>
        <w:ind w:left="960"/>
        <w:rPr>
          <w:rFonts w:ascii="仿宋" w:hAnsi="仿宋" w:eastAsia="仿宋"/>
          <w:color w:val="auto"/>
          <w:sz w:val="24"/>
          <w:highlight w:val="none"/>
        </w:rPr>
      </w:pPr>
    </w:p>
    <w:p w14:paraId="14DE6EA4">
      <w:pPr>
        <w:spacing w:before="120" w:line="22" w:lineRule="atLeast"/>
        <w:ind w:left="960"/>
        <w:rPr>
          <w:rFonts w:ascii="仿宋" w:hAnsi="仿宋" w:eastAsia="仿宋"/>
          <w:color w:val="auto"/>
          <w:sz w:val="24"/>
          <w:highlight w:val="none"/>
        </w:rPr>
      </w:pPr>
    </w:p>
    <w:p w14:paraId="1F442C0A">
      <w:pPr>
        <w:spacing w:before="120" w:line="22" w:lineRule="atLeast"/>
        <w:ind w:left="960"/>
        <w:rPr>
          <w:rFonts w:ascii="仿宋" w:hAnsi="仿宋" w:eastAsia="仿宋"/>
          <w:color w:val="auto"/>
          <w:sz w:val="24"/>
          <w:highlight w:val="none"/>
        </w:rPr>
      </w:pPr>
    </w:p>
    <w:p w14:paraId="45E46D59">
      <w:pPr>
        <w:spacing w:before="120" w:line="22" w:lineRule="atLeast"/>
        <w:ind w:left="960"/>
        <w:rPr>
          <w:rFonts w:ascii="仿宋" w:hAnsi="仿宋" w:eastAsia="仿宋"/>
          <w:color w:val="auto"/>
          <w:sz w:val="24"/>
          <w:highlight w:val="none"/>
        </w:rPr>
      </w:pPr>
    </w:p>
    <w:p w14:paraId="480ED1CF">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2D1ED3E0">
      <w:pPr>
        <w:spacing w:before="120" w:line="22" w:lineRule="atLeast"/>
        <w:rPr>
          <w:rFonts w:ascii="仿宋" w:hAnsi="仿宋" w:eastAsia="仿宋"/>
          <w:color w:val="auto"/>
          <w:sz w:val="24"/>
          <w:highlight w:val="none"/>
        </w:rPr>
      </w:pPr>
    </w:p>
    <w:p w14:paraId="34A1EA88">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4724C496">
      <w:pPr>
        <w:spacing w:before="120" w:line="22" w:lineRule="atLeast"/>
        <w:rPr>
          <w:rFonts w:ascii="仿宋" w:hAnsi="仿宋" w:eastAsia="仿宋"/>
          <w:color w:val="auto"/>
          <w:sz w:val="24"/>
          <w:highlight w:val="none"/>
        </w:rPr>
      </w:pPr>
    </w:p>
    <w:p w14:paraId="02563A97">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385F8653">
      <w:pPr>
        <w:spacing w:before="120" w:line="22" w:lineRule="atLeast"/>
        <w:rPr>
          <w:rFonts w:ascii="仿宋" w:hAnsi="仿宋" w:eastAsia="仿宋"/>
          <w:color w:val="auto"/>
          <w:sz w:val="24"/>
          <w:highlight w:val="none"/>
        </w:rPr>
      </w:pPr>
    </w:p>
    <w:p w14:paraId="74C2B271">
      <w:pPr>
        <w:spacing w:before="120" w:line="22" w:lineRule="atLeast"/>
        <w:ind w:firstLine="960" w:firstLineChars="400"/>
        <w:rPr>
          <w:rFonts w:ascii="仿宋" w:hAnsi="仿宋" w:eastAsia="仿宋"/>
          <w:color w:val="auto"/>
          <w:sz w:val="24"/>
          <w:highlight w:val="none"/>
        </w:rPr>
      </w:pPr>
    </w:p>
    <w:p w14:paraId="1E7EAB83">
      <w:pPr>
        <w:spacing w:before="120" w:line="22" w:lineRule="atLeast"/>
        <w:ind w:firstLine="960" w:firstLineChars="400"/>
        <w:rPr>
          <w:rFonts w:ascii="仿宋" w:hAnsi="仿宋" w:eastAsia="仿宋"/>
          <w:color w:val="auto"/>
          <w:sz w:val="24"/>
          <w:highlight w:val="none"/>
        </w:rPr>
      </w:pPr>
    </w:p>
    <w:p w14:paraId="67E1C8BC">
      <w:pPr>
        <w:spacing w:before="120" w:line="22" w:lineRule="atLeast"/>
        <w:ind w:firstLine="960" w:firstLineChars="400"/>
        <w:rPr>
          <w:rFonts w:ascii="仿宋" w:hAnsi="仿宋" w:eastAsia="仿宋"/>
          <w:color w:val="auto"/>
          <w:sz w:val="24"/>
          <w:highlight w:val="none"/>
        </w:rPr>
      </w:pPr>
    </w:p>
    <w:p w14:paraId="5798AD6B">
      <w:pPr>
        <w:spacing w:before="120" w:line="22" w:lineRule="atLeast"/>
        <w:ind w:firstLine="960" w:firstLineChars="400"/>
        <w:rPr>
          <w:rFonts w:ascii="仿宋" w:hAnsi="仿宋" w:eastAsia="仿宋"/>
          <w:color w:val="auto"/>
          <w:sz w:val="24"/>
          <w:highlight w:val="none"/>
        </w:rPr>
      </w:pPr>
    </w:p>
    <w:p w14:paraId="60436A61">
      <w:pPr>
        <w:spacing w:before="120" w:line="22" w:lineRule="atLeast"/>
        <w:ind w:firstLine="960" w:firstLineChars="400"/>
        <w:rPr>
          <w:rFonts w:ascii="仿宋" w:hAnsi="仿宋" w:eastAsia="仿宋"/>
          <w:color w:val="auto"/>
          <w:sz w:val="24"/>
          <w:highlight w:val="none"/>
        </w:rPr>
      </w:pPr>
    </w:p>
    <w:p w14:paraId="5184DCE7">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36C89016">
      <w:pPr>
        <w:widowControl/>
        <w:jc w:val="left"/>
        <w:rPr>
          <w:rFonts w:ascii="仿宋" w:hAnsi="仿宋" w:eastAsia="仿宋"/>
          <w:color w:val="auto"/>
          <w:kern w:val="0"/>
          <w:sz w:val="24"/>
          <w:highlight w:val="none"/>
        </w:rPr>
        <w:sectPr>
          <w:type w:val="continuous"/>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481CF5C">
      <w:pPr>
        <w:snapToGrid w:val="0"/>
        <w:spacing w:line="360" w:lineRule="auto"/>
        <w:ind w:firstLine="480" w:firstLineChars="200"/>
        <w:rPr>
          <w:rFonts w:ascii="仿宋" w:hAnsi="仿宋" w:eastAsia="仿宋"/>
          <w:color w:val="auto"/>
          <w:sz w:val="24"/>
          <w:highlight w:val="none"/>
          <w:u w:val="single"/>
          <w:lang w:val="zh-CN"/>
        </w:rPr>
      </w:pPr>
    </w:p>
    <w:p w14:paraId="54C9D8B7">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杭州师范大学附属医院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14:paraId="0CF31B0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杭州师范大学附属医院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2869377B">
      <w:pPr>
        <w:pStyle w:val="24"/>
        <w:rPr>
          <w:color w:val="auto"/>
          <w:highlight w:val="none"/>
        </w:rPr>
      </w:pPr>
    </w:p>
    <w:p w14:paraId="31E0402B">
      <w:pPr>
        <w:snapToGrid w:val="0"/>
        <w:spacing w:line="360" w:lineRule="auto"/>
        <w:ind w:firstLine="482" w:firstLineChars="200"/>
        <w:outlineLvl w:val="1"/>
        <w:rPr>
          <w:rFonts w:ascii="仿宋" w:hAnsi="仿宋" w:eastAsia="仿宋"/>
          <w:b/>
          <w:color w:val="auto"/>
          <w:sz w:val="24"/>
          <w:highlight w:val="none"/>
        </w:rPr>
      </w:pPr>
      <w:bookmarkStart w:id="403" w:name="_Toc3029"/>
      <w:bookmarkStart w:id="404" w:name="_Toc24059"/>
      <w:bookmarkStart w:id="405" w:name="_Toc2232"/>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3"/>
      <w:bookmarkEnd w:id="404"/>
      <w:bookmarkEnd w:id="405"/>
    </w:p>
    <w:p w14:paraId="6724716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4EF69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1FBDCE4A">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2EAE3B47">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1C535EBE">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3D9CF396">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7F8C24E8">
      <w:pPr>
        <w:rPr>
          <w:color w:val="auto"/>
          <w:highlight w:val="none"/>
        </w:rPr>
      </w:pPr>
      <w:bookmarkStart w:id="406" w:name="_Toc24300"/>
      <w:bookmarkStart w:id="407" w:name="_Toc27126"/>
      <w:bookmarkStart w:id="408" w:name="_Toc21295"/>
    </w:p>
    <w:p w14:paraId="0805F071">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1.2 </w:t>
      </w:r>
      <w:bookmarkEnd w:id="406"/>
      <w:bookmarkEnd w:id="407"/>
      <w:bookmarkEnd w:id="408"/>
      <w:r>
        <w:rPr>
          <w:rFonts w:hint="eastAsia" w:ascii="仿宋" w:hAnsi="仿宋" w:eastAsia="仿宋"/>
          <w:b/>
          <w:color w:val="auto"/>
          <w:sz w:val="24"/>
          <w:highlight w:val="none"/>
        </w:rPr>
        <w:t>标的</w:t>
      </w:r>
    </w:p>
    <w:p w14:paraId="55142E12">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E2A8EAA">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D458E4D">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BC4E53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697261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1.2.5合同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（是/否）涉及货物。若涉及货物的，则：</w:t>
      </w:r>
    </w:p>
    <w:p w14:paraId="47C3D442">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1.2.5.1 货物名称、品牌、规格型号、花色：                      ；</w:t>
      </w:r>
    </w:p>
    <w:p w14:paraId="2A4B1807">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27AA6F2">
      <w:pPr>
        <w:snapToGrid w:val="0"/>
        <w:spacing w:line="360" w:lineRule="auto"/>
        <w:ind w:firstLine="960" w:firstLineChars="400"/>
        <w:rPr>
          <w:rFonts w:ascii="宋体" w:hAnsi="宋体" w:cs="宋体"/>
          <w:color w:val="auto"/>
          <w:sz w:val="24"/>
          <w:highlight w:val="none"/>
          <w:u w:val="single"/>
        </w:rPr>
      </w:pPr>
      <w:r>
        <w:rPr>
          <w:rFonts w:hint="eastAsia" w:ascii="仿宋" w:hAnsi="仿宋" w:eastAsia="仿宋"/>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AAC0DC">
      <w:pPr>
        <w:rPr>
          <w:color w:val="auto"/>
          <w:highlight w:val="none"/>
        </w:rPr>
      </w:pPr>
      <w:bookmarkStart w:id="409" w:name="_Toc21551"/>
      <w:bookmarkStart w:id="410" w:name="_Toc23292"/>
      <w:bookmarkStart w:id="411" w:name="_Toc21631"/>
    </w:p>
    <w:p w14:paraId="08FD8664">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1.3 价款</w:t>
      </w:r>
      <w:bookmarkEnd w:id="409"/>
      <w:bookmarkEnd w:id="410"/>
      <w:bookmarkEnd w:id="411"/>
    </w:p>
    <w:p w14:paraId="49FAAE2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color w:val="auto"/>
          <w:sz w:val="24"/>
          <w:highlight w:val="none"/>
          <w:u w:val="single"/>
        </w:rPr>
        <w:t xml:space="preserve"> 1.3.2 </w:t>
      </w:r>
      <w:r>
        <w:rPr>
          <w:rFonts w:hint="eastAsia" w:ascii="仿宋" w:hAnsi="仿宋" w:eastAsia="仿宋"/>
          <w:color w:val="auto"/>
          <w:sz w:val="24"/>
          <w:highlight w:val="none"/>
        </w:rPr>
        <w:t>条款规定的计价方式计价。</w:t>
      </w:r>
    </w:p>
    <w:p w14:paraId="7F98484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1.3.1总价合同，本合同总价（含税）为：￥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7F79228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74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8F8D6D">
            <w:pPr>
              <w:snapToGrid w:val="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402" w:type="dxa"/>
            <w:vAlign w:val="center"/>
          </w:tcPr>
          <w:p w14:paraId="775D98B5">
            <w:pPr>
              <w:snapToGrid w:val="0"/>
              <w:jc w:val="center"/>
              <w:rPr>
                <w:rFonts w:ascii="仿宋" w:hAnsi="仿宋" w:eastAsia="仿宋"/>
                <w:color w:val="auto"/>
                <w:sz w:val="24"/>
                <w:highlight w:val="none"/>
              </w:rPr>
            </w:pPr>
            <w:r>
              <w:rPr>
                <w:rFonts w:hint="eastAsia" w:ascii="仿宋" w:hAnsi="仿宋" w:eastAsia="仿宋"/>
                <w:color w:val="auto"/>
                <w:sz w:val="24"/>
                <w:highlight w:val="none"/>
              </w:rPr>
              <w:t>分项名称</w:t>
            </w:r>
          </w:p>
        </w:tc>
        <w:tc>
          <w:tcPr>
            <w:tcW w:w="2552" w:type="dxa"/>
            <w:vAlign w:val="center"/>
          </w:tcPr>
          <w:p w14:paraId="15E1DA8A">
            <w:pPr>
              <w:snapToGrid w:val="0"/>
              <w:jc w:val="center"/>
              <w:rPr>
                <w:rFonts w:ascii="仿宋" w:hAnsi="仿宋" w:eastAsia="仿宋"/>
                <w:color w:val="auto"/>
                <w:sz w:val="24"/>
                <w:highlight w:val="none"/>
              </w:rPr>
            </w:pPr>
            <w:r>
              <w:rPr>
                <w:rFonts w:hint="eastAsia" w:ascii="仿宋" w:hAnsi="仿宋" w:eastAsia="仿宋"/>
                <w:color w:val="auto"/>
                <w:sz w:val="24"/>
                <w:highlight w:val="none"/>
              </w:rPr>
              <w:t>分项价格</w:t>
            </w:r>
          </w:p>
        </w:tc>
      </w:tr>
      <w:tr w14:paraId="3B3C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18E1C0">
            <w:pPr>
              <w:snapToGrid w:val="0"/>
              <w:ind w:firstLine="480" w:firstLineChars="200"/>
              <w:jc w:val="center"/>
              <w:rPr>
                <w:rFonts w:ascii="仿宋" w:hAnsi="仿宋" w:eastAsia="仿宋"/>
                <w:color w:val="auto"/>
                <w:sz w:val="24"/>
                <w:highlight w:val="none"/>
              </w:rPr>
            </w:pPr>
          </w:p>
        </w:tc>
        <w:tc>
          <w:tcPr>
            <w:tcW w:w="3402" w:type="dxa"/>
            <w:vAlign w:val="center"/>
          </w:tcPr>
          <w:p w14:paraId="63A9A13B">
            <w:pPr>
              <w:snapToGrid w:val="0"/>
              <w:ind w:firstLine="480" w:firstLineChars="200"/>
              <w:jc w:val="center"/>
              <w:rPr>
                <w:rFonts w:ascii="仿宋" w:hAnsi="仿宋" w:eastAsia="仿宋"/>
                <w:color w:val="auto"/>
                <w:sz w:val="24"/>
                <w:highlight w:val="none"/>
              </w:rPr>
            </w:pPr>
          </w:p>
        </w:tc>
        <w:tc>
          <w:tcPr>
            <w:tcW w:w="2552" w:type="dxa"/>
            <w:vAlign w:val="center"/>
          </w:tcPr>
          <w:p w14:paraId="7331B13D">
            <w:pPr>
              <w:snapToGrid w:val="0"/>
              <w:ind w:firstLine="480" w:firstLineChars="200"/>
              <w:jc w:val="center"/>
              <w:rPr>
                <w:rFonts w:ascii="仿宋" w:hAnsi="仿宋" w:eastAsia="仿宋"/>
                <w:color w:val="auto"/>
                <w:sz w:val="24"/>
                <w:highlight w:val="none"/>
              </w:rPr>
            </w:pPr>
          </w:p>
        </w:tc>
      </w:tr>
      <w:tr w14:paraId="7E30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6D08AD">
            <w:pPr>
              <w:snapToGrid w:val="0"/>
              <w:ind w:firstLine="480" w:firstLineChars="200"/>
              <w:jc w:val="center"/>
              <w:rPr>
                <w:rFonts w:ascii="仿宋" w:hAnsi="仿宋" w:eastAsia="仿宋"/>
                <w:color w:val="auto"/>
                <w:sz w:val="24"/>
                <w:highlight w:val="none"/>
              </w:rPr>
            </w:pPr>
          </w:p>
        </w:tc>
        <w:tc>
          <w:tcPr>
            <w:tcW w:w="3402" w:type="dxa"/>
            <w:vAlign w:val="center"/>
          </w:tcPr>
          <w:p w14:paraId="22634003">
            <w:pPr>
              <w:snapToGrid w:val="0"/>
              <w:ind w:firstLine="480" w:firstLineChars="200"/>
              <w:jc w:val="center"/>
              <w:rPr>
                <w:rFonts w:ascii="仿宋" w:hAnsi="仿宋" w:eastAsia="仿宋"/>
                <w:color w:val="auto"/>
                <w:sz w:val="24"/>
                <w:highlight w:val="none"/>
              </w:rPr>
            </w:pPr>
          </w:p>
        </w:tc>
        <w:tc>
          <w:tcPr>
            <w:tcW w:w="2552" w:type="dxa"/>
            <w:vAlign w:val="center"/>
          </w:tcPr>
          <w:p w14:paraId="53722AA3">
            <w:pPr>
              <w:snapToGrid w:val="0"/>
              <w:ind w:firstLine="480" w:firstLineChars="200"/>
              <w:jc w:val="center"/>
              <w:rPr>
                <w:rFonts w:ascii="仿宋" w:hAnsi="仿宋" w:eastAsia="仿宋"/>
                <w:color w:val="auto"/>
                <w:sz w:val="24"/>
                <w:highlight w:val="none"/>
              </w:rPr>
            </w:pPr>
          </w:p>
        </w:tc>
      </w:tr>
      <w:tr w14:paraId="4232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938C8B">
            <w:pPr>
              <w:snapToGrid w:val="0"/>
              <w:ind w:firstLine="480" w:firstLineChars="200"/>
              <w:jc w:val="center"/>
              <w:rPr>
                <w:rFonts w:ascii="仿宋" w:hAnsi="仿宋" w:eastAsia="仿宋"/>
                <w:color w:val="auto"/>
                <w:sz w:val="24"/>
                <w:highlight w:val="none"/>
              </w:rPr>
            </w:pPr>
          </w:p>
        </w:tc>
        <w:tc>
          <w:tcPr>
            <w:tcW w:w="3402" w:type="dxa"/>
            <w:vAlign w:val="center"/>
          </w:tcPr>
          <w:p w14:paraId="7613E516">
            <w:pPr>
              <w:snapToGrid w:val="0"/>
              <w:ind w:firstLine="480" w:firstLineChars="200"/>
              <w:jc w:val="center"/>
              <w:rPr>
                <w:rFonts w:ascii="仿宋" w:hAnsi="仿宋" w:eastAsia="仿宋"/>
                <w:color w:val="auto"/>
                <w:sz w:val="24"/>
                <w:highlight w:val="none"/>
              </w:rPr>
            </w:pPr>
          </w:p>
        </w:tc>
        <w:tc>
          <w:tcPr>
            <w:tcW w:w="2552" w:type="dxa"/>
            <w:vAlign w:val="center"/>
          </w:tcPr>
          <w:p w14:paraId="68B2BD62">
            <w:pPr>
              <w:snapToGrid w:val="0"/>
              <w:ind w:firstLine="480" w:firstLineChars="200"/>
              <w:jc w:val="center"/>
              <w:rPr>
                <w:rFonts w:ascii="仿宋" w:hAnsi="仿宋" w:eastAsia="仿宋"/>
                <w:color w:val="auto"/>
                <w:sz w:val="24"/>
                <w:highlight w:val="none"/>
              </w:rPr>
            </w:pPr>
          </w:p>
        </w:tc>
      </w:tr>
      <w:tr w14:paraId="0ABB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F3EA85">
            <w:pPr>
              <w:snapToGrid w:val="0"/>
              <w:ind w:firstLine="480" w:firstLineChars="200"/>
              <w:jc w:val="center"/>
              <w:rPr>
                <w:rFonts w:ascii="仿宋" w:hAnsi="仿宋" w:eastAsia="仿宋"/>
                <w:color w:val="auto"/>
                <w:sz w:val="24"/>
                <w:highlight w:val="none"/>
              </w:rPr>
            </w:pPr>
          </w:p>
        </w:tc>
        <w:tc>
          <w:tcPr>
            <w:tcW w:w="3402" w:type="dxa"/>
            <w:vAlign w:val="center"/>
          </w:tcPr>
          <w:p w14:paraId="1A004101">
            <w:pPr>
              <w:snapToGrid w:val="0"/>
              <w:ind w:firstLine="480" w:firstLineChars="200"/>
              <w:jc w:val="center"/>
              <w:rPr>
                <w:rFonts w:ascii="仿宋" w:hAnsi="仿宋" w:eastAsia="仿宋"/>
                <w:color w:val="auto"/>
                <w:sz w:val="24"/>
                <w:highlight w:val="none"/>
              </w:rPr>
            </w:pPr>
          </w:p>
        </w:tc>
        <w:tc>
          <w:tcPr>
            <w:tcW w:w="2552" w:type="dxa"/>
            <w:vAlign w:val="center"/>
          </w:tcPr>
          <w:p w14:paraId="3551C80B">
            <w:pPr>
              <w:snapToGrid w:val="0"/>
              <w:ind w:firstLine="480" w:firstLineChars="200"/>
              <w:jc w:val="center"/>
              <w:rPr>
                <w:rFonts w:ascii="仿宋" w:hAnsi="仿宋" w:eastAsia="仿宋"/>
                <w:color w:val="auto"/>
                <w:sz w:val="24"/>
                <w:highlight w:val="none"/>
              </w:rPr>
            </w:pPr>
          </w:p>
        </w:tc>
      </w:tr>
      <w:tr w14:paraId="47F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AD0DB6">
            <w:pPr>
              <w:snapToGrid w:val="0"/>
              <w:jc w:val="center"/>
              <w:rPr>
                <w:rFonts w:ascii="仿宋" w:hAnsi="仿宋" w:eastAsia="仿宋"/>
                <w:color w:val="auto"/>
                <w:sz w:val="24"/>
                <w:highlight w:val="none"/>
              </w:rPr>
            </w:pPr>
            <w:r>
              <w:rPr>
                <w:rFonts w:hint="eastAsia" w:ascii="仿宋" w:hAnsi="仿宋" w:eastAsia="仿宋"/>
                <w:color w:val="auto"/>
                <w:sz w:val="24"/>
                <w:highlight w:val="none"/>
              </w:rPr>
              <w:t>总价</w:t>
            </w:r>
          </w:p>
        </w:tc>
        <w:tc>
          <w:tcPr>
            <w:tcW w:w="2552" w:type="dxa"/>
            <w:vAlign w:val="center"/>
          </w:tcPr>
          <w:p w14:paraId="03FD82C6">
            <w:pPr>
              <w:snapToGrid w:val="0"/>
              <w:ind w:firstLine="480" w:firstLineChars="200"/>
              <w:rPr>
                <w:rFonts w:ascii="仿宋" w:hAnsi="仿宋" w:eastAsia="仿宋"/>
                <w:color w:val="auto"/>
                <w:sz w:val="24"/>
                <w:highlight w:val="none"/>
              </w:rPr>
            </w:pPr>
          </w:p>
        </w:tc>
      </w:tr>
    </w:tbl>
    <w:p w14:paraId="7A652DD3">
      <w:pPr>
        <w:snapToGrid w:val="0"/>
        <w:spacing w:line="360" w:lineRule="auto"/>
        <w:ind w:firstLine="480" w:firstLineChars="200"/>
        <w:rPr>
          <w:rFonts w:ascii="仿宋" w:hAnsi="仿宋" w:eastAsia="仿宋"/>
          <w:color w:val="auto"/>
          <w:sz w:val="24"/>
          <w:highlight w:val="none"/>
        </w:rPr>
      </w:pPr>
    </w:p>
    <w:p w14:paraId="041E722E">
      <w:pPr>
        <w:snapToGrid w:val="0"/>
        <w:spacing w:line="360" w:lineRule="auto"/>
        <w:ind w:firstLine="480" w:firstLineChars="200"/>
        <w:rPr>
          <w:rFonts w:ascii="仿宋" w:hAnsi="仿宋" w:eastAsia="仿宋"/>
          <w:color w:val="auto"/>
          <w:sz w:val="24"/>
          <w:highlight w:val="none"/>
        </w:rPr>
      </w:pPr>
      <w:bookmarkStart w:id="412" w:name="_Toc30506"/>
      <w:bookmarkStart w:id="413" w:name="_Toc3654"/>
      <w:bookmarkStart w:id="414" w:name="_Toc26916"/>
      <w:bookmarkStart w:id="415" w:name="_Toc30158"/>
      <w:bookmarkStart w:id="416" w:name="_Toc14993"/>
      <w:r>
        <w:rPr>
          <w:rFonts w:hint="eastAsia" w:ascii="仿宋" w:hAnsi="仿宋" w:eastAsia="仿宋"/>
          <w:color w:val="auto"/>
          <w:sz w:val="24"/>
          <w:highlight w:val="none"/>
        </w:rPr>
        <w:t>1.3.2单价合同，本合同单价（含税）标准为：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。服务工作量的计量方式为：</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 xml:space="preserve">合同专用条款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068B58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1.3.3其他计价方式：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bookmarkEnd w:id="412"/>
    <w:bookmarkEnd w:id="413"/>
    <w:bookmarkEnd w:id="414"/>
    <w:bookmarkEnd w:id="415"/>
    <w:bookmarkEnd w:id="416"/>
    <w:p w14:paraId="6445914C">
      <w:pPr>
        <w:rPr>
          <w:color w:val="auto"/>
          <w:highlight w:val="none"/>
        </w:rPr>
      </w:pPr>
      <w:bookmarkStart w:id="417" w:name="_Toc22618"/>
      <w:bookmarkStart w:id="418" w:name="_Toc1814"/>
      <w:bookmarkStart w:id="419" w:name="_Toc10340"/>
    </w:p>
    <w:bookmarkEnd w:id="417"/>
    <w:bookmarkEnd w:id="418"/>
    <w:bookmarkEnd w:id="419"/>
    <w:p w14:paraId="643D1198">
      <w:pPr>
        <w:snapToGrid w:val="0"/>
        <w:spacing w:line="360" w:lineRule="auto"/>
        <w:ind w:firstLine="482" w:firstLineChars="200"/>
        <w:outlineLvl w:val="1"/>
        <w:rPr>
          <w:rFonts w:ascii="仿宋" w:hAnsi="仿宋" w:eastAsia="仿宋"/>
          <w:b/>
          <w:color w:val="auto"/>
          <w:sz w:val="24"/>
          <w:highlight w:val="none"/>
        </w:rPr>
      </w:pPr>
      <w:bookmarkStart w:id="420" w:name="_Toc32071"/>
      <w:bookmarkStart w:id="421" w:name="_Toc2846"/>
      <w:bookmarkStart w:id="422" w:name="_Toc19304"/>
      <w:r>
        <w:rPr>
          <w:rFonts w:hint="eastAsia" w:ascii="仿宋" w:hAnsi="仿宋" w:eastAsia="仿宋"/>
          <w:b/>
          <w:color w:val="auto"/>
          <w:sz w:val="24"/>
          <w:highlight w:val="none"/>
        </w:rPr>
        <w:t>1.4履约保证金</w:t>
      </w:r>
    </w:p>
    <w:p w14:paraId="72AEA1C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否   </w:t>
      </w:r>
      <w:r>
        <w:rPr>
          <w:rFonts w:hint="eastAsia" w:ascii="仿宋" w:hAnsi="仿宋" w:eastAsia="仿宋"/>
          <w:color w:val="auto"/>
          <w:sz w:val="24"/>
          <w:highlight w:val="none"/>
        </w:rPr>
        <w:t>（是/否）需要支付履约保证金。若需要支付履约保证金的，则：</w:t>
      </w:r>
    </w:p>
    <w:p w14:paraId="7C3CB42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1.4.1履约保证金的比例为合同金额的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14:paraId="1120408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1.4.2履约保证金支付方式详见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80EEDD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36742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1.4.4甲方在项目验收结束后及时退还履约保证金。甲方在项目通过验收之日起</w:t>
      </w:r>
    </w:p>
    <w:p w14:paraId="364D330E">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 xml:space="preserve"> %计算，最高限额为本合同履约保证金的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14:paraId="28C660EE">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1.5预付款</w:t>
      </w:r>
    </w:p>
    <w:p w14:paraId="5ACACE9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（是/否）需要支付预付款。若需要支付预付款的，则：</w:t>
      </w:r>
    </w:p>
    <w:p w14:paraId="0F17327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1.5.1预付款比例、支付方式、时间详见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566E58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1.5.2预付款的扣回方式详见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A5E1D8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1.5.3预付款的担保措施详见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1846898">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1.6资金支付</w:t>
      </w:r>
    </w:p>
    <w:p w14:paraId="0EA79CC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6C3D8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1.6.2资金支付的方式、时间和条件详见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3B7597BD">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1.7 </w:t>
      </w:r>
      <w:bookmarkEnd w:id="420"/>
      <w:bookmarkEnd w:id="421"/>
      <w:bookmarkEnd w:id="422"/>
      <w:r>
        <w:rPr>
          <w:rFonts w:hint="eastAsia" w:ascii="仿宋" w:hAnsi="仿宋" w:eastAsia="仿宋"/>
          <w:b/>
          <w:color w:val="auto"/>
          <w:sz w:val="24"/>
          <w:highlight w:val="none"/>
        </w:rPr>
        <w:t>履行期限、地点和方式</w:t>
      </w:r>
    </w:p>
    <w:p w14:paraId="6D6BCBD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1.7.1 服务交付（实施）的时间（期限）：</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1CF38FD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1.7.2 服务交付（实施）的地点（地域范围）：</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263B304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1.7.3 服务交付（实施）的方式：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6046520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1.7.4若服务涉及货物的，则货物的：</w:t>
      </w:r>
    </w:p>
    <w:p w14:paraId="697BF63A">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51801265">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1.7.4.2 交付地点：</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7AAA78D4">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1.7.4.3 交付方式：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5568E8E7">
      <w:pPr>
        <w:snapToGrid w:val="0"/>
        <w:spacing w:line="360" w:lineRule="auto"/>
        <w:ind w:firstLine="480" w:firstLineChars="200"/>
        <w:rPr>
          <w:rFonts w:ascii="仿宋" w:hAnsi="仿宋" w:eastAsia="仿宋"/>
          <w:color w:val="auto"/>
          <w:sz w:val="24"/>
          <w:highlight w:val="none"/>
        </w:rPr>
      </w:pPr>
      <w:bookmarkStart w:id="423" w:name="_Toc21423"/>
      <w:bookmarkStart w:id="424" w:name="_Toc19554"/>
      <w:bookmarkStart w:id="425" w:name="_Toc27250"/>
    </w:p>
    <w:p w14:paraId="30C6E99D">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1.8 违约责任</w:t>
      </w:r>
      <w:bookmarkEnd w:id="423"/>
      <w:bookmarkEnd w:id="424"/>
      <w:bookmarkEnd w:id="425"/>
    </w:p>
    <w:p w14:paraId="3953D31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除不可抗力外，如果乙方没有按照本合同约定的期限、地点和方式履行，那么甲方可要求乙方支付违约金，违约金按每迟延履行一日的应提供而未提供服务价格的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w:t>
      </w:r>
      <w:r>
        <w:rPr>
          <w:rFonts w:hint="eastAsia" w:ascii="仿宋" w:hAnsi="仿宋" w:eastAsia="仿宋"/>
          <w:color w:val="auto"/>
          <w:sz w:val="24"/>
          <w:highlight w:val="none"/>
        </w:rPr>
        <w:t>（可根据情况修改）</w:t>
      </w:r>
      <w:r>
        <w:rPr>
          <w:rFonts w:ascii="仿宋" w:hAnsi="仿宋" w:eastAsia="仿宋"/>
          <w:color w:val="auto"/>
          <w:sz w:val="24"/>
          <w:highlight w:val="none"/>
        </w:rPr>
        <w:t>，最高限额为本合同总价的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p>
    <w:p w14:paraId="45BA4B88">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highlight w:val="none"/>
          <w:u w:val="single"/>
        </w:rPr>
        <w:t xml:space="preserve">  0.05</w:t>
      </w:r>
      <w:r>
        <w:rPr>
          <w:rFonts w:hint="eastAsia" w:ascii="仿宋" w:hAnsi="仿宋" w:eastAsia="仿宋"/>
          <w:color w:val="auto"/>
          <w:sz w:val="24"/>
          <w:highlight w:val="none"/>
        </w:rPr>
        <w:t>%（可根据情况修改）计算，最高限额为本合同总价的</w:t>
      </w:r>
      <w:r>
        <w:rPr>
          <w:rFonts w:hint="eastAsia" w:ascii="仿宋" w:hAnsi="仿宋" w:eastAsia="仿宋"/>
          <w:color w:val="auto"/>
          <w:sz w:val="24"/>
          <w:highlight w:val="none"/>
          <w:u w:val="single"/>
        </w:rPr>
        <w:t xml:space="preserve">  20  </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p>
    <w:p w14:paraId="13655F5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1.8.3除不可抗力外，如果甲方没有按照本合同约定的付款方式付款，那么由双方协商决定后续处置</w:t>
      </w:r>
      <w:r>
        <w:rPr>
          <w:rFonts w:ascii="仿宋" w:hAnsi="仿宋" w:eastAsia="仿宋"/>
          <w:color w:val="auto"/>
          <w:sz w:val="24"/>
          <w:highlight w:val="none"/>
        </w:rPr>
        <w:t>；</w:t>
      </w:r>
    </w:p>
    <w:p w14:paraId="7724BB95">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10558B">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 xml:space="preserve">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7C04DDC">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E25ED9B">
      <w:pPr>
        <w:snapToGrid w:val="0"/>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rPr>
        <w:t>1.8.7违约责任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0F7E8F15">
      <w:pPr>
        <w:rPr>
          <w:color w:val="auto"/>
          <w:highlight w:val="none"/>
        </w:rPr>
      </w:pPr>
      <w:bookmarkStart w:id="426" w:name="_Toc15583"/>
      <w:bookmarkStart w:id="427" w:name="_Toc28375"/>
      <w:bookmarkStart w:id="428" w:name="_Toc16021"/>
    </w:p>
    <w:p w14:paraId="012D363A">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1.9 合同争议的解决</w:t>
      </w:r>
      <w:bookmarkEnd w:id="426"/>
      <w:bookmarkEnd w:id="427"/>
      <w:bookmarkEnd w:id="428"/>
    </w:p>
    <w:p w14:paraId="73DE87D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olor w:val="auto"/>
          <w:sz w:val="24"/>
          <w:highlight w:val="none"/>
          <w:u w:val="single"/>
        </w:rPr>
        <w:t xml:space="preserve">  1.9.2    </w:t>
      </w:r>
      <w:r>
        <w:rPr>
          <w:rFonts w:hint="eastAsia" w:ascii="仿宋" w:hAnsi="仿宋" w:eastAsia="仿宋"/>
          <w:color w:val="auto"/>
          <w:sz w:val="24"/>
          <w:highlight w:val="none"/>
        </w:rPr>
        <w:t>条款规定的方式解决：</w:t>
      </w:r>
    </w:p>
    <w:p w14:paraId="5BC2C131">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1.9.1 将争议提交</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14:paraId="1D27CEBD">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1.9.2 向</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人民法院起诉。</w:t>
      </w:r>
    </w:p>
    <w:p w14:paraId="059AD655">
      <w:pPr>
        <w:rPr>
          <w:color w:val="auto"/>
          <w:highlight w:val="none"/>
        </w:rPr>
      </w:pPr>
      <w:bookmarkStart w:id="429" w:name="_Toc7245"/>
      <w:bookmarkStart w:id="430" w:name="_Toc11173"/>
      <w:bookmarkStart w:id="431" w:name="_Toc15322"/>
    </w:p>
    <w:p w14:paraId="7363B75A">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2.0 合同生效</w:t>
      </w:r>
      <w:bookmarkEnd w:id="429"/>
      <w:bookmarkEnd w:id="430"/>
      <w:bookmarkEnd w:id="431"/>
    </w:p>
    <w:p w14:paraId="188BF74A">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本合同自双方法定代表人或授权代表签字并加盖单位公章或合同专用章之日起生效。</w:t>
      </w:r>
    </w:p>
    <w:p w14:paraId="0AED6AF2">
      <w:pPr>
        <w:autoSpaceDE w:val="0"/>
        <w:autoSpaceDN w:val="0"/>
        <w:spacing w:line="560" w:lineRule="exact"/>
        <w:rPr>
          <w:rFonts w:ascii="仿宋" w:hAnsi="仿宋" w:eastAsia="仿宋"/>
          <w:color w:val="auto"/>
          <w:sz w:val="24"/>
          <w:highlight w:val="none"/>
          <w:lang w:val="zh-CN"/>
        </w:rPr>
      </w:pPr>
    </w:p>
    <w:p w14:paraId="2DA744D0">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14:paraId="2F6209FC">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14:paraId="0F28B74A">
      <w:pPr>
        <w:autoSpaceDE w:val="0"/>
        <w:autoSpaceDN w:val="0"/>
        <w:snapToGrid w:val="0"/>
        <w:spacing w:line="360" w:lineRule="auto"/>
        <w:rPr>
          <w:rFonts w:ascii="仿宋" w:hAnsi="仿宋" w:eastAsia="仿宋"/>
          <w:color w:val="auto"/>
          <w:sz w:val="24"/>
          <w:highlight w:val="none"/>
          <w:lang w:val="zh-CN"/>
        </w:rPr>
      </w:pPr>
    </w:p>
    <w:p w14:paraId="59F2FCB4">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14:paraId="73DC37CB">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14:paraId="684F089E">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14:paraId="4ED5BF7E">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14:paraId="4D92E277">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14:paraId="06330172">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14:paraId="78ECA28B">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3EC65E2C">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0E001B6C">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14:paraId="76F5269E">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491A406F">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20A6EC47">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14:paraId="04D66EDF">
      <w:pPr>
        <w:rPr>
          <w:rFonts w:ascii="仿宋" w:hAnsi="仿宋" w:eastAsia="仿宋"/>
          <w:b/>
          <w:color w:val="auto"/>
          <w:highlight w:val="none"/>
        </w:rPr>
      </w:pPr>
      <w:bookmarkStart w:id="432" w:name="_Toc331685783"/>
      <w:r>
        <w:rPr>
          <w:rFonts w:hint="eastAsia" w:ascii="仿宋" w:hAnsi="仿宋" w:eastAsia="仿宋"/>
          <w:b/>
          <w:color w:val="auto"/>
          <w:highlight w:val="none"/>
        </w:rPr>
        <w:br w:type="page"/>
      </w:r>
    </w:p>
    <w:p w14:paraId="648A2E92">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433" w:name="_Toc20959"/>
      <w:r>
        <w:rPr>
          <w:rFonts w:hint="eastAsia" w:ascii="仿宋_GB2312" w:hAnsi="仿宋" w:eastAsia="仿宋_GB2312" w:cs="仿宋_GB2312"/>
          <w:b/>
          <w:color w:val="auto"/>
          <w:sz w:val="28"/>
          <w:szCs w:val="28"/>
          <w:highlight w:val="none"/>
        </w:rPr>
        <w:t>第二部分 合同一般条款</w:t>
      </w:r>
      <w:bookmarkEnd w:id="432"/>
      <w:bookmarkEnd w:id="433"/>
    </w:p>
    <w:p w14:paraId="6BD3FDA5">
      <w:pPr>
        <w:snapToGrid w:val="0"/>
        <w:spacing w:line="360" w:lineRule="auto"/>
        <w:ind w:firstLine="482" w:firstLineChars="200"/>
        <w:outlineLvl w:val="1"/>
        <w:rPr>
          <w:rFonts w:ascii="仿宋" w:hAnsi="仿宋" w:eastAsia="仿宋"/>
          <w:b/>
          <w:color w:val="auto"/>
          <w:sz w:val="24"/>
          <w:highlight w:val="none"/>
        </w:rPr>
      </w:pPr>
      <w:bookmarkStart w:id="434" w:name="_Toc487900349"/>
      <w:bookmarkStart w:id="435" w:name="_Ref467379214"/>
      <w:bookmarkStart w:id="436" w:name="_Toc259093669"/>
      <w:bookmarkStart w:id="437" w:name="_Ref467379109"/>
      <w:bookmarkStart w:id="438" w:name="_Ref467378463"/>
      <w:bookmarkStart w:id="439" w:name="_Toc19614"/>
      <w:bookmarkStart w:id="440" w:name="_Ref467379225"/>
      <w:bookmarkStart w:id="441" w:name="_Toc16917"/>
      <w:bookmarkStart w:id="442" w:name="_Ref467379094"/>
      <w:bookmarkStart w:id="443" w:name="_Toc28763"/>
      <w:bookmarkStart w:id="444" w:name="_Ref467379195"/>
      <w:bookmarkStart w:id="445" w:name="_Ref467379205"/>
      <w:bookmarkStart w:id="446" w:name="_Toc279701240"/>
      <w:bookmarkStart w:id="447" w:name="_Ref467379101"/>
      <w:bookmarkStart w:id="448" w:name="_Ref467378404"/>
      <w:bookmarkStart w:id="449" w:name="_Ref467378499"/>
      <w:r>
        <w:rPr>
          <w:rFonts w:hint="eastAsia" w:ascii="仿宋" w:hAnsi="仿宋" w:eastAsia="仿宋"/>
          <w:b/>
          <w:color w:val="auto"/>
          <w:sz w:val="24"/>
          <w:highlight w:val="none"/>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78C1295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14:paraId="65436473">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14:paraId="0C0C1B40">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14:paraId="086AA270">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“服务”系指中标供应商根据合同约定应向采购人履行的除货物和工程以外的其他政府采购对象，包括采购人自身需要的服务和向社会公众提供的公共服务。</w:t>
      </w:r>
    </w:p>
    <w:p w14:paraId="52785B1E">
      <w:pPr>
        <w:snapToGrid w:val="0"/>
        <w:spacing w:line="360" w:lineRule="auto"/>
        <w:ind w:firstLine="480" w:firstLineChars="200"/>
        <w:rPr>
          <w:rFonts w:ascii="仿宋" w:hAnsi="仿宋" w:eastAsia="仿宋"/>
          <w:color w:val="auto"/>
          <w:sz w:val="24"/>
          <w:highlight w:val="none"/>
        </w:rPr>
      </w:pPr>
      <w:bookmarkStart w:id="450"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50"/>
      <w:r>
        <w:rPr>
          <w:rFonts w:hint="eastAsia" w:ascii="仿宋" w:hAnsi="仿宋" w:eastAsia="仿宋"/>
          <w:color w:val="auto"/>
          <w:sz w:val="24"/>
          <w:highlight w:val="none"/>
        </w:rPr>
        <w:t>；采购人委托采购代理机构代表其与乙方签订合同的，采购人的授权委托书作为合同附件。</w:t>
      </w:r>
    </w:p>
    <w:p w14:paraId="5C8FB505">
      <w:pPr>
        <w:snapToGrid w:val="0"/>
        <w:spacing w:line="360" w:lineRule="auto"/>
        <w:ind w:firstLine="480" w:firstLineChars="200"/>
        <w:rPr>
          <w:rFonts w:ascii="仿宋" w:hAnsi="仿宋" w:eastAsia="仿宋"/>
          <w:color w:val="auto"/>
          <w:sz w:val="24"/>
          <w:highlight w:val="none"/>
        </w:rPr>
      </w:pPr>
      <w:bookmarkStart w:id="451"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“乙方”系指根据合同约定提供服务的中标供应商</w:t>
      </w:r>
      <w:bookmarkEnd w:id="451"/>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26CD60">
      <w:pPr>
        <w:snapToGrid w:val="0"/>
        <w:spacing w:line="360" w:lineRule="auto"/>
        <w:ind w:firstLine="480" w:firstLineChars="200"/>
        <w:rPr>
          <w:rFonts w:ascii="仿宋" w:hAnsi="仿宋" w:eastAsia="仿宋"/>
          <w:color w:val="auto"/>
          <w:sz w:val="24"/>
          <w:highlight w:val="none"/>
        </w:rPr>
      </w:pPr>
      <w:bookmarkStart w:id="452"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“现场”系指合同约定提供服务的地点。</w:t>
      </w:r>
      <w:bookmarkEnd w:id="452"/>
    </w:p>
    <w:p w14:paraId="4F6C6775">
      <w:pPr>
        <w:snapToGrid w:val="0"/>
        <w:spacing w:line="360" w:lineRule="auto"/>
        <w:ind w:firstLine="482" w:firstLineChars="200"/>
        <w:outlineLvl w:val="1"/>
        <w:rPr>
          <w:rFonts w:ascii="仿宋" w:hAnsi="仿宋" w:eastAsia="仿宋"/>
          <w:b/>
          <w:color w:val="auto"/>
          <w:sz w:val="24"/>
          <w:highlight w:val="none"/>
        </w:rPr>
      </w:pPr>
      <w:bookmarkStart w:id="453" w:name="_Toc487900350"/>
      <w:bookmarkStart w:id="454" w:name="_Toc27635"/>
      <w:bookmarkStart w:id="455" w:name="_Toc32504"/>
      <w:bookmarkStart w:id="456" w:name="_Toc13336"/>
      <w:bookmarkStart w:id="457" w:name="_Toc279701241"/>
      <w:bookmarkStart w:id="458" w:name="_Toc259093670"/>
      <w:r>
        <w:rPr>
          <w:rFonts w:hint="eastAsia" w:ascii="仿宋" w:hAnsi="仿宋" w:eastAsia="仿宋"/>
          <w:b/>
          <w:color w:val="auto"/>
          <w:sz w:val="24"/>
          <w:highlight w:val="none"/>
        </w:rPr>
        <w:t>2.2 技术规范</w:t>
      </w:r>
      <w:bookmarkEnd w:id="453"/>
      <w:bookmarkEnd w:id="454"/>
      <w:bookmarkEnd w:id="455"/>
      <w:bookmarkEnd w:id="456"/>
      <w:bookmarkEnd w:id="457"/>
      <w:bookmarkEnd w:id="458"/>
    </w:p>
    <w:p w14:paraId="6C40E56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hAnsi="仿宋" w:eastAsia="仿宋"/>
          <w:color w:val="auto"/>
          <w:sz w:val="24"/>
          <w:highlight w:val="none"/>
        </w:rPr>
        <w:t>。</w:t>
      </w:r>
    </w:p>
    <w:p w14:paraId="50DFF1CD">
      <w:pPr>
        <w:snapToGrid w:val="0"/>
        <w:spacing w:line="360" w:lineRule="auto"/>
        <w:ind w:firstLine="482" w:firstLineChars="200"/>
        <w:outlineLvl w:val="1"/>
        <w:rPr>
          <w:rFonts w:ascii="仿宋" w:hAnsi="仿宋" w:eastAsia="仿宋"/>
          <w:b/>
          <w:color w:val="auto"/>
          <w:sz w:val="24"/>
          <w:highlight w:val="none"/>
        </w:rPr>
      </w:pPr>
      <w:bookmarkStart w:id="459" w:name="_Toc259093671"/>
      <w:bookmarkStart w:id="460" w:name="_Toc31634"/>
      <w:bookmarkStart w:id="461" w:name="_Toc487900351"/>
      <w:bookmarkStart w:id="462" w:name="_Toc279701242"/>
      <w:bookmarkStart w:id="463" w:name="_Toc27853"/>
      <w:bookmarkStart w:id="464" w:name="_Toc9829"/>
      <w:r>
        <w:rPr>
          <w:rFonts w:hint="eastAsia" w:ascii="仿宋" w:hAnsi="仿宋" w:eastAsia="仿宋"/>
          <w:b/>
          <w:color w:val="auto"/>
          <w:sz w:val="24"/>
          <w:highlight w:val="none"/>
        </w:rPr>
        <w:t>2.3 知识产权</w:t>
      </w:r>
      <w:bookmarkEnd w:id="459"/>
      <w:bookmarkEnd w:id="460"/>
      <w:bookmarkEnd w:id="461"/>
      <w:bookmarkEnd w:id="462"/>
      <w:bookmarkEnd w:id="463"/>
      <w:bookmarkEnd w:id="464"/>
    </w:p>
    <w:p w14:paraId="70A035EC">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48C67D11">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8864BFA">
      <w:pPr>
        <w:snapToGrid w:val="0"/>
        <w:spacing w:line="360" w:lineRule="auto"/>
        <w:ind w:firstLine="482" w:firstLineChars="200"/>
        <w:outlineLvl w:val="1"/>
        <w:rPr>
          <w:rFonts w:ascii="仿宋" w:hAnsi="仿宋" w:eastAsia="仿宋"/>
          <w:b/>
          <w:color w:val="auto"/>
          <w:sz w:val="24"/>
          <w:highlight w:val="none"/>
        </w:rPr>
      </w:pPr>
      <w:bookmarkStart w:id="465" w:name="_Ref467379536"/>
      <w:bookmarkStart w:id="466" w:name="_Toc279701245"/>
      <w:bookmarkStart w:id="467" w:name="_Toc487900354"/>
      <w:bookmarkStart w:id="468" w:name="_Ref467378591"/>
      <w:bookmarkStart w:id="469" w:name="_Ref467379542"/>
      <w:bookmarkStart w:id="470" w:name="_Toc259093674"/>
      <w:bookmarkStart w:id="471" w:name="_Ref467379527"/>
      <w:bookmarkStart w:id="472" w:name="_Ref467378541"/>
      <w:bookmarkStart w:id="473" w:name="_Toc26182"/>
      <w:bookmarkStart w:id="474" w:name="_Toc30272"/>
      <w:bookmarkStart w:id="475" w:name="_Toc19074"/>
      <w:r>
        <w:rPr>
          <w:rFonts w:hint="eastAsia" w:ascii="仿宋" w:hAnsi="仿宋" w:eastAsia="仿宋"/>
          <w:b/>
          <w:color w:val="auto"/>
          <w:sz w:val="24"/>
          <w:highlight w:val="none"/>
        </w:rPr>
        <w:t>2.</w:t>
      </w:r>
      <w:bookmarkEnd w:id="465"/>
      <w:bookmarkEnd w:id="466"/>
      <w:bookmarkEnd w:id="467"/>
      <w:bookmarkEnd w:id="468"/>
      <w:bookmarkEnd w:id="469"/>
      <w:bookmarkEnd w:id="470"/>
      <w:bookmarkEnd w:id="471"/>
      <w:bookmarkEnd w:id="472"/>
      <w:r>
        <w:rPr>
          <w:rFonts w:hint="eastAsia" w:ascii="仿宋" w:hAnsi="仿宋" w:eastAsia="仿宋"/>
          <w:b/>
          <w:color w:val="auto"/>
          <w:sz w:val="24"/>
          <w:highlight w:val="none"/>
        </w:rPr>
        <w:t>4 履约检查和问题反馈</w:t>
      </w:r>
      <w:bookmarkEnd w:id="473"/>
      <w:bookmarkEnd w:id="474"/>
      <w:bookmarkEnd w:id="475"/>
    </w:p>
    <w:p w14:paraId="3CEA1434">
      <w:pPr>
        <w:snapToGrid w:val="0"/>
        <w:spacing w:line="360" w:lineRule="auto"/>
        <w:ind w:firstLine="480" w:firstLineChars="200"/>
        <w:rPr>
          <w:rFonts w:ascii="仿宋" w:hAnsi="仿宋" w:eastAsia="仿宋"/>
          <w:color w:val="auto"/>
          <w:sz w:val="24"/>
          <w:highlight w:val="none"/>
        </w:rPr>
      </w:pPr>
      <w:bookmarkStart w:id="476" w:name="_Ref467379657"/>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.1</w:t>
      </w:r>
      <w:bookmarkEnd w:id="476"/>
      <w:bookmarkStart w:id="477" w:name="_Toc186431854"/>
      <w:bookmarkStart w:id="478" w:name="_Toc259093676"/>
      <w:bookmarkStart w:id="479" w:name="_Toc279701247"/>
      <w:bookmarkStart w:id="480" w:name="_Ref467379793"/>
      <w:bookmarkStart w:id="481" w:name="_Ref467379807"/>
      <w:bookmarkStart w:id="482" w:name="_Toc487900357"/>
      <w:r>
        <w:rPr>
          <w:rFonts w:hint="eastAsia" w:ascii="仿宋" w:hAnsi="仿宋" w:eastAsia="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3A4BF4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 xml:space="preserve">.2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77"/>
      <w:bookmarkStart w:id="483" w:name="_Toc186431855"/>
      <w:r>
        <w:rPr>
          <w:rFonts w:hint="eastAsia" w:ascii="仿宋" w:hAnsi="仿宋" w:eastAsia="仿宋"/>
          <w:color w:val="auto"/>
          <w:sz w:val="24"/>
          <w:highlight w:val="none"/>
        </w:rPr>
        <w:t>。</w:t>
      </w:r>
    </w:p>
    <w:bookmarkEnd w:id="478"/>
    <w:bookmarkEnd w:id="479"/>
    <w:bookmarkEnd w:id="480"/>
    <w:bookmarkEnd w:id="481"/>
    <w:bookmarkEnd w:id="482"/>
    <w:bookmarkEnd w:id="483"/>
    <w:p w14:paraId="57CF5C35">
      <w:pPr>
        <w:snapToGrid w:val="0"/>
        <w:spacing w:line="360" w:lineRule="auto"/>
        <w:ind w:firstLine="482" w:firstLineChars="200"/>
        <w:outlineLvl w:val="1"/>
        <w:rPr>
          <w:rFonts w:ascii="仿宋" w:hAnsi="仿宋" w:eastAsia="仿宋"/>
          <w:b/>
          <w:color w:val="auto"/>
          <w:sz w:val="24"/>
          <w:highlight w:val="none"/>
        </w:rPr>
      </w:pPr>
      <w:bookmarkStart w:id="484" w:name="_Toc3225"/>
      <w:bookmarkStart w:id="485" w:name="_Toc259093677"/>
      <w:bookmarkStart w:id="486" w:name="_Toc16110"/>
      <w:bookmarkStart w:id="487" w:name="_Toc774"/>
      <w:bookmarkStart w:id="488" w:name="_Ref467379863"/>
      <w:bookmarkStart w:id="489" w:name="_Toc279701248"/>
      <w:bookmarkStart w:id="490" w:name="_Ref467379923"/>
      <w:bookmarkStart w:id="491" w:name="_Ref467379852"/>
      <w:bookmarkStart w:id="492" w:name="_Toc487900358"/>
      <w:r>
        <w:rPr>
          <w:rFonts w:hint="eastAsia" w:ascii="仿宋" w:hAnsi="仿宋" w:eastAsia="仿宋"/>
          <w:b/>
          <w:color w:val="auto"/>
          <w:sz w:val="24"/>
          <w:highlight w:val="none"/>
        </w:rPr>
        <w:t xml:space="preserve">2.5 </w:t>
      </w:r>
      <w:bookmarkEnd w:id="484"/>
      <w:bookmarkEnd w:id="485"/>
      <w:bookmarkEnd w:id="486"/>
      <w:bookmarkEnd w:id="487"/>
      <w:bookmarkEnd w:id="488"/>
      <w:bookmarkEnd w:id="489"/>
      <w:bookmarkEnd w:id="490"/>
      <w:bookmarkEnd w:id="491"/>
      <w:bookmarkEnd w:id="492"/>
      <w:r>
        <w:rPr>
          <w:rFonts w:hint="eastAsia" w:ascii="仿宋" w:hAnsi="仿宋" w:eastAsia="仿宋"/>
          <w:b/>
          <w:color w:val="auto"/>
          <w:sz w:val="24"/>
          <w:highlight w:val="none"/>
        </w:rPr>
        <w:t>结算方式和付款条件</w:t>
      </w:r>
    </w:p>
    <w:p w14:paraId="3423C65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详见</w:t>
      </w:r>
      <w:r>
        <w:rPr>
          <w:rFonts w:hint="eastAsia" w:ascii="仿宋" w:hAnsi="仿宋" w:eastAsia="仿宋"/>
          <w:b/>
          <w:bCs/>
          <w:i/>
          <w:iCs/>
          <w:color w:val="auto"/>
          <w:sz w:val="24"/>
          <w:highlight w:val="none"/>
          <w:u w:val="single"/>
        </w:rPr>
        <w:t>合同专用条款</w:t>
      </w:r>
      <w:r>
        <w:rPr>
          <w:rFonts w:hint="eastAsia" w:ascii="仿宋" w:hAnsi="仿宋" w:eastAsia="仿宋"/>
          <w:color w:val="auto"/>
          <w:sz w:val="24"/>
          <w:highlight w:val="none"/>
        </w:rPr>
        <w:t>；</w:t>
      </w:r>
    </w:p>
    <w:p w14:paraId="01736F81">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2.6 技术资料和保密义务</w:t>
      </w:r>
    </w:p>
    <w:p w14:paraId="7EE5F4C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2.6.1 乙方有权依据合同约定和项目需要，向甲方了解有关情况，调阅有关资料等，甲方应予积极配合；</w:t>
      </w:r>
    </w:p>
    <w:p w14:paraId="2CFADA0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乙方有义务妥善保管和保护由甲方提供的前款信息和资料等；</w:t>
      </w:r>
    </w:p>
    <w:p w14:paraId="0C05514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C47D681">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2.7 质量保证</w:t>
      </w:r>
    </w:p>
    <w:p w14:paraId="36899ED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2.7.1 乙方应建立和完善履行合同的内部质量保证体系，并提供相关内部规章制度给甲方，以便甲方进行监督检查；</w:t>
      </w:r>
    </w:p>
    <w:p w14:paraId="7D9DF9C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2.7.2 乙方应保证履行合同的人员数量和素质、软件和硬件设备的配置、场地、环境和设施等满足全面履行合同的要求，并应接受甲方的监督检查。</w:t>
      </w:r>
    </w:p>
    <w:p w14:paraId="11EFF42B">
      <w:pPr>
        <w:snapToGrid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2.8 延迟履行</w:t>
      </w:r>
    </w:p>
    <w:p w14:paraId="27DE3E6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09EAB2">
      <w:pPr>
        <w:snapToGrid w:val="0"/>
        <w:spacing w:line="360" w:lineRule="auto"/>
        <w:ind w:firstLine="482" w:firstLineChars="200"/>
        <w:outlineLvl w:val="1"/>
        <w:rPr>
          <w:rFonts w:ascii="仿宋" w:hAnsi="仿宋" w:eastAsia="仿宋"/>
          <w:b/>
          <w:color w:val="auto"/>
          <w:sz w:val="24"/>
          <w:highlight w:val="none"/>
        </w:rPr>
      </w:pPr>
      <w:bookmarkStart w:id="493" w:name="_Toc7502"/>
      <w:bookmarkStart w:id="494" w:name="_Toc279701254"/>
      <w:bookmarkStart w:id="495" w:name="_Ref467378121"/>
      <w:bookmarkStart w:id="496" w:name="_Toc487900364"/>
      <w:bookmarkStart w:id="497" w:name="_Toc259093683"/>
      <w:r>
        <w:rPr>
          <w:rFonts w:hint="eastAsia" w:ascii="仿宋" w:hAnsi="仿宋" w:eastAsia="仿宋"/>
          <w:b/>
          <w:color w:val="auto"/>
          <w:sz w:val="24"/>
          <w:highlight w:val="none"/>
        </w:rPr>
        <w:t>2.9 合同变更</w:t>
      </w:r>
      <w:bookmarkEnd w:id="493"/>
    </w:p>
    <w:p w14:paraId="2915CA1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79701259"/>
      <w:bookmarkStart w:id="500" w:name="_Toc259093688"/>
    </w:p>
    <w:p w14:paraId="3C1ECA15">
      <w:pPr>
        <w:snapToGrid w:val="0"/>
        <w:spacing w:line="360" w:lineRule="auto"/>
        <w:ind w:firstLine="482" w:firstLineChars="200"/>
        <w:outlineLvl w:val="1"/>
        <w:rPr>
          <w:rFonts w:ascii="仿宋" w:hAnsi="仿宋" w:eastAsia="仿宋"/>
          <w:b/>
          <w:color w:val="auto"/>
          <w:sz w:val="24"/>
          <w:highlight w:val="none"/>
        </w:rPr>
      </w:pPr>
      <w:bookmarkStart w:id="501" w:name="_Toc22955"/>
      <w:bookmarkStart w:id="502" w:name="_Toc15237"/>
      <w:bookmarkStart w:id="503" w:name="_Toc10366"/>
      <w:r>
        <w:rPr>
          <w:rFonts w:hint="eastAsia" w:ascii="仿宋" w:hAnsi="仿宋" w:eastAsia="仿宋"/>
          <w:b/>
          <w:color w:val="auto"/>
          <w:sz w:val="24"/>
          <w:highlight w:val="none"/>
        </w:rPr>
        <w:t>2.10 合同转让</w:t>
      </w:r>
      <w:bookmarkEnd w:id="498"/>
      <w:bookmarkEnd w:id="499"/>
      <w:bookmarkEnd w:id="500"/>
      <w:r>
        <w:rPr>
          <w:rFonts w:hint="eastAsia" w:ascii="仿宋" w:hAnsi="仿宋" w:eastAsia="仿宋"/>
          <w:b/>
          <w:color w:val="auto"/>
          <w:sz w:val="24"/>
          <w:highlight w:val="none"/>
        </w:rPr>
        <w:t>和分包</w:t>
      </w:r>
      <w:bookmarkEnd w:id="501"/>
      <w:bookmarkEnd w:id="502"/>
      <w:bookmarkEnd w:id="503"/>
    </w:p>
    <w:p w14:paraId="4FB9151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ascii="仿宋" w:hAnsi="仿宋" w:eastAsia="仿宋"/>
          <w:color w:val="auto"/>
          <w:sz w:val="24"/>
          <w:highlight w:val="none"/>
        </w:rPr>
        <w:t>。</w:t>
      </w:r>
    </w:p>
    <w:p w14:paraId="702C6E01">
      <w:pPr>
        <w:snapToGrid w:val="0"/>
        <w:spacing w:line="360" w:lineRule="auto"/>
        <w:ind w:firstLine="482" w:firstLineChars="200"/>
        <w:outlineLvl w:val="1"/>
        <w:rPr>
          <w:rFonts w:ascii="仿宋" w:hAnsi="仿宋" w:eastAsia="仿宋"/>
          <w:b/>
          <w:color w:val="auto"/>
          <w:sz w:val="24"/>
          <w:highlight w:val="none"/>
        </w:rPr>
      </w:pPr>
      <w:bookmarkStart w:id="504" w:name="_Toc14066"/>
      <w:bookmarkStart w:id="505" w:name="_Toc13566"/>
      <w:bookmarkStart w:id="506" w:name="_Toc16508"/>
      <w:r>
        <w:rPr>
          <w:rFonts w:hint="eastAsia" w:ascii="仿宋" w:hAnsi="仿宋" w:eastAsia="仿宋"/>
          <w:b/>
          <w:color w:val="auto"/>
          <w:sz w:val="24"/>
          <w:highlight w:val="none"/>
        </w:rPr>
        <w:t>2.11 不可抗力</w:t>
      </w:r>
      <w:bookmarkEnd w:id="504"/>
      <w:bookmarkEnd w:id="505"/>
      <w:bookmarkEnd w:id="506"/>
    </w:p>
    <w:p w14:paraId="36EFAE9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.1如果任何一方遭遇法律规定的不可抗力，致使合同履行受阻时，履行合同的期限应予延长，延长的期限应相当于不可抗力所影响的时间；</w:t>
      </w:r>
    </w:p>
    <w:p w14:paraId="242FE815">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 xml:space="preserve">.2 </w:t>
      </w:r>
      <w:r>
        <w:rPr>
          <w:rFonts w:hint="eastAsia" w:ascii="仿宋" w:hAnsi="仿宋" w:eastAsia="仿宋"/>
          <w:color w:val="auto"/>
          <w:sz w:val="24"/>
          <w:highlight w:val="none"/>
        </w:rPr>
        <w:t>因不可抗力致使不能实现合同目的的，当事人可以解除合同；</w:t>
      </w:r>
    </w:p>
    <w:p w14:paraId="648B882A">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 xml:space="preserve">.3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14:paraId="48866882">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14:paraId="6CD646C9">
      <w:pPr>
        <w:snapToGrid w:val="0"/>
        <w:spacing w:line="360" w:lineRule="auto"/>
        <w:ind w:firstLine="482" w:firstLineChars="200"/>
        <w:outlineLvl w:val="1"/>
        <w:rPr>
          <w:rFonts w:ascii="仿宋" w:hAnsi="仿宋" w:eastAsia="仿宋"/>
          <w:b/>
          <w:color w:val="auto"/>
          <w:sz w:val="24"/>
          <w:highlight w:val="none"/>
        </w:rPr>
      </w:pPr>
      <w:bookmarkStart w:id="507" w:name="_Toc689"/>
      <w:bookmarkStart w:id="508" w:name="_Toc6969"/>
      <w:bookmarkStart w:id="509" w:name="_Toc259093684"/>
      <w:bookmarkStart w:id="510" w:name="_Toc487900365"/>
      <w:bookmarkStart w:id="511" w:name="_Toc279701255"/>
      <w:bookmarkStart w:id="512" w:name="_Toc30676"/>
      <w:r>
        <w:rPr>
          <w:rFonts w:hint="eastAsia" w:ascii="仿宋" w:hAnsi="仿宋" w:eastAsia="仿宋"/>
          <w:b/>
          <w:color w:val="auto"/>
          <w:sz w:val="24"/>
          <w:highlight w:val="none"/>
        </w:rPr>
        <w:t>2.12 税费</w:t>
      </w:r>
      <w:bookmarkEnd w:id="507"/>
      <w:bookmarkEnd w:id="508"/>
      <w:bookmarkEnd w:id="509"/>
      <w:bookmarkEnd w:id="510"/>
      <w:bookmarkEnd w:id="511"/>
      <w:bookmarkEnd w:id="512"/>
    </w:p>
    <w:p w14:paraId="727DC8C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14:paraId="0493945F">
      <w:pPr>
        <w:snapToGrid w:val="0"/>
        <w:spacing w:line="360" w:lineRule="auto"/>
        <w:ind w:firstLine="482" w:firstLineChars="200"/>
        <w:outlineLvl w:val="1"/>
        <w:rPr>
          <w:rFonts w:ascii="仿宋" w:hAnsi="仿宋" w:eastAsia="仿宋"/>
          <w:b/>
          <w:color w:val="auto"/>
          <w:sz w:val="24"/>
          <w:highlight w:val="none"/>
        </w:rPr>
      </w:pPr>
      <w:bookmarkStart w:id="513" w:name="_Toc8298"/>
      <w:bookmarkStart w:id="514" w:name="_Toc259093687"/>
      <w:bookmarkStart w:id="515" w:name="_Toc279701258"/>
      <w:bookmarkStart w:id="516" w:name="_Toc7102"/>
      <w:bookmarkStart w:id="517" w:name="_Toc16959"/>
      <w:bookmarkStart w:id="518" w:name="_Toc487900368"/>
      <w:r>
        <w:rPr>
          <w:rFonts w:hint="eastAsia" w:ascii="仿宋" w:hAnsi="仿宋" w:eastAsia="仿宋"/>
          <w:b/>
          <w:color w:val="auto"/>
          <w:sz w:val="24"/>
          <w:highlight w:val="none"/>
        </w:rPr>
        <w:t>2.13乙方破产</w:t>
      </w:r>
      <w:bookmarkEnd w:id="513"/>
      <w:bookmarkEnd w:id="514"/>
      <w:bookmarkEnd w:id="515"/>
      <w:bookmarkEnd w:id="516"/>
      <w:bookmarkEnd w:id="517"/>
      <w:bookmarkEnd w:id="518"/>
    </w:p>
    <w:p w14:paraId="31D69C2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F1B0EC">
      <w:pPr>
        <w:snapToGrid w:val="0"/>
        <w:spacing w:line="360" w:lineRule="auto"/>
        <w:ind w:firstLine="482" w:firstLineChars="200"/>
        <w:outlineLvl w:val="1"/>
        <w:rPr>
          <w:rFonts w:ascii="仿宋" w:hAnsi="仿宋" w:eastAsia="仿宋"/>
          <w:b/>
          <w:color w:val="auto"/>
          <w:sz w:val="24"/>
          <w:highlight w:val="none"/>
        </w:rPr>
      </w:pPr>
      <w:bookmarkStart w:id="519" w:name="_Toc15387"/>
      <w:bookmarkStart w:id="520" w:name="_Toc6134"/>
      <w:bookmarkStart w:id="521" w:name="_Toc29333"/>
      <w:r>
        <w:rPr>
          <w:rFonts w:hint="eastAsia" w:ascii="仿宋" w:hAnsi="仿宋" w:eastAsia="仿宋"/>
          <w:b/>
          <w:color w:val="auto"/>
          <w:sz w:val="24"/>
          <w:highlight w:val="none"/>
        </w:rPr>
        <w:t>2.14合同中止、终止</w:t>
      </w:r>
      <w:bookmarkEnd w:id="519"/>
      <w:bookmarkEnd w:id="520"/>
      <w:bookmarkEnd w:id="521"/>
    </w:p>
    <w:p w14:paraId="611E0F1A">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 xml:space="preserve">.1 </w:t>
      </w:r>
      <w:r>
        <w:rPr>
          <w:rFonts w:hint="eastAsia" w:ascii="仿宋" w:hAnsi="仿宋" w:eastAsia="仿宋"/>
          <w:color w:val="auto"/>
          <w:sz w:val="24"/>
          <w:highlight w:val="none"/>
        </w:rPr>
        <w:t>双方当事人不得擅自中止或者终止合同；</w:t>
      </w:r>
    </w:p>
    <w:p w14:paraId="6525FFE8">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03B3996">
      <w:pPr>
        <w:snapToGrid w:val="0"/>
        <w:spacing w:line="360" w:lineRule="auto"/>
        <w:ind w:firstLine="482" w:firstLineChars="200"/>
        <w:outlineLvl w:val="1"/>
        <w:rPr>
          <w:rFonts w:ascii="仿宋" w:hAnsi="仿宋" w:eastAsia="仿宋"/>
          <w:b/>
          <w:color w:val="auto"/>
          <w:sz w:val="24"/>
          <w:highlight w:val="none"/>
        </w:rPr>
      </w:pPr>
      <w:bookmarkStart w:id="522" w:name="_Toc6596"/>
      <w:bookmarkStart w:id="523" w:name="_Toc14563"/>
      <w:bookmarkStart w:id="524" w:name="_Toc1125"/>
      <w:r>
        <w:rPr>
          <w:rFonts w:hint="eastAsia" w:ascii="仿宋" w:hAnsi="仿宋" w:eastAsia="仿宋"/>
          <w:b/>
          <w:color w:val="auto"/>
          <w:sz w:val="24"/>
          <w:highlight w:val="none"/>
        </w:rPr>
        <w:t>2.15检验和验收</w:t>
      </w:r>
      <w:bookmarkEnd w:id="522"/>
      <w:bookmarkEnd w:id="523"/>
      <w:bookmarkEnd w:id="524"/>
    </w:p>
    <w:p w14:paraId="51E3F9FE">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.1</w:t>
      </w:r>
      <w:r>
        <w:rPr>
          <w:rFonts w:hint="eastAsia" w:ascii="仿宋" w:hAnsi="仿宋" w:eastAsia="仿宋"/>
          <w:color w:val="auto"/>
          <w:sz w:val="24"/>
          <w:highlight w:val="none"/>
        </w:rPr>
        <w:t>乙方按照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的约定，定期提交服务报告，甲方按照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的约定进行定期验收；</w:t>
      </w:r>
    </w:p>
    <w:p w14:paraId="2B0AB428">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hAnsi="仿宋" w:eastAsia="仿宋"/>
          <w:color w:val="auto"/>
          <w:sz w:val="24"/>
          <w:highlight w:val="none"/>
        </w:rPr>
        <w:t>。</w:t>
      </w:r>
    </w:p>
    <w:p w14:paraId="5039C158">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 xml:space="preserve">.3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94"/>
    <w:bookmarkEnd w:id="495"/>
    <w:bookmarkEnd w:id="496"/>
    <w:bookmarkEnd w:id="497"/>
    <w:p w14:paraId="0518EA86">
      <w:pPr>
        <w:snapToGrid w:val="0"/>
        <w:spacing w:line="360" w:lineRule="auto"/>
        <w:ind w:firstLine="482" w:firstLineChars="200"/>
        <w:outlineLvl w:val="1"/>
        <w:rPr>
          <w:rFonts w:ascii="仿宋" w:hAnsi="仿宋" w:eastAsia="仿宋"/>
          <w:b/>
          <w:color w:val="auto"/>
          <w:sz w:val="24"/>
          <w:highlight w:val="none"/>
        </w:rPr>
      </w:pPr>
      <w:bookmarkStart w:id="525" w:name="_Toc259093690"/>
      <w:bookmarkStart w:id="526" w:name="_Toc279701261"/>
      <w:bookmarkStart w:id="527" w:name="_Toc487900371"/>
      <w:bookmarkStart w:id="528" w:name="_Toc19604"/>
      <w:bookmarkStart w:id="529" w:name="_Toc25182"/>
      <w:bookmarkStart w:id="530" w:name="_Toc11284"/>
      <w:r>
        <w:rPr>
          <w:rFonts w:hint="eastAsia" w:ascii="仿宋" w:hAnsi="仿宋" w:eastAsia="仿宋"/>
          <w:b/>
          <w:color w:val="auto"/>
          <w:sz w:val="24"/>
          <w:highlight w:val="none"/>
        </w:rPr>
        <w:t>2.16 通知</w:t>
      </w:r>
      <w:bookmarkEnd w:id="525"/>
      <w:bookmarkEnd w:id="526"/>
      <w:bookmarkEnd w:id="527"/>
      <w:r>
        <w:rPr>
          <w:rFonts w:hint="eastAsia" w:ascii="仿宋" w:hAnsi="仿宋" w:eastAsia="仿宋"/>
          <w:b/>
          <w:color w:val="auto"/>
          <w:sz w:val="24"/>
          <w:highlight w:val="none"/>
        </w:rPr>
        <w:t>和送达</w:t>
      </w:r>
      <w:bookmarkEnd w:id="528"/>
      <w:bookmarkEnd w:id="529"/>
      <w:bookmarkEnd w:id="530"/>
    </w:p>
    <w:p w14:paraId="648DB90F">
      <w:pPr>
        <w:snapToGrid w:val="0"/>
        <w:spacing w:line="360" w:lineRule="auto"/>
        <w:ind w:firstLine="480" w:firstLineChars="200"/>
        <w:rPr>
          <w:rFonts w:ascii="仿宋" w:hAnsi="仿宋" w:eastAsia="仿宋"/>
          <w:color w:val="auto"/>
          <w:sz w:val="24"/>
          <w:highlight w:val="none"/>
        </w:rPr>
      </w:pPr>
      <w:bookmarkStart w:id="531" w:name="_Toc6698"/>
      <w:bookmarkStart w:id="532" w:name="_Toc3135"/>
      <w:bookmarkStart w:id="533" w:name="_Toc487900372"/>
      <w:bookmarkStart w:id="534" w:name="_Toc279701262"/>
      <w:bookmarkStart w:id="535" w:name="_Toc259093691"/>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31"/>
      <w:bookmarkEnd w:id="532"/>
    </w:p>
    <w:p w14:paraId="137CE9A1">
      <w:pPr>
        <w:snapToGrid w:val="0"/>
        <w:spacing w:line="360" w:lineRule="auto"/>
        <w:ind w:firstLine="480" w:firstLineChars="200"/>
        <w:rPr>
          <w:rFonts w:ascii="仿宋" w:hAnsi="仿宋" w:eastAsia="仿宋"/>
          <w:color w:val="auto"/>
          <w:sz w:val="24"/>
          <w:highlight w:val="none"/>
        </w:rPr>
      </w:pPr>
      <w:bookmarkStart w:id="536" w:name="_Toc23128"/>
      <w:bookmarkStart w:id="537" w:name="_Toc23294"/>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36"/>
      <w:bookmarkEnd w:id="537"/>
    </w:p>
    <w:bookmarkEnd w:id="533"/>
    <w:bookmarkEnd w:id="534"/>
    <w:bookmarkEnd w:id="535"/>
    <w:p w14:paraId="016A3054">
      <w:pPr>
        <w:snapToGrid w:val="0"/>
        <w:spacing w:line="360" w:lineRule="auto"/>
        <w:ind w:firstLine="482" w:firstLineChars="200"/>
        <w:outlineLvl w:val="1"/>
        <w:rPr>
          <w:rFonts w:ascii="仿宋" w:hAnsi="仿宋" w:eastAsia="仿宋"/>
          <w:b/>
          <w:color w:val="auto"/>
          <w:sz w:val="24"/>
          <w:highlight w:val="none"/>
        </w:rPr>
      </w:pPr>
      <w:bookmarkStart w:id="538" w:name="_Toc259093692"/>
      <w:bookmarkStart w:id="539" w:name="_Toc487900373"/>
      <w:bookmarkStart w:id="540" w:name="_Toc18567"/>
      <w:bookmarkStart w:id="541" w:name="_Toc10330"/>
      <w:bookmarkStart w:id="542" w:name="_Toc279701263"/>
      <w:bookmarkStart w:id="543" w:name="_Toc12773"/>
      <w:r>
        <w:rPr>
          <w:rFonts w:hint="eastAsia" w:ascii="仿宋" w:hAnsi="仿宋" w:eastAsia="仿宋"/>
          <w:b/>
          <w:color w:val="auto"/>
          <w:sz w:val="24"/>
          <w:highlight w:val="none"/>
        </w:rPr>
        <w:t>2.17合同使用的文字和适用的法律</w:t>
      </w:r>
      <w:bookmarkEnd w:id="538"/>
      <w:bookmarkEnd w:id="539"/>
      <w:bookmarkEnd w:id="540"/>
      <w:bookmarkEnd w:id="541"/>
      <w:bookmarkEnd w:id="542"/>
      <w:bookmarkEnd w:id="543"/>
    </w:p>
    <w:p w14:paraId="567AEC87">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合同使用汉语书就、变更和解释；</w:t>
      </w:r>
    </w:p>
    <w:p w14:paraId="30C89B59">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合同适用中华人民共和国法律。</w:t>
      </w:r>
    </w:p>
    <w:p w14:paraId="1FE66B79">
      <w:pPr>
        <w:snapToGrid w:val="0"/>
        <w:spacing w:line="360" w:lineRule="auto"/>
        <w:ind w:firstLine="482" w:firstLineChars="200"/>
        <w:outlineLvl w:val="1"/>
        <w:rPr>
          <w:rFonts w:ascii="仿宋" w:hAnsi="仿宋" w:eastAsia="仿宋"/>
          <w:b/>
          <w:color w:val="auto"/>
          <w:sz w:val="24"/>
          <w:highlight w:val="none"/>
        </w:rPr>
      </w:pPr>
      <w:bookmarkStart w:id="544" w:name="_Toc4355"/>
      <w:bookmarkStart w:id="545" w:name="_Toc30599"/>
      <w:bookmarkStart w:id="546" w:name="_Toc18540"/>
      <w:bookmarkStart w:id="547" w:name="_Toc487900374"/>
      <w:r>
        <w:rPr>
          <w:rFonts w:hint="eastAsia" w:ascii="仿宋" w:hAnsi="仿宋" w:eastAsia="仿宋"/>
          <w:b/>
          <w:color w:val="auto"/>
          <w:sz w:val="24"/>
          <w:highlight w:val="none"/>
        </w:rPr>
        <w:t>2.18 计量单位</w:t>
      </w:r>
      <w:bookmarkEnd w:id="544"/>
      <w:bookmarkEnd w:id="545"/>
      <w:bookmarkEnd w:id="546"/>
    </w:p>
    <w:p w14:paraId="6526207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547"/>
    <w:p w14:paraId="50CBDC5A">
      <w:pPr>
        <w:snapToGrid w:val="0"/>
        <w:spacing w:line="360" w:lineRule="auto"/>
        <w:ind w:firstLine="482" w:firstLineChars="200"/>
        <w:outlineLvl w:val="1"/>
        <w:rPr>
          <w:rFonts w:ascii="仿宋" w:hAnsi="仿宋" w:eastAsia="仿宋"/>
          <w:b/>
          <w:color w:val="auto"/>
          <w:sz w:val="24"/>
          <w:highlight w:val="none"/>
        </w:rPr>
      </w:pPr>
      <w:bookmarkStart w:id="548" w:name="_Toc14001"/>
      <w:bookmarkStart w:id="549" w:name="_Toc6885"/>
      <w:bookmarkStart w:id="550" w:name="_Toc19890"/>
      <w:r>
        <w:rPr>
          <w:rFonts w:hint="eastAsia" w:ascii="仿宋" w:hAnsi="仿宋" w:eastAsia="仿宋"/>
          <w:b/>
          <w:color w:val="auto"/>
          <w:sz w:val="24"/>
          <w:highlight w:val="none"/>
        </w:rPr>
        <w:t>2.19合同份数</w:t>
      </w:r>
      <w:bookmarkEnd w:id="548"/>
      <w:bookmarkEnd w:id="549"/>
      <w:bookmarkEnd w:id="550"/>
    </w:p>
    <w:p w14:paraId="7C3FBAE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14:paraId="28EF8AB3">
      <w:pPr>
        <w:rPr>
          <w:rFonts w:ascii="仿宋" w:hAnsi="仿宋" w:eastAsia="仿宋"/>
          <w:b/>
          <w:color w:val="auto"/>
          <w:highlight w:val="none"/>
        </w:rPr>
      </w:pPr>
      <w:r>
        <w:rPr>
          <w:rFonts w:hint="eastAsia" w:ascii="仿宋" w:hAnsi="仿宋" w:eastAsia="仿宋"/>
          <w:b/>
          <w:color w:val="auto"/>
          <w:highlight w:val="none"/>
        </w:rPr>
        <w:br w:type="page"/>
      </w:r>
    </w:p>
    <w:p w14:paraId="3414C773">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551" w:name="_Toc11897"/>
      <w:r>
        <w:rPr>
          <w:rFonts w:hint="eastAsia" w:ascii="仿宋_GB2312" w:hAnsi="仿宋" w:eastAsia="仿宋_GB2312" w:cs="仿宋_GB2312"/>
          <w:b/>
          <w:color w:val="auto"/>
          <w:sz w:val="28"/>
          <w:szCs w:val="28"/>
          <w:highlight w:val="none"/>
        </w:rPr>
        <w:t>第三部分  合同专用条款</w:t>
      </w:r>
      <w:bookmarkEnd w:id="551"/>
    </w:p>
    <w:p w14:paraId="3140C575">
      <w:pPr>
        <w:snapToGrid w:val="0"/>
        <w:spacing w:line="360"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F92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vAlign w:val="center"/>
          </w:tcPr>
          <w:p w14:paraId="2961BB3F">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A36F87F">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3A7F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3A1720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shd w:val="clear" w:color="auto" w:fill="auto"/>
            <w:vAlign w:val="center"/>
          </w:tcPr>
          <w:p w14:paraId="64CF8F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根据实际业务量结算</w:t>
            </w:r>
          </w:p>
        </w:tc>
      </w:tr>
      <w:tr w14:paraId="3E061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0A7F4C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shd w:val="clear" w:color="auto" w:fill="auto"/>
            <w:vAlign w:val="center"/>
          </w:tcPr>
          <w:p w14:paraId="587F71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履约保证金支付方式：</w:t>
            </w:r>
            <w:r>
              <w:rPr>
                <w:rFonts w:hint="eastAsia" w:ascii="仿宋" w:hAnsi="仿宋" w:eastAsia="仿宋" w:cs="仿宋"/>
                <w:color w:val="auto"/>
                <w:highlight w:val="none"/>
              </w:rPr>
              <w:t>不适用</w:t>
            </w:r>
          </w:p>
        </w:tc>
      </w:tr>
      <w:tr w14:paraId="6337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2D2607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shd w:val="clear" w:color="auto" w:fill="auto"/>
            <w:vAlign w:val="center"/>
          </w:tcPr>
          <w:p w14:paraId="1D0AB2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预付款比例、支付方式、时间：不适用</w:t>
            </w:r>
          </w:p>
        </w:tc>
      </w:tr>
      <w:tr w14:paraId="5245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2D26929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shd w:val="clear" w:color="auto" w:fill="auto"/>
            <w:vAlign w:val="center"/>
          </w:tcPr>
          <w:p w14:paraId="73FAB32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预付款的扣回方式：本项目不适用</w:t>
            </w:r>
          </w:p>
        </w:tc>
      </w:tr>
      <w:tr w14:paraId="637F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32C6B28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shd w:val="clear" w:color="auto" w:fill="auto"/>
            <w:vAlign w:val="center"/>
          </w:tcPr>
          <w:p w14:paraId="11B5E3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预付款的担保措施：本项目不适用</w:t>
            </w:r>
          </w:p>
        </w:tc>
      </w:tr>
      <w:tr w14:paraId="7C10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2FAF4E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shd w:val="clear" w:color="auto" w:fill="auto"/>
            <w:vAlign w:val="center"/>
          </w:tcPr>
          <w:p w14:paraId="1C510E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资金支付的方式、时间和条件（预定）：</w:t>
            </w:r>
          </w:p>
          <w:p w14:paraId="6789BAC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1.6.2.1标本外送检测服务费=医院按照浙江省医疗服务价格收费（检测计价总和）×中标价（即中标折扣）。</w:t>
            </w:r>
          </w:p>
          <w:p w14:paraId="38D385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本外送检验服务费每月结算一次，检测计价总和以当月项目检测清单或外送标本登记的签收记录为准。经双方共同确认检测数量无异议后，甲方在收到乙方提供等额有效的增值税发票并核对无误后支付相应费用。</w:t>
            </w:r>
          </w:p>
          <w:p w14:paraId="02C1FA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1.6.2.2如乙方提供的发票或材料（如有）不符合甲方要求或甲乙双方对于服务费用有争议的，甲方有权待乙方提供符合甲方要求的发票或材料（如有）后或争议解决后再行支付，且甲方不构成违约。</w:t>
            </w:r>
          </w:p>
          <w:p w14:paraId="13704E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1.6.2.3如乙方存在违约情形应向甲方承担违约责任的，甲方有权在待支付的费用中直接扣除相应款项，乙方应按照扣款后的金额开具等额有效的增值税发票，甲方亦有权另行向乙方主张要求支付。</w:t>
            </w:r>
          </w:p>
        </w:tc>
      </w:tr>
      <w:tr w14:paraId="67E6B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7E9C15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1.7.1 </w:t>
            </w:r>
          </w:p>
        </w:tc>
        <w:tc>
          <w:tcPr>
            <w:tcW w:w="4464" w:type="pct"/>
            <w:shd w:val="clear" w:color="auto" w:fill="auto"/>
            <w:vAlign w:val="center"/>
          </w:tcPr>
          <w:p w14:paraId="046526E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服务交付（实施）的时间（期限）：服务期1年；服务期到期或合同期内累计支付至预算金额，合同终止。</w:t>
            </w:r>
          </w:p>
        </w:tc>
      </w:tr>
      <w:tr w14:paraId="5CCC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026903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1.7.2 </w:t>
            </w:r>
          </w:p>
        </w:tc>
        <w:tc>
          <w:tcPr>
            <w:tcW w:w="4464" w:type="pct"/>
            <w:shd w:val="clear" w:color="auto" w:fill="auto"/>
            <w:vAlign w:val="center"/>
          </w:tcPr>
          <w:p w14:paraId="76005D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服务交付（实施）的地点（地域范围）：杭州师范大学附属医院</w:t>
            </w:r>
          </w:p>
        </w:tc>
      </w:tr>
      <w:tr w14:paraId="4F63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1F39B5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shd w:val="clear" w:color="auto" w:fill="auto"/>
            <w:vAlign w:val="center"/>
          </w:tcPr>
          <w:p w14:paraId="469ED9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服务交付（实施）的方式：按采购文件要求</w:t>
            </w:r>
          </w:p>
        </w:tc>
      </w:tr>
      <w:tr w14:paraId="1E3B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5C1576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shd w:val="clear" w:color="auto" w:fill="auto"/>
            <w:vAlign w:val="center"/>
          </w:tcPr>
          <w:p w14:paraId="44041AA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违约责任：除本合同另有约定的外，乙方未按照本合同约定履行其义务存在其他违约行为的，应向甲方支付当月服务费用的10%作为违约金；如该违约金不足以弥补甲方因此所遭受的全部损失（包括但不限于其直接损失、间接损失和因维权而产生的诉讼费、律师费、保全费、保全担保费、公证费、执行费等一切损失。），乙方应予补足。</w:t>
            </w:r>
          </w:p>
        </w:tc>
      </w:tr>
      <w:tr w14:paraId="31A7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3121A2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1.9.1 </w:t>
            </w:r>
          </w:p>
        </w:tc>
        <w:tc>
          <w:tcPr>
            <w:tcW w:w="4464" w:type="pct"/>
            <w:shd w:val="clear" w:color="auto" w:fill="auto"/>
            <w:vAlign w:val="center"/>
          </w:tcPr>
          <w:p w14:paraId="71A1AF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将争议提交杭州仲裁委员会依申请仲裁时其现行有效的仲裁规则裁决；</w:t>
            </w:r>
          </w:p>
        </w:tc>
      </w:tr>
      <w:tr w14:paraId="03BB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40A167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1.9.2 </w:t>
            </w:r>
          </w:p>
        </w:tc>
        <w:tc>
          <w:tcPr>
            <w:tcW w:w="4464" w:type="pct"/>
            <w:shd w:val="clear" w:color="auto" w:fill="auto"/>
            <w:vAlign w:val="center"/>
          </w:tcPr>
          <w:p w14:paraId="72961A4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向甲方所在地人民法院起诉。</w:t>
            </w:r>
          </w:p>
        </w:tc>
      </w:tr>
      <w:tr w14:paraId="14A7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7D042C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shd w:val="clear" w:color="auto" w:fill="auto"/>
            <w:vAlign w:val="center"/>
          </w:tcPr>
          <w:p w14:paraId="327DE3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合同涉及技术成果的归属和收益的分成办法的，本项目不适用。</w:t>
            </w:r>
          </w:p>
        </w:tc>
      </w:tr>
      <w:tr w14:paraId="621C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313DC4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2.5 </w:t>
            </w:r>
          </w:p>
        </w:tc>
        <w:tc>
          <w:tcPr>
            <w:tcW w:w="4464" w:type="pct"/>
            <w:shd w:val="clear" w:color="auto" w:fill="auto"/>
            <w:vAlign w:val="center"/>
          </w:tcPr>
          <w:p w14:paraId="182C9E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结算方式和付款条件（预定）：</w:t>
            </w:r>
          </w:p>
          <w:p w14:paraId="68CCA2E5">
            <w:pPr>
              <w:spacing w:line="360" w:lineRule="auto"/>
              <w:rPr>
                <w:rFonts w:ascii="仿宋" w:hAnsi="仿宋" w:eastAsia="仿宋" w:cs="仿宋"/>
                <w:color w:val="auto"/>
                <w:highlight w:val="none"/>
              </w:rPr>
            </w:pPr>
            <w:r>
              <w:rPr>
                <w:rFonts w:hint="eastAsia" w:ascii="仿宋" w:hAnsi="仿宋" w:eastAsia="仿宋" w:cs="仿宋"/>
                <w:color w:val="auto"/>
                <w:highlight w:val="none"/>
              </w:rPr>
              <w:t>1.6.2.1标本外送检测服务费=医院按照浙江省医疗服务价格收费（检测计价总和）×中标价（即中标折扣）。</w:t>
            </w:r>
          </w:p>
          <w:p w14:paraId="480927EC">
            <w:pPr>
              <w:spacing w:line="360" w:lineRule="auto"/>
              <w:rPr>
                <w:rFonts w:ascii="仿宋" w:hAnsi="仿宋" w:eastAsia="仿宋" w:cs="仿宋"/>
                <w:color w:val="auto"/>
                <w:highlight w:val="none"/>
              </w:rPr>
            </w:pPr>
            <w:r>
              <w:rPr>
                <w:rFonts w:hint="eastAsia" w:ascii="仿宋" w:hAnsi="仿宋" w:eastAsia="仿宋" w:cs="仿宋"/>
                <w:color w:val="auto"/>
                <w:highlight w:val="none"/>
              </w:rPr>
              <w:t>标本外送检验服务费每月</w:t>
            </w:r>
            <w:r>
              <w:rPr>
                <w:rFonts w:hint="eastAsia" w:ascii="仿宋" w:hAnsi="仿宋" w:eastAsia="仿宋" w:cs="仿宋"/>
                <w:color w:val="auto"/>
                <w:sz w:val="24"/>
                <w:highlight w:val="none"/>
              </w:rPr>
              <w:t>结算</w:t>
            </w:r>
            <w:r>
              <w:rPr>
                <w:rFonts w:hint="eastAsia" w:ascii="仿宋" w:hAnsi="仿宋" w:eastAsia="仿宋" w:cs="仿宋"/>
                <w:color w:val="auto"/>
                <w:highlight w:val="none"/>
              </w:rPr>
              <w:t>一次，检测计价总和以当月项目检测清单或外送标本登记的签收记录为准。经双方共同确认</w:t>
            </w:r>
            <w:r>
              <w:rPr>
                <w:rFonts w:hint="eastAsia" w:ascii="仿宋" w:hAnsi="仿宋" w:eastAsia="仿宋" w:cs="仿宋"/>
                <w:color w:val="auto"/>
                <w:sz w:val="24"/>
                <w:highlight w:val="none"/>
              </w:rPr>
              <w:t>检测</w:t>
            </w:r>
            <w:r>
              <w:rPr>
                <w:rFonts w:hint="eastAsia" w:ascii="仿宋" w:hAnsi="仿宋" w:eastAsia="仿宋" w:cs="仿宋"/>
                <w:color w:val="auto"/>
                <w:highlight w:val="none"/>
              </w:rPr>
              <w:t>数量无异议后，</w:t>
            </w:r>
            <w:r>
              <w:rPr>
                <w:rFonts w:hint="eastAsia" w:ascii="仿宋" w:hAnsi="仿宋" w:eastAsia="仿宋" w:cs="仿宋"/>
                <w:color w:val="auto"/>
                <w:sz w:val="24"/>
                <w:highlight w:val="none"/>
              </w:rPr>
              <w:t>甲方</w:t>
            </w:r>
            <w:r>
              <w:rPr>
                <w:rFonts w:hint="eastAsia" w:ascii="仿宋" w:hAnsi="仿宋" w:eastAsia="仿宋" w:cs="仿宋"/>
                <w:color w:val="auto"/>
                <w:highlight w:val="none"/>
              </w:rPr>
              <w:t>在收到乙方提供等额有效的增值税发票并</w:t>
            </w:r>
            <w:r>
              <w:rPr>
                <w:rFonts w:hint="eastAsia" w:ascii="仿宋" w:hAnsi="仿宋" w:eastAsia="仿宋" w:cs="仿宋"/>
                <w:color w:val="auto"/>
                <w:sz w:val="24"/>
                <w:highlight w:val="none"/>
              </w:rPr>
              <w:t>核对无误后</w:t>
            </w:r>
            <w:r>
              <w:rPr>
                <w:rFonts w:hint="eastAsia" w:ascii="仿宋" w:hAnsi="仿宋" w:eastAsia="仿宋" w:cs="仿宋"/>
                <w:color w:val="auto"/>
                <w:highlight w:val="none"/>
              </w:rPr>
              <w:t>支付相应费用。</w:t>
            </w:r>
          </w:p>
          <w:p w14:paraId="512E718B">
            <w:pPr>
              <w:spacing w:line="360" w:lineRule="auto"/>
              <w:rPr>
                <w:rFonts w:ascii="仿宋" w:hAnsi="仿宋" w:eastAsia="仿宋" w:cs="仿宋"/>
                <w:color w:val="auto"/>
                <w:highlight w:val="none"/>
              </w:rPr>
            </w:pPr>
            <w:r>
              <w:rPr>
                <w:rFonts w:hint="eastAsia" w:ascii="仿宋" w:hAnsi="仿宋" w:eastAsia="仿宋" w:cs="仿宋"/>
                <w:color w:val="auto"/>
                <w:highlight w:val="none"/>
              </w:rPr>
              <w:t>1.6.2.2如乙方提供的发票或材料（如有）不符合</w:t>
            </w:r>
            <w:r>
              <w:rPr>
                <w:rFonts w:hint="eastAsia" w:ascii="仿宋" w:hAnsi="仿宋" w:eastAsia="仿宋" w:cs="仿宋"/>
                <w:color w:val="auto"/>
                <w:sz w:val="24"/>
                <w:highlight w:val="none"/>
              </w:rPr>
              <w:t>甲方</w:t>
            </w:r>
            <w:r>
              <w:rPr>
                <w:rFonts w:hint="eastAsia" w:ascii="仿宋" w:hAnsi="仿宋" w:eastAsia="仿宋" w:cs="仿宋"/>
                <w:color w:val="auto"/>
                <w:highlight w:val="none"/>
              </w:rPr>
              <w:t>要求或甲乙双方对于服务费用有争议的，甲方有权待乙方提供符合甲方要求的发票或材料（如有）后或争议解决后再行支付，且甲方不构成违约。</w:t>
            </w:r>
          </w:p>
          <w:p w14:paraId="7C4C1F8C">
            <w:pPr>
              <w:spacing w:line="360" w:lineRule="auto"/>
              <w:rPr>
                <w:rFonts w:ascii="仿宋" w:hAnsi="仿宋" w:eastAsia="仿宋" w:cs="仿宋"/>
                <w:color w:val="auto"/>
                <w:sz w:val="24"/>
                <w:highlight w:val="none"/>
              </w:rPr>
            </w:pPr>
            <w:r>
              <w:rPr>
                <w:rFonts w:hint="eastAsia" w:ascii="仿宋" w:hAnsi="仿宋" w:eastAsia="仿宋" w:cs="仿宋"/>
                <w:color w:val="auto"/>
                <w:highlight w:val="none"/>
              </w:rPr>
              <w:t>1.6.2.3如乙方存在违约情形应向甲方承担违约责任的，甲方有权在待支付的费用中直接扣除相应款项，乙方应按照扣款后的金额开具等额有效的增值税发票，甲方亦有权另行向乙方主张要求支付。</w:t>
            </w:r>
          </w:p>
        </w:tc>
      </w:tr>
      <w:tr w14:paraId="3CDD0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791EAB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shd w:val="clear" w:color="auto" w:fill="auto"/>
            <w:vAlign w:val="center"/>
          </w:tcPr>
          <w:p w14:paraId="623CA4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因不可抗力致使合同有变更必要的，双方当事人应在30日内以书面形式变更合同；</w:t>
            </w:r>
          </w:p>
        </w:tc>
      </w:tr>
      <w:tr w14:paraId="57252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6F494D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shd w:val="clear" w:color="auto" w:fill="auto"/>
            <w:vAlign w:val="center"/>
          </w:tcPr>
          <w:p w14:paraId="527521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受不可抗力影响的一方在不可抗力发生后，应在5日内以书面形式通知对方当事人，并在15个工作日内，将有关部门出具的证明文件送达对方当事人。</w:t>
            </w:r>
          </w:p>
        </w:tc>
      </w:tr>
      <w:tr w14:paraId="0F69D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7C39751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shd w:val="clear" w:color="auto" w:fill="auto"/>
            <w:vAlign w:val="center"/>
          </w:tcPr>
          <w:p w14:paraId="0FF899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乙方按照合同约定，每个月提交服务报告，甲方按照约定进行定期验收。</w:t>
            </w:r>
          </w:p>
        </w:tc>
      </w:tr>
      <w:tr w14:paraId="0D27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shd w:val="clear" w:color="auto" w:fill="auto"/>
            <w:vAlign w:val="center"/>
          </w:tcPr>
          <w:p w14:paraId="11CCDB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2.15.3 </w:t>
            </w:r>
          </w:p>
        </w:tc>
        <w:tc>
          <w:tcPr>
            <w:tcW w:w="4464" w:type="pct"/>
            <w:shd w:val="clear" w:color="auto" w:fill="auto"/>
            <w:vAlign w:val="center"/>
          </w:tcPr>
          <w:p w14:paraId="24B195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检验和验收标准、程序等具体内容以及前述验收书的效力：按文件要求。 </w:t>
            </w:r>
          </w:p>
        </w:tc>
      </w:tr>
      <w:tr w14:paraId="4CA4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35" w:type="pct"/>
            <w:tcBorders>
              <w:left w:val="single" w:color="auto" w:sz="4" w:space="0"/>
            </w:tcBorders>
            <w:vAlign w:val="center"/>
          </w:tcPr>
          <w:p w14:paraId="7D3AAD28">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53065657">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合同份数一式四份，每份均具有同等法律效力。</w:t>
            </w:r>
          </w:p>
        </w:tc>
      </w:tr>
    </w:tbl>
    <w:p w14:paraId="0B6224B7">
      <w:pPr>
        <w:rPr>
          <w:color w:val="auto"/>
          <w:highlight w:val="none"/>
        </w:rPr>
      </w:pPr>
    </w:p>
    <w:p w14:paraId="45AFF4D8">
      <w:pP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p>
    <w:p w14:paraId="4624FD79">
      <w:pPr>
        <w:spacing w:line="360" w:lineRule="auto"/>
        <w:jc w:val="center"/>
        <w:outlineLvl w:val="0"/>
        <w:rPr>
          <w:rFonts w:ascii="仿宋" w:hAnsi="仿宋" w:eastAsia="仿宋" w:cs="仿宋_GB2312"/>
          <w:b/>
          <w:color w:val="auto"/>
          <w:sz w:val="36"/>
          <w:szCs w:val="20"/>
          <w:highlight w:val="none"/>
        </w:rPr>
      </w:pPr>
      <w:bookmarkStart w:id="552" w:name="_Toc12455"/>
      <w:r>
        <w:rPr>
          <w:rFonts w:hint="eastAsia" w:ascii="仿宋" w:hAnsi="仿宋" w:eastAsia="仿宋" w:cs="仿宋_GB2312"/>
          <w:b/>
          <w:color w:val="auto"/>
          <w:sz w:val="36"/>
          <w:szCs w:val="20"/>
          <w:highlight w:val="none"/>
        </w:rPr>
        <w:t>第六部分</w:t>
      </w:r>
      <w:bookmarkEnd w:id="400"/>
      <w:r>
        <w:rPr>
          <w:rFonts w:ascii="仿宋" w:hAnsi="仿宋" w:eastAsia="仿宋" w:cs="仿宋_GB2312"/>
          <w:b/>
          <w:color w:val="auto"/>
          <w:sz w:val="36"/>
          <w:szCs w:val="20"/>
          <w:highlight w:val="none"/>
        </w:rPr>
        <w:t xml:space="preserve"> </w:t>
      </w:r>
      <w:bookmarkEnd w:id="401"/>
      <w:r>
        <w:rPr>
          <w:rFonts w:hint="eastAsia" w:ascii="仿宋" w:hAnsi="仿宋" w:eastAsia="仿宋" w:cs="仿宋_GB2312"/>
          <w:b/>
          <w:color w:val="auto"/>
          <w:sz w:val="36"/>
          <w:szCs w:val="20"/>
          <w:highlight w:val="none"/>
        </w:rPr>
        <w:t>应提交的有关格式范例</w:t>
      </w:r>
      <w:bookmarkEnd w:id="552"/>
    </w:p>
    <w:p w14:paraId="566825D2">
      <w:pPr>
        <w:rPr>
          <w:color w:val="auto"/>
          <w:highlight w:val="none"/>
        </w:rPr>
      </w:pPr>
    </w:p>
    <w:p w14:paraId="51AB3086">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0280A909">
      <w:pPr>
        <w:jc w:val="center"/>
        <w:rPr>
          <w:color w:val="auto"/>
          <w:sz w:val="32"/>
          <w:szCs w:val="32"/>
          <w:highlight w:val="none"/>
        </w:rPr>
      </w:pPr>
      <w:r>
        <w:rPr>
          <w:rFonts w:hint="eastAsia"/>
          <w:color w:val="auto"/>
          <w:sz w:val="32"/>
          <w:szCs w:val="32"/>
          <w:highlight w:val="none"/>
        </w:rPr>
        <w:t>目录</w:t>
      </w:r>
    </w:p>
    <w:p w14:paraId="50FF6C12">
      <w:pPr>
        <w:rPr>
          <w:color w:val="auto"/>
          <w:highlight w:val="none"/>
        </w:rPr>
      </w:pPr>
    </w:p>
    <w:p w14:paraId="73F3FC97">
      <w:pPr>
        <w:pStyle w:val="24"/>
        <w:rPr>
          <w:color w:val="auto"/>
          <w:highlight w:val="none"/>
        </w:rPr>
      </w:pPr>
    </w:p>
    <w:p w14:paraId="5E203647">
      <w:pPr>
        <w:numPr>
          <w:ilvl w:val="0"/>
          <w:numId w:val="8"/>
        </w:num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符合参加政府采购活动应当具备的一般条件的承诺函……………（页码）</w:t>
      </w:r>
    </w:p>
    <w:p w14:paraId="2751368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）联合协议………………………………………………………………（页码）</w:t>
      </w:r>
    </w:p>
    <w:p w14:paraId="5312C80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）落实政府采购政策需满足的资格要求………………………………（页码）</w:t>
      </w:r>
    </w:p>
    <w:p w14:paraId="0FBEB4F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）本项目的特定资格要求………………………………………………（页码）</w:t>
      </w:r>
    </w:p>
    <w:p w14:paraId="70119085">
      <w:pPr>
        <w:spacing w:line="360" w:lineRule="auto"/>
        <w:ind w:firstLine="480" w:firstLineChars="200"/>
        <w:rPr>
          <w:rFonts w:ascii="仿宋_GB2312" w:hAnsi="仿宋" w:eastAsia="仿宋_GB2312" w:cs="仿宋_GB2312"/>
          <w:color w:val="auto"/>
          <w:sz w:val="24"/>
          <w:highlight w:val="none"/>
        </w:rPr>
      </w:pPr>
    </w:p>
    <w:p w14:paraId="737AB2C3">
      <w:pPr>
        <w:snapToGrid w:val="0"/>
        <w:spacing w:line="360" w:lineRule="auto"/>
        <w:ind w:right="480"/>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rPr>
        <w:t>一、</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rPr>
        <w:t>符合参加政府采购活动应当具备的一般条件的承诺函</w:t>
      </w:r>
    </w:p>
    <w:p w14:paraId="7D09372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sz w:val="24"/>
          <w:highlight w:val="none"/>
        </w:rPr>
        <w:t>：</w:t>
      </w:r>
    </w:p>
    <w:p w14:paraId="30DCA46A">
      <w:pP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外送检验服务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lang w:eastAsia="zh-CN"/>
        </w:rPr>
        <w:t>ZJ-2432431-04</w:t>
      </w:r>
      <w:r>
        <w:rPr>
          <w:rFonts w:hint="eastAsia" w:ascii="仿宋_GB2312" w:hAnsi="仿宋" w:eastAsia="仿宋_GB2312" w:cs="仿宋_GB2312"/>
          <w:color w:val="auto"/>
          <w:sz w:val="24"/>
          <w:highlight w:val="none"/>
        </w:rPr>
        <w:t>】政府采购活动，郑重承诺：</w:t>
      </w:r>
    </w:p>
    <w:p w14:paraId="1EFCD41D">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2AFEFA08">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、具有独立承担民事责任的能力；</w:t>
      </w:r>
    </w:p>
    <w:p w14:paraId="7BBC2048">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、具有良好的商业信誉和健全的财务会计制度；</w:t>
      </w:r>
      <w:r>
        <w:rPr>
          <w:rFonts w:ascii="仿宋_GB2312" w:hAnsi="仿宋" w:eastAsia="仿宋_GB2312"/>
          <w:color w:val="auto"/>
          <w:sz w:val="24"/>
          <w:highlight w:val="none"/>
        </w:rPr>
        <w:t xml:space="preserve"> </w:t>
      </w:r>
    </w:p>
    <w:p w14:paraId="7E5B7462">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、具有履行合同所必需的设备和专业技术能力；</w:t>
      </w:r>
    </w:p>
    <w:p w14:paraId="0736ED1B">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、有依法缴纳税收和社会保障资金的良好记录；</w:t>
      </w:r>
    </w:p>
    <w:p w14:paraId="0821088B">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、参加政府采购活动前三年内，在经营活动中没有重大违法记录；</w:t>
      </w:r>
    </w:p>
    <w:p w14:paraId="4F2DCDF3">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、具有法律、行政法规规定的其他条件。</w:t>
      </w:r>
    </w:p>
    <w:p w14:paraId="6F1CE92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w:t>
      </w:r>
      <w:r>
        <w:rPr>
          <w:rFonts w:hint="eastAsia" w:ascii="仿宋_GB2312" w:hAnsi="仿宋" w:eastAsia="仿宋_GB2312"/>
          <w:color w:val="auto"/>
          <w:sz w:val="24"/>
          <w:highlight w:val="none"/>
        </w:rPr>
        <w:t>、中国政府采购网（</w:t>
      </w:r>
      <w:r>
        <w:rPr>
          <w:rFonts w:ascii="仿宋_GB2312" w:hAnsi="仿宋" w:eastAsia="仿宋_GB2312"/>
          <w:color w:val="auto"/>
          <w:sz w:val="24"/>
          <w:highlight w:val="none"/>
        </w:rPr>
        <w:t>www.ccgp.gov.cn</w:t>
      </w:r>
      <w:r>
        <w:rPr>
          <w:rFonts w:hint="eastAsia" w:ascii="仿宋_GB2312" w:hAnsi="仿宋" w:eastAsia="仿宋_GB2312"/>
          <w:color w:val="auto"/>
          <w:sz w:val="24"/>
          <w:highlight w:val="none"/>
        </w:rPr>
        <w:t>）列入失信被执行人、重大税收违法案件当事人名单、政府采购严重违法失信行为记录名单。</w:t>
      </w:r>
    </w:p>
    <w:p w14:paraId="2341F62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0FE5E83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、单位负责人为同一人或者存在直接控股、管理关系的不同供应商参加同一合同项下的政府采购活动的；</w:t>
      </w:r>
    </w:p>
    <w:p w14:paraId="33AACAB6">
      <w:pPr>
        <w:snapToGrid w:val="0"/>
        <w:spacing w:line="360" w:lineRule="auto"/>
        <w:ind w:firstLine="480" w:firstLineChars="200"/>
        <w:rPr>
          <w:rFonts w:ascii="仿宋_GB2312" w:hAnsi="仿宋" w:eastAsia="仿宋_GB2312" w:cs="仿宋_GB2312"/>
          <w:color w:val="auto"/>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6573E997">
      <w:pPr>
        <w:rPr>
          <w:color w:val="auto"/>
          <w:highlight w:val="none"/>
        </w:rPr>
      </w:pPr>
    </w:p>
    <w:p w14:paraId="56A6351B">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1C99A10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185E5BD5">
      <w:pPr>
        <w:snapToGrid w:val="0"/>
        <w:spacing w:line="360" w:lineRule="auto"/>
        <w:ind w:right="480"/>
        <w:jc w:val="center"/>
        <w:rPr>
          <w:rFonts w:ascii="仿宋_GB2312" w:hAnsi="仿宋" w:eastAsia="仿宋_GB2312" w:cs="仿宋_GB2312"/>
          <w:b/>
          <w:color w:val="auto"/>
          <w:kern w:val="0"/>
          <w:sz w:val="32"/>
          <w:szCs w:val="32"/>
          <w:highlight w:val="none"/>
        </w:rPr>
      </w:pPr>
    </w:p>
    <w:p w14:paraId="1A9F159C">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269FFFA6">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14:paraId="0D1348D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w:t>
      </w:r>
      <w:r>
        <w:rPr>
          <w:rFonts w:hint="eastAsia" w:ascii="仿宋_GB2312" w:hAnsi="仿宋" w:eastAsia="仿宋_GB2312"/>
          <w:color w:val="auto"/>
          <w:sz w:val="24"/>
          <w:highlight w:val="none"/>
        </w:rPr>
        <w:t>以联合体形式投标的，提供联合协议（附件</w:t>
      </w:r>
      <w:r>
        <w:rPr>
          <w:rFonts w:ascii="仿宋_GB2312" w:hAnsi="仿宋" w:eastAsia="仿宋_GB2312"/>
          <w:color w:val="auto"/>
          <w:sz w:val="24"/>
          <w:highlight w:val="none"/>
        </w:rPr>
        <w:t>5</w:t>
      </w:r>
      <w:r>
        <w:rPr>
          <w:rFonts w:hint="eastAsia" w:ascii="仿宋_GB2312" w:hAnsi="仿宋" w:eastAsia="仿宋_GB2312"/>
          <w:color w:val="auto"/>
          <w:sz w:val="24"/>
          <w:highlight w:val="none"/>
        </w:rPr>
        <w:t>）；本项目不接受联合体投标或者投标人不以联合体形式投标的，则不需要提供）</w:t>
      </w:r>
      <w:r>
        <w:rPr>
          <w:rFonts w:ascii="仿宋_GB2312" w:hAnsi="仿宋" w:eastAsia="仿宋_GB2312"/>
          <w:color w:val="auto"/>
          <w:sz w:val="24"/>
          <w:highlight w:val="none"/>
        </w:rPr>
        <w:t>]</w:t>
      </w:r>
    </w:p>
    <w:p w14:paraId="078FE815">
      <w:pPr>
        <w:snapToGrid w:val="0"/>
        <w:spacing w:line="360" w:lineRule="auto"/>
        <w:ind w:right="480"/>
        <w:jc w:val="center"/>
        <w:rPr>
          <w:rFonts w:ascii="仿宋_GB2312" w:hAnsi="仿宋" w:eastAsia="仿宋_GB2312" w:cs="仿宋_GB2312"/>
          <w:b/>
          <w:color w:val="auto"/>
          <w:kern w:val="0"/>
          <w:sz w:val="32"/>
          <w:szCs w:val="32"/>
          <w:highlight w:val="none"/>
        </w:rPr>
      </w:pPr>
    </w:p>
    <w:p w14:paraId="6D53E845">
      <w:pPr>
        <w:snapToGrid w:val="0"/>
        <w:spacing w:line="360" w:lineRule="auto"/>
        <w:ind w:right="480"/>
        <w:jc w:val="center"/>
        <w:rPr>
          <w:rFonts w:ascii="仿宋_GB2312" w:hAnsi="仿宋" w:eastAsia="仿宋_GB2312" w:cs="仿宋_GB2312"/>
          <w:b/>
          <w:color w:val="auto"/>
          <w:kern w:val="0"/>
          <w:sz w:val="32"/>
          <w:szCs w:val="32"/>
          <w:highlight w:val="none"/>
        </w:rPr>
      </w:pPr>
    </w:p>
    <w:p w14:paraId="1BEC0806">
      <w:pPr>
        <w:snapToGrid w:val="0"/>
        <w:spacing w:line="360" w:lineRule="auto"/>
        <w:ind w:right="480"/>
        <w:jc w:val="center"/>
        <w:rPr>
          <w:rFonts w:ascii="仿宋_GB2312" w:hAnsi="仿宋" w:eastAsia="仿宋_GB2312" w:cs="仿宋_GB2312"/>
          <w:b/>
          <w:color w:val="auto"/>
          <w:kern w:val="0"/>
          <w:sz w:val="32"/>
          <w:szCs w:val="32"/>
          <w:highlight w:val="none"/>
        </w:rPr>
      </w:pPr>
    </w:p>
    <w:p w14:paraId="5F785EFE">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77ECD0D2">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506776D3">
      <w:pPr>
        <w:snapToGrid w:val="0"/>
        <w:spacing w:before="50" w:after="50"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A</w:t>
      </w:r>
      <w:r>
        <w:rPr>
          <w:rFonts w:ascii="仿宋" w:hAnsi="仿宋" w:eastAsia="仿宋" w:cs="仿宋"/>
          <w:color w:val="auto"/>
          <w:sz w:val="24"/>
          <w:highlight w:val="none"/>
        </w:rPr>
        <w:t>.</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14:paraId="59969B08">
      <w:pPr>
        <w:widowControl/>
        <w:spacing w:line="360" w:lineRule="auto"/>
        <w:ind w:firstLine="480"/>
        <w:jc w:val="left"/>
        <w:rPr>
          <w:rFonts w:ascii="仿宋" w:hAnsi="仿宋" w:eastAsia="仿宋" w:cs="仿宋"/>
          <w:color w:val="auto"/>
          <w:sz w:val="24"/>
          <w:highlight w:val="none"/>
        </w:rPr>
      </w:pPr>
    </w:p>
    <w:p w14:paraId="36430E2C">
      <w:pPr>
        <w:widowControl/>
        <w:spacing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ascii="仿宋" w:hAnsi="仿宋" w:eastAsia="仿宋" w:cs="仿宋"/>
          <w:color w:val="auto"/>
          <w:sz w:val="24"/>
          <w:highlight w:val="none"/>
        </w:rPr>
        <w:t>5</w:t>
      </w:r>
      <w:r>
        <w:rPr>
          <w:rFonts w:hint="eastAsia" w:ascii="仿宋" w:hAnsi="仿宋" w:eastAsia="仿宋" w:cs="仿宋"/>
          <w:color w:val="auto"/>
          <w:sz w:val="24"/>
          <w:highlight w:val="none"/>
        </w:rPr>
        <w:t>）和中小企业声明函（附件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AD02B0">
      <w:pPr>
        <w:snapToGrid w:val="0"/>
        <w:spacing w:before="50" w:after="50" w:line="360" w:lineRule="auto"/>
        <w:jc w:val="center"/>
        <w:rPr>
          <w:rFonts w:ascii="仿宋" w:hAnsi="仿宋" w:eastAsia="仿宋" w:cs="仿宋"/>
          <w:color w:val="auto"/>
          <w:sz w:val="24"/>
          <w:highlight w:val="none"/>
        </w:rPr>
      </w:pPr>
      <w:r>
        <w:rPr>
          <w:rFonts w:ascii="仿宋" w:hAnsi="仿宋" w:eastAsia="仿宋" w:cs="仿宋"/>
          <w:b/>
          <w:color w:val="auto"/>
          <w:sz w:val="24"/>
          <w:highlight w:val="none"/>
        </w:rPr>
        <w:t xml:space="preserve">    </w:t>
      </w:r>
    </w:p>
    <w:p w14:paraId="079215C0">
      <w:pPr>
        <w:snapToGrid w:val="0"/>
        <w:spacing w:before="50" w:after="50"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C</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要求合同分包的，提供分包意向协议（附件</w:t>
      </w:r>
      <w:r>
        <w:rPr>
          <w:rFonts w:ascii="仿宋" w:hAnsi="仿宋" w:eastAsia="仿宋" w:cs="仿宋"/>
          <w:color w:val="auto"/>
          <w:sz w:val="24"/>
          <w:highlight w:val="none"/>
        </w:rPr>
        <w:t>6</w:t>
      </w:r>
      <w:r>
        <w:rPr>
          <w:rFonts w:hint="eastAsia" w:ascii="仿宋" w:hAnsi="仿宋" w:eastAsia="仿宋" w:cs="仿宋"/>
          <w:color w:val="auto"/>
          <w:sz w:val="24"/>
          <w:highlight w:val="none"/>
        </w:rPr>
        <w:t>）和中小企业声明函（附件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r>
        <w:rPr>
          <w:rFonts w:ascii="仿宋" w:hAnsi="仿宋" w:eastAsia="仿宋" w:cs="仿宋"/>
          <w:color w:val="auto"/>
          <w:sz w:val="24"/>
          <w:highlight w:val="none"/>
        </w:rPr>
        <w:t xml:space="preserve"> </w:t>
      </w:r>
    </w:p>
    <w:p w14:paraId="750E5BC8">
      <w:pPr>
        <w:widowControl/>
        <w:spacing w:line="360" w:lineRule="auto"/>
        <w:ind w:firstLine="480"/>
        <w:jc w:val="left"/>
        <w:rPr>
          <w:rFonts w:ascii="仿宋_GB2312" w:hAnsi="宋体" w:eastAsia="仿宋_GB2312"/>
          <w:color w:val="auto"/>
          <w:sz w:val="24"/>
          <w:highlight w:val="none"/>
        </w:rPr>
      </w:pPr>
    </w:p>
    <w:p w14:paraId="6B5B47C5">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180F5C06">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6D7347F5">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14:paraId="4DF12435">
      <w:pPr>
        <w:rPr>
          <w:color w:val="auto"/>
          <w:highlight w:val="none"/>
        </w:rPr>
      </w:pPr>
    </w:p>
    <w:p w14:paraId="0DE39BC6">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2C7B3FA8">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5E70E981">
      <w:pPr>
        <w:rPr>
          <w:color w:val="auto"/>
          <w:highlight w:val="none"/>
        </w:rPr>
      </w:pPr>
    </w:p>
    <w:p w14:paraId="6A0E0ACE">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44549D3D">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4AD73C62">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18E7D154">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14:paraId="1F875FE7">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14:paraId="3C9AD330">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14:paraId="3EF0F9FC">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14:paraId="2A614F01">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14:paraId="29EDDB05">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3B30FD1">
      <w:pPr>
        <w:rPr>
          <w:color w:val="auto"/>
          <w:highlight w:val="none"/>
        </w:rPr>
      </w:pPr>
    </w:p>
    <w:p w14:paraId="2BBDE507">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53C91A39">
      <w:pPr>
        <w:snapToGrid w:val="0"/>
        <w:spacing w:line="36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190E6379">
      <w:pPr>
        <w:snapToGrid w:val="0"/>
        <w:spacing w:line="36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sz w:val="24"/>
          <w:highlight w:val="none"/>
        </w:rPr>
        <w:t>：</w:t>
      </w:r>
    </w:p>
    <w:p w14:paraId="3D66B4F8">
      <w:pPr>
        <w:snapToGrid w:val="0"/>
        <w:spacing w:line="36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我方参加你方组织的外送检验服务【招标编号：</w:t>
      </w:r>
      <w:r>
        <w:rPr>
          <w:rFonts w:hint="eastAsia" w:ascii="仿宋_GB2312" w:hAnsi="仿宋" w:eastAsia="仿宋_GB2312"/>
          <w:color w:val="auto"/>
          <w:sz w:val="24"/>
          <w:highlight w:val="none"/>
          <w:lang w:eastAsia="zh-CN"/>
        </w:rPr>
        <w:t>ZJ-2432431-04</w:t>
      </w:r>
      <w:r>
        <w:rPr>
          <w:rFonts w:hint="eastAsia" w:ascii="仿宋_GB2312" w:hAnsi="仿宋" w:eastAsia="仿宋_GB2312" w:cs="仿宋_GB2312"/>
          <w:color w:val="auto"/>
          <w:sz w:val="24"/>
          <w:highlight w:val="none"/>
        </w:rPr>
        <w:t>】招标的有关活动，并对此项目进行投标。为此：</w:t>
      </w:r>
    </w:p>
    <w:p w14:paraId="5247A08A">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w:t>
      </w:r>
      <w:r>
        <w:rPr>
          <w:rFonts w:hint="eastAsia" w:ascii="仿宋_GB2312" w:hAnsi="仿宋" w:eastAsia="仿宋_GB2312" w:cs="仿宋_GB2312"/>
          <w:color w:val="auto"/>
          <w:sz w:val="24"/>
          <w:highlight w:val="none"/>
        </w:rPr>
        <w:t>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583184EF">
      <w:pPr>
        <w:snapToGrid w:val="0"/>
        <w:spacing w:line="36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、我方的投标文件包括以下内容：</w:t>
      </w:r>
    </w:p>
    <w:p w14:paraId="58BDDDFE">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rPr>
        <w:t>资格文件：</w:t>
      </w:r>
    </w:p>
    <w:p w14:paraId="7C173BF6">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232E0CA5">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p>
    <w:p w14:paraId="004CF0A0">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w:t>
      </w:r>
      <w:r>
        <w:rPr>
          <w:rFonts w:hint="eastAsia" w:ascii="仿宋_GB2312" w:hAnsi="仿宋" w:eastAsia="仿宋_GB2312" w:cs="仿宋_GB2312"/>
          <w:color w:val="auto"/>
          <w:sz w:val="24"/>
          <w:highlight w:val="none"/>
        </w:rPr>
        <w:t>落实政府采购政策需满足的资格要求（本项目不适用）</w:t>
      </w:r>
      <w:r>
        <w:rPr>
          <w:rFonts w:hint="eastAsia" w:ascii="仿宋_GB2312" w:hAnsi="仿宋" w:eastAsia="仿宋_GB2312"/>
          <w:bCs/>
          <w:color w:val="auto"/>
          <w:sz w:val="24"/>
          <w:highlight w:val="none"/>
        </w:rPr>
        <w:t>；</w:t>
      </w:r>
    </w:p>
    <w:p w14:paraId="0314470C">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2.1.4</w:t>
      </w:r>
      <w:r>
        <w:rPr>
          <w:rFonts w:hint="eastAsia" w:ascii="仿宋_GB2312" w:hAnsi="仿宋" w:eastAsia="仿宋_GB2312" w:cs="仿宋_GB2312"/>
          <w:color w:val="auto"/>
          <w:sz w:val="24"/>
          <w:highlight w:val="none"/>
        </w:rPr>
        <w:t>本项目的特定资格要求（本项目不适用）。</w:t>
      </w:r>
    </w:p>
    <w:p w14:paraId="3397246E">
      <w:pPr>
        <w:snapToGrid w:val="0"/>
        <w:spacing w:line="360" w:lineRule="exact"/>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39436BF4">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w:t>
      </w:r>
      <w:r>
        <w:rPr>
          <w:rFonts w:hint="eastAsia" w:ascii="仿宋_GB2312" w:hAnsi="仿宋" w:eastAsia="仿宋_GB2312" w:cs="仿宋_GB2312"/>
          <w:color w:val="auto"/>
          <w:sz w:val="24"/>
          <w:highlight w:val="none"/>
        </w:rPr>
        <w:t>投标函；</w:t>
      </w:r>
      <w:r>
        <w:rPr>
          <w:rFonts w:ascii="仿宋_GB2312" w:hAnsi="仿宋" w:eastAsia="仿宋_GB2312" w:cs="仿宋_GB2312"/>
          <w:color w:val="auto"/>
          <w:sz w:val="24"/>
          <w:highlight w:val="none"/>
          <w:lang w:val="zh-CN"/>
        </w:rPr>
        <w:t xml:space="preserve"> </w:t>
      </w:r>
    </w:p>
    <w:p w14:paraId="3B766843">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w:t>
      </w:r>
      <w:r>
        <w:rPr>
          <w:rFonts w:hint="eastAsia" w:ascii="仿宋_GB2312" w:hAnsi="仿宋" w:eastAsia="仿宋_GB2312" w:cs="仿宋_GB2312"/>
          <w:color w:val="auto"/>
          <w:sz w:val="24"/>
          <w:highlight w:val="none"/>
        </w:rPr>
        <w:t>授权委托书或法定代表人（单位负责人）身份证明；</w:t>
      </w:r>
    </w:p>
    <w:p w14:paraId="4B5F8BF9">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w:t>
      </w:r>
      <w:r>
        <w:rPr>
          <w:rFonts w:hint="eastAsia" w:ascii="仿宋_GB2312" w:hAnsi="仿宋" w:eastAsia="仿宋_GB2312" w:cs="仿宋_GB2312"/>
          <w:color w:val="auto"/>
          <w:sz w:val="24"/>
          <w:highlight w:val="none"/>
        </w:rPr>
        <w:t>分包意向协议（</w:t>
      </w:r>
      <w:r>
        <w:rPr>
          <w:rFonts w:hint="eastAsia" w:ascii="仿宋_GB2312" w:hAnsi="仿宋" w:eastAsia="仿宋_GB2312"/>
          <w:bCs/>
          <w:color w:val="auto"/>
          <w:sz w:val="24"/>
          <w:highlight w:val="none"/>
        </w:rPr>
        <w:t>如果有</w:t>
      </w:r>
      <w:r>
        <w:rPr>
          <w:rFonts w:hint="eastAsia" w:ascii="仿宋_GB2312" w:hAnsi="仿宋" w:eastAsia="仿宋_GB2312" w:cs="仿宋_GB2312"/>
          <w:color w:val="auto"/>
          <w:sz w:val="24"/>
          <w:highlight w:val="none"/>
        </w:rPr>
        <w:t>）；</w:t>
      </w:r>
    </w:p>
    <w:p w14:paraId="35639417">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w:t>
      </w:r>
      <w:r>
        <w:rPr>
          <w:rFonts w:hint="eastAsia" w:ascii="仿宋_GB2312" w:hAnsi="仿宋" w:eastAsia="仿宋_GB2312" w:cs="仿宋_GB2312"/>
          <w:color w:val="auto"/>
          <w:sz w:val="24"/>
          <w:highlight w:val="none"/>
        </w:rPr>
        <w:t>符合性审查资料；</w:t>
      </w:r>
    </w:p>
    <w:p w14:paraId="63C42FB4">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w:t>
      </w:r>
      <w:r>
        <w:rPr>
          <w:rFonts w:hint="eastAsia" w:ascii="仿宋_GB2312" w:hAnsi="仿宋" w:eastAsia="仿宋_GB2312" w:cs="仿宋_GB2312"/>
          <w:color w:val="auto"/>
          <w:sz w:val="24"/>
          <w:highlight w:val="none"/>
        </w:rPr>
        <w:t>评标标准相应的商务技术资料；</w:t>
      </w:r>
    </w:p>
    <w:p w14:paraId="75CAADE1">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w:t>
      </w:r>
      <w:r>
        <w:rPr>
          <w:rFonts w:hint="eastAsia" w:ascii="仿宋_GB2312" w:hAnsi="仿宋" w:eastAsia="仿宋_GB2312" w:cs="仿宋_GB2312"/>
          <w:color w:val="auto"/>
          <w:sz w:val="24"/>
          <w:highlight w:val="none"/>
        </w:rPr>
        <w:t>投标标的清单；</w:t>
      </w:r>
    </w:p>
    <w:p w14:paraId="7BC14B68">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w:t>
      </w:r>
      <w:r>
        <w:rPr>
          <w:rFonts w:hint="eastAsia" w:ascii="仿宋_GB2312" w:hAnsi="仿宋" w:eastAsia="仿宋_GB2312" w:cs="仿宋_GB2312"/>
          <w:color w:val="auto"/>
          <w:sz w:val="24"/>
          <w:highlight w:val="none"/>
        </w:rPr>
        <w:t>商务技术偏离表；</w:t>
      </w:r>
    </w:p>
    <w:p w14:paraId="5A7474BD">
      <w:pPr>
        <w:snapToGrid w:val="0"/>
        <w:spacing w:line="36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075E1D3F">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报价文件</w:t>
      </w:r>
    </w:p>
    <w:p w14:paraId="1585442C">
      <w:pP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2.3.1开标一览表（报价表）；</w:t>
      </w:r>
    </w:p>
    <w:p w14:paraId="793AAF40">
      <w:pPr>
        <w:snapToGrid w:val="0"/>
        <w:spacing w:line="360" w:lineRule="exact"/>
        <w:ind w:left="899" w:leftChars="4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2.3.2中小企业声明函（如果有）；</w:t>
      </w:r>
    </w:p>
    <w:p w14:paraId="76C04B84">
      <w:pP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2.3.3中标服务费支付承诺书。</w:t>
      </w:r>
    </w:p>
    <w:p w14:paraId="78EFD558">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、我方承诺除商务技术偏离表列出的偏离外，我方响应招标文件的全部要求。</w:t>
      </w:r>
    </w:p>
    <w:p w14:paraId="7CA6A481">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、如我方中标，我方承诺：</w:t>
      </w:r>
    </w:p>
    <w:p w14:paraId="42659F48">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4.1</w:t>
      </w:r>
      <w:r>
        <w:rPr>
          <w:rFonts w:hint="eastAsia" w:ascii="仿宋_GB2312" w:hAnsi="仿宋" w:eastAsia="仿宋_GB2312" w:cs="仿宋_GB2312"/>
          <w:color w:val="auto"/>
          <w:sz w:val="24"/>
          <w:highlight w:val="none"/>
        </w:rPr>
        <w:t>在收到中标通知书后，在中标通知书规定的期限内与你方签订合同；</w:t>
      </w:r>
      <w:r>
        <w:rPr>
          <w:rFonts w:ascii="仿宋_GB2312" w:hAnsi="仿宋" w:eastAsia="仿宋_GB2312" w:cs="仿宋_GB2312"/>
          <w:color w:val="auto"/>
          <w:sz w:val="24"/>
          <w:highlight w:val="none"/>
        </w:rPr>
        <w:t xml:space="preserve"> </w:t>
      </w:r>
    </w:p>
    <w:p w14:paraId="2CFA8659">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w:t>
      </w:r>
      <w:r>
        <w:rPr>
          <w:rFonts w:hint="eastAsia" w:ascii="仿宋_GB2312" w:hAnsi="仿宋" w:eastAsia="仿宋_GB2312" w:cs="仿宋_GB2312"/>
          <w:color w:val="auto"/>
          <w:sz w:val="24"/>
          <w:highlight w:val="none"/>
        </w:rPr>
        <w:t>在签订合同时不向你方提出附加条件；</w:t>
      </w:r>
      <w:r>
        <w:rPr>
          <w:rFonts w:ascii="仿宋_GB2312" w:hAnsi="仿宋" w:eastAsia="仿宋_GB2312" w:cs="仿宋_GB2312"/>
          <w:color w:val="auto"/>
          <w:sz w:val="24"/>
          <w:highlight w:val="none"/>
        </w:rPr>
        <w:t xml:space="preserve"> </w:t>
      </w:r>
    </w:p>
    <w:p w14:paraId="7E64DFD9">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w:t>
      </w:r>
      <w:r>
        <w:rPr>
          <w:rFonts w:hint="eastAsia" w:ascii="仿宋_GB2312" w:hAnsi="仿宋" w:eastAsia="仿宋_GB2312" w:cs="仿宋_GB2312"/>
          <w:color w:val="auto"/>
          <w:sz w:val="24"/>
          <w:highlight w:val="none"/>
        </w:rPr>
        <w:t>按照招标文件要求提交履约保证金；</w:t>
      </w:r>
      <w:r>
        <w:rPr>
          <w:rFonts w:ascii="仿宋_GB2312" w:hAnsi="仿宋" w:eastAsia="仿宋_GB2312" w:cs="仿宋_GB2312"/>
          <w:color w:val="auto"/>
          <w:sz w:val="24"/>
          <w:highlight w:val="none"/>
        </w:rPr>
        <w:t xml:space="preserve"> </w:t>
      </w:r>
    </w:p>
    <w:p w14:paraId="68668417">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w:t>
      </w:r>
      <w:r>
        <w:rPr>
          <w:rFonts w:hint="eastAsia" w:ascii="仿宋_GB2312" w:hAnsi="仿宋" w:eastAsia="仿宋_GB2312" w:cs="仿宋_GB2312"/>
          <w:color w:val="auto"/>
          <w:sz w:val="24"/>
          <w:highlight w:val="none"/>
        </w:rPr>
        <w:t>在合同约定的期限内完成合同规定的全部义务。</w:t>
      </w:r>
      <w:r>
        <w:rPr>
          <w:rFonts w:ascii="仿宋_GB2312" w:hAnsi="仿宋" w:eastAsia="仿宋_GB2312" w:cs="仿宋_GB2312"/>
          <w:color w:val="auto"/>
          <w:sz w:val="24"/>
          <w:highlight w:val="none"/>
        </w:rPr>
        <w:t xml:space="preserve"> </w:t>
      </w:r>
    </w:p>
    <w:p w14:paraId="61A444BD">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、其他补充说明</w:t>
      </w:r>
      <w:r>
        <w:rPr>
          <w:rFonts w:ascii="仿宋_GB2312" w:hAnsi="仿宋" w:eastAsia="仿宋_GB2312" w:cs="仿宋_GB2312"/>
          <w:color w:val="auto"/>
          <w:sz w:val="24"/>
          <w:highlight w:val="none"/>
        </w:rPr>
        <w:t>:</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601573AA">
      <w:pPr>
        <w:snapToGrid w:val="0"/>
        <w:spacing w:line="360" w:lineRule="exact"/>
        <w:ind w:firstLine="3600" w:firstLineChars="1500"/>
        <w:rPr>
          <w:rFonts w:ascii="仿宋_GB2312" w:hAnsi="仿宋" w:eastAsia="仿宋_GB2312" w:cs="仿宋_GB2312"/>
          <w:color w:val="auto"/>
          <w:sz w:val="24"/>
          <w:highlight w:val="none"/>
        </w:rPr>
      </w:pPr>
    </w:p>
    <w:p w14:paraId="74C1AB91">
      <w:pPr>
        <w:snapToGrid w:val="0"/>
        <w:spacing w:line="36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1F4CDF77">
      <w:pPr>
        <w:snapToGrid w:val="0"/>
        <w:spacing w:line="360" w:lineRule="exact"/>
        <w:jc w:val="center"/>
        <w:rPr>
          <w:rFonts w:ascii="仿宋_GB2312" w:hAnsi="仿宋" w:eastAsia="仿宋_GB2312" w:cs="仿宋_GB2312"/>
          <w:color w:val="auto"/>
          <w:kern w:val="0"/>
          <w:sz w:val="24"/>
          <w:highlight w:val="none"/>
          <w:u w:val="singl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日期：</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09A8DFE8">
      <w:pPr>
        <w:snapToGrid w:val="0"/>
        <w:spacing w:line="360" w:lineRule="exact"/>
        <w:ind w:left="210" w:leftChars="100" w:firstLine="480" w:firstLineChars="200"/>
        <w:rPr>
          <w:rFonts w:ascii="仿宋_GB2312" w:hAnsi="仿宋" w:eastAsia="仿宋_GB2312" w:cs="仿宋_GB2312"/>
          <w:color w:val="auto"/>
          <w:sz w:val="24"/>
          <w:highlight w:val="none"/>
        </w:rPr>
      </w:pPr>
    </w:p>
    <w:p w14:paraId="2CD157EB">
      <w:pPr>
        <w:snapToGrid w:val="0"/>
        <w:spacing w:line="360" w:lineRule="exact"/>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注：按本格式和要求提供。</w:t>
      </w:r>
    </w:p>
    <w:p w14:paraId="52A670E7">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0A6627D4">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08757363">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2C935CAB">
      <w:pP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67E26875">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611971B4">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外送检验服务【招标编号：</w:t>
      </w:r>
      <w:r>
        <w:rPr>
          <w:rFonts w:hint="eastAsia" w:ascii="仿宋_GB2312" w:hAnsi="仿宋" w:eastAsia="仿宋_GB2312"/>
          <w:color w:val="auto"/>
          <w:sz w:val="24"/>
          <w:highlight w:val="none"/>
          <w:lang w:eastAsia="zh-CN"/>
        </w:rPr>
        <w:t>ZJ-2432431-04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2128559D">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日止。</w:t>
      </w:r>
    </w:p>
    <w:p w14:paraId="3CD8749C">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23F8F763">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1BD657B9">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签发日期：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5465205E">
      <w:pPr>
        <w:snapToGrid w:val="0"/>
        <w:spacing w:line="360" w:lineRule="auto"/>
        <w:rPr>
          <w:rFonts w:ascii="仿宋_GB2312" w:hAnsi="仿宋" w:eastAsia="仿宋_GB2312" w:cs="仿宋_GB2312"/>
          <w:color w:val="auto"/>
          <w:sz w:val="24"/>
          <w:highlight w:val="none"/>
        </w:rPr>
      </w:pPr>
    </w:p>
    <w:p w14:paraId="40C233D6">
      <w:pPr>
        <w:snapToGrid w:val="0"/>
        <w:spacing w:line="360" w:lineRule="auto"/>
        <w:rPr>
          <w:rFonts w:ascii="仿宋_GB2312" w:hAnsi="仿宋" w:eastAsia="仿宋_GB2312" w:cs="仿宋_GB2312"/>
          <w:color w:val="auto"/>
          <w:sz w:val="24"/>
          <w:highlight w:val="none"/>
        </w:rPr>
      </w:pPr>
    </w:p>
    <w:p w14:paraId="0A341730">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367FE5A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4CB96F8F">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外送检验服务【招标编号：</w:t>
      </w:r>
      <w:r>
        <w:rPr>
          <w:rFonts w:hint="eastAsia" w:ascii="仿宋_GB2312" w:hAnsi="仿宋" w:eastAsia="仿宋_GB2312"/>
          <w:color w:val="auto"/>
          <w:sz w:val="24"/>
          <w:highlight w:val="none"/>
          <w:lang w:eastAsia="zh-CN"/>
        </w:rPr>
        <w:t>ZJ-2432431-04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3DBD5554">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本授权书有效</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日止。</w:t>
      </w:r>
    </w:p>
    <w:p w14:paraId="58862198">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506A2710">
      <w:pPr>
        <w:jc w:val="center"/>
        <w:rPr>
          <w:rFonts w:ascii="仿宋_GB2312" w:hAnsi="仿宋" w:eastAsia="仿宋_GB2312" w:cs="仿宋_GB2312"/>
          <w:b/>
          <w:color w:val="auto"/>
          <w:kern w:val="0"/>
          <w:sz w:val="32"/>
          <w:szCs w:val="32"/>
          <w:highlight w:val="none"/>
        </w:rPr>
      </w:pPr>
    </w:p>
    <w:p w14:paraId="063BC106">
      <w:pPr>
        <w:jc w:val="center"/>
        <w:rPr>
          <w:rFonts w:ascii="仿宋_GB2312" w:hAnsi="仿宋" w:eastAsia="仿宋_GB2312" w:cs="仿宋_GB2312"/>
          <w:b/>
          <w:color w:val="auto"/>
          <w:kern w:val="0"/>
          <w:sz w:val="32"/>
          <w:szCs w:val="32"/>
          <w:highlight w:val="none"/>
        </w:rPr>
      </w:pPr>
    </w:p>
    <w:p w14:paraId="0E8D1741">
      <w:pPr>
        <w:rPr>
          <w:color w:val="auto"/>
          <w:highlight w:val="none"/>
        </w:rPr>
      </w:pPr>
    </w:p>
    <w:p w14:paraId="6587302B">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公章</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1692CCC4">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公章</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4DE0D696">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71FE8BA4">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24A647EA">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21A06AE4">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5939E051">
      <w:pPr>
        <w:pStyle w:val="181"/>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99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8404C6">
            <w:pPr>
              <w:pStyle w:val="181"/>
              <w:adjustRightInd w:val="0"/>
              <w:spacing w:line="360" w:lineRule="auto"/>
              <w:rPr>
                <w:rFonts w:ascii="仿宋_GB2312" w:hAnsi="仿宋" w:eastAsia="仿宋_GB2312"/>
                <w:bCs/>
                <w:color w:val="auto"/>
                <w:sz w:val="24"/>
                <w:szCs w:val="21"/>
                <w:highlight w:val="none"/>
              </w:rPr>
            </w:pPr>
            <w:r>
              <w:rPr>
                <w:rFonts w:hint="eastAsia" w:ascii="仿宋_GB2312" w:hAnsi="仿宋" w:eastAsia="仿宋_GB2312"/>
                <w:bCs/>
                <w:color w:val="auto"/>
                <w:sz w:val="24"/>
                <w:szCs w:val="21"/>
                <w:highlight w:val="none"/>
              </w:rPr>
              <w:t>正面：</w:t>
            </w:r>
            <w:r>
              <w:rPr>
                <w:rFonts w:ascii="仿宋_GB2312" w:hAnsi="仿宋" w:eastAsia="仿宋_GB2312"/>
                <w:bCs/>
                <w:color w:val="auto"/>
                <w:sz w:val="24"/>
                <w:szCs w:val="21"/>
                <w:highlight w:val="none"/>
              </w:rPr>
              <w:t xml:space="preserve">                                 </w:t>
            </w:r>
            <w:r>
              <w:rPr>
                <w:rFonts w:hint="eastAsia" w:ascii="仿宋_GB2312" w:hAnsi="仿宋" w:eastAsia="仿宋_GB2312"/>
                <w:bCs/>
                <w:color w:val="auto"/>
                <w:sz w:val="24"/>
                <w:szCs w:val="21"/>
                <w:highlight w:val="none"/>
              </w:rPr>
              <w:t>反面：</w:t>
            </w:r>
          </w:p>
          <w:p w14:paraId="68E8125C">
            <w:pPr>
              <w:pStyle w:val="181"/>
              <w:adjustRightInd w:val="0"/>
              <w:spacing w:line="360" w:lineRule="auto"/>
              <w:rPr>
                <w:rFonts w:ascii="仿宋_GB2312" w:hAnsi="仿宋" w:eastAsia="仿宋_GB2312"/>
                <w:bCs/>
                <w:color w:val="auto"/>
                <w:sz w:val="24"/>
                <w:szCs w:val="21"/>
                <w:highlight w:val="none"/>
              </w:rPr>
            </w:pPr>
          </w:p>
        </w:tc>
      </w:tr>
    </w:tbl>
    <w:p w14:paraId="30014969">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2D779822">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41AB5149">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4326447C">
      <w:pPr>
        <w:jc w:val="center"/>
        <w:rPr>
          <w:rFonts w:ascii="仿宋_GB2312" w:hAnsi="仿宋" w:eastAsia="仿宋_GB2312" w:cs="仿宋_GB2312"/>
          <w:b/>
          <w:color w:val="auto"/>
          <w:kern w:val="0"/>
          <w:sz w:val="32"/>
          <w:szCs w:val="32"/>
          <w:highlight w:val="none"/>
        </w:rPr>
      </w:pPr>
    </w:p>
    <w:p w14:paraId="4C877C8E">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2F98184B">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14:paraId="4F03BF31">
      <w:pPr>
        <w:widowControl/>
        <w:spacing w:line="360" w:lineRule="auto"/>
        <w:ind w:firstLine="482" w:firstLineChars="200"/>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附件</w:t>
      </w:r>
      <w:r>
        <w:rPr>
          <w:rFonts w:ascii="仿宋_GB2312" w:hAnsi="仿宋" w:eastAsia="仿宋_GB2312" w:cs="仿宋_GB2312"/>
          <w:b/>
          <w:color w:val="auto"/>
          <w:sz w:val="24"/>
          <w:highlight w:val="none"/>
        </w:rPr>
        <w:t>6)</w:t>
      </w:r>
      <w:r>
        <w:rPr>
          <w:rFonts w:hint="eastAsia" w:ascii="仿宋_GB2312" w:hAnsi="仿宋" w:eastAsia="仿宋_GB2312" w:cs="仿宋_GB2312"/>
          <w:b/>
          <w:color w:val="auto"/>
          <w:sz w:val="24"/>
          <w:highlight w:val="none"/>
        </w:rPr>
        <w:t>；采购人不同意分包或者投标人中标后不以分包方式履行合同的，则不需要提供。</w:t>
      </w:r>
      <w:r>
        <w:rPr>
          <w:rFonts w:ascii="仿宋_GB2312" w:hAnsi="仿宋" w:eastAsia="仿宋_GB2312" w:cs="仿宋_GB2312"/>
          <w:b/>
          <w:color w:val="auto"/>
          <w:sz w:val="24"/>
          <w:highlight w:val="none"/>
        </w:rPr>
        <w:t>]</w:t>
      </w:r>
    </w:p>
    <w:p w14:paraId="4230AD04">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03F675C0">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74016E45">
      <w:pPr>
        <w:jc w:val="center"/>
        <w:rPr>
          <w:rFonts w:ascii="仿宋_GB2312" w:hAnsi="仿宋" w:eastAsia="仿宋_GB2312" w:cs="仿宋_GB2312"/>
          <w:b/>
          <w:color w:val="auto"/>
          <w:kern w:val="0"/>
          <w:sz w:val="32"/>
          <w:szCs w:val="32"/>
          <w:highlight w:val="none"/>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453E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8163D4">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14:paraId="7EF47582">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6D973695">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14:paraId="3F641BCC">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14:paraId="538E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750DDD">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1</w:t>
            </w:r>
          </w:p>
        </w:tc>
        <w:tc>
          <w:tcPr>
            <w:tcW w:w="4245" w:type="dxa"/>
            <w:vAlign w:val="center"/>
          </w:tcPr>
          <w:p w14:paraId="66F30251">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7C462C0B">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14:paraId="21E8D773">
            <w:pPr>
              <w:snapToGrid w:val="0"/>
              <w:spacing w:line="400" w:lineRule="exact"/>
              <w:rPr>
                <w:rFonts w:ascii="仿宋" w:hAnsi="仿宋" w:eastAsia="仿宋" w:cs="仿宋_GB2312"/>
                <w:color w:val="auto"/>
                <w:sz w:val="24"/>
                <w:highlight w:val="none"/>
              </w:rPr>
            </w:pPr>
          </w:p>
          <w:p w14:paraId="644F114D">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AC1E0CA">
            <w:pPr>
              <w:snapToGrid w:val="0"/>
              <w:spacing w:line="400" w:lineRule="exact"/>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3CF7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7DE52B">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2</w:t>
            </w:r>
          </w:p>
        </w:tc>
        <w:tc>
          <w:tcPr>
            <w:tcW w:w="4245" w:type="dxa"/>
            <w:vAlign w:val="center"/>
          </w:tcPr>
          <w:p w14:paraId="37F5BF50">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2080A4F7">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14:paraId="5A6D9F79">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F28AAAD">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77C2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17EC1">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3</w:t>
            </w:r>
          </w:p>
        </w:tc>
        <w:tc>
          <w:tcPr>
            <w:tcW w:w="4245" w:type="dxa"/>
            <w:vAlign w:val="center"/>
          </w:tcPr>
          <w:p w14:paraId="5D82416E">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46F2AD7B">
            <w:pPr>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14:paraId="28F483A9">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71ACFDA2">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56902036">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注：按本格式和要求提供。</w:t>
      </w:r>
    </w:p>
    <w:p w14:paraId="6B2CD4BC">
      <w:pPr>
        <w:jc w:val="center"/>
        <w:rPr>
          <w:rFonts w:ascii="仿宋_GB2312" w:hAnsi="仿宋" w:eastAsia="仿宋_GB2312" w:cs="仿宋_GB2312"/>
          <w:b/>
          <w:color w:val="auto"/>
          <w:kern w:val="0"/>
          <w:sz w:val="32"/>
          <w:szCs w:val="32"/>
          <w:highlight w:val="none"/>
        </w:rPr>
      </w:pPr>
    </w:p>
    <w:p w14:paraId="7A322FF5">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1B014C24">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56682D88">
      <w:pPr>
        <w:snapToGrid w:val="0"/>
        <w:spacing w:line="360" w:lineRule="auto"/>
        <w:jc w:val="left"/>
        <w:rPr>
          <w:rFonts w:ascii="仿宋_GB2312" w:hAnsi="仿宋" w:eastAsia="仿宋_GB2312" w:cs="仿宋_GB2312"/>
          <w:b/>
          <w:color w:val="auto"/>
          <w:sz w:val="24"/>
          <w:highlight w:val="none"/>
        </w:rPr>
      </w:pPr>
    </w:p>
    <w:p w14:paraId="70A101CD">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312B7DEA">
      <w:pPr>
        <w:jc w:val="center"/>
        <w:rPr>
          <w:rFonts w:ascii="仿宋_GB2312" w:hAnsi="仿宋" w:eastAsia="仿宋_GB2312" w:cs="仿宋_GB2312"/>
          <w:b/>
          <w:color w:val="auto"/>
          <w:kern w:val="0"/>
          <w:sz w:val="32"/>
          <w:szCs w:val="32"/>
          <w:highlight w:val="none"/>
        </w:rPr>
      </w:pPr>
    </w:p>
    <w:p w14:paraId="6867E58F">
      <w:pPr>
        <w:jc w:val="center"/>
        <w:rPr>
          <w:rFonts w:ascii="仿宋_GB2312" w:hAnsi="仿宋" w:eastAsia="仿宋_GB2312" w:cs="仿宋_GB2312"/>
          <w:b/>
          <w:color w:val="auto"/>
          <w:kern w:val="0"/>
          <w:sz w:val="32"/>
          <w:szCs w:val="32"/>
          <w:highlight w:val="none"/>
        </w:rPr>
      </w:pPr>
    </w:p>
    <w:p w14:paraId="7EC8AB69">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49C3BEBD">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p w14:paraId="79EC0EB6">
      <w:pPr>
        <w:spacing w:line="360" w:lineRule="auto"/>
        <w:ind w:right="420"/>
        <w:rPr>
          <w:color w:val="auto"/>
          <w:highlight w:val="none"/>
        </w:rPr>
      </w:pPr>
    </w:p>
    <w:p w14:paraId="4C731780">
      <w:pPr>
        <w:rPr>
          <w:color w:val="auto"/>
          <w:highlight w:val="none"/>
        </w:rPr>
      </w:pPr>
    </w:p>
    <w:p w14:paraId="27EB1C1F">
      <w:pPr>
        <w:rPr>
          <w:color w:val="auto"/>
          <w:highlight w:val="none"/>
        </w:rPr>
      </w:pPr>
    </w:p>
    <w:p w14:paraId="5BB70402">
      <w:pPr>
        <w:rPr>
          <w:color w:val="auto"/>
          <w:highlight w:val="none"/>
        </w:rPr>
      </w:pPr>
    </w:p>
    <w:p w14:paraId="785A348A">
      <w:pPr>
        <w:rPr>
          <w:color w:val="auto"/>
          <w:highlight w:val="none"/>
        </w:rPr>
      </w:pPr>
    </w:p>
    <w:p w14:paraId="6A9FF8A5">
      <w:pPr>
        <w:rPr>
          <w:color w:val="auto"/>
          <w:highlight w:val="none"/>
        </w:rPr>
      </w:pPr>
    </w:p>
    <w:p w14:paraId="6887C416">
      <w:pPr>
        <w:rPr>
          <w:color w:val="auto"/>
          <w:highlight w:val="none"/>
        </w:rPr>
      </w:pPr>
    </w:p>
    <w:p w14:paraId="0BD80EEE">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14:paraId="7AE1199C">
      <w:pPr>
        <w:jc w:val="center"/>
        <w:rPr>
          <w:rFonts w:ascii="仿宋_GB2312" w:hAnsi="仿宋" w:eastAsia="仿宋_GB2312"/>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35F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44253B4">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14:paraId="18D95EE2">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14:paraId="1AA487B4">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14:paraId="02FD661C">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4B73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BC22C5E">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14:paraId="0A1BF48C">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19DB5B77">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29F0C8B9">
            <w:pPr>
              <w:snapToGrid w:val="0"/>
              <w:spacing w:line="400" w:lineRule="exact"/>
              <w:jc w:val="center"/>
              <w:rPr>
                <w:rFonts w:ascii="仿宋_GB2312" w:hAnsi="仿宋" w:eastAsia="仿宋_GB2312" w:cs="仿宋_GB2312"/>
                <w:b/>
                <w:color w:val="auto"/>
                <w:kern w:val="0"/>
                <w:sz w:val="32"/>
                <w:szCs w:val="32"/>
                <w:highlight w:val="none"/>
              </w:rPr>
            </w:pPr>
          </w:p>
        </w:tc>
      </w:tr>
      <w:tr w14:paraId="2D3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D6E860E">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14:paraId="0FAD12E9">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00A028D9">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651CC7CB">
            <w:pPr>
              <w:snapToGrid w:val="0"/>
              <w:spacing w:line="400" w:lineRule="exact"/>
              <w:jc w:val="center"/>
              <w:rPr>
                <w:rFonts w:ascii="仿宋_GB2312" w:hAnsi="仿宋" w:eastAsia="仿宋_GB2312" w:cs="仿宋_GB2312"/>
                <w:b/>
                <w:color w:val="auto"/>
                <w:kern w:val="0"/>
                <w:sz w:val="32"/>
                <w:szCs w:val="32"/>
                <w:highlight w:val="none"/>
              </w:rPr>
            </w:pPr>
          </w:p>
        </w:tc>
      </w:tr>
      <w:tr w14:paraId="0BE3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A3EC68B">
            <w:pPr>
              <w:snapToGrid w:val="0"/>
              <w:spacing w:line="400" w:lineRule="exact"/>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14:paraId="07CB6BA8">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45368B3E">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0CDDA24F">
            <w:pPr>
              <w:snapToGrid w:val="0"/>
              <w:spacing w:line="400" w:lineRule="exact"/>
              <w:jc w:val="center"/>
              <w:rPr>
                <w:rFonts w:ascii="仿宋_GB2312" w:hAnsi="仿宋" w:eastAsia="仿宋_GB2312" w:cs="仿宋_GB2312"/>
                <w:b/>
                <w:color w:val="auto"/>
                <w:kern w:val="0"/>
                <w:sz w:val="32"/>
                <w:szCs w:val="32"/>
                <w:highlight w:val="none"/>
              </w:rPr>
            </w:pPr>
          </w:p>
        </w:tc>
      </w:tr>
    </w:tbl>
    <w:p w14:paraId="4B8EAD67">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67BB6CE2">
      <w:pPr>
        <w:jc w:val="center"/>
        <w:rPr>
          <w:rFonts w:ascii="仿宋_GB2312" w:hAnsi="仿宋" w:eastAsia="仿宋_GB2312" w:cs="仿宋_GB2312"/>
          <w:b/>
          <w:color w:val="auto"/>
          <w:kern w:val="0"/>
          <w:sz w:val="32"/>
          <w:szCs w:val="32"/>
          <w:highlight w:val="none"/>
        </w:rPr>
      </w:pPr>
    </w:p>
    <w:p w14:paraId="4DA5EE18">
      <w:pPr>
        <w:spacing w:line="360" w:lineRule="auto"/>
        <w:ind w:right="420"/>
        <w:rPr>
          <w:rFonts w:ascii="宋体" w:cs="宋体"/>
          <w:color w:val="auto"/>
          <w:sz w:val="24"/>
          <w:highlight w:val="none"/>
        </w:rPr>
      </w:pPr>
      <w:r>
        <w:rPr>
          <w:rFonts w:hint="eastAsia" w:ascii="宋体" w:hAnsi="宋体" w:cs="宋体"/>
          <w:color w:val="auto"/>
          <w:sz w:val="24"/>
          <w:highlight w:val="none"/>
        </w:rPr>
        <w:t>注：按本格式和要求提供。</w:t>
      </w:r>
    </w:p>
    <w:p w14:paraId="6926A76C">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5D8065A6">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4AAA870D">
      <w:pPr>
        <w:snapToGrid w:val="0"/>
        <w:spacing w:line="360" w:lineRule="auto"/>
        <w:rPr>
          <w:rFonts w:ascii="仿宋_GB2312" w:hAnsi="仿宋" w:eastAsia="仿宋_GB2312" w:cs="仿宋_GB2312"/>
          <w:color w:val="auto"/>
          <w:sz w:val="24"/>
          <w:highlight w:val="none"/>
        </w:rPr>
      </w:pPr>
    </w:p>
    <w:p w14:paraId="4A7454F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0B907E67">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3CCF826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3C495E1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2610632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765A32A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10B0E777">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1F39BEDB">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080AC965">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4FD835B1">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445345E9">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0340808B">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08861E8">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ABF2BE0">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439F0BDA">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0D3D2B6">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2A1E34A1">
      <w:pPr>
        <w:spacing w:line="360" w:lineRule="auto"/>
        <w:ind w:right="420"/>
        <w:rPr>
          <w:rFonts w:ascii="宋体" w:cs="宋体"/>
          <w:color w:val="auto"/>
          <w:sz w:val="24"/>
          <w:highlight w:val="none"/>
        </w:rPr>
      </w:pPr>
      <w:r>
        <w:rPr>
          <w:rFonts w:hint="eastAsia" w:ascii="宋体" w:hAnsi="宋体" w:cs="宋体"/>
          <w:color w:val="auto"/>
          <w:sz w:val="24"/>
          <w:highlight w:val="none"/>
        </w:rPr>
        <w:t>注：按本格式和要求提供。</w:t>
      </w:r>
    </w:p>
    <w:p w14:paraId="454F3D27">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14:paraId="7CF70FA0">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467A2F69">
      <w:pPr>
        <w:jc w:val="center"/>
        <w:rPr>
          <w:rFonts w:ascii="仿宋" w:hAnsi="仿宋" w:eastAsia="仿宋" w:cs="仿宋"/>
          <w:b/>
          <w:bCs/>
          <w:color w:val="auto"/>
          <w:sz w:val="28"/>
          <w:szCs w:val="28"/>
          <w:highlight w:val="none"/>
        </w:rPr>
      </w:pPr>
    </w:p>
    <w:p w14:paraId="1A0D9CF8">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60EC9633">
      <w:pPr>
        <w:rPr>
          <w:color w:val="auto"/>
          <w:highlight w:val="none"/>
        </w:rPr>
      </w:pPr>
    </w:p>
    <w:p w14:paraId="6CB84DA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）开标一览表（报价表）………………………………………………………（页码）</w:t>
      </w:r>
    </w:p>
    <w:p w14:paraId="58FAA2D3">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）中小企业声明函………………………………………………………………（页码）</w:t>
      </w:r>
    </w:p>
    <w:p w14:paraId="1E4497D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（3）中标服务费支付承诺书………………………………………………………（页码）</w:t>
      </w:r>
    </w:p>
    <w:p w14:paraId="0D2DB196">
      <w:pPr>
        <w:snapToGrid w:val="0"/>
        <w:spacing w:line="360" w:lineRule="auto"/>
        <w:ind w:right="480"/>
        <w:jc w:val="center"/>
        <w:rPr>
          <w:rFonts w:ascii="仿宋_GB2312" w:hAnsi="仿宋" w:eastAsia="仿宋_GB2312" w:cs="仿宋_GB2312"/>
          <w:b/>
          <w:color w:val="auto"/>
          <w:kern w:val="0"/>
          <w:sz w:val="32"/>
          <w:szCs w:val="32"/>
          <w:highlight w:val="none"/>
        </w:rPr>
      </w:pPr>
    </w:p>
    <w:p w14:paraId="77E22EF2">
      <w:pPr>
        <w:snapToGrid w:val="0"/>
        <w:spacing w:line="360" w:lineRule="auto"/>
        <w:ind w:right="480"/>
        <w:jc w:val="center"/>
        <w:rPr>
          <w:rFonts w:ascii="仿宋_GB2312" w:hAnsi="仿宋" w:eastAsia="仿宋_GB2312" w:cs="仿宋_GB2312"/>
          <w:b/>
          <w:color w:val="auto"/>
          <w:kern w:val="0"/>
          <w:sz w:val="32"/>
          <w:szCs w:val="32"/>
          <w:highlight w:val="none"/>
        </w:rPr>
      </w:pPr>
    </w:p>
    <w:p w14:paraId="4A3D3E6D">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14:paraId="3E6ED076">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14:paraId="7119F0D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0AE6AB72">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46A34008">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w:t>
      </w:r>
      <w:r>
        <w:rPr>
          <w:rFonts w:hint="eastAsia" w:ascii="仿宋_GB2312" w:hAnsi="仿宋" w:eastAsia="仿宋_GB2312" w:cs="仿宋_GB2312"/>
          <w:b/>
          <w:color w:val="auto"/>
          <w:kern w:val="0"/>
          <w:sz w:val="24"/>
          <w:highlight w:val="none"/>
          <w:lang w:val="zh-CN"/>
        </w:rPr>
        <w:t>百分比</w:t>
      </w:r>
      <w:r>
        <w:rPr>
          <w:rFonts w:ascii="仿宋_GB2312" w:hAnsi="仿宋" w:eastAsia="仿宋_GB2312" w:cs="仿宋_GB2312"/>
          <w:b/>
          <w:color w:val="auto"/>
          <w:kern w:val="0"/>
          <w:sz w:val="24"/>
          <w:highlight w:val="none"/>
          <w:lang w:val="zh-CN"/>
        </w:rPr>
        <w:t>)</w:t>
      </w:r>
    </w:p>
    <w:tbl>
      <w:tblPr>
        <w:tblStyle w:val="63"/>
        <w:tblW w:w="13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76"/>
        <w:gridCol w:w="6390"/>
        <w:gridCol w:w="2955"/>
      </w:tblGrid>
      <w:tr w14:paraId="3153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F513A0">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3576" w:type="dxa"/>
            <w:vAlign w:val="center"/>
          </w:tcPr>
          <w:p w14:paraId="0E197105">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6390" w:type="dxa"/>
            <w:vAlign w:val="center"/>
          </w:tcPr>
          <w:p w14:paraId="661E9143">
            <w:pPr>
              <w:snapToGrid w:val="0"/>
              <w:spacing w:line="400" w:lineRule="exact"/>
              <w:jc w:val="center"/>
              <w:rPr>
                <w:rFonts w:ascii="仿宋_GB2312" w:hAnsi="仿宋" w:eastAsia="仿宋_GB2312" w:cs="仿宋_GB2312"/>
                <w:b/>
                <w:color w:val="auto"/>
                <w:sz w:val="24"/>
                <w:highlight w:val="none"/>
              </w:rPr>
            </w:pPr>
            <w:r>
              <w:rPr>
                <w:rFonts w:hint="eastAsia" w:ascii="仿宋" w:hAnsi="仿宋" w:eastAsia="仿宋"/>
                <w:b/>
                <w:color w:val="auto"/>
                <w:sz w:val="24"/>
                <w:highlight w:val="none"/>
              </w:rPr>
              <w:t>折扣（</w:t>
            </w:r>
            <w:r>
              <w:rPr>
                <w:rFonts w:ascii="仿宋" w:hAnsi="仿宋" w:eastAsia="仿宋"/>
                <w:b/>
                <w:color w:val="auto"/>
                <w:sz w:val="24"/>
                <w:highlight w:val="none"/>
              </w:rPr>
              <w:t>%</w:t>
            </w:r>
            <w:r>
              <w:rPr>
                <w:rFonts w:hint="eastAsia" w:ascii="仿宋" w:hAnsi="仿宋" w:eastAsia="仿宋"/>
                <w:b/>
                <w:color w:val="auto"/>
                <w:sz w:val="24"/>
                <w:highlight w:val="none"/>
              </w:rPr>
              <w:t>）</w:t>
            </w:r>
          </w:p>
        </w:tc>
        <w:tc>
          <w:tcPr>
            <w:tcW w:w="2955" w:type="dxa"/>
            <w:vAlign w:val="center"/>
          </w:tcPr>
          <w:p w14:paraId="7C50420D">
            <w:pPr>
              <w:snapToGrid w:val="0"/>
              <w:spacing w:line="400" w:lineRule="exact"/>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服务要求（年限）</w:t>
            </w:r>
          </w:p>
        </w:tc>
      </w:tr>
      <w:tr w14:paraId="4C0C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98C534C">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3576" w:type="dxa"/>
            <w:vAlign w:val="center"/>
          </w:tcPr>
          <w:p w14:paraId="4FF82D9D">
            <w:pPr>
              <w:snapToGrid w:val="0"/>
              <w:spacing w:line="400" w:lineRule="exact"/>
              <w:jc w:val="center"/>
              <w:rPr>
                <w:rFonts w:ascii="仿宋_GB2312" w:hAnsi="仿宋" w:eastAsia="仿宋_GB2312" w:cs="仿宋_GB2312"/>
                <w:color w:val="auto"/>
                <w:sz w:val="24"/>
                <w:highlight w:val="none"/>
              </w:rPr>
            </w:pPr>
            <w:r>
              <w:rPr>
                <w:rFonts w:hint="eastAsia" w:ascii="仿宋" w:hAnsi="仿宋" w:eastAsia="仿宋" w:cs="仿宋"/>
                <w:b/>
                <w:color w:val="auto"/>
                <w:kern w:val="0"/>
                <w:sz w:val="24"/>
                <w:highlight w:val="none"/>
                <w:lang w:bidi="ar"/>
              </w:rPr>
              <w:t>普通检测项目</w:t>
            </w:r>
          </w:p>
        </w:tc>
        <w:tc>
          <w:tcPr>
            <w:tcW w:w="6390" w:type="dxa"/>
            <w:vAlign w:val="center"/>
          </w:tcPr>
          <w:p w14:paraId="129C54A3">
            <w:pPr>
              <w:snapToGrid w:val="0"/>
              <w:spacing w:line="400" w:lineRule="exact"/>
              <w:jc w:val="center"/>
              <w:rPr>
                <w:rFonts w:ascii="仿宋_GB2312" w:hAnsi="仿宋" w:eastAsia="仿宋_GB2312" w:cs="仿宋_GB2312"/>
                <w:color w:val="auto"/>
                <w:sz w:val="24"/>
                <w:highlight w:val="none"/>
              </w:rPr>
            </w:pPr>
          </w:p>
        </w:tc>
        <w:tc>
          <w:tcPr>
            <w:tcW w:w="2955" w:type="dxa"/>
            <w:vAlign w:val="center"/>
          </w:tcPr>
          <w:p w14:paraId="2BEB33F3">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1年</w:t>
            </w:r>
          </w:p>
        </w:tc>
      </w:tr>
      <w:tr w14:paraId="1D9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A9D9A9">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3576" w:type="dxa"/>
            <w:vAlign w:val="center"/>
          </w:tcPr>
          <w:p w14:paraId="002D8998">
            <w:pPr>
              <w:snapToGrid w:val="0"/>
              <w:spacing w:line="400" w:lineRule="exact"/>
              <w:jc w:val="center"/>
              <w:rPr>
                <w:rFonts w:ascii="仿宋_GB2312" w:hAnsi="仿宋" w:eastAsia="仿宋_GB2312" w:cs="仿宋_GB2312"/>
                <w:color w:val="auto"/>
                <w:sz w:val="24"/>
                <w:highlight w:val="none"/>
              </w:rPr>
            </w:pPr>
            <w:r>
              <w:rPr>
                <w:rFonts w:hint="eastAsia" w:ascii="仿宋" w:hAnsi="仿宋" w:eastAsia="仿宋" w:cs="仿宋"/>
                <w:b/>
                <w:color w:val="auto"/>
                <w:kern w:val="0"/>
                <w:sz w:val="24"/>
                <w:highlight w:val="none"/>
                <w:lang w:bidi="ar"/>
              </w:rPr>
              <w:t>特殊检测项目</w:t>
            </w:r>
          </w:p>
        </w:tc>
        <w:tc>
          <w:tcPr>
            <w:tcW w:w="6390" w:type="dxa"/>
            <w:vAlign w:val="center"/>
          </w:tcPr>
          <w:p w14:paraId="01686C7A">
            <w:pPr>
              <w:snapToGrid w:val="0"/>
              <w:spacing w:line="400" w:lineRule="exact"/>
              <w:jc w:val="center"/>
              <w:rPr>
                <w:rFonts w:ascii="仿宋_GB2312" w:hAnsi="仿宋" w:eastAsia="仿宋_GB2312" w:cs="仿宋_GB2312"/>
                <w:color w:val="auto"/>
                <w:sz w:val="24"/>
                <w:highlight w:val="none"/>
              </w:rPr>
            </w:pPr>
          </w:p>
        </w:tc>
        <w:tc>
          <w:tcPr>
            <w:tcW w:w="2955" w:type="dxa"/>
            <w:vAlign w:val="center"/>
          </w:tcPr>
          <w:p w14:paraId="712DD852">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1年</w:t>
            </w:r>
          </w:p>
        </w:tc>
      </w:tr>
    </w:tbl>
    <w:p w14:paraId="11B355E8">
      <w:pPr>
        <w:snapToGrid w:val="0"/>
        <w:spacing w:line="360" w:lineRule="auto"/>
        <w:ind w:left="480"/>
        <w:rPr>
          <w:rFonts w:ascii="仿宋_GB2312" w:hAnsi="仿宋" w:eastAsia="仿宋_GB2312" w:cs="仿宋_GB2312"/>
          <w:b/>
          <w:color w:val="auto"/>
          <w:kern w:val="0"/>
          <w:sz w:val="24"/>
          <w:highlight w:val="none"/>
          <w:lang w:val="zh-CN"/>
        </w:rPr>
      </w:pPr>
    </w:p>
    <w:p w14:paraId="628C00A1">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10D214EA">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06382934">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646C552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6A7B3AB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rPr>
        <w:t>4</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highlight w:val="none"/>
          <w:lang w:val="zh-CN"/>
        </w:rPr>
        <w:t>。</w:t>
      </w:r>
    </w:p>
    <w:p w14:paraId="52BE0A70">
      <w:pPr>
        <w:adjustRightInd/>
        <w:spacing w:line="360" w:lineRule="auto"/>
        <w:ind w:firstLine="480" w:firstLineChars="200"/>
        <w:rPr>
          <w:color w:val="auto"/>
          <w:highlight w:val="none"/>
        </w:rPr>
      </w:pPr>
      <w:r>
        <w:rPr>
          <w:rFonts w:hint="eastAsia" w:ascii="仿宋_GB2312" w:hAnsi="仿宋" w:eastAsia="仿宋_GB2312" w:cs="仿宋_GB2312"/>
          <w:color w:val="auto"/>
          <w:kern w:val="0"/>
          <w:sz w:val="24"/>
          <w:szCs w:val="22"/>
          <w:highlight w:val="none"/>
        </w:rPr>
        <w:t>5</w:t>
      </w:r>
      <w:r>
        <w:rPr>
          <w:rFonts w:ascii="仿宋_GB2312" w:hAnsi="仿宋" w:eastAsia="仿宋_GB2312" w:cs="仿宋_GB2312"/>
          <w:color w:val="auto"/>
          <w:kern w:val="0"/>
          <w:sz w:val="24"/>
          <w:szCs w:val="22"/>
          <w:highlight w:val="none"/>
          <w:lang w:val="zh-CN"/>
        </w:rPr>
        <w:t>、</w:t>
      </w:r>
      <w:r>
        <w:rPr>
          <w:rFonts w:hint="eastAsia" w:ascii="仿宋" w:hAnsi="仿宋" w:eastAsia="仿宋" w:cs="仿宋"/>
          <w:color w:val="auto"/>
          <w:sz w:val="24"/>
          <w:highlight w:val="none"/>
        </w:rPr>
        <w:t>各投标人需填报百分比，即本次招标的检测项目占浙江省医疗服务价格收费标准的百分比（小写，如有小数点保留两位）。所有检测项目的百分比均须一致。如：投标人投标报价为60.00%，即中标后按检测项目浙江省医疗服务价格收费标准×60.00%的价格执行。</w:t>
      </w:r>
    </w:p>
    <w:p w14:paraId="06CE856E">
      <w:pPr>
        <w:spacing w:line="360" w:lineRule="auto"/>
        <w:ind w:firstLine="482" w:firstLineChars="200"/>
        <w:rPr>
          <w:rFonts w:ascii="仿宋_GB2312" w:hAnsi="仿宋" w:eastAsia="仿宋_GB2312"/>
          <w:b/>
          <w:color w:val="auto"/>
          <w:kern w:val="0"/>
          <w:sz w:val="24"/>
          <w:highlight w:val="none"/>
        </w:rPr>
      </w:pPr>
    </w:p>
    <w:p w14:paraId="3C3810DC">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3097AA04">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6351AF2C">
      <w:pPr>
        <w:spacing w:line="360" w:lineRule="auto"/>
        <w:ind w:left="4620" w:leftChars="2200" w:firstLine="4320" w:firstLineChars="18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7727E07E">
      <w:pPr>
        <w:rPr>
          <w:rFonts w:ascii="仿宋_GB2312" w:hAnsi="仿宋" w:eastAsia="仿宋_GB2312" w:cs="仿宋_GB2312"/>
          <w:color w:val="auto"/>
          <w:sz w:val="32"/>
          <w:szCs w:val="32"/>
          <w:highlight w:val="none"/>
        </w:rPr>
      </w:pPr>
      <w:r>
        <w:rPr>
          <w:rFonts w:ascii="仿宋_GB2312" w:hAnsi="仿宋" w:eastAsia="仿宋_GB2312" w:cs="仿宋_GB2312"/>
          <w:color w:val="auto"/>
          <w:sz w:val="32"/>
          <w:szCs w:val="32"/>
          <w:highlight w:val="none"/>
        </w:rPr>
        <w:br w:type="page"/>
      </w:r>
    </w:p>
    <w:p w14:paraId="107E7DE6">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63978EF0">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二、中小企业声明函（如果有）</w:t>
      </w:r>
    </w:p>
    <w:p w14:paraId="6349A5A9">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986A643">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5D36C4AF">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三、中标服务费支付承诺书</w:t>
      </w:r>
    </w:p>
    <w:p w14:paraId="6A90B720">
      <w:pPr>
        <w:spacing w:line="600" w:lineRule="auto"/>
        <w:jc w:val="center"/>
        <w:rPr>
          <w:rFonts w:ascii="仿宋" w:hAnsi="仿宋" w:eastAsia="仿宋" w:cs="仿宋"/>
          <w:b/>
          <w:color w:val="auto"/>
          <w:sz w:val="24"/>
          <w:highlight w:val="none"/>
        </w:rPr>
      </w:pPr>
    </w:p>
    <w:p w14:paraId="3DCB2835">
      <w:pPr>
        <w:pStyle w:val="2"/>
        <w:spacing w:line="600" w:lineRule="auto"/>
        <w:ind w:firstLine="0"/>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14:paraId="7DCFD2AC">
      <w:pPr>
        <w:pStyle w:val="2"/>
        <w:spacing w:line="600" w:lineRule="auto"/>
        <w:ind w:firstLine="420"/>
        <w:rPr>
          <w:rFonts w:ascii="仿宋" w:eastAsia="仿宋" w:cs="仿宋"/>
          <w:b w:val="0"/>
          <w:color w:val="auto"/>
          <w:sz w:val="24"/>
          <w:szCs w:val="24"/>
          <w:highlight w:val="none"/>
        </w:rPr>
      </w:pPr>
    </w:p>
    <w:p w14:paraId="68F4C8FD">
      <w:pPr>
        <w:pStyle w:val="2"/>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w:t>
      </w:r>
      <w:r>
        <w:rPr>
          <w:rFonts w:ascii="仿宋" w:eastAsia="仿宋" w:cs="仿宋"/>
          <w:b w:val="0"/>
          <w:color w:val="auto"/>
          <w:sz w:val="24"/>
          <w:szCs w:val="24"/>
          <w:highlight w:val="none"/>
        </w:rPr>
        <w:t>5</w:t>
      </w:r>
      <w:r>
        <w:rPr>
          <w:rFonts w:hint="eastAsia" w:ascii="仿宋" w:eastAsia="仿宋" w:cs="仿宋"/>
          <w:b w:val="0"/>
          <w:color w:val="auto"/>
          <w:sz w:val="24"/>
          <w:szCs w:val="24"/>
          <w:highlight w:val="none"/>
        </w:rPr>
        <w:t>个工作日之内，向贵公司按采购文件约定支付中标服务费。</w:t>
      </w:r>
    </w:p>
    <w:p w14:paraId="763623F5">
      <w:pPr>
        <w:rPr>
          <w:rFonts w:ascii="仿宋" w:hAnsi="仿宋" w:eastAsia="仿宋" w:cs="仿宋"/>
          <w:color w:val="auto"/>
          <w:sz w:val="24"/>
          <w:highlight w:val="none"/>
        </w:rPr>
      </w:pPr>
    </w:p>
    <w:p w14:paraId="516F9E7F">
      <w:pPr>
        <w:rPr>
          <w:rFonts w:ascii="仿宋" w:hAnsi="仿宋" w:eastAsia="仿宋" w:cs="仿宋"/>
          <w:color w:val="auto"/>
          <w:sz w:val="24"/>
          <w:highlight w:val="none"/>
        </w:rPr>
      </w:pPr>
    </w:p>
    <w:p w14:paraId="0BF2C89D">
      <w:pPr>
        <w:rPr>
          <w:rFonts w:ascii="仿宋" w:hAnsi="仿宋" w:eastAsia="仿宋" w:cs="仿宋"/>
          <w:color w:val="auto"/>
          <w:sz w:val="24"/>
          <w:highlight w:val="none"/>
        </w:rPr>
      </w:pPr>
    </w:p>
    <w:p w14:paraId="1BFBC2D4">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2E067FCA">
      <w:pPr>
        <w:snapToGrid w:val="0"/>
        <w:spacing w:line="300" w:lineRule="auto"/>
        <w:jc w:val="right"/>
        <w:rPr>
          <w:rFonts w:ascii="仿宋" w:hAnsi="仿宋" w:eastAsia="仿宋" w:cs="仿宋"/>
          <w:color w:val="auto"/>
          <w:sz w:val="24"/>
          <w:highlight w:val="none"/>
        </w:rPr>
      </w:pPr>
    </w:p>
    <w:p w14:paraId="2A28ED1B">
      <w:pPr>
        <w:ind w:right="375"/>
        <w:jc w:val="right"/>
        <w:rPr>
          <w:rFonts w:ascii="仿宋" w:hAnsi="仿宋" w:eastAsia="仿宋" w:cs="仿宋"/>
          <w:color w:val="auto"/>
          <w:spacing w:val="20"/>
          <w:sz w:val="24"/>
          <w:highlight w:val="none"/>
        </w:rPr>
      </w:pPr>
    </w:p>
    <w:p w14:paraId="1FBC7EA1">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日期：</w:t>
      </w:r>
      <w:r>
        <w:rPr>
          <w:rFonts w:ascii="仿宋" w:hAnsi="仿宋" w:eastAsia="仿宋" w:cs="仿宋"/>
          <w:color w:val="auto"/>
          <w:spacing w:val="20"/>
          <w:sz w:val="24"/>
          <w:highlight w:val="non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p w14:paraId="3ADC5433">
      <w:pPr>
        <w:ind w:right="480"/>
        <w:rPr>
          <w:rFonts w:ascii="仿宋" w:hAnsi="仿宋" w:eastAsia="仿宋" w:cs="仿宋"/>
          <w:color w:val="auto"/>
          <w:sz w:val="24"/>
          <w:highlight w:val="none"/>
        </w:rPr>
      </w:pPr>
    </w:p>
    <w:p w14:paraId="7DADE955">
      <w:pPr>
        <w:ind w:right="480"/>
        <w:rPr>
          <w:rFonts w:ascii="仿宋" w:hAnsi="仿宋" w:eastAsia="仿宋" w:cs="仿宋"/>
          <w:color w:val="auto"/>
          <w:sz w:val="24"/>
          <w:highlight w:val="none"/>
        </w:rPr>
      </w:pPr>
    </w:p>
    <w:p w14:paraId="24D5629C">
      <w:pPr>
        <w:ind w:right="480"/>
        <w:rPr>
          <w:rFonts w:ascii="仿宋" w:hAnsi="仿宋" w:eastAsia="仿宋" w:cs="仿宋"/>
          <w:color w:val="auto"/>
          <w:sz w:val="24"/>
          <w:highlight w:val="none"/>
        </w:rPr>
      </w:pPr>
    </w:p>
    <w:p w14:paraId="3A227C1F">
      <w:pPr>
        <w:ind w:right="480"/>
        <w:rPr>
          <w:rFonts w:ascii="仿宋" w:hAnsi="仿宋" w:eastAsia="仿宋" w:cs="仿宋"/>
          <w:color w:val="auto"/>
          <w:sz w:val="24"/>
          <w:highlight w:val="none"/>
        </w:rPr>
      </w:pPr>
    </w:p>
    <w:p w14:paraId="23EEB974">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7970B644">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57EFB6EA">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15D5083D">
      <w:pPr>
        <w:spacing w:line="360" w:lineRule="auto"/>
        <w:ind w:firstLine="480" w:firstLineChars="200"/>
        <w:rPr>
          <w:rFonts w:ascii="仿宋_GB2312" w:hAnsi="仿宋" w:eastAsia="仿宋_GB2312" w:cs="仿宋_GB2312"/>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ascii="仿宋_GB2312" w:hAnsi="仿宋" w:eastAsia="仿宋_GB2312" w:cs="仿宋_GB2312"/>
          <w:b/>
          <w:color w:val="auto"/>
          <w:sz w:val="32"/>
          <w:szCs w:val="32"/>
          <w:highlight w:val="none"/>
        </w:rPr>
        <w:br w:type="page"/>
      </w:r>
    </w:p>
    <w:p w14:paraId="441D8ADC">
      <w:pPr>
        <w:rPr>
          <w:rFonts w:ascii="仿宋_GB2312" w:hAnsi="仿宋" w:eastAsia="仿宋_GB2312" w:cs="仿宋_GB2312"/>
          <w:b/>
          <w:color w:val="auto"/>
          <w:kern w:val="0"/>
          <w:sz w:val="32"/>
          <w:szCs w:val="32"/>
          <w:highlight w:val="none"/>
        </w:rPr>
      </w:pPr>
      <w:bookmarkStart w:id="553" w:name="_Toc465665161"/>
    </w:p>
    <w:p w14:paraId="4430A7A0">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bookmarkEnd w:id="553"/>
    </w:p>
    <w:p w14:paraId="3F32039E">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r>
        <w:rPr>
          <w:rFonts w:hint="eastAsia" w:ascii="仿宋_GB2312" w:hAnsi="仿宋" w:eastAsia="仿宋_GB2312"/>
          <w:b/>
          <w:color w:val="auto"/>
          <w:spacing w:val="6"/>
          <w:sz w:val="32"/>
          <w:szCs w:val="32"/>
          <w:highlight w:val="none"/>
        </w:rPr>
        <w:t>：</w:t>
      </w:r>
    </w:p>
    <w:p w14:paraId="1D17A93E">
      <w:pPr>
        <w:spacing w:line="360" w:lineRule="auto"/>
        <w:jc w:val="center"/>
        <w:rPr>
          <w:rFonts w:ascii="仿宋_GB2312" w:hAnsi="仿宋" w:eastAsia="仿宋_GB2312"/>
          <w:b/>
          <w:color w:val="auto"/>
          <w:spacing w:val="6"/>
          <w:sz w:val="32"/>
          <w:szCs w:val="32"/>
          <w:highlight w:val="none"/>
        </w:rPr>
      </w:pPr>
      <w:bookmarkStart w:id="554" w:name="OLE_LINK14"/>
      <w:bookmarkStart w:id="555" w:name="OLE_LINK13"/>
      <w:r>
        <w:rPr>
          <w:rFonts w:hint="eastAsia" w:ascii="仿宋_GB2312" w:hAnsi="仿宋" w:eastAsia="仿宋_GB2312"/>
          <w:b/>
          <w:color w:val="auto"/>
          <w:spacing w:val="6"/>
          <w:sz w:val="32"/>
          <w:szCs w:val="32"/>
          <w:highlight w:val="none"/>
        </w:rPr>
        <w:t>残疾人福利性单位声明函</w:t>
      </w:r>
    </w:p>
    <w:bookmarkEnd w:id="554"/>
    <w:bookmarkEnd w:id="555"/>
    <w:p w14:paraId="1CAA5AF3">
      <w:pPr>
        <w:spacing w:line="360" w:lineRule="auto"/>
        <w:rPr>
          <w:rFonts w:ascii="仿宋_GB2312" w:hAnsi="仿宋" w:eastAsia="仿宋_GB2312"/>
          <w:b/>
          <w:color w:val="auto"/>
          <w:spacing w:val="6"/>
          <w:sz w:val="30"/>
          <w:szCs w:val="30"/>
          <w:highlight w:val="none"/>
        </w:rPr>
      </w:pPr>
    </w:p>
    <w:p w14:paraId="7C993AAF">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141</w:t>
      </w:r>
      <w:r>
        <w:rPr>
          <w:rFonts w:hint="eastAsia" w:ascii="仿宋_GB2312" w:hAnsi="仿宋" w:eastAsia="仿宋_GB2312" w:cs="仿宋_GB2312"/>
          <w:color w:val="auto"/>
          <w:sz w:val="24"/>
          <w:highlight w:val="none"/>
        </w:rPr>
        <w:t>号）的规定，本单位为符合条件的残疾人福利性单位，且本单位参加</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（采购人）</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单位的</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外送检验服务</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项目采购活动提供本单位制造的货物（由本单位承担工程</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提供服务），或者提供其他残疾人福利性单位制造的货物（不包括使用非残疾人福利性单位注册商标的货物）。</w:t>
      </w:r>
    </w:p>
    <w:p w14:paraId="7349A781">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4893F626">
      <w:pPr>
        <w:spacing w:line="360" w:lineRule="auto"/>
        <w:ind w:firstLine="480" w:firstLineChars="200"/>
        <w:rPr>
          <w:rFonts w:ascii="仿宋_GB2312" w:hAnsi="仿宋" w:eastAsia="仿宋_GB2312" w:cs="仿宋_GB2312"/>
          <w:color w:val="auto"/>
          <w:sz w:val="24"/>
          <w:highlight w:val="none"/>
        </w:rPr>
      </w:pPr>
    </w:p>
    <w:p w14:paraId="24AC43E4">
      <w:pPr>
        <w:spacing w:line="360" w:lineRule="auto"/>
        <w:ind w:firstLine="480" w:firstLineChars="200"/>
        <w:rPr>
          <w:rFonts w:ascii="仿宋_GB2312" w:hAnsi="仿宋" w:eastAsia="仿宋_GB2312" w:cs="仿宋_GB2312"/>
          <w:color w:val="auto"/>
          <w:sz w:val="24"/>
          <w:highlight w:val="none"/>
        </w:rPr>
      </w:pPr>
    </w:p>
    <w:p w14:paraId="7FC5F5FD">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797620B2">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日</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期：</w:t>
      </w:r>
    </w:p>
    <w:p w14:paraId="1DC9458F">
      <w:pPr>
        <w:spacing w:line="360" w:lineRule="auto"/>
        <w:ind w:firstLine="480" w:firstLineChars="200"/>
        <w:rPr>
          <w:rFonts w:ascii="仿宋_GB2312" w:hAnsi="仿宋" w:eastAsia="仿宋_GB2312" w:cs="仿宋_GB2312"/>
          <w:color w:val="auto"/>
          <w:sz w:val="24"/>
          <w:highlight w:val="none"/>
        </w:rPr>
      </w:pPr>
    </w:p>
    <w:p w14:paraId="14A5C977">
      <w:pPr>
        <w:rPr>
          <w:rFonts w:ascii="仿宋_GB2312" w:hAnsi="仿宋" w:eastAsia="仿宋_GB2312"/>
          <w:b/>
          <w:color w:val="auto"/>
          <w:spacing w:val="6"/>
          <w:sz w:val="32"/>
          <w:szCs w:val="32"/>
          <w:highlight w:val="none"/>
        </w:rPr>
      </w:pPr>
      <w:r>
        <w:rPr>
          <w:rFonts w:ascii="仿宋_GB2312" w:hAnsi="仿宋" w:eastAsia="仿宋_GB2312"/>
          <w:b/>
          <w:color w:val="auto"/>
          <w:spacing w:val="6"/>
          <w:sz w:val="32"/>
          <w:szCs w:val="32"/>
          <w:highlight w:val="none"/>
        </w:rPr>
        <w:br w:type="page"/>
      </w:r>
    </w:p>
    <w:p w14:paraId="49C163FC">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w:t>
      </w:r>
      <w:r>
        <w:rPr>
          <w:rFonts w:hint="eastAsia" w:ascii="仿宋_GB2312" w:hAnsi="仿宋" w:eastAsia="仿宋_GB2312"/>
          <w:b/>
          <w:color w:val="auto"/>
          <w:spacing w:val="6"/>
          <w:sz w:val="32"/>
          <w:szCs w:val="32"/>
          <w:highlight w:val="none"/>
        </w:rPr>
        <w:t>：质疑函范本及制作说明</w:t>
      </w:r>
    </w:p>
    <w:p w14:paraId="4E15FE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4656C158">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0CD7A60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397CFA62">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4C4147A3">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0C76CA6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35960869">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7D642D51">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5FF875C6">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1EDABE2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0368879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7A8554C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45EA057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28C32CA0">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2750A77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hint="eastAsia" w:ascii="仿宋_GB2312" w:hAnsi="仿宋" w:eastAsia="仿宋_GB2312" w:cs="仿宋"/>
          <w:color w:val="auto"/>
          <w:sz w:val="24"/>
          <w:highlight w:val="none"/>
        </w:rPr>
        <w:t>：</w:t>
      </w:r>
      <w:r>
        <w:rPr>
          <w:rFonts w:ascii="仿宋_GB2312" w:hAnsi="仿宋" w:eastAsia="仿宋_GB2312" w:cs="仿宋"/>
          <w:color w:val="auto"/>
          <w:sz w:val="24"/>
          <w:highlight w:val="none"/>
          <w:u w:val="dotted"/>
        </w:rPr>
        <w:t xml:space="preserve">                                         </w:t>
      </w:r>
    </w:p>
    <w:p w14:paraId="1DAD22E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5627DC1E">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5F1F0596">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0D0552AA">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5263023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01ED795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55EDB51A">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506A0DE9">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25A1376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w:t>
      </w:r>
      <w:r>
        <w:rPr>
          <w:rFonts w:hint="eastAsia" w:ascii="仿宋_GB2312" w:hAnsi="仿宋" w:eastAsia="仿宋_GB2312"/>
          <w:color w:val="auto"/>
          <w:sz w:val="24"/>
          <w:highlight w:val="none"/>
        </w:rPr>
        <w:t>签章</w:t>
      </w:r>
      <w:r>
        <w:rPr>
          <w:rFonts w:ascii="仿宋_GB2312" w:hAnsi="仿宋" w:eastAsia="仿宋_GB2312"/>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公章：</w:t>
      </w:r>
      <w:r>
        <w:rPr>
          <w:rFonts w:ascii="仿宋_GB2312" w:hAnsi="仿宋" w:eastAsia="仿宋_GB2312"/>
          <w:color w:val="auto"/>
          <w:sz w:val="24"/>
          <w:highlight w:val="none"/>
        </w:rPr>
        <w:t xml:space="preserve">                      </w:t>
      </w:r>
    </w:p>
    <w:p w14:paraId="5B5F24F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5088BBBD">
      <w:pPr>
        <w:spacing w:line="360" w:lineRule="auto"/>
        <w:jc w:val="center"/>
        <w:rPr>
          <w:rFonts w:ascii="仿宋_GB2312" w:hAnsi="仿宋" w:eastAsia="仿宋_GB2312" w:cs="仿宋"/>
          <w:b/>
          <w:bCs/>
          <w:color w:val="auto"/>
          <w:sz w:val="24"/>
          <w:highlight w:val="none"/>
        </w:rPr>
      </w:pPr>
    </w:p>
    <w:p w14:paraId="24C90FD6">
      <w:pPr>
        <w:spacing w:line="360" w:lineRule="auto"/>
        <w:rPr>
          <w:rFonts w:ascii="仿宋_GB2312" w:hAnsi="仿宋" w:eastAsia="仿宋_GB2312"/>
          <w:b/>
          <w:color w:val="auto"/>
          <w:sz w:val="24"/>
          <w:highlight w:val="none"/>
        </w:rPr>
      </w:pPr>
    </w:p>
    <w:p w14:paraId="499B7BCA">
      <w:pPr>
        <w:spacing w:line="360" w:lineRule="auto"/>
        <w:rPr>
          <w:rFonts w:ascii="仿宋_GB2312" w:hAnsi="仿宋" w:eastAsia="仿宋_GB2312"/>
          <w:b/>
          <w:color w:val="auto"/>
          <w:sz w:val="24"/>
          <w:highlight w:val="none"/>
        </w:rPr>
      </w:pPr>
    </w:p>
    <w:p w14:paraId="2976BFA8">
      <w:pPr>
        <w:spacing w:line="360" w:lineRule="auto"/>
        <w:rPr>
          <w:rFonts w:ascii="仿宋_GB2312" w:hAnsi="仿宋" w:eastAsia="仿宋_GB2312"/>
          <w:b/>
          <w:color w:val="auto"/>
          <w:sz w:val="24"/>
          <w:highlight w:val="none"/>
        </w:rPr>
      </w:pPr>
    </w:p>
    <w:p w14:paraId="212F5E5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5A13A64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供应商提出质疑时，应提交质疑函和必要的证明材料。</w:t>
      </w:r>
    </w:p>
    <w:p w14:paraId="48684EFB">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1D243E3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质疑供应商若对项目的某一分包进行质疑，质疑函中应列明具体分包号。</w:t>
      </w:r>
    </w:p>
    <w:p w14:paraId="2ADB4A0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质疑函的质疑事项应具体、明确，并有必要的事实依据和法律依据。</w:t>
      </w:r>
    </w:p>
    <w:p w14:paraId="64E3461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质疑函的质疑请求应与质疑事项相关。</w:t>
      </w:r>
    </w:p>
    <w:p w14:paraId="6852B6EB">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质疑供应商为自然人的，质疑函应由本人签字；质疑供应商为法人或者其他组织的，质疑函应由法定代表人、主要负责人，或者其授权代表签字或者盖章，并加盖公章。</w:t>
      </w:r>
    </w:p>
    <w:p w14:paraId="0BB9D6D6">
      <w:pPr>
        <w:rPr>
          <w:rFonts w:ascii="仿宋_GB2312" w:hAnsi="仿宋" w:eastAsia="仿宋_GB2312"/>
          <w:color w:val="auto"/>
          <w:sz w:val="30"/>
          <w:szCs w:val="30"/>
          <w:highlight w:val="none"/>
        </w:rPr>
      </w:pPr>
      <w:r>
        <w:rPr>
          <w:rFonts w:ascii="仿宋_GB2312" w:hAnsi="仿宋" w:eastAsia="仿宋_GB2312"/>
          <w:color w:val="auto"/>
          <w:sz w:val="30"/>
          <w:szCs w:val="30"/>
          <w:highlight w:val="none"/>
        </w:rPr>
        <w:br w:type="page"/>
      </w:r>
    </w:p>
    <w:p w14:paraId="2A3321E4">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w:t>
      </w:r>
      <w:r>
        <w:rPr>
          <w:rFonts w:hint="eastAsia" w:ascii="仿宋_GB2312" w:hAnsi="仿宋" w:eastAsia="仿宋_GB2312"/>
          <w:b/>
          <w:color w:val="auto"/>
          <w:spacing w:val="6"/>
          <w:sz w:val="32"/>
          <w:szCs w:val="32"/>
          <w:highlight w:val="none"/>
        </w:rPr>
        <w:t>：投诉书范本及制作说明</w:t>
      </w:r>
    </w:p>
    <w:p w14:paraId="330600EF">
      <w:pPr>
        <w:spacing w:line="360" w:lineRule="auto"/>
        <w:jc w:val="center"/>
        <w:rPr>
          <w:rFonts w:ascii="仿宋_GB2312" w:hAnsi="仿宋" w:eastAsia="仿宋_GB2312"/>
          <w:b/>
          <w:color w:val="auto"/>
          <w:sz w:val="24"/>
          <w:highlight w:val="none"/>
        </w:rPr>
      </w:pPr>
    </w:p>
    <w:p w14:paraId="747D0A2B">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617D748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66A9614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2479CE24">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602F0DF">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w:t>
      </w:r>
      <w:r>
        <w:rPr>
          <w:rFonts w:hint="eastAsia"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68837168">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4EF3A2E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36FA02D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55291C9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033CE2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37D399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9A5272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13CE6F8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3E32579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4546A5A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C0289B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59F826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09268F7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25EC5D3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3C3BC15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4E2C3D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7A3F0F90">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否</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192CA7A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否</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67EA0D0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75555174">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w:t>
      </w:r>
      <w:r>
        <w:rPr>
          <w:rFonts w:hint="eastAsia"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1EC1745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374D86BA">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就质疑事项作出了答复</w:t>
      </w:r>
      <w:r>
        <w:rPr>
          <w:rFonts w:ascii="仿宋_GB2312" w:hAnsi="仿宋" w:eastAsia="仿宋_GB2312"/>
          <w:color w:val="auto"/>
          <w:sz w:val="24"/>
          <w:highlight w:val="none"/>
        </w:rPr>
        <w:t>/</w:t>
      </w:r>
      <w:r>
        <w:rPr>
          <w:rFonts w:hint="eastAsia" w:ascii="仿宋_GB2312" w:hAnsi="仿宋" w:eastAsia="仿宋_GB2312"/>
          <w:color w:val="auto"/>
          <w:sz w:val="24"/>
          <w:highlight w:val="none"/>
        </w:rPr>
        <w:t>没有在法定期限内作出答复。</w:t>
      </w:r>
    </w:p>
    <w:p w14:paraId="19D761A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31E30B2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14:paraId="769CAE7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4D6F93D9">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382B826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1E566111">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5C8ED89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4F45FB2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4CBF70D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08E5072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AD8CC12">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52E7A17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w:t>
      </w:r>
      <w:r>
        <w:rPr>
          <w:rFonts w:hint="eastAsia" w:ascii="仿宋_GB2312" w:hAnsi="仿宋" w:eastAsia="仿宋_GB2312"/>
          <w:color w:val="auto"/>
          <w:sz w:val="24"/>
          <w:highlight w:val="none"/>
        </w:rPr>
        <w:t>签章</w:t>
      </w:r>
      <w:r>
        <w:rPr>
          <w:rFonts w:ascii="仿宋_GB2312" w:hAnsi="仿宋" w:eastAsia="仿宋_GB2312"/>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公章：</w:t>
      </w:r>
      <w:r>
        <w:rPr>
          <w:rFonts w:ascii="仿宋_GB2312" w:hAnsi="仿宋" w:eastAsia="仿宋_GB2312"/>
          <w:color w:val="auto"/>
          <w:sz w:val="24"/>
          <w:highlight w:val="none"/>
        </w:rPr>
        <w:t xml:space="preserve">                      </w:t>
      </w:r>
    </w:p>
    <w:p w14:paraId="30960BD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381F5B58">
      <w:pPr>
        <w:spacing w:line="360" w:lineRule="auto"/>
        <w:rPr>
          <w:rFonts w:ascii="仿宋_GB2312" w:hAnsi="仿宋" w:eastAsia="仿宋_GB2312"/>
          <w:b/>
          <w:color w:val="auto"/>
          <w:sz w:val="24"/>
          <w:highlight w:val="none"/>
        </w:rPr>
      </w:pPr>
    </w:p>
    <w:p w14:paraId="5DB7A52E">
      <w:pPr>
        <w:spacing w:line="360" w:lineRule="auto"/>
        <w:rPr>
          <w:rFonts w:ascii="仿宋_GB2312" w:hAnsi="仿宋" w:eastAsia="仿宋_GB2312"/>
          <w:b/>
          <w:color w:val="auto"/>
          <w:sz w:val="24"/>
          <w:highlight w:val="none"/>
        </w:rPr>
      </w:pPr>
    </w:p>
    <w:p w14:paraId="62389AD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6E075F05">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投诉人提起投诉时，应当提交投诉书和必要的证明材料，并按照被投诉人和与投诉事项有关的供应商数量提供投诉书副本。</w:t>
      </w:r>
    </w:p>
    <w:p w14:paraId="6033D8BA">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422DE71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投诉人若对项目的某一分包进行投诉，投诉书应列明具体分包号。</w:t>
      </w:r>
    </w:p>
    <w:p w14:paraId="3E9070F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投诉书应简要列明质疑事项，质疑函、质疑答复等作为附件材料提供。</w:t>
      </w:r>
    </w:p>
    <w:p w14:paraId="4B382588">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投诉书的投诉事项应具体、明确，并有必要的事实依据和法律依据。</w:t>
      </w:r>
    </w:p>
    <w:p w14:paraId="0631EE3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投诉书的投诉请求应与投诉事项相关。</w:t>
      </w:r>
    </w:p>
    <w:p w14:paraId="52BDDC84">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w:t>
      </w:r>
      <w:r>
        <w:rPr>
          <w:rFonts w:hint="eastAsia" w:ascii="仿宋_GB2312" w:hAnsi="仿宋" w:eastAsia="仿宋_GB2312"/>
          <w:color w:val="auto"/>
          <w:sz w:val="24"/>
          <w:highlight w:val="none"/>
        </w:rPr>
        <w:t>投诉人为自然人的，投诉书应当由本人签字；投诉人为法人或者其他组织的，投诉书应当由法定代表人、主要负责人，或者其授权代表签字或者盖章，并加盖公章。</w:t>
      </w:r>
    </w:p>
    <w:p w14:paraId="631387FB">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14:paraId="65682F26">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color w:val="auto"/>
          <w:spacing w:val="6"/>
          <w:sz w:val="32"/>
          <w:szCs w:val="32"/>
          <w:highlight w:val="none"/>
        </w:rPr>
        <w:t>：</w:t>
      </w:r>
      <w:r>
        <w:rPr>
          <w:rFonts w:hint="eastAsia" w:ascii="仿宋" w:hAnsi="仿宋" w:eastAsia="仿宋"/>
          <w:b/>
          <w:bCs/>
          <w:color w:val="auto"/>
          <w:sz w:val="32"/>
          <w:szCs w:val="32"/>
          <w:highlight w:val="none"/>
        </w:rPr>
        <w:t>业务专用章使用说明函</w:t>
      </w:r>
    </w:p>
    <w:p w14:paraId="3B24D822">
      <w:pPr>
        <w:spacing w:line="360" w:lineRule="auto"/>
        <w:rPr>
          <w:rFonts w:ascii="仿宋" w:hAnsi="仿宋" w:eastAsia="仿宋" w:cs="仿宋_GB2312"/>
          <w:color w:val="auto"/>
          <w:sz w:val="24"/>
          <w:highlight w:val="none"/>
          <w:u w:val="single"/>
        </w:rPr>
      </w:pPr>
    </w:p>
    <w:p w14:paraId="3A8D4DB2">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杭州师范大学附属医院、浙江国际招投标有限公司</w:t>
      </w:r>
    </w:p>
    <w:p w14:paraId="60E4D0E0">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投标人全称</w:t>
      </w:r>
      <w:r>
        <w:rPr>
          <w:rFonts w:ascii="仿宋" w:hAnsi="仿宋" w:eastAsia="仿宋" w:cs="仿宋_GB2312"/>
          <w:color w:val="auto"/>
          <w:sz w:val="24"/>
          <w:highlight w:val="none"/>
        </w:rPr>
        <w:t>)</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外送检验服务项目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ZJ-2432431-04</w:t>
      </w:r>
      <w:r>
        <w:rPr>
          <w:rFonts w:hint="eastAsia"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49AE5EF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5D8136F3">
      <w:pPr>
        <w:spacing w:line="360" w:lineRule="auto"/>
        <w:ind w:firstLine="494"/>
        <w:rPr>
          <w:rFonts w:ascii="仿宋" w:hAnsi="仿宋" w:eastAsia="仿宋" w:cs="宋体"/>
          <w:color w:val="auto"/>
          <w:sz w:val="24"/>
          <w:highlight w:val="none"/>
        </w:rPr>
      </w:pPr>
    </w:p>
    <w:p w14:paraId="18A26858">
      <w:pPr>
        <w:spacing w:line="360" w:lineRule="auto"/>
        <w:ind w:firstLine="494"/>
        <w:rPr>
          <w:rFonts w:ascii="仿宋" w:hAnsi="仿宋" w:eastAsia="仿宋" w:cs="宋体"/>
          <w:color w:val="auto"/>
          <w:sz w:val="24"/>
          <w:highlight w:val="none"/>
        </w:rPr>
      </w:pPr>
    </w:p>
    <w:p w14:paraId="7B47A830">
      <w:pPr>
        <w:spacing w:line="360" w:lineRule="auto"/>
        <w:ind w:firstLine="494"/>
        <w:rPr>
          <w:rFonts w:ascii="仿宋" w:hAnsi="仿宋" w:eastAsia="仿宋" w:cs="宋体"/>
          <w:color w:val="auto"/>
          <w:sz w:val="24"/>
          <w:highlight w:val="none"/>
        </w:rPr>
      </w:pPr>
    </w:p>
    <w:p w14:paraId="38DF1828">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F106AAE">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日期：</w:t>
      </w:r>
      <w:r>
        <w:rPr>
          <w:rFonts w:ascii="仿宋" w:hAnsi="仿宋" w:eastAsia="仿宋" w:cs="宋体"/>
          <w:color w:val="auto"/>
          <w:sz w:val="24"/>
          <w:highlight w:val="none"/>
        </w:rPr>
        <w:t xml:space="preserve">  </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日</w:t>
      </w:r>
    </w:p>
    <w:p w14:paraId="20ADE324">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069D0770">
      <w:pPr>
        <w:spacing w:line="360" w:lineRule="auto"/>
        <w:rPr>
          <w:rFonts w:ascii="仿宋" w:hAnsi="仿宋" w:eastAsia="仿宋"/>
          <w:bCs/>
          <w:color w:val="auto"/>
          <w:sz w:val="24"/>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1CB745E8">
      <w:pPr>
        <w:autoSpaceDE w:val="0"/>
        <w:autoSpaceDN w:val="0"/>
        <w:jc w:val="center"/>
        <w:rPr>
          <w:rFonts w:ascii="仿宋" w:hAnsi="仿宋" w:eastAsia="仿宋"/>
          <w:b/>
          <w:color w:val="auto"/>
          <w:spacing w:val="6"/>
          <w:sz w:val="32"/>
          <w:szCs w:val="32"/>
          <w:highlight w:val="none"/>
        </w:rPr>
      </w:pPr>
    </w:p>
    <w:p w14:paraId="74AF4B5F">
      <w:pPr>
        <w:autoSpaceDE w:val="0"/>
        <w:autoSpaceDN w:val="0"/>
        <w:jc w:val="center"/>
        <w:rPr>
          <w:rFonts w:ascii="仿宋" w:hAnsi="仿宋" w:eastAsia="仿宋"/>
          <w:b/>
          <w:color w:val="auto"/>
          <w:spacing w:val="6"/>
          <w:sz w:val="32"/>
          <w:szCs w:val="32"/>
          <w:highlight w:val="none"/>
        </w:rPr>
      </w:pPr>
    </w:p>
    <w:p w14:paraId="752153DA">
      <w:pPr>
        <w:autoSpaceDE w:val="0"/>
        <w:autoSpaceDN w:val="0"/>
        <w:jc w:val="center"/>
        <w:rPr>
          <w:rFonts w:ascii="仿宋" w:hAnsi="仿宋" w:eastAsia="仿宋"/>
          <w:b/>
          <w:color w:val="auto"/>
          <w:spacing w:val="6"/>
          <w:sz w:val="32"/>
          <w:szCs w:val="32"/>
          <w:highlight w:val="none"/>
        </w:rPr>
      </w:pPr>
    </w:p>
    <w:p w14:paraId="0708180C">
      <w:pPr>
        <w:autoSpaceDE w:val="0"/>
        <w:autoSpaceDN w:val="0"/>
        <w:jc w:val="center"/>
        <w:rPr>
          <w:rFonts w:ascii="仿宋" w:hAnsi="仿宋" w:eastAsia="仿宋"/>
          <w:b/>
          <w:color w:val="auto"/>
          <w:spacing w:val="6"/>
          <w:sz w:val="32"/>
          <w:szCs w:val="32"/>
          <w:highlight w:val="none"/>
        </w:rPr>
      </w:pPr>
    </w:p>
    <w:p w14:paraId="420296ED">
      <w:pPr>
        <w:autoSpaceDE w:val="0"/>
        <w:autoSpaceDN w:val="0"/>
        <w:jc w:val="center"/>
        <w:rPr>
          <w:rFonts w:ascii="仿宋" w:hAnsi="仿宋" w:eastAsia="仿宋"/>
          <w:b/>
          <w:color w:val="auto"/>
          <w:spacing w:val="6"/>
          <w:sz w:val="32"/>
          <w:szCs w:val="32"/>
          <w:highlight w:val="none"/>
        </w:rPr>
      </w:pPr>
    </w:p>
    <w:p w14:paraId="35F82B09">
      <w:pPr>
        <w:autoSpaceDE w:val="0"/>
        <w:autoSpaceDN w:val="0"/>
        <w:jc w:val="center"/>
        <w:rPr>
          <w:rFonts w:ascii="仿宋" w:hAnsi="仿宋" w:eastAsia="仿宋"/>
          <w:b/>
          <w:color w:val="auto"/>
          <w:spacing w:val="6"/>
          <w:sz w:val="32"/>
          <w:szCs w:val="32"/>
          <w:highlight w:val="none"/>
        </w:rPr>
      </w:pPr>
    </w:p>
    <w:p w14:paraId="53A16930">
      <w:pPr>
        <w:autoSpaceDE w:val="0"/>
        <w:autoSpaceDN w:val="0"/>
        <w:jc w:val="center"/>
        <w:rPr>
          <w:rFonts w:ascii="仿宋" w:hAnsi="仿宋" w:eastAsia="仿宋"/>
          <w:b/>
          <w:color w:val="auto"/>
          <w:spacing w:val="6"/>
          <w:sz w:val="32"/>
          <w:szCs w:val="32"/>
          <w:highlight w:val="none"/>
        </w:rPr>
      </w:pPr>
    </w:p>
    <w:p w14:paraId="5A9064F0">
      <w:pPr>
        <w:autoSpaceDE w:val="0"/>
        <w:autoSpaceDN w:val="0"/>
        <w:jc w:val="center"/>
        <w:rPr>
          <w:rFonts w:ascii="仿宋" w:hAnsi="仿宋" w:eastAsia="仿宋"/>
          <w:b/>
          <w:color w:val="auto"/>
          <w:spacing w:val="6"/>
          <w:sz w:val="32"/>
          <w:szCs w:val="32"/>
          <w:highlight w:val="none"/>
        </w:rPr>
      </w:pPr>
    </w:p>
    <w:p w14:paraId="581E00EE">
      <w:pPr>
        <w:autoSpaceDE w:val="0"/>
        <w:autoSpaceDN w:val="0"/>
        <w:jc w:val="center"/>
        <w:rPr>
          <w:rFonts w:ascii="仿宋" w:hAnsi="仿宋" w:eastAsia="仿宋"/>
          <w:b/>
          <w:color w:val="auto"/>
          <w:spacing w:val="6"/>
          <w:sz w:val="32"/>
          <w:szCs w:val="32"/>
          <w:highlight w:val="none"/>
        </w:rPr>
      </w:pPr>
    </w:p>
    <w:p w14:paraId="02124067">
      <w:pPr>
        <w:autoSpaceDE w:val="0"/>
        <w:autoSpaceDN w:val="0"/>
        <w:jc w:val="center"/>
        <w:rPr>
          <w:rFonts w:ascii="仿宋" w:hAnsi="仿宋" w:eastAsia="仿宋"/>
          <w:b/>
          <w:color w:val="auto"/>
          <w:spacing w:val="6"/>
          <w:sz w:val="32"/>
          <w:szCs w:val="32"/>
          <w:highlight w:val="none"/>
        </w:rPr>
      </w:pPr>
    </w:p>
    <w:p w14:paraId="7CB6AB89">
      <w:pPr>
        <w:autoSpaceDE w:val="0"/>
        <w:autoSpaceDN w:val="0"/>
        <w:jc w:val="center"/>
        <w:rPr>
          <w:rFonts w:ascii="仿宋" w:hAnsi="仿宋" w:eastAsia="仿宋"/>
          <w:b/>
          <w:color w:val="auto"/>
          <w:spacing w:val="6"/>
          <w:sz w:val="32"/>
          <w:szCs w:val="32"/>
          <w:highlight w:val="none"/>
        </w:rPr>
      </w:pPr>
    </w:p>
    <w:p w14:paraId="218FD8C1">
      <w:pPr>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52C7ACA4">
      <w:pPr>
        <w:autoSpaceDE w:val="0"/>
        <w:autoSpaceDN w:val="0"/>
        <w:jc w:val="center"/>
        <w:rPr>
          <w:rFonts w:ascii="宋体" w:cs="宋体"/>
          <w:b/>
          <w:color w:val="auto"/>
          <w:kern w:val="0"/>
          <w:sz w:val="32"/>
          <w:szCs w:val="32"/>
          <w:highlight w:val="none"/>
          <w:lang w:val="zh-CN"/>
        </w:rPr>
      </w:pPr>
      <w:r>
        <w:rPr>
          <w:rFonts w:hint="eastAsia" w:ascii="仿宋" w:hAnsi="仿宋" w:eastAsia="仿宋"/>
          <w:b/>
          <w:bCs/>
          <w:color w:val="auto"/>
          <w:sz w:val="32"/>
          <w:szCs w:val="32"/>
          <w:highlight w:val="none"/>
        </w:rPr>
        <w:t>附件</w:t>
      </w:r>
      <w:r>
        <w:rPr>
          <w:rFonts w:ascii="仿宋" w:hAnsi="仿宋" w:eastAsia="仿宋"/>
          <w:b/>
          <w:bCs/>
          <w:color w:val="auto"/>
          <w:sz w:val="32"/>
          <w:szCs w:val="32"/>
          <w:highlight w:val="none"/>
        </w:rPr>
        <w:t>5</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zh-CN"/>
        </w:rPr>
        <w:t>联合协议</w:t>
      </w:r>
    </w:p>
    <w:p w14:paraId="32797D44">
      <w:pPr>
        <w:widowControl/>
        <w:spacing w:line="360" w:lineRule="auto"/>
        <w:ind w:firstLine="482" w:firstLineChars="200"/>
        <w:jc w:val="left"/>
        <w:rPr>
          <w:rFonts w:ascii="仿宋" w:hAnsi="仿宋" w:eastAsia="仿宋" w:cs="仿宋"/>
          <w:b/>
          <w:color w:val="auto"/>
          <w:sz w:val="24"/>
          <w:highlight w:val="none"/>
        </w:rPr>
      </w:pPr>
    </w:p>
    <w:p w14:paraId="60683AE8">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76D2E70">
      <w:pPr>
        <w:pStyle w:val="2"/>
        <w:rPr>
          <w:color w:val="auto"/>
          <w:highlight w:val="none"/>
        </w:rPr>
      </w:pPr>
    </w:p>
    <w:p w14:paraId="21D6D9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_GB2312" w:hAnsi="宋体" w:eastAsia="仿宋_GB2312"/>
          <w:color w:val="auto"/>
          <w:sz w:val="24"/>
          <w:highlight w:val="none"/>
          <w:u w:val="single"/>
        </w:rPr>
        <w:t>外送检验服务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ZJ-2432431-04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w:t>
      </w:r>
      <w:r>
        <w:rPr>
          <w:rFonts w:ascii="仿宋" w:hAnsi="仿宋" w:eastAsia="仿宋" w:cs="仿宋"/>
          <w:color w:val="auto"/>
          <w:kern w:val="0"/>
          <w:sz w:val="24"/>
          <w:highlight w:val="none"/>
          <w:lang w:val="zh-CN"/>
        </w:rPr>
        <w:t xml:space="preserve"> </w:t>
      </w:r>
    </w:p>
    <w:p w14:paraId="4B55D4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C133B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2B79E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F0C22A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EFC2F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107F76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1AC132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0696187">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w:t>
      </w:r>
      <w:bookmarkStart w:id="556" w:name="_Hlk101131882"/>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w:t>
      </w:r>
      <w:bookmarkEnd w:id="55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57"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ascii="仿宋" w:hAnsi="仿宋" w:eastAsia="仿宋" w:cs="仿宋"/>
          <w:b/>
          <w:color w:val="auto"/>
          <w:kern w:val="0"/>
          <w:sz w:val="24"/>
          <w:highlight w:val="none"/>
          <w:lang w:val="zh-CN"/>
        </w:rPr>
        <w:t>30%</w:t>
      </w:r>
      <w:r>
        <w:rPr>
          <w:rFonts w:hint="eastAsia" w:ascii="仿宋" w:hAnsi="仿宋" w:eastAsia="仿宋" w:cs="仿宋"/>
          <w:b/>
          <w:color w:val="auto"/>
          <w:kern w:val="0"/>
          <w:sz w:val="24"/>
          <w:highlight w:val="none"/>
          <w:lang w:val="zh-CN"/>
        </w:rPr>
        <w:t>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57"/>
      <w:r>
        <w:rPr>
          <w:rFonts w:hint="eastAsia" w:ascii="仿宋" w:hAnsi="仿宋" w:eastAsia="仿宋" w:cs="仿宋"/>
          <w:b/>
          <w:color w:val="auto"/>
          <w:kern w:val="0"/>
          <w:sz w:val="24"/>
          <w:highlight w:val="none"/>
          <w:lang w:val="zh-CN"/>
        </w:rPr>
        <w:t>）</w:t>
      </w:r>
    </w:p>
    <w:p w14:paraId="18F2A032">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bookmarkStart w:id="558" w:name="_Hlk101133173"/>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58"/>
    </w:p>
    <w:p w14:paraId="708D3B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B3DE10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1DE11F9">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zh-CN"/>
        </w:rPr>
        <w:t>、联合体各方不再单独参加或者与其他供应商另外组成联合体参加同一合同项下的政府采购活动。</w:t>
      </w:r>
    </w:p>
    <w:p w14:paraId="3427DA1F">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、联合体中有同类资质的各方按照联合体分工承担相同工作的，按照资质等级较低的供应商确定资质等级。</w:t>
      </w:r>
    </w:p>
    <w:p w14:paraId="4203C628">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、本协议提交采购人、采购代理机构后，联合体各方不得以任何形式对上述内容进行修改或撤销。</w:t>
      </w:r>
    </w:p>
    <w:p w14:paraId="7B2F289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4914941D">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574F093A">
      <w:pPr>
        <w:snapToGrid w:val="0"/>
        <w:spacing w:line="360" w:lineRule="auto"/>
        <w:ind w:right="960"/>
        <w:jc w:val="center"/>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w:t>
      </w:r>
    </w:p>
    <w:p w14:paraId="01BAF07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年</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月</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w:t>
      </w:r>
    </w:p>
    <w:p w14:paraId="1DC6771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D281F0">
      <w:pPr>
        <w:autoSpaceDE w:val="0"/>
        <w:autoSpaceDN w:val="0"/>
        <w:jc w:val="center"/>
        <w:rPr>
          <w:rFonts w:ascii="仿宋" w:hAnsi="仿宋" w:eastAsia="仿宋" w:cs="仿宋"/>
          <w:b/>
          <w:color w:val="auto"/>
          <w:spacing w:val="6"/>
          <w:sz w:val="32"/>
          <w:szCs w:val="32"/>
          <w:highlight w:val="none"/>
        </w:rPr>
      </w:pPr>
    </w:p>
    <w:p w14:paraId="4263103B">
      <w:pPr>
        <w:widowControl/>
        <w:adjustRightInd/>
        <w:jc w:val="left"/>
        <w:rPr>
          <w:rFonts w:ascii="仿宋" w:hAnsi="仿宋" w:eastAsia="仿宋" w:cs="仿宋"/>
          <w:b/>
          <w:color w:val="auto"/>
          <w:spacing w:val="6"/>
          <w:sz w:val="32"/>
          <w:szCs w:val="32"/>
          <w:highlight w:val="none"/>
        </w:rPr>
      </w:pPr>
    </w:p>
    <w:p w14:paraId="0D4BAF7C">
      <w:pPr>
        <w:rPr>
          <w:rFonts w:ascii="仿宋" w:hAnsi="仿宋" w:eastAsia="仿宋" w:cs="仿宋"/>
          <w:b/>
          <w:color w:val="auto"/>
          <w:spacing w:val="6"/>
          <w:sz w:val="32"/>
          <w:szCs w:val="32"/>
          <w:highlight w:val="none"/>
        </w:rPr>
      </w:pPr>
      <w:r>
        <w:rPr>
          <w:rFonts w:ascii="仿宋" w:hAnsi="仿宋" w:eastAsia="仿宋" w:cs="仿宋"/>
          <w:b/>
          <w:color w:val="auto"/>
          <w:spacing w:val="6"/>
          <w:sz w:val="32"/>
          <w:szCs w:val="32"/>
          <w:highlight w:val="none"/>
        </w:rPr>
        <w:br w:type="page"/>
      </w:r>
    </w:p>
    <w:p w14:paraId="2E8F1EE6">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090B93DB">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D5923A3">
      <w:pPr>
        <w:pStyle w:val="2"/>
        <w:rPr>
          <w:color w:val="auto"/>
          <w:highlight w:val="none"/>
        </w:rPr>
      </w:pPr>
    </w:p>
    <w:p w14:paraId="00C3BE9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_GB2312" w:hAnsi="宋体" w:eastAsia="仿宋_GB2312"/>
          <w:color w:val="auto"/>
          <w:sz w:val="24"/>
          <w:highlight w:val="none"/>
          <w:u w:val="single"/>
        </w:rPr>
        <w:t>外送检验服务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ZJ-2432431-04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14:paraId="1B11F55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B1182A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ascii="仿宋" w:hAnsi="仿宋" w:eastAsia="仿宋" w:cs="仿宋"/>
          <w:color w:val="auto"/>
          <w:highlight w:val="none"/>
          <w:u w:val="single"/>
        </w:rPr>
        <w:t xml:space="preserve">  </w:t>
      </w:r>
      <w:r>
        <w:rPr>
          <w:rFonts w:ascii="仿宋" w:hAnsi="仿宋" w:eastAsia="仿宋" w:cs="仿宋"/>
          <w:color w:val="auto"/>
          <w:kern w:val="0"/>
          <w:sz w:val="24"/>
          <w:highlight w:val="none"/>
          <w:u w:val="single"/>
        </w:rPr>
        <w:t xml:space="preserve"> XX</w:t>
      </w:r>
      <w:r>
        <w:rPr>
          <w:rFonts w:hint="eastAsia" w:ascii="仿宋" w:hAnsi="仿宋" w:eastAsia="仿宋" w:cs="仿宋"/>
          <w:color w:val="auto"/>
          <w:kern w:val="0"/>
          <w:sz w:val="24"/>
          <w:highlight w:val="none"/>
          <w:u w:val="single"/>
        </w:rPr>
        <w:t>工作内容</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ascii="仿宋" w:hAnsi="仿宋" w:eastAsia="仿宋" w:cs="仿宋"/>
          <w:color w:val="auto"/>
          <w:kern w:val="0"/>
          <w:sz w:val="24"/>
          <w:highlight w:val="none"/>
          <w:u w:val="single"/>
          <w:lang w:val="zh-CN"/>
        </w:rPr>
        <w:t>XX</w:t>
      </w:r>
      <w:r>
        <w:rPr>
          <w:rFonts w:hint="eastAsia" w:ascii="仿宋" w:hAnsi="仿宋" w:eastAsia="仿宋" w:cs="仿宋"/>
          <w:color w:val="auto"/>
          <w:kern w:val="0"/>
          <w:sz w:val="24"/>
          <w:highlight w:val="none"/>
          <w:u w:val="single"/>
          <w:lang w:val="zh-CN"/>
        </w:rPr>
        <w:t>工作内容</w:t>
      </w:r>
      <w:r>
        <w:rPr>
          <w:rFonts w:hint="eastAsia" w:ascii="仿宋" w:hAnsi="仿宋" w:eastAsia="仿宋" w:cs="仿宋"/>
          <w:color w:val="auto"/>
          <w:kern w:val="0"/>
          <w:sz w:val="24"/>
          <w:highlight w:val="none"/>
          <w:lang w:val="zh-CN"/>
        </w:rPr>
        <w:t>相应资质条件且不得再次分包；</w:t>
      </w:r>
    </w:p>
    <w:p w14:paraId="437B0AC3">
      <w:pPr>
        <w:pStyle w:val="2"/>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6D2FD048">
      <w:pPr>
        <w:rPr>
          <w:rFonts w:ascii="仿宋" w:hAnsi="仿宋" w:eastAsia="仿宋" w:cs="仿宋"/>
          <w:color w:val="auto"/>
          <w:highlight w:val="none"/>
        </w:rPr>
      </w:pPr>
      <w:r>
        <w:rPr>
          <w:rFonts w:ascii="仿宋" w:hAnsi="仿宋" w:eastAsia="仿宋" w:cs="仿宋"/>
          <w:color w:val="auto"/>
          <w:highlight w:val="none"/>
          <w:lang w:val="zh-CN"/>
        </w:rPr>
        <w:t xml:space="preserve"> </w:t>
      </w:r>
    </w:p>
    <w:p w14:paraId="4CA6F3F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CF2451">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……）提供的服务全部由小微企业承接，</w:t>
      </w:r>
      <w:r>
        <w:rPr>
          <w:rFonts w:hint="eastAsia" w:ascii="仿宋" w:hAnsi="仿宋" w:eastAsia="仿宋" w:cs="仿宋"/>
          <w:color w:val="auto"/>
          <w:kern w:val="0"/>
          <w:sz w:val="24"/>
          <w:highlight w:val="none"/>
        </w:rPr>
        <w:t>其合同份额占到合同总金额</w:t>
      </w:r>
      <w:r>
        <w:rPr>
          <w:rFonts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仿宋" w:hAnsi="仿宋" w:eastAsia="仿宋" w:cs="仿宋"/>
          <w:b/>
          <w:color w:val="auto"/>
          <w:kern w:val="0"/>
          <w:sz w:val="24"/>
          <w:highlight w:val="none"/>
          <w:lang w:val="zh-CN"/>
        </w:rPr>
        <w:t>30%</w:t>
      </w:r>
      <w:r>
        <w:rPr>
          <w:rFonts w:hint="eastAsia" w:ascii="仿宋" w:hAnsi="仿宋" w:eastAsia="仿宋" w:cs="仿宋"/>
          <w:b/>
          <w:color w:val="auto"/>
          <w:kern w:val="0"/>
          <w:sz w:val="24"/>
          <w:highlight w:val="none"/>
          <w:lang w:val="zh-CN"/>
        </w:rPr>
        <w:t>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3E04D95">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852139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D53A515">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2A40E9B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3CC73FD">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4C490F7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E342AE8">
      <w:pPr>
        <w:snapToGrid w:val="0"/>
        <w:spacing w:line="360" w:lineRule="auto"/>
        <w:ind w:left="573" w:leftChars="273"/>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654C048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5F28447">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1C8E78C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73BCF18">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14AB07E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B009F13">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14:paraId="6A777C96">
      <w:pPr>
        <w:snapToGrid w:val="0"/>
        <w:spacing w:line="360" w:lineRule="auto"/>
        <w:ind w:left="5746" w:leftChars="2622" w:hanging="240" w:hangingChars="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3B81F12D">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7C1F1DE2">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931E60">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日期：</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年</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月</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w:t>
      </w:r>
    </w:p>
    <w:p w14:paraId="528F798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CBED25">
      <w:pPr>
        <w:rPr>
          <w:rFonts w:ascii="仿宋" w:hAnsi="仿宋" w:eastAsia="仿宋"/>
          <w:b/>
          <w:color w:val="auto"/>
          <w:spacing w:val="6"/>
          <w:sz w:val="32"/>
          <w:szCs w:val="32"/>
          <w:highlight w:val="none"/>
        </w:rPr>
      </w:pPr>
    </w:p>
    <w:p w14:paraId="43B770C5">
      <w:pPr>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4FF5C85D">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2F32C890">
      <w:pPr>
        <w:spacing w:line="360" w:lineRule="auto"/>
        <w:jc w:val="center"/>
        <w:rPr>
          <w:rFonts w:ascii="仿宋" w:hAnsi="仿宋" w:eastAsia="仿宋" w:cs="仿宋_GB2312"/>
          <w:color w:val="auto"/>
          <w:sz w:val="24"/>
          <w:highlight w:val="none"/>
          <w:u w:val="single"/>
        </w:rPr>
      </w:pPr>
    </w:p>
    <w:p w14:paraId="07365231">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2E3A625E">
      <w:pPr>
        <w:spacing w:line="360" w:lineRule="auto"/>
        <w:rPr>
          <w:rFonts w:ascii="仿宋_GB2312" w:hAnsi="仿宋" w:eastAsia="仿宋_GB2312"/>
          <w:color w:val="auto"/>
          <w:highlight w:val="none"/>
        </w:rPr>
      </w:pPr>
    </w:p>
    <w:p w14:paraId="69C11D67">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2020</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杭州师范大学附属医院</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rPr>
        <w:t>外送检验服务</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795733F3">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外送检验服务</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 w:hAnsi="仿宋" w:eastAsia="仿宋" w:cs="仿宋"/>
          <w:color w:val="auto"/>
          <w:kern w:val="0"/>
          <w:sz w:val="24"/>
          <w:highlight w:val="none"/>
          <w:u w:val="single"/>
        </w:rPr>
        <w:t>其他未列明</w:t>
      </w:r>
      <w:r>
        <w:rPr>
          <w:rFonts w:hint="eastAsia" w:ascii="仿宋_GB2312" w:hAnsi="宋体" w:eastAsia="仿宋_GB2312"/>
          <w:color w:val="auto"/>
          <w:sz w:val="24"/>
          <w:highlight w:val="none"/>
          <w:u w:val="singl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；承接企业为</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（中型企业、小型企业、微型企业）</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0C6413BC">
      <w:pPr>
        <w:spacing w:line="360" w:lineRule="auto"/>
        <w:ind w:firstLine="480" w:firstLineChars="200"/>
        <w:jc w:val="left"/>
        <w:rPr>
          <w:rFonts w:ascii="仿宋_GB2312" w:hAnsi="宋体" w:eastAsia="仿宋_GB2312"/>
          <w:color w:val="auto"/>
          <w:sz w:val="24"/>
          <w:highlight w:val="none"/>
        </w:rPr>
      </w:pPr>
    </w:p>
    <w:p w14:paraId="2D475D9D">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1D2F2BC9">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F7E5D8D">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6A9AAF4C">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39CCA28B">
      <w:pPr>
        <w:spacing w:line="360" w:lineRule="auto"/>
        <w:ind w:firstLine="310" w:firstLineChars="147"/>
        <w:jc w:val="left"/>
        <w:rPr>
          <w:rFonts w:ascii="仿宋_GB2312" w:hAnsi="宋体" w:eastAsia="仿宋_GB2312"/>
          <w:b/>
          <w:color w:val="auto"/>
          <w:szCs w:val="21"/>
          <w:highlight w:val="none"/>
        </w:rPr>
      </w:pPr>
    </w:p>
    <w:p w14:paraId="4E652992">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注：</w:t>
      </w:r>
      <w:r>
        <w:rPr>
          <w:rFonts w:ascii="仿宋_GB2312" w:hAnsi="仿宋" w:eastAsia="仿宋_GB2312" w:cs="仿宋_GB2312"/>
          <w:b/>
          <w:bCs/>
          <w:color w:val="auto"/>
          <w:sz w:val="24"/>
          <w:highlight w:val="none"/>
        </w:rPr>
        <w:t>1</w:t>
      </w:r>
      <w:r>
        <w:rPr>
          <w:rFonts w:hint="eastAsia" w:ascii="仿宋_GB2312" w:hAnsi="仿宋" w:eastAsia="仿宋_GB2312" w:cs="仿宋_GB2312"/>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仿宋_GB2312" w:hAnsi="仿宋" w:eastAsia="仿宋_GB2312" w:cs="仿宋_GB2312"/>
          <w:b/>
          <w:bCs/>
          <w:color w:val="auto"/>
          <w:sz w:val="24"/>
          <w:highlight w:val="none"/>
        </w:rPr>
        <w:t>3</w:t>
      </w:r>
      <w:r>
        <w:rPr>
          <w:rFonts w:hint="eastAsia" w:ascii="仿宋_GB2312" w:hAnsi="仿宋" w:eastAsia="仿宋_GB2312" w:cs="仿宋_GB2312"/>
          <w:b/>
          <w:bCs/>
          <w:color w:val="auto"/>
          <w:sz w:val="24"/>
          <w:highlight w:val="none"/>
        </w:rPr>
        <w:t>种企业类型，结合以上数据，依据《中小企业划型标准规定》（工信部联企业〔</w:t>
      </w:r>
      <w:r>
        <w:rPr>
          <w:rFonts w:ascii="仿宋_GB2312" w:hAnsi="仿宋" w:eastAsia="仿宋_GB2312" w:cs="仿宋_GB2312"/>
          <w:b/>
          <w:bCs/>
          <w:color w:val="auto"/>
          <w:sz w:val="24"/>
          <w:highlight w:val="none"/>
        </w:rPr>
        <w:t>2011</w:t>
      </w:r>
      <w:r>
        <w:rPr>
          <w:rFonts w:hint="eastAsia" w:ascii="仿宋_GB2312" w:hAnsi="仿宋" w:eastAsia="仿宋_GB2312" w:cs="仿宋_GB2312"/>
          <w:b/>
          <w:bCs/>
          <w:color w:val="auto"/>
          <w:sz w:val="24"/>
          <w:highlight w:val="none"/>
        </w:rPr>
        <w:t>〕</w:t>
      </w:r>
      <w:r>
        <w:rPr>
          <w:rFonts w:ascii="仿宋_GB2312" w:hAnsi="仿宋" w:eastAsia="仿宋_GB2312" w:cs="仿宋_GB2312"/>
          <w:b/>
          <w:bCs/>
          <w:color w:val="auto"/>
          <w:sz w:val="24"/>
          <w:highlight w:val="none"/>
        </w:rPr>
        <w:t>300</w:t>
      </w:r>
      <w:r>
        <w:rPr>
          <w:rFonts w:hint="eastAsia" w:ascii="仿宋_GB2312" w:hAnsi="仿宋" w:eastAsia="仿宋_GB2312" w:cs="仿宋_GB2312"/>
          <w:b/>
          <w:bCs/>
          <w:color w:val="auto"/>
          <w:sz w:val="24"/>
          <w:highlight w:val="none"/>
        </w:rPr>
        <w:t>号）确定；。</w:t>
      </w:r>
    </w:p>
    <w:p w14:paraId="3F9BC71F">
      <w:pPr>
        <w:spacing w:line="360" w:lineRule="auto"/>
        <w:ind w:right="420" w:firstLine="480" w:firstLineChars="200"/>
        <w:rPr>
          <w:rFonts w:ascii="仿宋" w:hAnsi="仿宋" w:eastAsia="仿宋"/>
          <w:bCs/>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符合《关于促进残疾人就业政府采购政策的通知》（财库〔</w:t>
      </w:r>
      <w:r>
        <w:rPr>
          <w:rFonts w:ascii="仿宋_GB2312" w:hAnsi="仿宋" w:eastAsia="仿宋_GB2312" w:cs="仿宋_GB2312"/>
          <w:color w:val="auto"/>
          <w:sz w:val="24"/>
          <w:highlight w:val="none"/>
        </w:rPr>
        <w:t>2017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141</w:t>
      </w:r>
      <w:r>
        <w:rPr>
          <w:rFonts w:hint="eastAsia" w:ascii="仿宋_GB2312" w:hAnsi="仿宋" w:eastAsia="仿宋_GB2312" w:cs="仿宋_GB2312"/>
          <w:color w:val="auto"/>
          <w:sz w:val="24"/>
          <w:highlight w:val="none"/>
        </w:rPr>
        <w:t>号）规定的条件并提供《残疾人福利性单位声明函》（附件</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）的残疾人福利性单位视同小型、微型企业；根据《关于政府采购支持监狱企业发展有关问题的通知》（财库</w:t>
      </w:r>
      <w:r>
        <w:rPr>
          <w:rFonts w:ascii="仿宋_GB2312" w:hAnsi="仿宋" w:eastAsia="仿宋_GB2312" w:cs="仿宋_GB2312"/>
          <w:color w:val="auto"/>
          <w:sz w:val="24"/>
          <w:highlight w:val="none"/>
        </w:rPr>
        <w:t>[2014]68</w:t>
      </w:r>
      <w:r>
        <w:rPr>
          <w:rFonts w:hint="eastAsia" w:ascii="仿宋_GB2312" w:hAnsi="仿宋" w:eastAsia="仿宋_GB2312" w:cs="仿宋_GB2312"/>
          <w:color w:val="auto"/>
          <w:sz w:val="24"/>
          <w:highlight w:val="none"/>
        </w:rPr>
        <w:t>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ADAB">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05D6">
    <w:pPr>
      <w:pStyle w:val="39"/>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05859B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156C">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41CF">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CD96B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7DF7">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7F2CE8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250A">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91</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91</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51C6">
    <w:pPr>
      <w:pStyle w:val="39"/>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5B3FB667">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FDBD">
    <w:pPr>
      <w:pStyle w:val="39"/>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559" w:name="_Toc164085800"/>
    <w:bookmarkStart w:id="560" w:name="_Toc131845147"/>
    <w:bookmarkStart w:id="561" w:name="_Toc36110187"/>
    <w:bookmarkStart w:id="562" w:name="_Toc91899912"/>
    <w:r>
      <w:rPr>
        <w:rFonts w:ascii="仿宋_GB2312" w:eastAsia="仿宋_GB2312"/>
        <w:kern w:val="0"/>
        <w:szCs w:val="21"/>
      </w:rPr>
      <w:t xml:space="preserve"> </w:t>
    </w:r>
    <w:r>
      <w:rPr>
        <w:rFonts w:hint="eastAsia" w:ascii="仿宋_GB2312" w:eastAsia="仿宋_GB2312"/>
        <w:kern w:val="0"/>
        <w:szCs w:val="21"/>
      </w:rPr>
      <w:t>页</w:t>
    </w:r>
    <w:bookmarkEnd w:id="559"/>
    <w:bookmarkEnd w:id="560"/>
    <w:bookmarkEnd w:id="561"/>
    <w:bookmarkEnd w:id="56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1828">
    <w:pPr>
      <w:pStyle w:val="41"/>
      <w:pBdr>
        <w:bottom w:val="single" w:color="auto" w:sz="6" w:space="4"/>
      </w:pBdr>
      <w:jc w:val="right"/>
    </w:pPr>
    <w:r>
      <w:t xml:space="preserve">          </w:t>
    </w:r>
    <w:r>
      <w:rPr>
        <w:rFonts w:hint="eastAsia"/>
      </w:rPr>
      <w:t>杭州市政府采购公开招标文件（服务类）</w:t>
    </w:r>
  </w:p>
  <w:p w14:paraId="33CF15A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F3E8F">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2D44">
    <w:pPr>
      <w:pStyle w:val="41"/>
      <w:jc w:val="right"/>
      <w:rPr>
        <w:rFonts w:ascii="仿宋_GB2312" w:eastAsia="仿宋_GB2312"/>
        <w:b/>
        <w:i/>
        <w:u w:val="single"/>
      </w:rPr>
    </w:pPr>
    <w:r>
      <w:t xml:space="preserve">                                  </w:t>
    </w:r>
    <w:r>
      <w:rPr>
        <w:rFonts w:hint="eastAsia"/>
      </w:rPr>
      <w:t>杭州市政府采购公开招标文件</w:t>
    </w:r>
  </w:p>
  <w:p w14:paraId="12606B7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2733">
    <w:pPr>
      <w:pStyle w:val="41"/>
      <w:jc w:val="right"/>
    </w:pPr>
    <w:r>
      <w:t xml:space="preserve">                                                                                                        </w:t>
    </w: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B94B">
    <w:pPr>
      <w:pStyle w:val="41"/>
      <w:jc w:val="right"/>
      <w:rPr>
        <w:rFonts w:ascii="仿宋_GB2312" w:eastAsia="仿宋_GB2312"/>
        <w:b/>
        <w:i/>
        <w:iCs/>
        <w:u w:val="single"/>
      </w:rPr>
    </w:pPr>
    <w:r>
      <w:t></w:t>
    </w:r>
    <w:r>
      <w:rPr>
        <w:rFonts w:hint="eastAsia"/>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AB7D">
    <w:pPr>
      <w:pStyle w:val="41"/>
    </w:pPr>
    <w:r>
      <w:t xml:space="preserve">                                             </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firstLine="420"/>
      </w:pPr>
      <w:rPr>
        <w:rFonts w:hint="eastAsia" w:cs="Times New Roman"/>
      </w:rPr>
    </w:lvl>
  </w:abstractNum>
  <w:abstractNum w:abstractNumId="1">
    <w:nsid w:val="B6ED5973"/>
    <w:multiLevelType w:val="singleLevel"/>
    <w:tmpl w:val="B6ED5973"/>
    <w:lvl w:ilvl="0" w:tentative="0">
      <w:start w:val="1"/>
      <w:numFmt w:val="decimal"/>
      <w:lvlText w:val="(%1)"/>
      <w:lvlJc w:val="left"/>
      <w:pPr>
        <w:ind w:left="425" w:hanging="425"/>
      </w:pPr>
      <w:rPr>
        <w:rFonts w:hint="default" w:cs="Times New Roman"/>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cs="Times New Roman"/>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cs="Times New Roman"/>
        <w:b/>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4">
    <w:nsid w:val="01824C56"/>
    <w:multiLevelType w:val="singleLevel"/>
    <w:tmpl w:val="01824C56"/>
    <w:lvl w:ilvl="0" w:tentative="0">
      <w:start w:val="1"/>
      <w:numFmt w:val="decimal"/>
      <w:suff w:val="nothing"/>
      <w:lvlText w:val="（%1）"/>
      <w:lvlJc w:val="left"/>
      <w:rPr>
        <w:rFonts w:cs="Times New Roman"/>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cs="Times New Roman"/>
        <w:b w:val="0"/>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6">
    <w:nsid w:val="1818B8E5"/>
    <w:multiLevelType w:val="multilevel"/>
    <w:tmpl w:val="1818B8E5"/>
    <w:lvl w:ilvl="0" w:tentative="0">
      <w:start w:val="1"/>
      <w:numFmt w:val="decimal"/>
      <w:lvlText w:val="%1."/>
      <w:lvlJc w:val="left"/>
      <w:pPr>
        <w:tabs>
          <w:tab w:val="left" w:pos="399"/>
        </w:tabs>
        <w:ind w:left="405" w:hanging="405"/>
      </w:pPr>
      <w:rPr>
        <w:rFonts w:hint="default" w:cs="Times New Roman"/>
        <w:b/>
        <w:sz w:val="24"/>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7">
    <w:nsid w:val="513F8985"/>
    <w:multiLevelType w:val="singleLevel"/>
    <w:tmpl w:val="513F8985"/>
    <w:lvl w:ilvl="0" w:tentative="0">
      <w:start w:val="1"/>
      <w:numFmt w:val="decimal"/>
      <w:lvlText w:val="(%1)"/>
      <w:lvlJc w:val="left"/>
      <w:pPr>
        <w:ind w:left="425" w:hanging="425"/>
      </w:pPr>
      <w:rPr>
        <w:rFonts w:hint="default" w:cs="Times New Roman"/>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cs="Times New Roman"/>
        <w:b/>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num w:numId="1">
    <w:abstractNumId w:val="1"/>
  </w:num>
  <w:num w:numId="2">
    <w:abstractNumId w:val="2"/>
  </w:num>
  <w:num w:numId="3">
    <w:abstractNumId w:val="0"/>
  </w:num>
  <w:num w:numId="4">
    <w:abstractNumId w:val="6"/>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zM4MmIxYjg1MjYyYmY0ODNhNTQwZDc5MTUyZGQifQ=="/>
    <w:docVar w:name="KSO_WPS_MARK_KEY" w:val="4be6ea34-86ec-41d7-94ca-512ab97d470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8E"/>
    <w:rsid w:val="00027540"/>
    <w:rsid w:val="00030572"/>
    <w:rsid w:val="00030A97"/>
    <w:rsid w:val="00030CB3"/>
    <w:rsid w:val="0003206A"/>
    <w:rsid w:val="000326A7"/>
    <w:rsid w:val="00032BEB"/>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9C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B67"/>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1A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31"/>
    <w:rsid w:val="000F3D08"/>
    <w:rsid w:val="000F4495"/>
    <w:rsid w:val="000F4A05"/>
    <w:rsid w:val="000F4AA8"/>
    <w:rsid w:val="000F4AEA"/>
    <w:rsid w:val="000F4CB6"/>
    <w:rsid w:val="000F4E67"/>
    <w:rsid w:val="000F505B"/>
    <w:rsid w:val="000F5677"/>
    <w:rsid w:val="000F5DDB"/>
    <w:rsid w:val="000F628E"/>
    <w:rsid w:val="000F68A0"/>
    <w:rsid w:val="000F6CC2"/>
    <w:rsid w:val="000F729C"/>
    <w:rsid w:val="000F7B3E"/>
    <w:rsid w:val="000F7D4B"/>
    <w:rsid w:val="0010118C"/>
    <w:rsid w:val="0010125E"/>
    <w:rsid w:val="0010154F"/>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3FAD"/>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F5F"/>
    <w:rsid w:val="00180A47"/>
    <w:rsid w:val="001819B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D0F"/>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E15"/>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97F"/>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3EB"/>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5B9"/>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7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F8"/>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5B2"/>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D36"/>
    <w:rsid w:val="00517AC8"/>
    <w:rsid w:val="00517C3E"/>
    <w:rsid w:val="005207D8"/>
    <w:rsid w:val="0052091D"/>
    <w:rsid w:val="005212F4"/>
    <w:rsid w:val="00521908"/>
    <w:rsid w:val="005224BC"/>
    <w:rsid w:val="00522928"/>
    <w:rsid w:val="00522FF1"/>
    <w:rsid w:val="00523946"/>
    <w:rsid w:val="0052397A"/>
    <w:rsid w:val="005256D6"/>
    <w:rsid w:val="00525AD8"/>
    <w:rsid w:val="005263E4"/>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7DF"/>
    <w:rsid w:val="0057200B"/>
    <w:rsid w:val="00572297"/>
    <w:rsid w:val="0057345D"/>
    <w:rsid w:val="0057347D"/>
    <w:rsid w:val="00573560"/>
    <w:rsid w:val="00574E7B"/>
    <w:rsid w:val="00574F36"/>
    <w:rsid w:val="00576B5C"/>
    <w:rsid w:val="00576FB8"/>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0B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C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D03"/>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7F4"/>
    <w:rsid w:val="00603B1C"/>
    <w:rsid w:val="006042CD"/>
    <w:rsid w:val="00605217"/>
    <w:rsid w:val="006054A5"/>
    <w:rsid w:val="006059E4"/>
    <w:rsid w:val="00605D60"/>
    <w:rsid w:val="006062A0"/>
    <w:rsid w:val="00606663"/>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A49"/>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44B"/>
    <w:rsid w:val="006D5442"/>
    <w:rsid w:val="006D6E4E"/>
    <w:rsid w:val="006D7A7B"/>
    <w:rsid w:val="006D7A8E"/>
    <w:rsid w:val="006D7C59"/>
    <w:rsid w:val="006E00E3"/>
    <w:rsid w:val="006E045C"/>
    <w:rsid w:val="006E0569"/>
    <w:rsid w:val="006E065E"/>
    <w:rsid w:val="006E0849"/>
    <w:rsid w:val="006E11D6"/>
    <w:rsid w:val="006E1784"/>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00"/>
    <w:rsid w:val="006F7974"/>
    <w:rsid w:val="006F7C2C"/>
    <w:rsid w:val="006F7FD5"/>
    <w:rsid w:val="00700405"/>
    <w:rsid w:val="00700D18"/>
    <w:rsid w:val="00701620"/>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2DD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D0A"/>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5E8"/>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6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EEB"/>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9FF"/>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8AA"/>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CD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E3C"/>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73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88"/>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EC"/>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77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7"/>
    <w:rsid w:val="00AB02EA"/>
    <w:rsid w:val="00AB110C"/>
    <w:rsid w:val="00AB227A"/>
    <w:rsid w:val="00AB22BF"/>
    <w:rsid w:val="00AB256E"/>
    <w:rsid w:val="00AB3466"/>
    <w:rsid w:val="00AB38B2"/>
    <w:rsid w:val="00AB3BBB"/>
    <w:rsid w:val="00AB408C"/>
    <w:rsid w:val="00AB43AF"/>
    <w:rsid w:val="00AB4E41"/>
    <w:rsid w:val="00AB50FD"/>
    <w:rsid w:val="00AB5EB1"/>
    <w:rsid w:val="00AB6003"/>
    <w:rsid w:val="00AB759A"/>
    <w:rsid w:val="00AB7B06"/>
    <w:rsid w:val="00AB7EAA"/>
    <w:rsid w:val="00AC0432"/>
    <w:rsid w:val="00AC0770"/>
    <w:rsid w:val="00AC1683"/>
    <w:rsid w:val="00AC1D82"/>
    <w:rsid w:val="00AC2D5F"/>
    <w:rsid w:val="00AC4094"/>
    <w:rsid w:val="00AC42B6"/>
    <w:rsid w:val="00AC47E1"/>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CF5"/>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4B7"/>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5D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E63"/>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12"/>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82D"/>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81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6F5"/>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C4B"/>
    <w:rsid w:val="00D05EB1"/>
    <w:rsid w:val="00D0650B"/>
    <w:rsid w:val="00D066C3"/>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73C"/>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864"/>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CE"/>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6DF"/>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D6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F23"/>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996"/>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B0"/>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A16"/>
    <w:rsid w:val="00EF6D5A"/>
    <w:rsid w:val="00EF71E6"/>
    <w:rsid w:val="00F0058A"/>
    <w:rsid w:val="00F00630"/>
    <w:rsid w:val="00F00922"/>
    <w:rsid w:val="00F00924"/>
    <w:rsid w:val="00F0187E"/>
    <w:rsid w:val="00F01BE6"/>
    <w:rsid w:val="00F01F75"/>
    <w:rsid w:val="00F0217A"/>
    <w:rsid w:val="00F026D3"/>
    <w:rsid w:val="00F027CE"/>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6B"/>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13"/>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70"/>
    <w:rsid w:val="010651D9"/>
    <w:rsid w:val="011C44BE"/>
    <w:rsid w:val="011F6449"/>
    <w:rsid w:val="01236AFB"/>
    <w:rsid w:val="01823871"/>
    <w:rsid w:val="018C1643"/>
    <w:rsid w:val="0197098F"/>
    <w:rsid w:val="019F7441"/>
    <w:rsid w:val="01A7647D"/>
    <w:rsid w:val="01B37585"/>
    <w:rsid w:val="01C55106"/>
    <w:rsid w:val="01D55165"/>
    <w:rsid w:val="01DF6BF8"/>
    <w:rsid w:val="01EC2C57"/>
    <w:rsid w:val="02447828"/>
    <w:rsid w:val="02493090"/>
    <w:rsid w:val="026B2E25"/>
    <w:rsid w:val="02824D4D"/>
    <w:rsid w:val="02BF15A4"/>
    <w:rsid w:val="02DC4B10"/>
    <w:rsid w:val="02DD76CE"/>
    <w:rsid w:val="02E315E2"/>
    <w:rsid w:val="02E7418F"/>
    <w:rsid w:val="02F0175E"/>
    <w:rsid w:val="02F36323"/>
    <w:rsid w:val="02F5619C"/>
    <w:rsid w:val="032031DE"/>
    <w:rsid w:val="032064E7"/>
    <w:rsid w:val="0326446A"/>
    <w:rsid w:val="032D5555"/>
    <w:rsid w:val="036634D2"/>
    <w:rsid w:val="03B00E45"/>
    <w:rsid w:val="03B804CE"/>
    <w:rsid w:val="03DD35E4"/>
    <w:rsid w:val="03EE2141"/>
    <w:rsid w:val="03FB03BA"/>
    <w:rsid w:val="04076900"/>
    <w:rsid w:val="040947BB"/>
    <w:rsid w:val="041A5A3B"/>
    <w:rsid w:val="042311BA"/>
    <w:rsid w:val="042B157A"/>
    <w:rsid w:val="04493A67"/>
    <w:rsid w:val="04764CDF"/>
    <w:rsid w:val="048F763B"/>
    <w:rsid w:val="04910D1F"/>
    <w:rsid w:val="049F330E"/>
    <w:rsid w:val="04AA775C"/>
    <w:rsid w:val="04AF1889"/>
    <w:rsid w:val="04E20D72"/>
    <w:rsid w:val="04F66F48"/>
    <w:rsid w:val="04F77B62"/>
    <w:rsid w:val="050249F5"/>
    <w:rsid w:val="05251E14"/>
    <w:rsid w:val="055E50A5"/>
    <w:rsid w:val="057E74F5"/>
    <w:rsid w:val="059B7409"/>
    <w:rsid w:val="05A16594"/>
    <w:rsid w:val="05A7762D"/>
    <w:rsid w:val="05CD6563"/>
    <w:rsid w:val="05D215EF"/>
    <w:rsid w:val="05EA10FB"/>
    <w:rsid w:val="05EF3F4F"/>
    <w:rsid w:val="060E5941"/>
    <w:rsid w:val="06110FAF"/>
    <w:rsid w:val="06493CA7"/>
    <w:rsid w:val="065A6178"/>
    <w:rsid w:val="066F1CF3"/>
    <w:rsid w:val="0676235A"/>
    <w:rsid w:val="06930BB8"/>
    <w:rsid w:val="069F5975"/>
    <w:rsid w:val="06B50CF4"/>
    <w:rsid w:val="06B756A7"/>
    <w:rsid w:val="06BC14B2"/>
    <w:rsid w:val="06D01FD2"/>
    <w:rsid w:val="07245D42"/>
    <w:rsid w:val="07264C62"/>
    <w:rsid w:val="07481B68"/>
    <w:rsid w:val="0779354C"/>
    <w:rsid w:val="07EC6998"/>
    <w:rsid w:val="08061376"/>
    <w:rsid w:val="08452D77"/>
    <w:rsid w:val="086401F8"/>
    <w:rsid w:val="08674270"/>
    <w:rsid w:val="08751CAA"/>
    <w:rsid w:val="087E4C40"/>
    <w:rsid w:val="08C12016"/>
    <w:rsid w:val="08D132DE"/>
    <w:rsid w:val="08D66AD6"/>
    <w:rsid w:val="08DA33A3"/>
    <w:rsid w:val="08E80F13"/>
    <w:rsid w:val="08EB6C4F"/>
    <w:rsid w:val="08FF6B9F"/>
    <w:rsid w:val="09335624"/>
    <w:rsid w:val="0944690F"/>
    <w:rsid w:val="09535675"/>
    <w:rsid w:val="095F057D"/>
    <w:rsid w:val="09642282"/>
    <w:rsid w:val="09733572"/>
    <w:rsid w:val="09772C16"/>
    <w:rsid w:val="09814545"/>
    <w:rsid w:val="098175B4"/>
    <w:rsid w:val="098353B5"/>
    <w:rsid w:val="09A92330"/>
    <w:rsid w:val="09B06B87"/>
    <w:rsid w:val="09C13146"/>
    <w:rsid w:val="09E04166"/>
    <w:rsid w:val="0A0657E5"/>
    <w:rsid w:val="0A071C9C"/>
    <w:rsid w:val="0A1C0718"/>
    <w:rsid w:val="0A2957BF"/>
    <w:rsid w:val="0A3E7710"/>
    <w:rsid w:val="0A5B7E63"/>
    <w:rsid w:val="0AA374A5"/>
    <w:rsid w:val="0AAB7649"/>
    <w:rsid w:val="0ABC5606"/>
    <w:rsid w:val="0B000090"/>
    <w:rsid w:val="0B071D3B"/>
    <w:rsid w:val="0B30404E"/>
    <w:rsid w:val="0B460AB5"/>
    <w:rsid w:val="0B4C6C14"/>
    <w:rsid w:val="0B5F1DB6"/>
    <w:rsid w:val="0B631A88"/>
    <w:rsid w:val="0B683D45"/>
    <w:rsid w:val="0B794AD1"/>
    <w:rsid w:val="0B7F3F11"/>
    <w:rsid w:val="0B82404F"/>
    <w:rsid w:val="0B884417"/>
    <w:rsid w:val="0BA511B3"/>
    <w:rsid w:val="0BF6188C"/>
    <w:rsid w:val="0BF73C91"/>
    <w:rsid w:val="0C170175"/>
    <w:rsid w:val="0C1C209C"/>
    <w:rsid w:val="0C317E36"/>
    <w:rsid w:val="0C48260B"/>
    <w:rsid w:val="0C4C2CDB"/>
    <w:rsid w:val="0C571A41"/>
    <w:rsid w:val="0C5C1171"/>
    <w:rsid w:val="0C5E1CBC"/>
    <w:rsid w:val="0C615B50"/>
    <w:rsid w:val="0C675732"/>
    <w:rsid w:val="0C8445DA"/>
    <w:rsid w:val="0C87121B"/>
    <w:rsid w:val="0C992E66"/>
    <w:rsid w:val="0CC007F7"/>
    <w:rsid w:val="0CE51C08"/>
    <w:rsid w:val="0CFE707A"/>
    <w:rsid w:val="0D0429D6"/>
    <w:rsid w:val="0D063BDA"/>
    <w:rsid w:val="0D08375F"/>
    <w:rsid w:val="0D10137A"/>
    <w:rsid w:val="0D184CFB"/>
    <w:rsid w:val="0D4A7419"/>
    <w:rsid w:val="0D523741"/>
    <w:rsid w:val="0D827401"/>
    <w:rsid w:val="0D84094E"/>
    <w:rsid w:val="0D8A00E9"/>
    <w:rsid w:val="0D8D589E"/>
    <w:rsid w:val="0DA01C73"/>
    <w:rsid w:val="0DA504B0"/>
    <w:rsid w:val="0DD63300"/>
    <w:rsid w:val="0DF50604"/>
    <w:rsid w:val="0DF702FE"/>
    <w:rsid w:val="0E060E51"/>
    <w:rsid w:val="0E383970"/>
    <w:rsid w:val="0E5604B2"/>
    <w:rsid w:val="0E6D5D79"/>
    <w:rsid w:val="0E733F34"/>
    <w:rsid w:val="0E9D0089"/>
    <w:rsid w:val="0EA5401B"/>
    <w:rsid w:val="0EB803EE"/>
    <w:rsid w:val="0EC00B7E"/>
    <w:rsid w:val="0EC966A2"/>
    <w:rsid w:val="0ED10695"/>
    <w:rsid w:val="0EF40828"/>
    <w:rsid w:val="0EF94D4B"/>
    <w:rsid w:val="0F0A1DF9"/>
    <w:rsid w:val="0F4958DC"/>
    <w:rsid w:val="0F515DF7"/>
    <w:rsid w:val="0F596BA8"/>
    <w:rsid w:val="0F6248D2"/>
    <w:rsid w:val="0F693536"/>
    <w:rsid w:val="0F7B0511"/>
    <w:rsid w:val="0F7B76D9"/>
    <w:rsid w:val="0F816ACD"/>
    <w:rsid w:val="0F8676D2"/>
    <w:rsid w:val="0F9832DB"/>
    <w:rsid w:val="0FBF3FD2"/>
    <w:rsid w:val="0FBF7FF3"/>
    <w:rsid w:val="0FC555C2"/>
    <w:rsid w:val="0FD83CA6"/>
    <w:rsid w:val="0FED59A3"/>
    <w:rsid w:val="10401F77"/>
    <w:rsid w:val="10646583"/>
    <w:rsid w:val="106A0DA2"/>
    <w:rsid w:val="107D4B15"/>
    <w:rsid w:val="108A3C80"/>
    <w:rsid w:val="108F0808"/>
    <w:rsid w:val="10C26171"/>
    <w:rsid w:val="10D627CD"/>
    <w:rsid w:val="10F33360"/>
    <w:rsid w:val="10FC16EA"/>
    <w:rsid w:val="110A2612"/>
    <w:rsid w:val="110F1D40"/>
    <w:rsid w:val="11266F33"/>
    <w:rsid w:val="116D1873"/>
    <w:rsid w:val="117A14B8"/>
    <w:rsid w:val="118963A1"/>
    <w:rsid w:val="118E0AC0"/>
    <w:rsid w:val="1193658F"/>
    <w:rsid w:val="11A406F1"/>
    <w:rsid w:val="11C6522A"/>
    <w:rsid w:val="11DF2971"/>
    <w:rsid w:val="11E104CC"/>
    <w:rsid w:val="11E20309"/>
    <w:rsid w:val="121C60CC"/>
    <w:rsid w:val="122356AC"/>
    <w:rsid w:val="12255233"/>
    <w:rsid w:val="122F1CA3"/>
    <w:rsid w:val="124D44D7"/>
    <w:rsid w:val="12530213"/>
    <w:rsid w:val="125A4E46"/>
    <w:rsid w:val="127723A9"/>
    <w:rsid w:val="12862074"/>
    <w:rsid w:val="12883966"/>
    <w:rsid w:val="1288550F"/>
    <w:rsid w:val="12993BC0"/>
    <w:rsid w:val="129E45B4"/>
    <w:rsid w:val="12A26ED5"/>
    <w:rsid w:val="12D81596"/>
    <w:rsid w:val="12DE7825"/>
    <w:rsid w:val="12EA61CA"/>
    <w:rsid w:val="12FE3A23"/>
    <w:rsid w:val="13072A44"/>
    <w:rsid w:val="134E6759"/>
    <w:rsid w:val="134F0723"/>
    <w:rsid w:val="135F4BE2"/>
    <w:rsid w:val="139B1A0A"/>
    <w:rsid w:val="139D25C7"/>
    <w:rsid w:val="13BF3CE4"/>
    <w:rsid w:val="13F561C0"/>
    <w:rsid w:val="141008D8"/>
    <w:rsid w:val="14125FE6"/>
    <w:rsid w:val="141C0301"/>
    <w:rsid w:val="14567B96"/>
    <w:rsid w:val="146D271E"/>
    <w:rsid w:val="147C7CAF"/>
    <w:rsid w:val="14982588"/>
    <w:rsid w:val="149A5AD9"/>
    <w:rsid w:val="14A7619D"/>
    <w:rsid w:val="14B922F8"/>
    <w:rsid w:val="150536C3"/>
    <w:rsid w:val="150C1963"/>
    <w:rsid w:val="151447A0"/>
    <w:rsid w:val="154A6454"/>
    <w:rsid w:val="15762120"/>
    <w:rsid w:val="159B7C4F"/>
    <w:rsid w:val="15C223A0"/>
    <w:rsid w:val="15CC1BB7"/>
    <w:rsid w:val="163634D4"/>
    <w:rsid w:val="16445BF1"/>
    <w:rsid w:val="16A8729C"/>
    <w:rsid w:val="16B33777"/>
    <w:rsid w:val="16BC70A7"/>
    <w:rsid w:val="16C6339E"/>
    <w:rsid w:val="172F2D79"/>
    <w:rsid w:val="1732013F"/>
    <w:rsid w:val="17557BEF"/>
    <w:rsid w:val="177469AA"/>
    <w:rsid w:val="178A6601"/>
    <w:rsid w:val="17D349C1"/>
    <w:rsid w:val="1830729E"/>
    <w:rsid w:val="18664544"/>
    <w:rsid w:val="1870062C"/>
    <w:rsid w:val="18817102"/>
    <w:rsid w:val="18830A15"/>
    <w:rsid w:val="18852B28"/>
    <w:rsid w:val="188B5321"/>
    <w:rsid w:val="18A46E1B"/>
    <w:rsid w:val="18EA78A5"/>
    <w:rsid w:val="19152FB8"/>
    <w:rsid w:val="19154D77"/>
    <w:rsid w:val="19274AEC"/>
    <w:rsid w:val="19932372"/>
    <w:rsid w:val="19A20DD5"/>
    <w:rsid w:val="19AE03F1"/>
    <w:rsid w:val="1A071A03"/>
    <w:rsid w:val="1A1D6E85"/>
    <w:rsid w:val="1A1F16AE"/>
    <w:rsid w:val="1A3B5C77"/>
    <w:rsid w:val="1A8A3DEE"/>
    <w:rsid w:val="1A8F0467"/>
    <w:rsid w:val="1A984BAD"/>
    <w:rsid w:val="1AB8220E"/>
    <w:rsid w:val="1ADF487C"/>
    <w:rsid w:val="1AE4166C"/>
    <w:rsid w:val="1AF06CFB"/>
    <w:rsid w:val="1AF11B8D"/>
    <w:rsid w:val="1B0B3181"/>
    <w:rsid w:val="1B11359C"/>
    <w:rsid w:val="1B2A271F"/>
    <w:rsid w:val="1B530544"/>
    <w:rsid w:val="1B713184"/>
    <w:rsid w:val="1B7559FA"/>
    <w:rsid w:val="1B9F38C9"/>
    <w:rsid w:val="1BA209CF"/>
    <w:rsid w:val="1BB4777D"/>
    <w:rsid w:val="1BB70499"/>
    <w:rsid w:val="1BC2169D"/>
    <w:rsid w:val="1BD75AB8"/>
    <w:rsid w:val="1C0459C2"/>
    <w:rsid w:val="1C0F6C20"/>
    <w:rsid w:val="1C1B3B4A"/>
    <w:rsid w:val="1C7D0304"/>
    <w:rsid w:val="1C88086E"/>
    <w:rsid w:val="1CE25AD0"/>
    <w:rsid w:val="1CED5082"/>
    <w:rsid w:val="1D235971"/>
    <w:rsid w:val="1D266CE1"/>
    <w:rsid w:val="1D3963AF"/>
    <w:rsid w:val="1D6A673C"/>
    <w:rsid w:val="1D9247AE"/>
    <w:rsid w:val="1D927B08"/>
    <w:rsid w:val="1DAC1CBF"/>
    <w:rsid w:val="1DB567EC"/>
    <w:rsid w:val="1DF51A98"/>
    <w:rsid w:val="1E110AAE"/>
    <w:rsid w:val="1E3D060F"/>
    <w:rsid w:val="1E3F7D2E"/>
    <w:rsid w:val="1E4134E4"/>
    <w:rsid w:val="1E5062B3"/>
    <w:rsid w:val="1E5170FD"/>
    <w:rsid w:val="1E523514"/>
    <w:rsid w:val="1E6432D4"/>
    <w:rsid w:val="1E714A66"/>
    <w:rsid w:val="1E730369"/>
    <w:rsid w:val="1E74103D"/>
    <w:rsid w:val="1E802593"/>
    <w:rsid w:val="1EA703CC"/>
    <w:rsid w:val="1EB7330C"/>
    <w:rsid w:val="1EFC388E"/>
    <w:rsid w:val="1F093E7B"/>
    <w:rsid w:val="1F0A0FF3"/>
    <w:rsid w:val="1F424E16"/>
    <w:rsid w:val="1F4F020A"/>
    <w:rsid w:val="1F5771FF"/>
    <w:rsid w:val="1FBA6F24"/>
    <w:rsid w:val="1FE868A9"/>
    <w:rsid w:val="20034907"/>
    <w:rsid w:val="200E79F1"/>
    <w:rsid w:val="20173E4B"/>
    <w:rsid w:val="201E48A5"/>
    <w:rsid w:val="20457135"/>
    <w:rsid w:val="204607B7"/>
    <w:rsid w:val="20471345"/>
    <w:rsid w:val="204E48BC"/>
    <w:rsid w:val="208921B3"/>
    <w:rsid w:val="20973DEB"/>
    <w:rsid w:val="20B26522"/>
    <w:rsid w:val="20B44310"/>
    <w:rsid w:val="20DD2ECA"/>
    <w:rsid w:val="20F7153D"/>
    <w:rsid w:val="211116EB"/>
    <w:rsid w:val="21464F13"/>
    <w:rsid w:val="215238B8"/>
    <w:rsid w:val="216133FC"/>
    <w:rsid w:val="219537A4"/>
    <w:rsid w:val="21D56769"/>
    <w:rsid w:val="21E52EF3"/>
    <w:rsid w:val="21FB5D7B"/>
    <w:rsid w:val="220B1C3D"/>
    <w:rsid w:val="221D1D20"/>
    <w:rsid w:val="22331A38"/>
    <w:rsid w:val="22334A87"/>
    <w:rsid w:val="22A26317"/>
    <w:rsid w:val="22BE6801"/>
    <w:rsid w:val="22BF31CF"/>
    <w:rsid w:val="22CA2A17"/>
    <w:rsid w:val="23071089"/>
    <w:rsid w:val="231150AD"/>
    <w:rsid w:val="23164DB9"/>
    <w:rsid w:val="233500BF"/>
    <w:rsid w:val="23366A59"/>
    <w:rsid w:val="23377FF7"/>
    <w:rsid w:val="236B425F"/>
    <w:rsid w:val="237A203E"/>
    <w:rsid w:val="23836192"/>
    <w:rsid w:val="23901F29"/>
    <w:rsid w:val="23906919"/>
    <w:rsid w:val="239C0061"/>
    <w:rsid w:val="23A45F21"/>
    <w:rsid w:val="23B908A4"/>
    <w:rsid w:val="23E95BEF"/>
    <w:rsid w:val="23FD0064"/>
    <w:rsid w:val="24205B7E"/>
    <w:rsid w:val="245375B0"/>
    <w:rsid w:val="24642C0A"/>
    <w:rsid w:val="246F473A"/>
    <w:rsid w:val="246F652F"/>
    <w:rsid w:val="24B22173"/>
    <w:rsid w:val="24B95AD9"/>
    <w:rsid w:val="24BE24DA"/>
    <w:rsid w:val="24CF5825"/>
    <w:rsid w:val="24D663E6"/>
    <w:rsid w:val="24D77F2B"/>
    <w:rsid w:val="24ED589C"/>
    <w:rsid w:val="251315B0"/>
    <w:rsid w:val="251C31E3"/>
    <w:rsid w:val="25781413"/>
    <w:rsid w:val="258B00E2"/>
    <w:rsid w:val="25A917A6"/>
    <w:rsid w:val="25BE27CC"/>
    <w:rsid w:val="25F74A5C"/>
    <w:rsid w:val="25F863A3"/>
    <w:rsid w:val="2628662C"/>
    <w:rsid w:val="262D45DE"/>
    <w:rsid w:val="2668554F"/>
    <w:rsid w:val="266A4519"/>
    <w:rsid w:val="26831BBC"/>
    <w:rsid w:val="2686549E"/>
    <w:rsid w:val="26995BB7"/>
    <w:rsid w:val="26A53EF9"/>
    <w:rsid w:val="26A94201"/>
    <w:rsid w:val="26AC274F"/>
    <w:rsid w:val="26C1503C"/>
    <w:rsid w:val="27044A29"/>
    <w:rsid w:val="27084A19"/>
    <w:rsid w:val="271D34C8"/>
    <w:rsid w:val="276142BF"/>
    <w:rsid w:val="27783712"/>
    <w:rsid w:val="27907362"/>
    <w:rsid w:val="28333E1D"/>
    <w:rsid w:val="28454BD6"/>
    <w:rsid w:val="28455253"/>
    <w:rsid w:val="28472674"/>
    <w:rsid w:val="28551971"/>
    <w:rsid w:val="285B1C53"/>
    <w:rsid w:val="285F39CD"/>
    <w:rsid w:val="288E0F4E"/>
    <w:rsid w:val="289F7086"/>
    <w:rsid w:val="28C32028"/>
    <w:rsid w:val="28C610C5"/>
    <w:rsid w:val="28CC490F"/>
    <w:rsid w:val="28DE40AA"/>
    <w:rsid w:val="2915627C"/>
    <w:rsid w:val="292A511A"/>
    <w:rsid w:val="29345E77"/>
    <w:rsid w:val="293A4A71"/>
    <w:rsid w:val="293B2686"/>
    <w:rsid w:val="294C65AD"/>
    <w:rsid w:val="296B435E"/>
    <w:rsid w:val="29806583"/>
    <w:rsid w:val="298B3C4C"/>
    <w:rsid w:val="298C36DF"/>
    <w:rsid w:val="29CD4F75"/>
    <w:rsid w:val="29F26D24"/>
    <w:rsid w:val="29F37C02"/>
    <w:rsid w:val="2A147737"/>
    <w:rsid w:val="2A15033F"/>
    <w:rsid w:val="2A1662C1"/>
    <w:rsid w:val="2A1C7367"/>
    <w:rsid w:val="2A2815FA"/>
    <w:rsid w:val="2A4E45E1"/>
    <w:rsid w:val="2A6D6092"/>
    <w:rsid w:val="2A7D76B4"/>
    <w:rsid w:val="2AD20F52"/>
    <w:rsid w:val="2B437463"/>
    <w:rsid w:val="2B6F150A"/>
    <w:rsid w:val="2B7807EE"/>
    <w:rsid w:val="2BAF1907"/>
    <w:rsid w:val="2BBF00EC"/>
    <w:rsid w:val="2BC17995"/>
    <w:rsid w:val="2BC37CFD"/>
    <w:rsid w:val="2BCE6231"/>
    <w:rsid w:val="2BD5237F"/>
    <w:rsid w:val="2BE536CE"/>
    <w:rsid w:val="2BE758D9"/>
    <w:rsid w:val="2BE961B4"/>
    <w:rsid w:val="2BF064A3"/>
    <w:rsid w:val="2C09049E"/>
    <w:rsid w:val="2C0A653C"/>
    <w:rsid w:val="2C1724E2"/>
    <w:rsid w:val="2C191F85"/>
    <w:rsid w:val="2C1D2D14"/>
    <w:rsid w:val="2C284576"/>
    <w:rsid w:val="2C631A05"/>
    <w:rsid w:val="2CA0272E"/>
    <w:rsid w:val="2CE61079"/>
    <w:rsid w:val="2CE82D6F"/>
    <w:rsid w:val="2CF51139"/>
    <w:rsid w:val="2D343236"/>
    <w:rsid w:val="2D371BB4"/>
    <w:rsid w:val="2D3B0E53"/>
    <w:rsid w:val="2D6329A9"/>
    <w:rsid w:val="2D8D5C78"/>
    <w:rsid w:val="2D8D7A26"/>
    <w:rsid w:val="2DB66F7C"/>
    <w:rsid w:val="2DD15014"/>
    <w:rsid w:val="2DD815E9"/>
    <w:rsid w:val="2DF72DE4"/>
    <w:rsid w:val="2E0220AF"/>
    <w:rsid w:val="2E3D585B"/>
    <w:rsid w:val="2E4439CA"/>
    <w:rsid w:val="2E483EDC"/>
    <w:rsid w:val="2E4B082A"/>
    <w:rsid w:val="2E5D4E86"/>
    <w:rsid w:val="2E5D790B"/>
    <w:rsid w:val="2E6E7857"/>
    <w:rsid w:val="2E94000F"/>
    <w:rsid w:val="2E9A3C18"/>
    <w:rsid w:val="2EB13DB7"/>
    <w:rsid w:val="2EB23BE8"/>
    <w:rsid w:val="2EBB0FEE"/>
    <w:rsid w:val="2EC63002"/>
    <w:rsid w:val="2EC92CDF"/>
    <w:rsid w:val="2ECB5DDA"/>
    <w:rsid w:val="2ED47E3A"/>
    <w:rsid w:val="2F0A6B38"/>
    <w:rsid w:val="2F5A5701"/>
    <w:rsid w:val="2F5B58FA"/>
    <w:rsid w:val="2F6824F8"/>
    <w:rsid w:val="2F740E9D"/>
    <w:rsid w:val="2F946CCB"/>
    <w:rsid w:val="2FA23C5C"/>
    <w:rsid w:val="2FB254A3"/>
    <w:rsid w:val="2FD25781"/>
    <w:rsid w:val="2FFD7934"/>
    <w:rsid w:val="3000392C"/>
    <w:rsid w:val="30733ACD"/>
    <w:rsid w:val="307D25CF"/>
    <w:rsid w:val="30863E3A"/>
    <w:rsid w:val="308C3862"/>
    <w:rsid w:val="309379D8"/>
    <w:rsid w:val="30A270F7"/>
    <w:rsid w:val="30DF1478"/>
    <w:rsid w:val="30EC586F"/>
    <w:rsid w:val="31945827"/>
    <w:rsid w:val="319941E5"/>
    <w:rsid w:val="319C6071"/>
    <w:rsid w:val="31A82D30"/>
    <w:rsid w:val="31AB498B"/>
    <w:rsid w:val="31AC537E"/>
    <w:rsid w:val="31AF440F"/>
    <w:rsid w:val="31B77F20"/>
    <w:rsid w:val="31E3679B"/>
    <w:rsid w:val="31E732FD"/>
    <w:rsid w:val="31FF2DAD"/>
    <w:rsid w:val="323272AC"/>
    <w:rsid w:val="324E3C27"/>
    <w:rsid w:val="32517576"/>
    <w:rsid w:val="32B83797"/>
    <w:rsid w:val="32BE5C2C"/>
    <w:rsid w:val="32FB6478"/>
    <w:rsid w:val="330B54AB"/>
    <w:rsid w:val="33263B3F"/>
    <w:rsid w:val="3330332D"/>
    <w:rsid w:val="33636E1C"/>
    <w:rsid w:val="336963EB"/>
    <w:rsid w:val="33816EEB"/>
    <w:rsid w:val="33B406F8"/>
    <w:rsid w:val="33EB55CD"/>
    <w:rsid w:val="33EC4C02"/>
    <w:rsid w:val="340D2360"/>
    <w:rsid w:val="3410665D"/>
    <w:rsid w:val="34211214"/>
    <w:rsid w:val="342E63AB"/>
    <w:rsid w:val="343520A9"/>
    <w:rsid w:val="34436396"/>
    <w:rsid w:val="346D1020"/>
    <w:rsid w:val="34950E68"/>
    <w:rsid w:val="34986E94"/>
    <w:rsid w:val="34AF62C9"/>
    <w:rsid w:val="34C72CAD"/>
    <w:rsid w:val="34CB4388"/>
    <w:rsid w:val="34D522FE"/>
    <w:rsid w:val="34F9418F"/>
    <w:rsid w:val="34FA6E12"/>
    <w:rsid w:val="35373099"/>
    <w:rsid w:val="35825892"/>
    <w:rsid w:val="358540C7"/>
    <w:rsid w:val="358D5588"/>
    <w:rsid w:val="359E6C74"/>
    <w:rsid w:val="359F0C3E"/>
    <w:rsid w:val="35B93AAE"/>
    <w:rsid w:val="35EC25C5"/>
    <w:rsid w:val="360B4FFE"/>
    <w:rsid w:val="36323860"/>
    <w:rsid w:val="363A3B40"/>
    <w:rsid w:val="363B2715"/>
    <w:rsid w:val="365302AE"/>
    <w:rsid w:val="36607A0A"/>
    <w:rsid w:val="366E227C"/>
    <w:rsid w:val="366F2E0D"/>
    <w:rsid w:val="367B6A5C"/>
    <w:rsid w:val="3699743B"/>
    <w:rsid w:val="36A74ADA"/>
    <w:rsid w:val="36AD60D5"/>
    <w:rsid w:val="36B224F9"/>
    <w:rsid w:val="36DA1F2E"/>
    <w:rsid w:val="36EC0CC9"/>
    <w:rsid w:val="3711724A"/>
    <w:rsid w:val="372C4753"/>
    <w:rsid w:val="373F410B"/>
    <w:rsid w:val="37A161FF"/>
    <w:rsid w:val="37EE7094"/>
    <w:rsid w:val="381E0825"/>
    <w:rsid w:val="38221A39"/>
    <w:rsid w:val="38296C89"/>
    <w:rsid w:val="383002EB"/>
    <w:rsid w:val="38586797"/>
    <w:rsid w:val="38BC0149"/>
    <w:rsid w:val="38D87D1C"/>
    <w:rsid w:val="392E1805"/>
    <w:rsid w:val="39636459"/>
    <w:rsid w:val="396843AB"/>
    <w:rsid w:val="396B7F6C"/>
    <w:rsid w:val="39974106"/>
    <w:rsid w:val="399D1BD1"/>
    <w:rsid w:val="39B417A9"/>
    <w:rsid w:val="39E6508D"/>
    <w:rsid w:val="39FC21BB"/>
    <w:rsid w:val="39FC5695"/>
    <w:rsid w:val="3A006D8E"/>
    <w:rsid w:val="3A3651E5"/>
    <w:rsid w:val="3A56234B"/>
    <w:rsid w:val="3A744481"/>
    <w:rsid w:val="3A8C7BEF"/>
    <w:rsid w:val="3A906246"/>
    <w:rsid w:val="3AE0388B"/>
    <w:rsid w:val="3B2349B7"/>
    <w:rsid w:val="3B334AC4"/>
    <w:rsid w:val="3B616CFF"/>
    <w:rsid w:val="3B6259F6"/>
    <w:rsid w:val="3B687B9A"/>
    <w:rsid w:val="3B976654"/>
    <w:rsid w:val="3B9E4EF8"/>
    <w:rsid w:val="3BC01EFC"/>
    <w:rsid w:val="3BCA786A"/>
    <w:rsid w:val="3BD31E2F"/>
    <w:rsid w:val="3BF15831"/>
    <w:rsid w:val="3C074E47"/>
    <w:rsid w:val="3C105946"/>
    <w:rsid w:val="3C3D7980"/>
    <w:rsid w:val="3C4632BA"/>
    <w:rsid w:val="3C471448"/>
    <w:rsid w:val="3C4C0A09"/>
    <w:rsid w:val="3C5F759A"/>
    <w:rsid w:val="3C6C525A"/>
    <w:rsid w:val="3C776471"/>
    <w:rsid w:val="3C8A1D00"/>
    <w:rsid w:val="3CCE23CB"/>
    <w:rsid w:val="3CD17D17"/>
    <w:rsid w:val="3CE86EF9"/>
    <w:rsid w:val="3CFD6976"/>
    <w:rsid w:val="3D3C7F39"/>
    <w:rsid w:val="3D440F09"/>
    <w:rsid w:val="3D4504A0"/>
    <w:rsid w:val="3D567E34"/>
    <w:rsid w:val="3D8734BB"/>
    <w:rsid w:val="3D9A11D4"/>
    <w:rsid w:val="3DA16D89"/>
    <w:rsid w:val="3DA364BE"/>
    <w:rsid w:val="3DA94D57"/>
    <w:rsid w:val="3DE041CB"/>
    <w:rsid w:val="3E0D48F6"/>
    <w:rsid w:val="3E0E6961"/>
    <w:rsid w:val="3E175815"/>
    <w:rsid w:val="3E1868B4"/>
    <w:rsid w:val="3E377251"/>
    <w:rsid w:val="3E42664B"/>
    <w:rsid w:val="3E4F2E2D"/>
    <w:rsid w:val="3E5A7334"/>
    <w:rsid w:val="3E5D6110"/>
    <w:rsid w:val="3E7B5D6B"/>
    <w:rsid w:val="3E843E66"/>
    <w:rsid w:val="3E8F51FE"/>
    <w:rsid w:val="3E926F87"/>
    <w:rsid w:val="3E9A59DE"/>
    <w:rsid w:val="3EAF4836"/>
    <w:rsid w:val="3EC33DFA"/>
    <w:rsid w:val="3F060E16"/>
    <w:rsid w:val="3F1D1096"/>
    <w:rsid w:val="3F2006FA"/>
    <w:rsid w:val="3F2F0234"/>
    <w:rsid w:val="3F6363FE"/>
    <w:rsid w:val="3F756B8F"/>
    <w:rsid w:val="3F88629F"/>
    <w:rsid w:val="3F95482B"/>
    <w:rsid w:val="3F9E55AA"/>
    <w:rsid w:val="3FF658FE"/>
    <w:rsid w:val="3FFB31E3"/>
    <w:rsid w:val="40073F99"/>
    <w:rsid w:val="400C3FD4"/>
    <w:rsid w:val="4019356B"/>
    <w:rsid w:val="40592157"/>
    <w:rsid w:val="406E1CAE"/>
    <w:rsid w:val="40A0133A"/>
    <w:rsid w:val="40A634B2"/>
    <w:rsid w:val="40AC7289"/>
    <w:rsid w:val="40BE01CA"/>
    <w:rsid w:val="40C31A53"/>
    <w:rsid w:val="40CF23D7"/>
    <w:rsid w:val="40ED6D01"/>
    <w:rsid w:val="40EF55BB"/>
    <w:rsid w:val="40FF545D"/>
    <w:rsid w:val="410067C8"/>
    <w:rsid w:val="41015EE4"/>
    <w:rsid w:val="41483F38"/>
    <w:rsid w:val="41667070"/>
    <w:rsid w:val="417B255F"/>
    <w:rsid w:val="418F0D2A"/>
    <w:rsid w:val="41C95079"/>
    <w:rsid w:val="41D01505"/>
    <w:rsid w:val="41E86103"/>
    <w:rsid w:val="41F850FE"/>
    <w:rsid w:val="41FA7928"/>
    <w:rsid w:val="42116A20"/>
    <w:rsid w:val="42380450"/>
    <w:rsid w:val="42474939"/>
    <w:rsid w:val="424C3C57"/>
    <w:rsid w:val="425E0A70"/>
    <w:rsid w:val="42613FF3"/>
    <w:rsid w:val="42660D96"/>
    <w:rsid w:val="428667D2"/>
    <w:rsid w:val="428D1681"/>
    <w:rsid w:val="42CD1CE0"/>
    <w:rsid w:val="42E1381E"/>
    <w:rsid w:val="42ED6459"/>
    <w:rsid w:val="42FE58DD"/>
    <w:rsid w:val="43174B3D"/>
    <w:rsid w:val="434B790E"/>
    <w:rsid w:val="4360274F"/>
    <w:rsid w:val="43615785"/>
    <w:rsid w:val="436239D7"/>
    <w:rsid w:val="43977AB6"/>
    <w:rsid w:val="43A3342B"/>
    <w:rsid w:val="43C77C27"/>
    <w:rsid w:val="43DE09EE"/>
    <w:rsid w:val="44002FAD"/>
    <w:rsid w:val="44230470"/>
    <w:rsid w:val="44496945"/>
    <w:rsid w:val="445F0B62"/>
    <w:rsid w:val="4475773A"/>
    <w:rsid w:val="449101DD"/>
    <w:rsid w:val="44BA15F0"/>
    <w:rsid w:val="44DE1391"/>
    <w:rsid w:val="44E81B7F"/>
    <w:rsid w:val="450D7211"/>
    <w:rsid w:val="451B225C"/>
    <w:rsid w:val="452410C9"/>
    <w:rsid w:val="4530540F"/>
    <w:rsid w:val="45317DFB"/>
    <w:rsid w:val="45367649"/>
    <w:rsid w:val="456D3CE4"/>
    <w:rsid w:val="4579042C"/>
    <w:rsid w:val="457E6AB3"/>
    <w:rsid w:val="457F0571"/>
    <w:rsid w:val="45851176"/>
    <w:rsid w:val="459704BE"/>
    <w:rsid w:val="45991206"/>
    <w:rsid w:val="45C63B94"/>
    <w:rsid w:val="460E7DA5"/>
    <w:rsid w:val="46422483"/>
    <w:rsid w:val="464B6EA4"/>
    <w:rsid w:val="4659254A"/>
    <w:rsid w:val="465B0637"/>
    <w:rsid w:val="465E3F0D"/>
    <w:rsid w:val="46630F96"/>
    <w:rsid w:val="466A16E6"/>
    <w:rsid w:val="46893F2B"/>
    <w:rsid w:val="46C4686E"/>
    <w:rsid w:val="46F030A7"/>
    <w:rsid w:val="477B778F"/>
    <w:rsid w:val="478203EC"/>
    <w:rsid w:val="47B025FA"/>
    <w:rsid w:val="47DA580B"/>
    <w:rsid w:val="47E70706"/>
    <w:rsid w:val="4809698F"/>
    <w:rsid w:val="480C5CBF"/>
    <w:rsid w:val="4811697D"/>
    <w:rsid w:val="487A3E25"/>
    <w:rsid w:val="487F1A82"/>
    <w:rsid w:val="488B5503"/>
    <w:rsid w:val="48937E21"/>
    <w:rsid w:val="489A0361"/>
    <w:rsid w:val="48A26623"/>
    <w:rsid w:val="48B94FF3"/>
    <w:rsid w:val="48BF16F9"/>
    <w:rsid w:val="48E37AAB"/>
    <w:rsid w:val="48FD4B4C"/>
    <w:rsid w:val="490A68E0"/>
    <w:rsid w:val="491055FE"/>
    <w:rsid w:val="49234D8E"/>
    <w:rsid w:val="49396F88"/>
    <w:rsid w:val="493F2815"/>
    <w:rsid w:val="495F5B3E"/>
    <w:rsid w:val="49660399"/>
    <w:rsid w:val="496F77D7"/>
    <w:rsid w:val="497654FD"/>
    <w:rsid w:val="49B64211"/>
    <w:rsid w:val="49BC3715"/>
    <w:rsid w:val="49C41430"/>
    <w:rsid w:val="49F6167F"/>
    <w:rsid w:val="4A064FA0"/>
    <w:rsid w:val="4A16615C"/>
    <w:rsid w:val="4A4424D7"/>
    <w:rsid w:val="4A7E09CA"/>
    <w:rsid w:val="4AB82D0F"/>
    <w:rsid w:val="4AB97C54"/>
    <w:rsid w:val="4AC00FE3"/>
    <w:rsid w:val="4AEB7664"/>
    <w:rsid w:val="4AFD7C19"/>
    <w:rsid w:val="4B0567D1"/>
    <w:rsid w:val="4B236AAE"/>
    <w:rsid w:val="4B704048"/>
    <w:rsid w:val="4B707271"/>
    <w:rsid w:val="4B9739F7"/>
    <w:rsid w:val="4BC74D60"/>
    <w:rsid w:val="4BD25472"/>
    <w:rsid w:val="4BEE2503"/>
    <w:rsid w:val="4C245A30"/>
    <w:rsid w:val="4CB6685F"/>
    <w:rsid w:val="4CC367FE"/>
    <w:rsid w:val="4D077F3C"/>
    <w:rsid w:val="4D0B7988"/>
    <w:rsid w:val="4D123355"/>
    <w:rsid w:val="4D1545BB"/>
    <w:rsid w:val="4D2A3B31"/>
    <w:rsid w:val="4D312C52"/>
    <w:rsid w:val="4D5B43AB"/>
    <w:rsid w:val="4D8973D9"/>
    <w:rsid w:val="4D905305"/>
    <w:rsid w:val="4D964A72"/>
    <w:rsid w:val="4D9C1254"/>
    <w:rsid w:val="4DE14B44"/>
    <w:rsid w:val="4DF0398D"/>
    <w:rsid w:val="4E793892"/>
    <w:rsid w:val="4E800872"/>
    <w:rsid w:val="4EC569ED"/>
    <w:rsid w:val="4ED50EA1"/>
    <w:rsid w:val="4ED82BCE"/>
    <w:rsid w:val="4EEC050C"/>
    <w:rsid w:val="4F104EC3"/>
    <w:rsid w:val="4F1D07B2"/>
    <w:rsid w:val="4F240A83"/>
    <w:rsid w:val="4F2B4E5D"/>
    <w:rsid w:val="4F31789C"/>
    <w:rsid w:val="4F47354A"/>
    <w:rsid w:val="4F911C54"/>
    <w:rsid w:val="4FA64C4B"/>
    <w:rsid w:val="4FB84C92"/>
    <w:rsid w:val="4FE625E0"/>
    <w:rsid w:val="50084580"/>
    <w:rsid w:val="501F0559"/>
    <w:rsid w:val="50211ADF"/>
    <w:rsid w:val="5021480F"/>
    <w:rsid w:val="5035610E"/>
    <w:rsid w:val="503E6CFA"/>
    <w:rsid w:val="50962ECB"/>
    <w:rsid w:val="50A42E38"/>
    <w:rsid w:val="50A4577F"/>
    <w:rsid w:val="50B73D1F"/>
    <w:rsid w:val="50BD5BC9"/>
    <w:rsid w:val="50C11EEE"/>
    <w:rsid w:val="50D21A70"/>
    <w:rsid w:val="50E97CFC"/>
    <w:rsid w:val="50FA4028"/>
    <w:rsid w:val="510D65B7"/>
    <w:rsid w:val="511157AB"/>
    <w:rsid w:val="511B3845"/>
    <w:rsid w:val="51407535"/>
    <w:rsid w:val="5142540C"/>
    <w:rsid w:val="51790487"/>
    <w:rsid w:val="518832C8"/>
    <w:rsid w:val="51A0432A"/>
    <w:rsid w:val="51A86090"/>
    <w:rsid w:val="51B7396D"/>
    <w:rsid w:val="5209326F"/>
    <w:rsid w:val="522E4CC3"/>
    <w:rsid w:val="5244713B"/>
    <w:rsid w:val="52522E68"/>
    <w:rsid w:val="52615633"/>
    <w:rsid w:val="528C45CC"/>
    <w:rsid w:val="52977FD4"/>
    <w:rsid w:val="52A25790"/>
    <w:rsid w:val="52A96B6F"/>
    <w:rsid w:val="52B45975"/>
    <w:rsid w:val="52BE405A"/>
    <w:rsid w:val="52D94AA4"/>
    <w:rsid w:val="52DF7E72"/>
    <w:rsid w:val="52EA3A62"/>
    <w:rsid w:val="52F50BB8"/>
    <w:rsid w:val="530028C4"/>
    <w:rsid w:val="53097272"/>
    <w:rsid w:val="53544462"/>
    <w:rsid w:val="5397158E"/>
    <w:rsid w:val="54013861"/>
    <w:rsid w:val="543640C4"/>
    <w:rsid w:val="54487265"/>
    <w:rsid w:val="544D6070"/>
    <w:rsid w:val="54605E1E"/>
    <w:rsid w:val="54B3506A"/>
    <w:rsid w:val="54CA0D16"/>
    <w:rsid w:val="54DD4057"/>
    <w:rsid w:val="54E7490F"/>
    <w:rsid w:val="550764A4"/>
    <w:rsid w:val="550B2BF6"/>
    <w:rsid w:val="55214EB5"/>
    <w:rsid w:val="55264138"/>
    <w:rsid w:val="55364EFD"/>
    <w:rsid w:val="555D4828"/>
    <w:rsid w:val="556422E7"/>
    <w:rsid w:val="556D17E3"/>
    <w:rsid w:val="557A4C8B"/>
    <w:rsid w:val="558931E1"/>
    <w:rsid w:val="55923347"/>
    <w:rsid w:val="55925180"/>
    <w:rsid w:val="55983B1B"/>
    <w:rsid w:val="55986DE4"/>
    <w:rsid w:val="559B3AE7"/>
    <w:rsid w:val="55A8376B"/>
    <w:rsid w:val="55BD67C1"/>
    <w:rsid w:val="55DC29B6"/>
    <w:rsid w:val="55DD4241"/>
    <w:rsid w:val="563034C0"/>
    <w:rsid w:val="56323CAD"/>
    <w:rsid w:val="563D798B"/>
    <w:rsid w:val="566B6D1E"/>
    <w:rsid w:val="567B73A7"/>
    <w:rsid w:val="56B440F1"/>
    <w:rsid w:val="56D57BC4"/>
    <w:rsid w:val="56FA762A"/>
    <w:rsid w:val="57032A2C"/>
    <w:rsid w:val="570F5219"/>
    <w:rsid w:val="571B7CCD"/>
    <w:rsid w:val="575D12B5"/>
    <w:rsid w:val="57610A87"/>
    <w:rsid w:val="577B1140"/>
    <w:rsid w:val="577B4C0F"/>
    <w:rsid w:val="577B7F21"/>
    <w:rsid w:val="577F181B"/>
    <w:rsid w:val="57921984"/>
    <w:rsid w:val="579737F0"/>
    <w:rsid w:val="57AB7B30"/>
    <w:rsid w:val="57AF5251"/>
    <w:rsid w:val="57B26373"/>
    <w:rsid w:val="57B63F04"/>
    <w:rsid w:val="57BE4AFC"/>
    <w:rsid w:val="57CD20C2"/>
    <w:rsid w:val="57D675AB"/>
    <w:rsid w:val="57D95FDD"/>
    <w:rsid w:val="580E15DF"/>
    <w:rsid w:val="5878114F"/>
    <w:rsid w:val="58917D2F"/>
    <w:rsid w:val="5894085C"/>
    <w:rsid w:val="58AE4F0C"/>
    <w:rsid w:val="58B85899"/>
    <w:rsid w:val="58DC4708"/>
    <w:rsid w:val="58E363A9"/>
    <w:rsid w:val="595E1678"/>
    <w:rsid w:val="5966544B"/>
    <w:rsid w:val="596D5BD4"/>
    <w:rsid w:val="597E3DD8"/>
    <w:rsid w:val="5994518E"/>
    <w:rsid w:val="59E3084A"/>
    <w:rsid w:val="59F80043"/>
    <w:rsid w:val="5A09252F"/>
    <w:rsid w:val="5A0A5DD6"/>
    <w:rsid w:val="5A0B2778"/>
    <w:rsid w:val="5A0B4023"/>
    <w:rsid w:val="5A2A7C7B"/>
    <w:rsid w:val="5A3D405D"/>
    <w:rsid w:val="5A3E2560"/>
    <w:rsid w:val="5A5D3B6E"/>
    <w:rsid w:val="5A637A76"/>
    <w:rsid w:val="5A671778"/>
    <w:rsid w:val="5A6D33BA"/>
    <w:rsid w:val="5A792B1F"/>
    <w:rsid w:val="5A874767"/>
    <w:rsid w:val="5AAD6F28"/>
    <w:rsid w:val="5AB6080C"/>
    <w:rsid w:val="5ABA15AB"/>
    <w:rsid w:val="5AD63A24"/>
    <w:rsid w:val="5B093AAC"/>
    <w:rsid w:val="5B136AE5"/>
    <w:rsid w:val="5B2131D1"/>
    <w:rsid w:val="5B2E1A1D"/>
    <w:rsid w:val="5B7A2844"/>
    <w:rsid w:val="5B7E082A"/>
    <w:rsid w:val="5B843A1C"/>
    <w:rsid w:val="5B873E3F"/>
    <w:rsid w:val="5B904E39"/>
    <w:rsid w:val="5C02690E"/>
    <w:rsid w:val="5C196DA7"/>
    <w:rsid w:val="5C2A048C"/>
    <w:rsid w:val="5C80234E"/>
    <w:rsid w:val="5C826EC1"/>
    <w:rsid w:val="5C8A680C"/>
    <w:rsid w:val="5C9B540C"/>
    <w:rsid w:val="5C9E3D89"/>
    <w:rsid w:val="5D0C4701"/>
    <w:rsid w:val="5D0F0395"/>
    <w:rsid w:val="5D1171E9"/>
    <w:rsid w:val="5D1D3926"/>
    <w:rsid w:val="5D221076"/>
    <w:rsid w:val="5D397964"/>
    <w:rsid w:val="5D5A391C"/>
    <w:rsid w:val="5D5F10C0"/>
    <w:rsid w:val="5D70362F"/>
    <w:rsid w:val="5D891B7B"/>
    <w:rsid w:val="5D940207"/>
    <w:rsid w:val="5DAA3B58"/>
    <w:rsid w:val="5DAD38EE"/>
    <w:rsid w:val="5E006862"/>
    <w:rsid w:val="5E0207B9"/>
    <w:rsid w:val="5E1834A1"/>
    <w:rsid w:val="5E196F30"/>
    <w:rsid w:val="5E261785"/>
    <w:rsid w:val="5E2C0A11"/>
    <w:rsid w:val="5E4A7017"/>
    <w:rsid w:val="5E552BBA"/>
    <w:rsid w:val="5E611C10"/>
    <w:rsid w:val="5EAC7FCC"/>
    <w:rsid w:val="5ECA0DD2"/>
    <w:rsid w:val="5EFC7377"/>
    <w:rsid w:val="5F06174D"/>
    <w:rsid w:val="5F074FDA"/>
    <w:rsid w:val="5F105C3D"/>
    <w:rsid w:val="5F3A3602"/>
    <w:rsid w:val="5F447FDD"/>
    <w:rsid w:val="5F512A75"/>
    <w:rsid w:val="5F6277C6"/>
    <w:rsid w:val="5F6B7317"/>
    <w:rsid w:val="5F6D0B1D"/>
    <w:rsid w:val="5F8D0B82"/>
    <w:rsid w:val="5FCC5339"/>
    <w:rsid w:val="5FCF60D4"/>
    <w:rsid w:val="5FE34A5B"/>
    <w:rsid w:val="5FFE1E36"/>
    <w:rsid w:val="5FFF5D52"/>
    <w:rsid w:val="600A6903"/>
    <w:rsid w:val="60232584"/>
    <w:rsid w:val="605E0C2A"/>
    <w:rsid w:val="607330CE"/>
    <w:rsid w:val="60825176"/>
    <w:rsid w:val="609F2AC4"/>
    <w:rsid w:val="60AA20C1"/>
    <w:rsid w:val="60CA6497"/>
    <w:rsid w:val="60FA2EE8"/>
    <w:rsid w:val="61054A27"/>
    <w:rsid w:val="610A52BC"/>
    <w:rsid w:val="611D2366"/>
    <w:rsid w:val="61395EA6"/>
    <w:rsid w:val="61421856"/>
    <w:rsid w:val="61493688"/>
    <w:rsid w:val="615148D9"/>
    <w:rsid w:val="615227C4"/>
    <w:rsid w:val="61654E3F"/>
    <w:rsid w:val="6168031C"/>
    <w:rsid w:val="61691F7C"/>
    <w:rsid w:val="6182292A"/>
    <w:rsid w:val="619D0D81"/>
    <w:rsid w:val="619F7F92"/>
    <w:rsid w:val="61F32CC6"/>
    <w:rsid w:val="61F94C26"/>
    <w:rsid w:val="62000E56"/>
    <w:rsid w:val="624D53FA"/>
    <w:rsid w:val="624F3E49"/>
    <w:rsid w:val="62632286"/>
    <w:rsid w:val="627666FF"/>
    <w:rsid w:val="62885958"/>
    <w:rsid w:val="628A3F58"/>
    <w:rsid w:val="629E2BD8"/>
    <w:rsid w:val="62D954FE"/>
    <w:rsid w:val="62F40B65"/>
    <w:rsid w:val="62FC2CFE"/>
    <w:rsid w:val="63024505"/>
    <w:rsid w:val="63041F5D"/>
    <w:rsid w:val="63141810"/>
    <w:rsid w:val="632E4D86"/>
    <w:rsid w:val="6355139D"/>
    <w:rsid w:val="635B1DB5"/>
    <w:rsid w:val="63711FED"/>
    <w:rsid w:val="637138E3"/>
    <w:rsid w:val="63880DDC"/>
    <w:rsid w:val="638D750D"/>
    <w:rsid w:val="639130C5"/>
    <w:rsid w:val="63AC6CC0"/>
    <w:rsid w:val="64055776"/>
    <w:rsid w:val="64240056"/>
    <w:rsid w:val="643E143A"/>
    <w:rsid w:val="64481FE3"/>
    <w:rsid w:val="646B7DB9"/>
    <w:rsid w:val="648B6EEF"/>
    <w:rsid w:val="64C158BF"/>
    <w:rsid w:val="64CE2EAA"/>
    <w:rsid w:val="64D140C0"/>
    <w:rsid w:val="64F525F7"/>
    <w:rsid w:val="653C3090"/>
    <w:rsid w:val="656071F2"/>
    <w:rsid w:val="65854376"/>
    <w:rsid w:val="658767BE"/>
    <w:rsid w:val="65892531"/>
    <w:rsid w:val="65984BDE"/>
    <w:rsid w:val="65F938CF"/>
    <w:rsid w:val="660B132F"/>
    <w:rsid w:val="66195831"/>
    <w:rsid w:val="662E75B1"/>
    <w:rsid w:val="66342C2E"/>
    <w:rsid w:val="663E784C"/>
    <w:rsid w:val="664459EA"/>
    <w:rsid w:val="66682447"/>
    <w:rsid w:val="668B6A45"/>
    <w:rsid w:val="66DA50B3"/>
    <w:rsid w:val="66E856F1"/>
    <w:rsid w:val="671275A7"/>
    <w:rsid w:val="672C1A82"/>
    <w:rsid w:val="672F3F24"/>
    <w:rsid w:val="673E055F"/>
    <w:rsid w:val="67551CE3"/>
    <w:rsid w:val="678D7C2E"/>
    <w:rsid w:val="67A22552"/>
    <w:rsid w:val="67B22DCC"/>
    <w:rsid w:val="67BD26DA"/>
    <w:rsid w:val="67BE71AA"/>
    <w:rsid w:val="67D90273"/>
    <w:rsid w:val="67DE5875"/>
    <w:rsid w:val="67E55852"/>
    <w:rsid w:val="67E97DFF"/>
    <w:rsid w:val="67EB1AB4"/>
    <w:rsid w:val="67FA1285"/>
    <w:rsid w:val="67FF2DAB"/>
    <w:rsid w:val="6817628E"/>
    <w:rsid w:val="68212C69"/>
    <w:rsid w:val="684D3A5E"/>
    <w:rsid w:val="68551F4F"/>
    <w:rsid w:val="687C10C9"/>
    <w:rsid w:val="68840C16"/>
    <w:rsid w:val="68876EFB"/>
    <w:rsid w:val="68884654"/>
    <w:rsid w:val="68906041"/>
    <w:rsid w:val="689F444F"/>
    <w:rsid w:val="68B96DBB"/>
    <w:rsid w:val="68CA2805"/>
    <w:rsid w:val="68CF6B69"/>
    <w:rsid w:val="68E937A3"/>
    <w:rsid w:val="69163295"/>
    <w:rsid w:val="693E15D3"/>
    <w:rsid w:val="69627681"/>
    <w:rsid w:val="6977531D"/>
    <w:rsid w:val="69B67D29"/>
    <w:rsid w:val="69CC2BFF"/>
    <w:rsid w:val="69FD55B8"/>
    <w:rsid w:val="6A0B1C62"/>
    <w:rsid w:val="6A2406C8"/>
    <w:rsid w:val="6A537326"/>
    <w:rsid w:val="6A8D70A3"/>
    <w:rsid w:val="6A95793E"/>
    <w:rsid w:val="6ACF2E50"/>
    <w:rsid w:val="6ADE0BD1"/>
    <w:rsid w:val="6AE96859"/>
    <w:rsid w:val="6B147746"/>
    <w:rsid w:val="6B24787C"/>
    <w:rsid w:val="6B573233"/>
    <w:rsid w:val="6B5B6274"/>
    <w:rsid w:val="6B855C05"/>
    <w:rsid w:val="6B935D53"/>
    <w:rsid w:val="6B9B2D32"/>
    <w:rsid w:val="6BBC4E93"/>
    <w:rsid w:val="6C196F71"/>
    <w:rsid w:val="6C226FCB"/>
    <w:rsid w:val="6C31226F"/>
    <w:rsid w:val="6C552F0B"/>
    <w:rsid w:val="6C805F49"/>
    <w:rsid w:val="6C8C67B7"/>
    <w:rsid w:val="6C9D744C"/>
    <w:rsid w:val="6D167928"/>
    <w:rsid w:val="6D26299B"/>
    <w:rsid w:val="6D4772EC"/>
    <w:rsid w:val="6D4D2ACF"/>
    <w:rsid w:val="6D9078AF"/>
    <w:rsid w:val="6DAA3FEF"/>
    <w:rsid w:val="6DBD2ACA"/>
    <w:rsid w:val="6DC0172B"/>
    <w:rsid w:val="6DCB690C"/>
    <w:rsid w:val="6DD41A5B"/>
    <w:rsid w:val="6DE2733E"/>
    <w:rsid w:val="6DF43C2E"/>
    <w:rsid w:val="6DF51CA3"/>
    <w:rsid w:val="6E250FD9"/>
    <w:rsid w:val="6E8335BD"/>
    <w:rsid w:val="6E8E12EF"/>
    <w:rsid w:val="6E972936"/>
    <w:rsid w:val="6EBD0317"/>
    <w:rsid w:val="6ED446C5"/>
    <w:rsid w:val="6F2A7D94"/>
    <w:rsid w:val="6F614293"/>
    <w:rsid w:val="6F8331F1"/>
    <w:rsid w:val="6F9B1553"/>
    <w:rsid w:val="6FAE1A09"/>
    <w:rsid w:val="6FD75BF8"/>
    <w:rsid w:val="6FEF5D43"/>
    <w:rsid w:val="70127FF8"/>
    <w:rsid w:val="701E3F32"/>
    <w:rsid w:val="70311EB7"/>
    <w:rsid w:val="70657DB3"/>
    <w:rsid w:val="707723D0"/>
    <w:rsid w:val="70A64653"/>
    <w:rsid w:val="70F5661B"/>
    <w:rsid w:val="71297032"/>
    <w:rsid w:val="71360107"/>
    <w:rsid w:val="713B688E"/>
    <w:rsid w:val="71D43752"/>
    <w:rsid w:val="71F1796A"/>
    <w:rsid w:val="72154626"/>
    <w:rsid w:val="72262B5D"/>
    <w:rsid w:val="72283FF7"/>
    <w:rsid w:val="722E7212"/>
    <w:rsid w:val="723A0474"/>
    <w:rsid w:val="725923E4"/>
    <w:rsid w:val="725974A3"/>
    <w:rsid w:val="726F4F19"/>
    <w:rsid w:val="72864BF7"/>
    <w:rsid w:val="728E1843"/>
    <w:rsid w:val="729023FC"/>
    <w:rsid w:val="72A9667D"/>
    <w:rsid w:val="73260244"/>
    <w:rsid w:val="73397A01"/>
    <w:rsid w:val="735B05FF"/>
    <w:rsid w:val="735D7124"/>
    <w:rsid w:val="738133AC"/>
    <w:rsid w:val="739A5FC5"/>
    <w:rsid w:val="73BA096B"/>
    <w:rsid w:val="73C0646E"/>
    <w:rsid w:val="73F41F8C"/>
    <w:rsid w:val="742222F5"/>
    <w:rsid w:val="74381A66"/>
    <w:rsid w:val="74476126"/>
    <w:rsid w:val="745040C9"/>
    <w:rsid w:val="74706664"/>
    <w:rsid w:val="747F3682"/>
    <w:rsid w:val="749C4185"/>
    <w:rsid w:val="74AA048A"/>
    <w:rsid w:val="75067759"/>
    <w:rsid w:val="750C4CA1"/>
    <w:rsid w:val="751122B7"/>
    <w:rsid w:val="752E6DCD"/>
    <w:rsid w:val="7551380D"/>
    <w:rsid w:val="755C79D6"/>
    <w:rsid w:val="75600BE5"/>
    <w:rsid w:val="7564475C"/>
    <w:rsid w:val="757765BE"/>
    <w:rsid w:val="7583797F"/>
    <w:rsid w:val="758422E5"/>
    <w:rsid w:val="75864A53"/>
    <w:rsid w:val="75AD3D8E"/>
    <w:rsid w:val="75AD5982"/>
    <w:rsid w:val="75D20F1D"/>
    <w:rsid w:val="75DA2C18"/>
    <w:rsid w:val="75F54412"/>
    <w:rsid w:val="761D08E0"/>
    <w:rsid w:val="761D4EB8"/>
    <w:rsid w:val="7651708F"/>
    <w:rsid w:val="765D347C"/>
    <w:rsid w:val="76724FD8"/>
    <w:rsid w:val="76816FC9"/>
    <w:rsid w:val="76826699"/>
    <w:rsid w:val="76A35191"/>
    <w:rsid w:val="76C87133"/>
    <w:rsid w:val="76CD08D5"/>
    <w:rsid w:val="76D65566"/>
    <w:rsid w:val="76DA5057"/>
    <w:rsid w:val="76DB4B92"/>
    <w:rsid w:val="77052AA4"/>
    <w:rsid w:val="77136511"/>
    <w:rsid w:val="77340A39"/>
    <w:rsid w:val="77351FD0"/>
    <w:rsid w:val="77472422"/>
    <w:rsid w:val="777F31F2"/>
    <w:rsid w:val="778C5A1D"/>
    <w:rsid w:val="77D1700D"/>
    <w:rsid w:val="77D870BC"/>
    <w:rsid w:val="77EC04CC"/>
    <w:rsid w:val="78210A63"/>
    <w:rsid w:val="78244A52"/>
    <w:rsid w:val="78395DAD"/>
    <w:rsid w:val="78775729"/>
    <w:rsid w:val="787D63C5"/>
    <w:rsid w:val="789D0631"/>
    <w:rsid w:val="78A23952"/>
    <w:rsid w:val="78A42DB0"/>
    <w:rsid w:val="78A656AB"/>
    <w:rsid w:val="78B2245C"/>
    <w:rsid w:val="78C833A6"/>
    <w:rsid w:val="78E172CC"/>
    <w:rsid w:val="78EA1D1F"/>
    <w:rsid w:val="7904172F"/>
    <w:rsid w:val="790F7E27"/>
    <w:rsid w:val="791A69E7"/>
    <w:rsid w:val="792A231A"/>
    <w:rsid w:val="79316829"/>
    <w:rsid w:val="797E66A9"/>
    <w:rsid w:val="797F10E5"/>
    <w:rsid w:val="798E2128"/>
    <w:rsid w:val="79921C19"/>
    <w:rsid w:val="79A97383"/>
    <w:rsid w:val="79AC0800"/>
    <w:rsid w:val="79D457D6"/>
    <w:rsid w:val="79E27E8B"/>
    <w:rsid w:val="79F850CE"/>
    <w:rsid w:val="79FD443C"/>
    <w:rsid w:val="7A1D1975"/>
    <w:rsid w:val="7A3E5150"/>
    <w:rsid w:val="7A4670D6"/>
    <w:rsid w:val="7A534B63"/>
    <w:rsid w:val="7A615382"/>
    <w:rsid w:val="7A637111"/>
    <w:rsid w:val="7A67303B"/>
    <w:rsid w:val="7A8E6625"/>
    <w:rsid w:val="7A9674E6"/>
    <w:rsid w:val="7AAB1D04"/>
    <w:rsid w:val="7AAD4830"/>
    <w:rsid w:val="7AB66190"/>
    <w:rsid w:val="7ABA4368"/>
    <w:rsid w:val="7AD05746"/>
    <w:rsid w:val="7B0703E4"/>
    <w:rsid w:val="7B257FFD"/>
    <w:rsid w:val="7B343476"/>
    <w:rsid w:val="7B5A2978"/>
    <w:rsid w:val="7B5A7E4C"/>
    <w:rsid w:val="7B667AF9"/>
    <w:rsid w:val="7B7468F8"/>
    <w:rsid w:val="7B876E2F"/>
    <w:rsid w:val="7B8E75B3"/>
    <w:rsid w:val="7B915F00"/>
    <w:rsid w:val="7B963516"/>
    <w:rsid w:val="7BEE0103"/>
    <w:rsid w:val="7C016BE2"/>
    <w:rsid w:val="7C0A0FE4"/>
    <w:rsid w:val="7C254906"/>
    <w:rsid w:val="7C590818"/>
    <w:rsid w:val="7C5B09E8"/>
    <w:rsid w:val="7C790E6E"/>
    <w:rsid w:val="7C7C10F6"/>
    <w:rsid w:val="7C853BEA"/>
    <w:rsid w:val="7C881368"/>
    <w:rsid w:val="7CD2057E"/>
    <w:rsid w:val="7CE27788"/>
    <w:rsid w:val="7D0821F2"/>
    <w:rsid w:val="7D0C32F1"/>
    <w:rsid w:val="7D0F408D"/>
    <w:rsid w:val="7D440A90"/>
    <w:rsid w:val="7D491C6C"/>
    <w:rsid w:val="7D5429C0"/>
    <w:rsid w:val="7D5F7AFC"/>
    <w:rsid w:val="7D6E6D43"/>
    <w:rsid w:val="7DB57A34"/>
    <w:rsid w:val="7DE60973"/>
    <w:rsid w:val="7DEF0916"/>
    <w:rsid w:val="7DF6029C"/>
    <w:rsid w:val="7E1E5218"/>
    <w:rsid w:val="7E611BB9"/>
    <w:rsid w:val="7E7C4C45"/>
    <w:rsid w:val="7E90249F"/>
    <w:rsid w:val="7E906943"/>
    <w:rsid w:val="7E9A4E1F"/>
    <w:rsid w:val="7EA7723A"/>
    <w:rsid w:val="7EED169F"/>
    <w:rsid w:val="7EF02F3D"/>
    <w:rsid w:val="7EF56FBB"/>
    <w:rsid w:val="7F0768EB"/>
    <w:rsid w:val="7F143BEC"/>
    <w:rsid w:val="7F715AF2"/>
    <w:rsid w:val="7F886E69"/>
    <w:rsid w:val="7FA04963"/>
    <w:rsid w:val="7FA363D3"/>
    <w:rsid w:val="7FF52F01"/>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92"/>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1"/>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20"/>
    <w:qFormat/>
    <w:uiPriority w:val="99"/>
    <w:pPr>
      <w:widowControl/>
      <w:snapToGrid w:val="0"/>
      <w:spacing w:line="480" w:lineRule="exact"/>
      <w:ind w:firstLine="567"/>
    </w:pPr>
    <w:rPr>
      <w:rFonts w:ascii="宋体"/>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53"/>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9"/>
    <w:qFormat/>
    <w:uiPriority w:val="99"/>
    <w:pPr>
      <w:shd w:val="clear" w:color="auto" w:fill="000080"/>
    </w:pPr>
    <w:rPr>
      <w:sz w:val="24"/>
      <w:szCs w:val="20"/>
    </w:rPr>
  </w:style>
  <w:style w:type="paragraph" w:styleId="19">
    <w:name w:val="annotation text"/>
    <w:basedOn w:val="1"/>
    <w:link w:val="353"/>
    <w:qFormat/>
    <w:uiPriority w:val="99"/>
    <w:pPr>
      <w:jc w:val="left"/>
    </w:pPr>
    <w:rPr>
      <w:sz w:val="24"/>
      <w:szCs w:val="20"/>
    </w:rPr>
  </w:style>
  <w:style w:type="paragraph" w:styleId="20">
    <w:name w:val="Salutation"/>
    <w:basedOn w:val="1"/>
    <w:next w:val="1"/>
    <w:link w:val="101"/>
    <w:qFormat/>
    <w:uiPriority w:val="99"/>
    <w:rPr>
      <w:rFonts w:ascii="仿宋_GB2312" w:eastAsia="仿宋_GB2312"/>
      <w:sz w:val="28"/>
      <w:szCs w:val="20"/>
    </w:rPr>
  </w:style>
  <w:style w:type="paragraph" w:styleId="21">
    <w:name w:val="Body Text 3"/>
    <w:basedOn w:val="1"/>
    <w:link w:val="102"/>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1"/>
    <w:link w:val="103"/>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5"/>
    <w:qFormat/>
    <w:uiPriority w:val="99"/>
    <w:rPr>
      <w:sz w:val="18"/>
      <w:szCs w:val="20"/>
    </w:rPr>
  </w:style>
  <w:style w:type="paragraph" w:styleId="39">
    <w:name w:val="footer"/>
    <w:basedOn w:val="1"/>
    <w:link w:val="387"/>
    <w:qFormat/>
    <w:uiPriority w:val="99"/>
    <w:pPr>
      <w:tabs>
        <w:tab w:val="center" w:pos="4153"/>
        <w:tab w:val="right" w:pos="8306"/>
      </w:tabs>
      <w:snapToGrid w:val="0"/>
      <w:jc w:val="left"/>
    </w:pPr>
    <w:rPr>
      <w:sz w:val="18"/>
      <w:szCs w:val="20"/>
    </w:rPr>
  </w:style>
  <w:style w:type="paragraph" w:styleId="40">
    <w:name w:val="envelope return"/>
    <w:basedOn w:val="1"/>
    <w:qFormat/>
    <w:locked/>
    <w:uiPriority w:val="0"/>
    <w:pPr>
      <w:snapToGrid w:val="0"/>
    </w:pPr>
    <w:rPr>
      <w:rFonts w:ascii="Arial" w:hAnsi="Arial"/>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5"/>
    <w:link w:val="11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7"/>
    <w:qFormat/>
    <w:uiPriority w:val="99"/>
    <w:pPr>
      <w:spacing w:after="120" w:line="480" w:lineRule="auto"/>
    </w:pPr>
  </w:style>
  <w:style w:type="paragraph" w:styleId="57">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20"/>
    <w:qFormat/>
    <w:uiPriority w:val="99"/>
    <w:rPr>
      <w:b/>
      <w:bCs/>
    </w:rPr>
  </w:style>
  <w:style w:type="paragraph" w:styleId="61">
    <w:name w:val="Body Text First Indent"/>
    <w:basedOn w:val="23"/>
    <w:link w:val="121"/>
    <w:qFormat/>
    <w:uiPriority w:val="99"/>
    <w:pPr>
      <w:ind w:firstLine="420"/>
    </w:pPr>
    <w:rPr>
      <w:rFonts w:hAnsi="Times New Roman" w:cs="Times New Roman"/>
      <w:szCs w:val="20"/>
    </w:rPr>
  </w:style>
  <w:style w:type="paragraph" w:styleId="62">
    <w:name w:val="Body Text First Indent 2"/>
    <w:basedOn w:val="24"/>
    <w:link w:val="122"/>
    <w:qFormat/>
    <w:uiPriority w:val="99"/>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99"/>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99"/>
    <w:rPr>
      <w:rFonts w:cs="Times New Roman"/>
      <w:sz w:val="21"/>
    </w:rPr>
  </w:style>
  <w:style w:type="character" w:styleId="80">
    <w:name w:val="HTML Sample"/>
    <w:basedOn w:val="70"/>
    <w:semiHidden/>
    <w:unhideWhenUsed/>
    <w:qFormat/>
    <w:locked/>
    <w:uiPriority w:val="99"/>
    <w:rPr>
      <w:rFonts w:ascii="Courier New" w:hAnsi="Courier New"/>
    </w:rPr>
  </w:style>
  <w:style w:type="character" w:customStyle="1" w:styleId="81">
    <w:name w:val="标题 1 Char"/>
    <w:qFormat/>
    <w:locked/>
    <w:uiPriority w:val="99"/>
    <w:rPr>
      <w:b/>
      <w:kern w:val="44"/>
      <w:sz w:val="44"/>
    </w:rPr>
  </w:style>
  <w:style w:type="character" w:customStyle="1" w:styleId="82">
    <w:name w:val="标题 2 字符"/>
    <w:qFormat/>
    <w:uiPriority w:val="99"/>
    <w:rPr>
      <w:rFonts w:ascii="仿宋_GB2312" w:hAnsi="Times New Roman" w:eastAsia="仿宋_GB2312"/>
      <w:b/>
      <w:kern w:val="2"/>
      <w:sz w:val="24"/>
      <w:lang w:val="zh-CN"/>
    </w:rPr>
  </w:style>
  <w:style w:type="character" w:customStyle="1" w:styleId="83">
    <w:name w:val="标题 3 字符"/>
    <w:qFormat/>
    <w:uiPriority w:val="99"/>
    <w:rPr>
      <w:b/>
      <w:kern w:val="2"/>
      <w:sz w:val="32"/>
    </w:rPr>
  </w:style>
  <w:style w:type="character" w:customStyle="1" w:styleId="84">
    <w:name w:val="标题 2 Char"/>
    <w:qFormat/>
    <w:uiPriority w:val="99"/>
    <w:rPr>
      <w:rFonts w:ascii="Arial" w:hAnsi="Arial" w:eastAsia="黑体"/>
      <w:b/>
      <w:kern w:val="2"/>
      <w:sz w:val="32"/>
      <w:lang w:val="en-US" w:eastAsia="zh-CN"/>
    </w:rPr>
  </w:style>
  <w:style w:type="character" w:customStyle="1" w:styleId="85">
    <w:name w:val="标题 4 字符"/>
    <w:qFormat/>
    <w:uiPriority w:val="99"/>
    <w:rPr>
      <w:rFonts w:ascii="等线 Light" w:hAnsi="等线 Light" w:eastAsia="等线 Light"/>
      <w:b/>
      <w:snapToGrid w:val="0"/>
      <w:kern w:val="0"/>
      <w:sz w:val="28"/>
    </w:rPr>
  </w:style>
  <w:style w:type="character" w:customStyle="1" w:styleId="86">
    <w:name w:val="标题 3 Char"/>
    <w:basedOn w:val="70"/>
    <w:link w:val="4"/>
    <w:semiHidden/>
    <w:qFormat/>
    <w:locked/>
    <w:uiPriority w:val="99"/>
    <w:rPr>
      <w:rFonts w:cs="Times New Roman"/>
      <w:b/>
      <w:bCs/>
      <w:sz w:val="32"/>
      <w:szCs w:val="32"/>
    </w:rPr>
  </w:style>
  <w:style w:type="paragraph" w:styleId="87">
    <w:name w:val="List Paragraph"/>
    <w:basedOn w:val="1"/>
    <w:qFormat/>
    <w:uiPriority w:val="99"/>
    <w:pPr>
      <w:spacing w:line="360" w:lineRule="auto"/>
      <w:ind w:firstLine="200" w:firstLineChars="200"/>
    </w:pPr>
    <w:rPr>
      <w:rFonts w:eastAsia="楷体_GB2312" w:cs="Lucida Sans"/>
      <w:sz w:val="24"/>
    </w:rPr>
  </w:style>
  <w:style w:type="character" w:customStyle="1" w:styleId="88">
    <w:name w:val="正文缩进 字符"/>
    <w:qFormat/>
    <w:uiPriority w:val="99"/>
    <w:rPr>
      <w:rFonts w:ascii="宋体" w:eastAsia="宋体"/>
      <w:snapToGrid w:val="0"/>
      <w:color w:val="000000"/>
      <w:kern w:val="28"/>
      <w:sz w:val="28"/>
      <w:lang w:val="en-US" w:eastAsia="zh-CN"/>
    </w:rPr>
  </w:style>
  <w:style w:type="character" w:customStyle="1" w:styleId="89">
    <w:name w:val="正文文本 Char"/>
    <w:qFormat/>
    <w:uiPriority w:val="99"/>
    <w:rPr>
      <w:rFonts w:eastAsia="宋体"/>
      <w:kern w:val="2"/>
      <w:sz w:val="24"/>
      <w:lang w:val="en-US" w:eastAsia="zh-CN"/>
    </w:rPr>
  </w:style>
  <w:style w:type="paragraph" w:customStyle="1" w:styleId="9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1">
    <w:name w:val="标题 1 Char1"/>
    <w:basedOn w:val="70"/>
    <w:link w:val="3"/>
    <w:qFormat/>
    <w:locked/>
    <w:uiPriority w:val="99"/>
    <w:rPr>
      <w:rFonts w:ascii="Times New Roman" w:hAnsi="Times New Roman" w:eastAsia="黑体" w:cs="Times New Roman"/>
      <w:b/>
      <w:kern w:val="0"/>
      <w:sz w:val="24"/>
    </w:rPr>
  </w:style>
  <w:style w:type="character" w:customStyle="1" w:styleId="92">
    <w:name w:val="标题 2 Char1"/>
    <w:basedOn w:val="70"/>
    <w:link w:val="2"/>
    <w:semiHidden/>
    <w:qFormat/>
    <w:locked/>
    <w:uiPriority w:val="99"/>
    <w:rPr>
      <w:rFonts w:ascii="Cambria" w:hAnsi="Cambria" w:eastAsia="宋体" w:cs="Times New Roman"/>
      <w:b/>
      <w:bCs/>
      <w:sz w:val="32"/>
      <w:szCs w:val="32"/>
    </w:rPr>
  </w:style>
  <w:style w:type="character" w:customStyle="1" w:styleId="93">
    <w:name w:val="标题 4 Char2"/>
    <w:basedOn w:val="70"/>
    <w:link w:val="6"/>
    <w:qFormat/>
    <w:locked/>
    <w:uiPriority w:val="99"/>
    <w:rPr>
      <w:rFonts w:ascii="Arial" w:hAnsi="Arial" w:eastAsia="黑体" w:cs="Times New Roman"/>
      <w:b/>
      <w:kern w:val="2"/>
      <w:sz w:val="28"/>
      <w:lang w:val="zh-CN"/>
    </w:rPr>
  </w:style>
  <w:style w:type="character" w:customStyle="1" w:styleId="94">
    <w:name w:val="标题 5 Char"/>
    <w:basedOn w:val="70"/>
    <w:link w:val="7"/>
    <w:qFormat/>
    <w:locked/>
    <w:uiPriority w:val="99"/>
    <w:rPr>
      <w:rFonts w:cs="Times New Roman"/>
      <w:b/>
      <w:kern w:val="2"/>
      <w:sz w:val="28"/>
    </w:rPr>
  </w:style>
  <w:style w:type="character" w:customStyle="1" w:styleId="95">
    <w:name w:val="标题 6 Char"/>
    <w:basedOn w:val="70"/>
    <w:link w:val="8"/>
    <w:qFormat/>
    <w:locked/>
    <w:uiPriority w:val="99"/>
    <w:rPr>
      <w:rFonts w:ascii="Arial" w:hAnsi="Arial" w:eastAsia="黑体" w:cs="Times New Roman"/>
      <w:b/>
      <w:kern w:val="2"/>
      <w:sz w:val="24"/>
    </w:rPr>
  </w:style>
  <w:style w:type="character" w:customStyle="1" w:styleId="96">
    <w:name w:val="Heading 7 Char"/>
    <w:basedOn w:val="70"/>
    <w:qFormat/>
    <w:locked/>
    <w:uiPriority w:val="99"/>
    <w:rPr>
      <w:rFonts w:ascii="宋体" w:hAnsi="宋体" w:eastAsia="宋体" w:cs="Times New Roman"/>
      <w:b/>
      <w:kern w:val="2"/>
      <w:sz w:val="24"/>
      <w:lang w:val="en-US" w:eastAsia="zh-CN"/>
    </w:rPr>
  </w:style>
  <w:style w:type="character" w:customStyle="1" w:styleId="97">
    <w:name w:val="标题 8 Char"/>
    <w:basedOn w:val="70"/>
    <w:link w:val="10"/>
    <w:qFormat/>
    <w:locked/>
    <w:uiPriority w:val="99"/>
    <w:rPr>
      <w:rFonts w:ascii="Arial" w:hAnsi="Arial" w:eastAsia="黑体" w:cs="Times New Roman"/>
      <w:kern w:val="2"/>
      <w:sz w:val="24"/>
    </w:rPr>
  </w:style>
  <w:style w:type="character" w:customStyle="1" w:styleId="98">
    <w:name w:val="标题 9 Char"/>
    <w:basedOn w:val="70"/>
    <w:link w:val="11"/>
    <w:qFormat/>
    <w:locked/>
    <w:uiPriority w:val="99"/>
    <w:rPr>
      <w:rFonts w:ascii="Arial" w:hAnsi="Arial" w:eastAsia="黑体" w:cs="Times New Roman"/>
      <w:kern w:val="2"/>
      <w:sz w:val="21"/>
    </w:rPr>
  </w:style>
  <w:style w:type="character" w:customStyle="1" w:styleId="99">
    <w:name w:val="Document Map Char"/>
    <w:basedOn w:val="70"/>
    <w:qFormat/>
    <w:locked/>
    <w:uiPriority w:val="99"/>
    <w:rPr>
      <w:rFonts w:eastAsia="宋体" w:cs="Times New Roman"/>
      <w:kern w:val="2"/>
      <w:sz w:val="24"/>
      <w:lang w:val="en-US" w:eastAsia="zh-CN"/>
    </w:rPr>
  </w:style>
  <w:style w:type="character" w:customStyle="1" w:styleId="100">
    <w:name w:val="Comment Text Char"/>
    <w:basedOn w:val="70"/>
    <w:qFormat/>
    <w:locked/>
    <w:uiPriority w:val="99"/>
    <w:rPr>
      <w:rFonts w:ascii="宋体" w:hAnsi="宋体" w:eastAsia="宋体" w:cs="Times New Roman"/>
      <w:kern w:val="2"/>
      <w:sz w:val="24"/>
      <w:lang w:val="en-US" w:eastAsia="zh-CN"/>
    </w:rPr>
  </w:style>
  <w:style w:type="character" w:customStyle="1" w:styleId="101">
    <w:name w:val="称呼 Char"/>
    <w:basedOn w:val="70"/>
    <w:link w:val="20"/>
    <w:qFormat/>
    <w:locked/>
    <w:uiPriority w:val="99"/>
    <w:rPr>
      <w:rFonts w:ascii="仿宋_GB2312" w:eastAsia="仿宋_GB2312" w:cs="Times New Roman"/>
      <w:kern w:val="2"/>
      <w:sz w:val="28"/>
    </w:rPr>
  </w:style>
  <w:style w:type="character" w:customStyle="1" w:styleId="102">
    <w:name w:val="正文文本 3 Char"/>
    <w:basedOn w:val="70"/>
    <w:link w:val="21"/>
    <w:qFormat/>
    <w:locked/>
    <w:uiPriority w:val="99"/>
    <w:rPr>
      <w:rFonts w:cs="Times New Roman"/>
      <w:kern w:val="2"/>
      <w:sz w:val="21"/>
    </w:rPr>
  </w:style>
  <w:style w:type="character" w:customStyle="1" w:styleId="103">
    <w:name w:val="正文文本 Char1"/>
    <w:basedOn w:val="70"/>
    <w:link w:val="23"/>
    <w:qFormat/>
    <w:locked/>
    <w:uiPriority w:val="99"/>
    <w:rPr>
      <w:rFonts w:ascii="宋体" w:hAnsi="Arial" w:eastAsia="宋体" w:cs="Times New Roman"/>
      <w:snapToGrid w:val="0"/>
      <w:kern w:val="2"/>
      <w:sz w:val="21"/>
      <w:lang w:val="zh-CN" w:eastAsia="zh-CN"/>
    </w:rPr>
  </w:style>
  <w:style w:type="character" w:customStyle="1" w:styleId="104">
    <w:name w:val="正文文本缩进 Char3"/>
    <w:basedOn w:val="70"/>
    <w:link w:val="24"/>
    <w:qFormat/>
    <w:locked/>
    <w:uiPriority w:val="99"/>
    <w:rPr>
      <w:rFonts w:ascii="宋体" w:eastAsia="宋体" w:cs="Times New Roman"/>
      <w:kern w:val="2"/>
      <w:sz w:val="24"/>
    </w:rPr>
  </w:style>
  <w:style w:type="character" w:customStyle="1" w:styleId="105">
    <w:name w:val="HTML 地址 Char"/>
    <w:basedOn w:val="70"/>
    <w:link w:val="29"/>
    <w:qFormat/>
    <w:locked/>
    <w:uiPriority w:val="99"/>
    <w:rPr>
      <w:rFonts w:ascii="宋体" w:eastAsia="宋体" w:cs="Times New Roman"/>
      <w:i/>
      <w:sz w:val="24"/>
    </w:rPr>
  </w:style>
  <w:style w:type="character" w:customStyle="1" w:styleId="106">
    <w:name w:val="纯文本 Char"/>
    <w:basedOn w:val="70"/>
    <w:link w:val="32"/>
    <w:qFormat/>
    <w:locked/>
    <w:uiPriority w:val="99"/>
    <w:rPr>
      <w:rFonts w:ascii="宋体" w:hAnsi="Courier New" w:eastAsia="宋体" w:cs="Times New Roman"/>
      <w:snapToGrid w:val="0"/>
      <w:kern w:val="2"/>
      <w:sz w:val="21"/>
      <w:lang w:val="en-US" w:eastAsia="zh-CN"/>
    </w:rPr>
  </w:style>
  <w:style w:type="character" w:customStyle="1" w:styleId="107">
    <w:name w:val="日期 Char"/>
    <w:basedOn w:val="70"/>
    <w:link w:val="35"/>
    <w:qFormat/>
    <w:locked/>
    <w:uiPriority w:val="99"/>
    <w:rPr>
      <w:rFonts w:ascii="宋体" w:cs="Times New Roman"/>
      <w:kern w:val="2"/>
      <w:sz w:val="21"/>
      <w:lang w:val="zh-CN"/>
    </w:rPr>
  </w:style>
  <w:style w:type="character" w:customStyle="1" w:styleId="108">
    <w:name w:val="正文文本缩进 2 Char"/>
    <w:basedOn w:val="70"/>
    <w:link w:val="36"/>
    <w:qFormat/>
    <w:locked/>
    <w:uiPriority w:val="99"/>
    <w:rPr>
      <w:rFonts w:ascii="宋体" w:cs="Times New Roman"/>
      <w:sz w:val="28"/>
    </w:rPr>
  </w:style>
  <w:style w:type="character" w:customStyle="1" w:styleId="109">
    <w:name w:val="尾注文本 Char"/>
    <w:basedOn w:val="70"/>
    <w:link w:val="37"/>
    <w:qFormat/>
    <w:locked/>
    <w:uiPriority w:val="99"/>
    <w:rPr>
      <w:rFonts w:cs="Times New Roman"/>
      <w:kern w:val="2"/>
      <w:sz w:val="24"/>
      <w:lang w:val="zh-CN"/>
    </w:rPr>
  </w:style>
  <w:style w:type="character" w:customStyle="1" w:styleId="110">
    <w:name w:val="Balloon Text Char"/>
    <w:basedOn w:val="70"/>
    <w:qFormat/>
    <w:locked/>
    <w:uiPriority w:val="99"/>
    <w:rPr>
      <w:rFonts w:eastAsia="宋体" w:cs="Times New Roman"/>
      <w:kern w:val="2"/>
      <w:sz w:val="18"/>
      <w:lang w:val="en-US" w:eastAsia="zh-CN"/>
    </w:rPr>
  </w:style>
  <w:style w:type="character" w:customStyle="1" w:styleId="111">
    <w:name w:val="Footer Char"/>
    <w:basedOn w:val="70"/>
    <w:qFormat/>
    <w:locked/>
    <w:uiPriority w:val="99"/>
    <w:rPr>
      <w:rFonts w:eastAsia="宋体" w:cs="Times New Roman"/>
      <w:kern w:val="2"/>
      <w:sz w:val="18"/>
      <w:lang w:val="en-US" w:eastAsia="zh-CN"/>
    </w:rPr>
  </w:style>
  <w:style w:type="character" w:customStyle="1" w:styleId="112">
    <w:name w:val="Header Char"/>
    <w:basedOn w:val="70"/>
    <w:qFormat/>
    <w:locked/>
    <w:uiPriority w:val="99"/>
    <w:rPr>
      <w:rFonts w:eastAsia="宋体" w:cs="Times New Roman"/>
      <w:kern w:val="2"/>
      <w:sz w:val="18"/>
      <w:lang w:val="en-US" w:eastAsia="zh-CN"/>
    </w:rPr>
  </w:style>
  <w:style w:type="character" w:customStyle="1" w:styleId="113">
    <w:name w:val="签名 Char"/>
    <w:basedOn w:val="70"/>
    <w:link w:val="42"/>
    <w:qFormat/>
    <w:locked/>
    <w:uiPriority w:val="99"/>
    <w:rPr>
      <w:rFonts w:eastAsia="仿宋_GB2312" w:cs="Times New Roman"/>
      <w:sz w:val="24"/>
    </w:rPr>
  </w:style>
  <w:style w:type="character" w:customStyle="1" w:styleId="114">
    <w:name w:val="副标题 Char"/>
    <w:basedOn w:val="70"/>
    <w:link w:val="47"/>
    <w:qFormat/>
    <w:locked/>
    <w:uiPriority w:val="99"/>
    <w:rPr>
      <w:rFonts w:ascii="Arial" w:hAnsi="Arial" w:eastAsia="隶书" w:cs="Times New Roman"/>
      <w:b/>
      <w:kern w:val="28"/>
      <w:sz w:val="32"/>
      <w:lang w:val="en-US" w:eastAsia="zh-CN"/>
    </w:rPr>
  </w:style>
  <w:style w:type="character" w:customStyle="1" w:styleId="115">
    <w:name w:val="脚注文本 Char"/>
    <w:basedOn w:val="70"/>
    <w:link w:val="50"/>
    <w:qFormat/>
    <w:locked/>
    <w:uiPriority w:val="99"/>
    <w:rPr>
      <w:rFonts w:cs="Times New Roman"/>
      <w:color w:val="0000FF"/>
      <w:sz w:val="21"/>
    </w:rPr>
  </w:style>
  <w:style w:type="character" w:customStyle="1" w:styleId="116">
    <w:name w:val="正文文本缩进 3 Char"/>
    <w:basedOn w:val="70"/>
    <w:link w:val="53"/>
    <w:qFormat/>
    <w:locked/>
    <w:uiPriority w:val="99"/>
    <w:rPr>
      <w:rFonts w:cs="Times New Roman"/>
      <w:kern w:val="2"/>
      <w:sz w:val="24"/>
    </w:rPr>
  </w:style>
  <w:style w:type="character" w:customStyle="1" w:styleId="117">
    <w:name w:val="正文文本 2 Char1"/>
    <w:basedOn w:val="70"/>
    <w:link w:val="56"/>
    <w:qFormat/>
    <w:locked/>
    <w:uiPriority w:val="99"/>
    <w:rPr>
      <w:rFonts w:cs="Times New Roman"/>
      <w:kern w:val="2"/>
      <w:sz w:val="24"/>
    </w:rPr>
  </w:style>
  <w:style w:type="character" w:customStyle="1" w:styleId="118">
    <w:name w:val="HTML 预设格式 Char"/>
    <w:basedOn w:val="70"/>
    <w:link w:val="57"/>
    <w:qFormat/>
    <w:locked/>
    <w:uiPriority w:val="99"/>
    <w:rPr>
      <w:rFonts w:ascii="黑体" w:hAnsi="Courier New" w:eastAsia="黑体" w:cs="Times New Roman"/>
    </w:rPr>
  </w:style>
  <w:style w:type="character" w:customStyle="1" w:styleId="119">
    <w:name w:val="标题 Char2"/>
    <w:basedOn w:val="70"/>
    <w:link w:val="59"/>
    <w:qFormat/>
    <w:locked/>
    <w:uiPriority w:val="99"/>
    <w:rPr>
      <w:rFonts w:cs="Times New Roman"/>
      <w:b/>
      <w:sz w:val="24"/>
      <w:lang w:val="en-GB"/>
    </w:rPr>
  </w:style>
  <w:style w:type="character" w:customStyle="1" w:styleId="120">
    <w:name w:val="批注主题 Char1"/>
    <w:basedOn w:val="100"/>
    <w:link w:val="60"/>
    <w:qFormat/>
    <w:locked/>
    <w:uiPriority w:val="99"/>
    <w:rPr>
      <w:rFonts w:ascii="宋体" w:hAnsi="宋体" w:eastAsia="宋体" w:cs="Times New Roman"/>
      <w:b/>
      <w:kern w:val="2"/>
      <w:sz w:val="24"/>
      <w:lang w:val="en-US" w:eastAsia="zh-CN"/>
    </w:rPr>
  </w:style>
  <w:style w:type="character" w:customStyle="1" w:styleId="121">
    <w:name w:val="正文首行缩进 Char"/>
    <w:basedOn w:val="103"/>
    <w:link w:val="61"/>
    <w:qFormat/>
    <w:locked/>
    <w:uiPriority w:val="99"/>
    <w:rPr>
      <w:rFonts w:ascii="宋体" w:hAnsi="Arial" w:eastAsia="宋体" w:cs="Times New Roman"/>
      <w:snapToGrid w:val="0"/>
      <w:kern w:val="2"/>
      <w:sz w:val="24"/>
      <w:lang w:val="zh-CN" w:eastAsia="zh-CN"/>
    </w:rPr>
  </w:style>
  <w:style w:type="character" w:customStyle="1" w:styleId="122">
    <w:name w:val="正文首行缩进 2 Char"/>
    <w:basedOn w:val="104"/>
    <w:link w:val="62"/>
    <w:qFormat/>
    <w:locked/>
    <w:uiPriority w:val="99"/>
    <w:rPr>
      <w:rFonts w:ascii="宋体" w:eastAsia="宋体" w:cs="Times New Roman"/>
      <w:kern w:val="2"/>
      <w:sz w:val="24"/>
    </w:rPr>
  </w:style>
  <w:style w:type="character" w:customStyle="1" w:styleId="123">
    <w:name w:val="表格非标题文字 Char"/>
    <w:link w:val="124"/>
    <w:qFormat/>
    <w:locked/>
    <w:uiPriority w:val="99"/>
    <w:rPr>
      <w:rFonts w:ascii="Futura Bk" w:hAnsi="Futura Bk"/>
      <w:kern w:val="2"/>
      <w:sz w:val="21"/>
      <w:lang w:val="en-US" w:eastAsia="zh-CN"/>
    </w:rPr>
  </w:style>
  <w:style w:type="paragraph" w:customStyle="1" w:styleId="124">
    <w:name w:val="表格非标题文字"/>
    <w:link w:val="12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locked/>
    <w:uiPriority w:val="99"/>
    <w:rPr>
      <w:rFonts w:ascii="宋体" w:eastAsia="宋体"/>
      <w:sz w:val="24"/>
    </w:rPr>
  </w:style>
  <w:style w:type="paragraph" w:customStyle="1" w:styleId="126">
    <w:name w:val="*正文"/>
    <w:basedOn w:val="1"/>
    <w:link w:val="125"/>
    <w:qFormat/>
    <w:uiPriority w:val="99"/>
    <w:pPr>
      <w:snapToGrid w:val="0"/>
      <w:spacing w:line="360" w:lineRule="auto"/>
      <w:ind w:firstLine="482"/>
      <w:jc w:val="left"/>
    </w:pPr>
    <w:rPr>
      <w:rFonts w:ascii="宋体"/>
      <w:kern w:val="0"/>
      <w:sz w:val="24"/>
      <w:szCs w:val="20"/>
    </w:rPr>
  </w:style>
  <w:style w:type="character" w:customStyle="1" w:styleId="127">
    <w:name w:val="Char Char71"/>
    <w:semiHidden/>
    <w:qFormat/>
    <w:uiPriority w:val="99"/>
    <w:rPr>
      <w:rFonts w:eastAsia="宋体"/>
      <w:kern w:val="2"/>
      <w:sz w:val="24"/>
      <w:lang w:val="en-US" w:eastAsia="zh-CN"/>
    </w:rPr>
  </w:style>
  <w:style w:type="character" w:customStyle="1" w:styleId="128">
    <w:name w:val="Char Char6"/>
    <w:qFormat/>
    <w:uiPriority w:val="99"/>
    <w:rPr>
      <w:rFonts w:eastAsia="宋体"/>
      <w:kern w:val="2"/>
      <w:sz w:val="24"/>
      <w:lang w:val="en-US" w:eastAsia="zh-CN"/>
    </w:rPr>
  </w:style>
  <w:style w:type="character" w:customStyle="1" w:styleId="129">
    <w:name w:val="正文缩进 Char"/>
    <w:qFormat/>
    <w:uiPriority w:val="99"/>
    <w:rPr>
      <w:rFonts w:eastAsia="宋体"/>
      <w:kern w:val="2"/>
      <w:sz w:val="21"/>
      <w:lang w:val="en-US" w:eastAsia="zh-CN"/>
    </w:rPr>
  </w:style>
  <w:style w:type="character" w:customStyle="1" w:styleId="130">
    <w:name w:val="正文首行缩进 Char1"/>
    <w:qFormat/>
    <w:uiPriority w:val="99"/>
    <w:rPr>
      <w:rFonts w:ascii="宋体" w:hAnsi="Times New Roman" w:eastAsia="宋体"/>
      <w:snapToGrid w:val="0"/>
      <w:kern w:val="2"/>
      <w:sz w:val="21"/>
      <w:lang w:val="zh-CN"/>
    </w:rPr>
  </w:style>
  <w:style w:type="character" w:customStyle="1" w:styleId="131">
    <w:name w:val="Char Char28"/>
    <w:qFormat/>
    <w:uiPriority w:val="99"/>
    <w:rPr>
      <w:rFonts w:ascii="仿宋_GB2312" w:hAnsi="仿宋_GB2312" w:eastAsia="仿宋_GB2312"/>
      <w:kern w:val="1"/>
      <w:sz w:val="28"/>
    </w:rPr>
  </w:style>
  <w:style w:type="character" w:customStyle="1" w:styleId="132">
    <w:name w:val="标题 3 Char1"/>
    <w:qFormat/>
    <w:uiPriority w:val="99"/>
    <w:rPr>
      <w:rFonts w:ascii="华文中宋" w:hAnsi="华文中宋" w:eastAsia="华文中宋"/>
      <w:b/>
      <w:kern w:val="2"/>
      <w:sz w:val="32"/>
      <w:lang w:val="en-US" w:eastAsia="zh-CN"/>
    </w:rPr>
  </w:style>
  <w:style w:type="character" w:customStyle="1" w:styleId="133">
    <w:name w:val="U_正文 Char"/>
    <w:link w:val="134"/>
    <w:qFormat/>
    <w:locked/>
    <w:uiPriority w:val="99"/>
    <w:rPr>
      <w:sz w:val="24"/>
    </w:rPr>
  </w:style>
  <w:style w:type="paragraph" w:customStyle="1" w:styleId="134">
    <w:name w:val="U_正文"/>
    <w:basedOn w:val="1"/>
    <w:link w:val="133"/>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qFormat/>
    <w:uiPriority w:val="99"/>
    <w:rPr>
      <w:rFonts w:ascii="Times New Roman" w:hAnsi="Times New Roman" w:eastAsia="宋体"/>
      <w:i/>
      <w:sz w:val="24"/>
    </w:rPr>
  </w:style>
  <w:style w:type="character" w:customStyle="1" w:styleId="136">
    <w:name w:val="Char Char51"/>
    <w:qFormat/>
    <w:uiPriority w:val="99"/>
    <w:rPr>
      <w:rFonts w:ascii="宋体" w:hAnsi="Courier New" w:eastAsia="宋体"/>
      <w:kern w:val="2"/>
      <w:sz w:val="21"/>
      <w:lang w:val="en-US" w:eastAsia="zh-CN"/>
    </w:rPr>
  </w:style>
  <w:style w:type="character" w:customStyle="1" w:styleId="137">
    <w:name w:val="表正文 Char"/>
    <w:qFormat/>
    <w:uiPriority w:val="99"/>
    <w:rPr>
      <w:rFonts w:ascii="宋体" w:eastAsia="宋体"/>
      <w:snapToGrid w:val="0"/>
      <w:color w:val="000000"/>
      <w:kern w:val="28"/>
      <w:sz w:val="28"/>
      <w:lang w:val="en-US" w:eastAsia="zh-CN"/>
    </w:rPr>
  </w:style>
  <w:style w:type="character" w:customStyle="1" w:styleId="138">
    <w:name w:val="Char Char34"/>
    <w:qFormat/>
    <w:uiPriority w:val="99"/>
    <w:rPr>
      <w:b/>
      <w:kern w:val="1"/>
      <w:sz w:val="28"/>
    </w:rPr>
  </w:style>
  <w:style w:type="character" w:customStyle="1" w:styleId="139">
    <w:name w:val="Normal Indent Char"/>
    <w:qFormat/>
    <w:locked/>
    <w:uiPriority w:val="99"/>
    <w:rPr>
      <w:rFonts w:ascii="Calibri" w:hAnsi="Calibri" w:eastAsia="宋体"/>
      <w:snapToGrid w:val="0"/>
      <w:kern w:val="2"/>
      <w:sz w:val="22"/>
      <w:lang w:val="en-US" w:eastAsia="zh-CN"/>
    </w:rPr>
  </w:style>
  <w:style w:type="character" w:customStyle="1" w:styleId="140">
    <w:name w:val="哈哈正文 Char"/>
    <w:link w:val="141"/>
    <w:qFormat/>
    <w:locked/>
    <w:uiPriority w:val="99"/>
    <w:rPr>
      <w:rFonts w:ascii="宋体" w:hAnsi="宋体" w:eastAsia="宋体"/>
      <w:kern w:val="2"/>
      <w:sz w:val="24"/>
    </w:rPr>
  </w:style>
  <w:style w:type="paragraph" w:customStyle="1" w:styleId="141">
    <w:name w:val="哈哈正文"/>
    <w:basedOn w:val="1"/>
    <w:link w:val="140"/>
    <w:qFormat/>
    <w:uiPriority w:val="99"/>
    <w:pPr>
      <w:adjustRightInd/>
      <w:spacing w:line="360" w:lineRule="auto"/>
      <w:ind w:firstLine="200" w:firstLineChars="200"/>
    </w:pPr>
    <w:rPr>
      <w:rFonts w:ascii="宋体" w:hAnsi="宋体"/>
      <w:sz w:val="24"/>
      <w:szCs w:val="20"/>
    </w:rPr>
  </w:style>
  <w:style w:type="character" w:customStyle="1" w:styleId="142">
    <w:name w:val="未处理的提及1"/>
    <w:qFormat/>
    <w:uiPriority w:val="99"/>
    <w:rPr>
      <w:color w:val="808080"/>
      <w:shd w:val="clear" w:color="auto" w:fill="E6E6E6"/>
    </w:rPr>
  </w:style>
  <w:style w:type="character" w:customStyle="1" w:styleId="143">
    <w:name w:val="txt"/>
    <w:qFormat/>
    <w:uiPriority w:val="99"/>
    <w:rPr>
      <w:rFonts w:ascii="仿宋_GB2312" w:eastAsia="微软雅黑"/>
      <w:b/>
      <w:kern w:val="2"/>
      <w:sz w:val="32"/>
      <w:lang w:val="en-US" w:eastAsia="zh-CN"/>
    </w:rPr>
  </w:style>
  <w:style w:type="character" w:customStyle="1" w:styleId="144">
    <w:name w:val="二级标题 Char Char"/>
    <w:qFormat/>
    <w:uiPriority w:val="99"/>
    <w:rPr>
      <w:rFonts w:ascii="宋体" w:hAnsi="宋体" w:eastAsia="宋体"/>
      <w:b/>
      <w:snapToGrid w:val="0"/>
      <w:kern w:val="2"/>
      <w:sz w:val="24"/>
      <w:lang w:val="en-US" w:eastAsia="zh-CN"/>
    </w:rPr>
  </w:style>
  <w:style w:type="character" w:customStyle="1" w:styleId="145">
    <w:name w:val="Char Char32"/>
    <w:qFormat/>
    <w:uiPriority w:val="99"/>
    <w:rPr>
      <w:b/>
      <w:kern w:val="1"/>
      <w:sz w:val="24"/>
    </w:rPr>
  </w:style>
  <w:style w:type="character" w:customStyle="1" w:styleId="146">
    <w:name w:val="PI Char1"/>
    <w:qFormat/>
    <w:uiPriority w:val="99"/>
    <w:rPr>
      <w:rFonts w:ascii="宋体" w:eastAsia="宋体"/>
      <w:kern w:val="2"/>
      <w:sz w:val="24"/>
    </w:rPr>
  </w:style>
  <w:style w:type="character" w:customStyle="1" w:styleId="147">
    <w:name w:val="tw4winTerm"/>
    <w:qFormat/>
    <w:uiPriority w:val="99"/>
    <w:rPr>
      <w:color w:val="0000FF"/>
    </w:rPr>
  </w:style>
  <w:style w:type="character" w:customStyle="1" w:styleId="148">
    <w:name w:val="普通文字 Char Char1"/>
    <w:qFormat/>
    <w:uiPriority w:val="99"/>
    <w:rPr>
      <w:rFonts w:ascii="宋体" w:hAnsi="Courier New"/>
      <w:kern w:val="2"/>
      <w:sz w:val="21"/>
    </w:rPr>
  </w:style>
  <w:style w:type="character" w:customStyle="1" w:styleId="149">
    <w:name w:val="Char Char101"/>
    <w:qFormat/>
    <w:uiPriority w:val="99"/>
    <w:rPr>
      <w:rFonts w:ascii="宋体" w:eastAsia="宋体"/>
      <w:kern w:val="2"/>
      <w:sz w:val="24"/>
      <w:lang w:val="en-US" w:eastAsia="zh-CN"/>
    </w:rPr>
  </w:style>
  <w:style w:type="character" w:customStyle="1" w:styleId="150">
    <w:name w:val="标题 4 Char"/>
    <w:qFormat/>
    <w:uiPriority w:val="99"/>
    <w:rPr>
      <w:rFonts w:ascii="Arial" w:hAnsi="Arial" w:eastAsia="黑体"/>
      <w:b/>
      <w:kern w:val="2"/>
      <w:sz w:val="28"/>
    </w:rPr>
  </w:style>
  <w:style w:type="character" w:customStyle="1" w:styleId="151">
    <w:name w:val="链接"/>
    <w:qFormat/>
    <w:uiPriority w:val="99"/>
    <w:rPr>
      <w:color w:val="0000FF"/>
      <w:sz w:val="21"/>
      <w:u w:val="single"/>
    </w:rPr>
  </w:style>
  <w:style w:type="character" w:customStyle="1" w:styleId="152">
    <w:name w:val="h4 Char"/>
    <w:qFormat/>
    <w:uiPriority w:val="99"/>
    <w:rPr>
      <w:rFonts w:ascii="Arial" w:hAnsi="Arial" w:eastAsia="黑体"/>
      <w:b/>
      <w:kern w:val="2"/>
      <w:sz w:val="28"/>
      <w:lang w:val="zh-CN" w:eastAsia="zh-CN"/>
    </w:rPr>
  </w:style>
  <w:style w:type="character" w:customStyle="1" w:styleId="153">
    <w:name w:val="5正文 Char"/>
    <w:link w:val="154"/>
    <w:qFormat/>
    <w:locked/>
    <w:uiPriority w:val="99"/>
    <w:rPr>
      <w:rFonts w:ascii="仿宋_GB2312" w:hAnsi="微软雅黑" w:eastAsia="仿宋_GB2312"/>
      <w:sz w:val="21"/>
    </w:rPr>
  </w:style>
  <w:style w:type="paragraph" w:customStyle="1" w:styleId="154">
    <w:name w:val="5正文"/>
    <w:basedOn w:val="1"/>
    <w:link w:val="15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0"/>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ascii="仿宋_GB2312" w:hAnsi="仿宋_GB2312" w:eastAsia="仿宋_GB2312" w:cs="Times New Roman"/>
      <w:kern w:val="2"/>
      <w:sz w:val="24"/>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Char Char72"/>
    <w:qFormat/>
    <w:uiPriority w:val="99"/>
    <w:rPr>
      <w:rFonts w:eastAsia="宋体"/>
      <w:kern w:val="2"/>
      <w:sz w:val="24"/>
      <w:lang w:val="en-US" w:eastAsia="zh-CN"/>
    </w:rPr>
  </w:style>
  <w:style w:type="character" w:customStyle="1" w:styleId="197">
    <w:name w:val="正文文本缩进 Char2"/>
    <w:qFormat/>
    <w:uiPriority w:val="99"/>
    <w:rPr>
      <w:rFonts w:ascii="Times New Roman" w:hAnsi="Times New Roman" w:eastAsia="宋体"/>
      <w:snapToGrid w:val="0"/>
      <w:kern w:val="0"/>
      <w:sz w:val="24"/>
    </w:rPr>
  </w:style>
  <w:style w:type="character" w:customStyle="1" w:styleId="198">
    <w:name w:val="样式2 Char"/>
    <w:qFormat/>
    <w:uiPriority w:val="99"/>
    <w:rPr>
      <w:rFonts w:ascii="仿宋_GB2312" w:hAnsi="仿宋" w:eastAsia="仿宋_GB2312"/>
      <w:b/>
      <w:sz w:val="30"/>
      <w:lang w:val="zh-CN"/>
    </w:rPr>
  </w:style>
  <w:style w:type="character" w:customStyle="1" w:styleId="199">
    <w:name w:val="表格名称[858D7CFB-ED40-4347-BF05-701D383B685F]"/>
    <w:link w:val="200"/>
    <w:qFormat/>
    <w:locked/>
    <w:uiPriority w:val="99"/>
    <w:rPr>
      <w:sz w:val="32"/>
    </w:rPr>
  </w:style>
  <w:style w:type="paragraph" w:customStyle="1" w:styleId="200">
    <w:name w:val="表格名称"/>
    <w:basedOn w:val="2"/>
    <w:link w:val="199"/>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qFormat/>
    <w:uiPriority w:val="99"/>
    <w:rPr>
      <w:rFonts w:eastAsia="宋体"/>
      <w:b/>
      <w:sz w:val="24"/>
      <w:lang w:val="en-GB" w:eastAsia="zh-CN"/>
    </w:rPr>
  </w:style>
  <w:style w:type="character" w:customStyle="1" w:styleId="202">
    <w:name w:val="c7 style3"/>
    <w:qFormat/>
    <w:uiPriority w:val="99"/>
  </w:style>
  <w:style w:type="character" w:customStyle="1" w:styleId="203">
    <w:name w:val="正文文本 3 Char1"/>
    <w:semiHidden/>
    <w:qFormat/>
    <w:uiPriority w:val="99"/>
    <w:rPr>
      <w:rFonts w:ascii="Times New Roman" w:hAnsi="Times New Roman" w:eastAsia="宋体"/>
      <w:sz w:val="16"/>
    </w:rPr>
  </w:style>
  <w:style w:type="character" w:customStyle="1" w:styleId="204">
    <w:name w:val="tw4winInternal"/>
    <w:qFormat/>
    <w:uiPriority w:val="99"/>
    <w:rPr>
      <w:rFonts w:ascii="Courier New" w:hAnsi="Courier New"/>
      <w:color w:val="FF0000"/>
      <w:lang w:val="en-US" w:eastAsia="zh-CN"/>
    </w:rPr>
  </w:style>
  <w:style w:type="character" w:customStyle="1" w:styleId="205">
    <w:name w:val="Char Char10"/>
    <w:semiHidden/>
    <w:qFormat/>
    <w:uiPriority w:val="99"/>
    <w:rPr>
      <w:rFonts w:ascii="宋体" w:eastAsia="宋体"/>
      <w:kern w:val="2"/>
      <w:sz w:val="24"/>
      <w:lang w:val="en-US" w:eastAsia="zh-CN"/>
    </w:rPr>
  </w:style>
  <w:style w:type="character" w:customStyle="1" w:styleId="206">
    <w:name w:val="shadow11"/>
    <w:qFormat/>
    <w:uiPriority w:val="99"/>
    <w:rPr>
      <w:color w:val="000000"/>
      <w:sz w:val="21"/>
    </w:rPr>
  </w:style>
  <w:style w:type="character" w:customStyle="1" w:styleId="207">
    <w:name w:val="正文非缩进 Char3"/>
    <w:qFormat/>
    <w:uiPriority w:val="99"/>
    <w:rPr>
      <w:rFonts w:ascii="宋体" w:eastAsia="宋体"/>
      <w:snapToGrid w:val="0"/>
      <w:color w:val="000000"/>
      <w:kern w:val="28"/>
      <w:sz w:val="28"/>
      <w:lang w:val="en-US" w:eastAsia="zh-CN"/>
    </w:rPr>
  </w:style>
  <w:style w:type="character" w:customStyle="1" w:styleId="208">
    <w:name w:val="Char Char"/>
    <w:qFormat/>
    <w:uiPriority w:val="99"/>
    <w:rPr>
      <w:rFonts w:ascii="宋体" w:hAnsi="Courier New" w:eastAsia="宋体"/>
      <w:kern w:val="2"/>
      <w:sz w:val="21"/>
      <w:lang w:val="en-US" w:eastAsia="zh-CN"/>
    </w:rPr>
  </w:style>
  <w:style w:type="character" w:customStyle="1" w:styleId="209">
    <w:name w:val="签名 Char1"/>
    <w:qFormat/>
    <w:uiPriority w:val="99"/>
    <w:rPr>
      <w:rFonts w:ascii="Times New Roman" w:hAnsi="Times New Roman" w:eastAsia="宋体"/>
      <w:sz w:val="24"/>
    </w:rPr>
  </w:style>
  <w:style w:type="character" w:customStyle="1" w:styleId="210">
    <w:name w:val="Char Char18"/>
    <w:qFormat/>
    <w:uiPriority w:val="99"/>
    <w:rPr>
      <w:rFonts w:ascii="宋体" w:eastAsia="宋体"/>
      <w:sz w:val="28"/>
    </w:rPr>
  </w:style>
  <w:style w:type="character" w:customStyle="1" w:styleId="211">
    <w:name w:val="批注文字 Char"/>
    <w:qFormat/>
    <w:uiPriority w:val="99"/>
    <w:rPr>
      <w:kern w:val="2"/>
      <w:sz w:val="24"/>
    </w:rPr>
  </w:style>
  <w:style w:type="character" w:customStyle="1" w:styleId="212">
    <w:name w:val="Char Char22"/>
    <w:qFormat/>
    <w:uiPriority w:val="99"/>
    <w:rPr>
      <w:rFonts w:ascii="宋体" w:eastAsia="宋体"/>
      <w:kern w:val="1"/>
      <w:sz w:val="24"/>
    </w:rPr>
  </w:style>
  <w:style w:type="character" w:customStyle="1" w:styleId="213">
    <w:name w:val="pt141"/>
    <w:qFormat/>
    <w:uiPriority w:val="99"/>
    <w:rPr>
      <w:color w:val="330066"/>
      <w:sz w:val="22"/>
    </w:rPr>
  </w:style>
  <w:style w:type="character" w:customStyle="1" w:styleId="214">
    <w:name w:val="正文文本缩进 2 Char1"/>
    <w:semiHidden/>
    <w:qFormat/>
    <w:uiPriority w:val="99"/>
    <w:rPr>
      <w:rFonts w:ascii="Times New Roman" w:hAnsi="Times New Roman" w:eastAsia="宋体"/>
      <w:sz w:val="24"/>
    </w:rPr>
  </w:style>
  <w:style w:type="character" w:customStyle="1" w:styleId="215">
    <w:name w:val="批注框文本 Char"/>
    <w:link w:val="38"/>
    <w:qFormat/>
    <w:locked/>
    <w:uiPriority w:val="99"/>
    <w:rPr>
      <w:kern w:val="2"/>
      <w:sz w:val="18"/>
    </w:rPr>
  </w:style>
  <w:style w:type="character" w:customStyle="1" w:styleId="216">
    <w:name w:val="Char Char611"/>
    <w:qFormat/>
    <w:uiPriority w:val="99"/>
    <w:rPr>
      <w:rFonts w:eastAsia="宋体"/>
      <w:kern w:val="2"/>
      <w:sz w:val="24"/>
      <w:lang w:val="en-US" w:eastAsia="zh-CN"/>
    </w:rPr>
  </w:style>
  <w:style w:type="character" w:customStyle="1" w:styleId="217">
    <w:name w:val="highlight1"/>
    <w:qFormat/>
    <w:uiPriority w:val="99"/>
    <w:rPr>
      <w:rFonts w:ascii="仿宋_GB2312" w:eastAsia="微软雅黑"/>
      <w:b/>
      <w:kern w:val="2"/>
      <w:sz w:val="23"/>
      <w:lang w:val="en-US" w:eastAsia="zh-CN"/>
    </w:rPr>
  </w:style>
  <w:style w:type="character" w:customStyle="1" w:styleId="218">
    <w:name w:val="my正文 Char"/>
    <w:link w:val="219"/>
    <w:qFormat/>
    <w:locked/>
    <w:uiPriority w:val="99"/>
    <w:rPr>
      <w:rFonts w:ascii="Tahoma" w:hAnsi="Tahoma"/>
      <w:sz w:val="24"/>
    </w:rPr>
  </w:style>
  <w:style w:type="paragraph" w:customStyle="1" w:styleId="219">
    <w:name w:val="my正文"/>
    <w:basedOn w:val="1"/>
    <w:link w:val="218"/>
    <w:qFormat/>
    <w:uiPriority w:val="99"/>
    <w:pPr>
      <w:adjustRightInd/>
      <w:spacing w:line="360" w:lineRule="auto"/>
      <w:ind w:firstLine="480" w:firstLineChars="200"/>
    </w:pPr>
    <w:rPr>
      <w:rFonts w:ascii="Tahoma" w:hAnsi="Tahoma"/>
      <w:kern w:val="0"/>
      <w:sz w:val="24"/>
      <w:szCs w:val="20"/>
    </w:rPr>
  </w:style>
  <w:style w:type="character" w:customStyle="1" w:styleId="220">
    <w:name w:val="正文缩进 Char2"/>
    <w:link w:val="5"/>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qFormat/>
    <w:uiPriority w:val="99"/>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99"/>
    <w:rPr>
      <w:rFonts w:hAnsi="宋体"/>
      <w:kern w:val="2"/>
      <w:sz w:val="24"/>
    </w:rPr>
  </w:style>
  <w:style w:type="character" w:customStyle="1" w:styleId="224">
    <w:name w:val="纯文本 字符"/>
    <w:qFormat/>
    <w:uiPriority w:val="99"/>
    <w:rPr>
      <w:rFonts w:ascii="宋体" w:hAnsi="Courier New" w:eastAsia="宋体"/>
      <w:snapToGrid w:val="0"/>
      <w:kern w:val="2"/>
      <w:sz w:val="21"/>
      <w:lang w:val="en-US" w:eastAsia="zh-CN"/>
    </w:rPr>
  </w:style>
  <w:style w:type="character" w:customStyle="1" w:styleId="225">
    <w:name w:val="3级 Char"/>
    <w:link w:val="226"/>
    <w:qFormat/>
    <w:locked/>
    <w:uiPriority w:val="99"/>
    <w:rPr>
      <w:rFonts w:ascii="宋体" w:eastAsia="宋体"/>
      <w:b/>
      <w:sz w:val="28"/>
    </w:rPr>
  </w:style>
  <w:style w:type="paragraph" w:customStyle="1" w:styleId="226">
    <w:name w:val="3级"/>
    <w:basedOn w:val="227"/>
    <w:link w:val="225"/>
    <w:qFormat/>
    <w:uiPriority w:val="99"/>
    <w:pPr>
      <w:ind w:left="0" w:right="466" w:firstLine="288"/>
    </w:pPr>
    <w:rPr>
      <w:rFonts w:hAnsi="Times New Roman"/>
      <w:bCs w:val="0"/>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qFormat/>
    <w:uiPriority w:val="99"/>
    <w:rPr>
      <w:rFonts w:ascii="仿宋_GB2312" w:eastAsia="微软雅黑"/>
      <w:b/>
      <w:kern w:val="2"/>
      <w:sz w:val="32"/>
      <w:lang w:val="en-US" w:eastAsia="zh-CN"/>
    </w:rPr>
  </w:style>
  <w:style w:type="character" w:customStyle="1" w:styleId="229">
    <w:name w:val="文档结构图 Char1"/>
    <w:link w:val="18"/>
    <w:qFormat/>
    <w:locked/>
    <w:uiPriority w:val="99"/>
    <w:rPr>
      <w:kern w:val="2"/>
      <w:sz w:val="24"/>
      <w:shd w:val="clear" w:color="auto" w:fill="000080"/>
    </w:rPr>
  </w:style>
  <w:style w:type="character" w:customStyle="1" w:styleId="230">
    <w:name w:val="H6 Char"/>
    <w:qFormat/>
    <w:uiPriority w:val="99"/>
    <w:rPr>
      <w:rFonts w:ascii="Arial" w:hAnsi="Arial" w:eastAsia="黑体"/>
      <w:b/>
      <w:kern w:val="2"/>
      <w:sz w:val="24"/>
    </w:rPr>
  </w:style>
  <w:style w:type="character" w:customStyle="1" w:styleId="231">
    <w:name w:val="Char Char91"/>
    <w:qFormat/>
    <w:uiPriority w:val="99"/>
    <w:rPr>
      <w:rFonts w:eastAsia="宋体"/>
      <w:kern w:val="2"/>
      <w:sz w:val="18"/>
      <w:lang w:val="en-US" w:eastAsia="zh-CN"/>
    </w:rPr>
  </w:style>
  <w:style w:type="character" w:customStyle="1" w:styleId="232">
    <w:name w:val="副标题 Char1"/>
    <w:qFormat/>
    <w:uiPriority w:val="99"/>
    <w:rPr>
      <w:rFonts w:ascii="Cambria" w:hAnsi="Cambria" w:eastAsia="宋体"/>
      <w:b/>
      <w:snapToGrid w:val="0"/>
      <w:kern w:val="28"/>
      <w:sz w:val="32"/>
    </w:rPr>
  </w:style>
  <w:style w:type="character" w:customStyle="1" w:styleId="233">
    <w:name w:val="font61"/>
    <w:qFormat/>
    <w:uiPriority w:val="99"/>
    <w:rPr>
      <w:rFonts w:ascii="仿宋" w:hAnsi="仿宋" w:eastAsia="仿宋"/>
      <w:color w:val="000000"/>
      <w:sz w:val="20"/>
      <w:u w:val="none"/>
    </w:rPr>
  </w:style>
  <w:style w:type="character" w:customStyle="1" w:styleId="234">
    <w:name w:val="bod1"/>
    <w:qFormat/>
    <w:uiPriority w:val="99"/>
    <w:rPr>
      <w:rFonts w:ascii="MS Sans Serif" w:hAnsi="MS Sans Serif" w:eastAsia="微软雅黑"/>
      <w:b/>
      <w:color w:val="000000"/>
      <w:kern w:val="2"/>
      <w:sz w:val="20"/>
      <w:lang w:val="en-US" w:eastAsia="zh-CN"/>
    </w:rPr>
  </w:style>
  <w:style w:type="character" w:customStyle="1" w:styleId="235">
    <w:name w:val="Char Char211"/>
    <w:qFormat/>
    <w:uiPriority w:val="99"/>
    <w:rPr>
      <w:rFonts w:eastAsia="宋体"/>
      <w:b/>
      <w:kern w:val="2"/>
      <w:sz w:val="24"/>
      <w:lang w:val="en-US" w:eastAsia="zh-CN"/>
    </w:rPr>
  </w:style>
  <w:style w:type="character" w:customStyle="1" w:styleId="236">
    <w:name w:val="maywed421"/>
    <w:qFormat/>
    <w:uiPriority w:val="99"/>
    <w:rPr>
      <w:color w:val="366FB6"/>
      <w:u w:val="none"/>
    </w:rPr>
  </w:style>
  <w:style w:type="character" w:customStyle="1" w:styleId="237">
    <w:name w:val="正文文本缩进 Char"/>
    <w:qFormat/>
    <w:uiPriority w:val="99"/>
    <w:rPr>
      <w:rFonts w:ascii="宋体" w:eastAsia="宋体"/>
      <w:kern w:val="2"/>
      <w:sz w:val="24"/>
    </w:rPr>
  </w:style>
  <w:style w:type="character" w:customStyle="1" w:styleId="238">
    <w:name w:val="Char Char102"/>
    <w:semiHidden/>
    <w:qFormat/>
    <w:uiPriority w:val="99"/>
    <w:rPr>
      <w:rFonts w:ascii="宋体" w:eastAsia="宋体"/>
      <w:kern w:val="2"/>
      <w:sz w:val="24"/>
      <w:lang w:val="en-US" w:eastAsia="zh-CN"/>
    </w:rPr>
  </w:style>
  <w:style w:type="character" w:customStyle="1" w:styleId="239">
    <w:name w:val="页眉 Char1"/>
    <w:qFormat/>
    <w:uiPriority w:val="99"/>
    <w:rPr>
      <w:rFonts w:eastAsia="宋体"/>
      <w:kern w:val="2"/>
      <w:sz w:val="18"/>
      <w:lang w:val="en-US" w:eastAsia="zh-CN"/>
    </w:rPr>
  </w:style>
  <w:style w:type="character" w:customStyle="1" w:styleId="240">
    <w:name w:val="md"/>
    <w:basedOn w:val="70"/>
    <w:qFormat/>
    <w:uiPriority w:val="99"/>
    <w:rPr>
      <w:rFonts w:ascii="Arial" w:hAnsi="Arial" w:eastAsia="黑体" w:cs="Arial"/>
      <w:snapToGrid w:val="0"/>
      <w:kern w:val="0"/>
      <w:sz w:val="21"/>
      <w:szCs w:val="21"/>
    </w:rPr>
  </w:style>
  <w:style w:type="character" w:customStyle="1" w:styleId="241">
    <w:name w:val="big1"/>
    <w:qFormat/>
    <w:uiPriority w:val="99"/>
    <w:rPr>
      <w:rFonts w:ascii="宋体" w:hAnsi="宋体" w:eastAsia="宋体"/>
      <w:color w:val="333333"/>
      <w:sz w:val="22"/>
    </w:rPr>
  </w:style>
  <w:style w:type="character" w:customStyle="1" w:styleId="242">
    <w:name w:val="Char Char311"/>
    <w:qFormat/>
    <w:uiPriority w:val="99"/>
    <w:rPr>
      <w:rFonts w:eastAsia="宋体"/>
      <w:kern w:val="2"/>
      <w:sz w:val="24"/>
      <w:lang w:val="en-US" w:eastAsia="zh-CN"/>
    </w:rPr>
  </w:style>
  <w:style w:type="character" w:customStyle="1" w:styleId="243">
    <w:name w:val="Char Char81"/>
    <w:qFormat/>
    <w:uiPriority w:val="99"/>
    <w:rPr>
      <w:rFonts w:eastAsia="宋体"/>
      <w:b/>
      <w:sz w:val="24"/>
      <w:lang w:val="en-GB" w:eastAsia="zh-CN"/>
    </w:rPr>
  </w:style>
  <w:style w:type="character" w:customStyle="1" w:styleId="244">
    <w:name w:val="样式3 Char"/>
    <w:basedOn w:val="198"/>
    <w:qFormat/>
    <w:uiPriority w:val="99"/>
    <w:rPr>
      <w:rFonts w:ascii="仿宋_GB2312" w:hAnsi="仿宋" w:eastAsia="仿宋_GB2312" w:cs="仿宋_GB2312"/>
      <w:bCs/>
      <w:sz w:val="30"/>
      <w:szCs w:val="30"/>
      <w:lang w:val="zh-CN"/>
    </w:rPr>
  </w:style>
  <w:style w:type="character" w:customStyle="1" w:styleId="245">
    <w:name w:val="正文首行缩进 2 Char1"/>
    <w:qFormat/>
    <w:uiPriority w:val="99"/>
    <w:rPr>
      <w:rFonts w:ascii="Times New Roman" w:hAnsi="Times New Roman" w:eastAsia="宋体"/>
      <w:kern w:val="2"/>
      <w:sz w:val="24"/>
    </w:rPr>
  </w:style>
  <w:style w:type="character" w:customStyle="1" w:styleId="246">
    <w:name w:val="副标题 Char2"/>
    <w:qFormat/>
    <w:uiPriority w:val="99"/>
    <w:rPr>
      <w:rFonts w:ascii="Cambria" w:hAnsi="Cambria" w:eastAsia="宋体"/>
      <w:b/>
      <w:snapToGrid w:val="0"/>
      <w:kern w:val="28"/>
      <w:sz w:val="32"/>
    </w:rPr>
  </w:style>
  <w:style w:type="character" w:customStyle="1" w:styleId="247">
    <w:name w:val="标题4-dyf Char"/>
    <w:link w:val="248"/>
    <w:qFormat/>
    <w:locked/>
    <w:uiPriority w:val="99"/>
    <w:rPr>
      <w:rFonts w:ascii="Cambria" w:hAnsi="Cambria"/>
      <w:b/>
      <w:color w:val="000000"/>
      <w:kern w:val="2"/>
      <w:sz w:val="21"/>
    </w:rPr>
  </w:style>
  <w:style w:type="paragraph" w:customStyle="1" w:styleId="248">
    <w:name w:val="标题4-dyf"/>
    <w:basedOn w:val="6"/>
    <w:link w:val="247"/>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qFormat/>
    <w:uiPriority w:val="99"/>
    <w:rPr>
      <w:rFonts w:ascii="宋体" w:hAnsi="宋体" w:eastAsia="宋体"/>
      <w:color w:val="333333"/>
      <w:sz w:val="21"/>
      <w:u w:val="none"/>
    </w:rPr>
  </w:style>
  <w:style w:type="character" w:customStyle="1" w:styleId="250">
    <w:name w:val="冯 Char"/>
    <w:link w:val="251"/>
    <w:qFormat/>
    <w:locked/>
    <w:uiPriority w:val="99"/>
    <w:rPr>
      <w:rFonts w:ascii="宋体" w:eastAsia="宋体"/>
      <w:color w:val="000000"/>
      <w:sz w:val="24"/>
    </w:rPr>
  </w:style>
  <w:style w:type="paragraph" w:customStyle="1" w:styleId="251">
    <w:name w:val="冯"/>
    <w:basedOn w:val="1"/>
    <w:link w:val="250"/>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qFormat/>
    <w:uiPriority w:val="99"/>
    <w:rPr>
      <w:rFonts w:ascii="仿宋_GB2312" w:eastAsia="仿宋_GB2312"/>
      <w:b/>
      <w:kern w:val="2"/>
      <w:sz w:val="24"/>
      <w:lang w:val="zh-CN" w:eastAsia="zh-CN"/>
    </w:rPr>
  </w:style>
  <w:style w:type="character" w:customStyle="1" w:styleId="253">
    <w:name w:val="题注 Char"/>
    <w:link w:val="16"/>
    <w:qFormat/>
    <w:locked/>
    <w:uiPriority w:val="99"/>
    <w:rPr>
      <w:b/>
      <w:kern w:val="2"/>
      <w:sz w:val="28"/>
    </w:rPr>
  </w:style>
  <w:style w:type="character" w:customStyle="1" w:styleId="254">
    <w:name w:val="普通文字 Char3"/>
    <w:qFormat/>
    <w:uiPriority w:val="99"/>
    <w:rPr>
      <w:rFonts w:ascii="宋体" w:hAnsi="Courier New" w:eastAsia="宋体"/>
      <w:kern w:val="2"/>
      <w:sz w:val="21"/>
      <w:lang w:val="en-US" w:eastAsia="zh-CN"/>
    </w:rPr>
  </w:style>
  <w:style w:type="character" w:customStyle="1" w:styleId="255">
    <w:name w:val="公文正文 Char"/>
    <w:qFormat/>
    <w:uiPriority w:val="99"/>
    <w:rPr>
      <w:rFonts w:ascii="仿宋_GB2312" w:eastAsia="仿宋_GB2312"/>
      <w:kern w:val="2"/>
      <w:sz w:val="24"/>
      <w:lang w:val="en-US" w:eastAsia="zh-CN"/>
    </w:rPr>
  </w:style>
  <w:style w:type="character" w:customStyle="1" w:styleId="256">
    <w:name w:val="正文首行缩进 Char Char Char Char Char"/>
    <w:qFormat/>
    <w:uiPriority w:val="99"/>
    <w:rPr>
      <w:rFonts w:ascii="宋体"/>
      <w:kern w:val="2"/>
      <w:sz w:val="24"/>
      <w:lang w:val="zh-CN"/>
    </w:rPr>
  </w:style>
  <w:style w:type="character" w:customStyle="1" w:styleId="257">
    <w:name w:val="PI Char"/>
    <w:qFormat/>
    <w:uiPriority w:val="99"/>
    <w:rPr>
      <w:rFonts w:ascii="宋体" w:hAnsi="宋体" w:eastAsia="宋体"/>
      <w:kern w:val="2"/>
      <w:sz w:val="24"/>
      <w:lang w:val="en-US" w:eastAsia="zh-CN"/>
    </w:rPr>
  </w:style>
  <w:style w:type="character" w:customStyle="1" w:styleId="258">
    <w:name w:val="Default Char"/>
    <w:link w:val="259"/>
    <w:qFormat/>
    <w:locked/>
    <w:uiPriority w:val="99"/>
    <w:rPr>
      <w:rFonts w:ascii="仿宋_GB2312" w:eastAsia="仿宋_GB2312"/>
      <w:color w:val="000000"/>
      <w:sz w:val="24"/>
      <w:lang w:val="en-US" w:eastAsia="zh-CN"/>
    </w:rPr>
  </w:style>
  <w:style w:type="paragraph" w:customStyle="1" w:styleId="259">
    <w:name w:val="Default"/>
    <w:link w:val="25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99"/>
    <w:rPr>
      <w:color w:val="333333"/>
    </w:rPr>
  </w:style>
  <w:style w:type="character" w:customStyle="1" w:styleId="261">
    <w:name w:val="列出段落 Char2"/>
    <w:qFormat/>
    <w:uiPriority w:val="99"/>
    <w:rPr>
      <w:rFonts w:ascii="Calibri" w:hAnsi="Calibri"/>
      <w:kern w:val="2"/>
      <w:sz w:val="28"/>
    </w:rPr>
  </w:style>
  <w:style w:type="character" w:customStyle="1" w:styleId="262">
    <w:name w:val="mdeck"/>
    <w:qFormat/>
    <w:uiPriority w:val="99"/>
    <w:rPr>
      <w:rFonts w:ascii="仿宋_GB2312" w:eastAsia="微软雅黑"/>
      <w:b/>
      <w:kern w:val="2"/>
      <w:sz w:val="32"/>
      <w:lang w:val="en-US" w:eastAsia="zh-CN"/>
    </w:rPr>
  </w:style>
  <w:style w:type="character" w:customStyle="1" w:styleId="263">
    <w:name w:val="unnamed11"/>
    <w:qFormat/>
    <w:uiPriority w:val="99"/>
    <w:rPr>
      <w:sz w:val="20"/>
    </w:rPr>
  </w:style>
  <w:style w:type="character" w:customStyle="1" w:styleId="264">
    <w:name w:val="正文文本 Char2"/>
    <w:semiHidden/>
    <w:qFormat/>
    <w:uiPriority w:val="99"/>
    <w:rPr>
      <w:rFonts w:ascii="Times New Roman" w:hAnsi="Times New Roman" w:eastAsia="宋体"/>
      <w:snapToGrid w:val="0"/>
      <w:kern w:val="0"/>
      <w:sz w:val="24"/>
    </w:rPr>
  </w:style>
  <w:style w:type="character" w:customStyle="1" w:styleId="265">
    <w:name w:val="标书正文格式 Char"/>
    <w:qFormat/>
    <w:uiPriority w:val="99"/>
    <w:rPr>
      <w:rFonts w:eastAsia="楷体_GB2312"/>
      <w:kern w:val="2"/>
      <w:sz w:val="24"/>
    </w:rPr>
  </w:style>
  <w:style w:type="character" w:customStyle="1" w:styleId="266">
    <w:name w:val="Char Char11"/>
    <w:qFormat/>
    <w:locked/>
    <w:uiPriority w:val="99"/>
    <w:rPr>
      <w:rFonts w:ascii="宋体" w:hAnsi="宋体" w:eastAsia="宋体"/>
      <w:b/>
      <w:kern w:val="2"/>
      <w:sz w:val="24"/>
      <w:lang w:val="en-US" w:eastAsia="zh-CN"/>
    </w:rPr>
  </w:style>
  <w:style w:type="character" w:customStyle="1" w:styleId="267">
    <w:name w:val="ca-131"/>
    <w:qFormat/>
    <w:uiPriority w:val="99"/>
    <w:rPr>
      <w:rFonts w:ascii="仿宋_GB2312" w:eastAsia="仿宋_GB2312"/>
      <w:b/>
      <w:color w:val="000000"/>
      <w:spacing w:val="-20"/>
      <w:sz w:val="24"/>
    </w:rPr>
  </w:style>
  <w:style w:type="character" w:customStyle="1" w:styleId="268">
    <w:name w:val="tw4winMark"/>
    <w:qFormat/>
    <w:uiPriority w:val="99"/>
    <w:rPr>
      <w:rFonts w:ascii="Courier New" w:hAnsi="Courier New"/>
      <w:vanish/>
      <w:color w:val="800080"/>
      <w:sz w:val="24"/>
      <w:vertAlign w:val="subscript"/>
    </w:rPr>
  </w:style>
  <w:style w:type="character" w:customStyle="1" w:styleId="269">
    <w:name w:val="正文样式 Char"/>
    <w:link w:val="270"/>
    <w:qFormat/>
    <w:locked/>
    <w:uiPriority w:val="99"/>
    <w:rPr>
      <w:rFonts w:ascii="Calibri" w:hAnsi="Calibri"/>
      <w:sz w:val="24"/>
    </w:rPr>
  </w:style>
  <w:style w:type="paragraph" w:customStyle="1" w:styleId="270">
    <w:name w:val="正文样式"/>
    <w:basedOn w:val="1"/>
    <w:link w:val="269"/>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qFormat/>
    <w:uiPriority w:val="99"/>
    <w:rPr>
      <w:rFonts w:eastAsia="宋体"/>
    </w:rPr>
  </w:style>
  <w:style w:type="character" w:customStyle="1" w:styleId="272">
    <w:name w:val="H5 Char"/>
    <w:qFormat/>
    <w:uiPriority w:val="99"/>
    <w:rPr>
      <w:b/>
      <w:kern w:val="2"/>
      <w:sz w:val="28"/>
    </w:rPr>
  </w:style>
  <w:style w:type="character" w:customStyle="1" w:styleId="273">
    <w:name w:val="Char Char3"/>
    <w:qFormat/>
    <w:uiPriority w:val="99"/>
    <w:rPr>
      <w:rFonts w:eastAsia="宋体"/>
      <w:kern w:val="2"/>
      <w:sz w:val="24"/>
      <w:lang w:val="en-US" w:eastAsia="zh-CN"/>
    </w:rPr>
  </w:style>
  <w:style w:type="character" w:customStyle="1" w:styleId="274">
    <w:name w:val="正文 编号 Char"/>
    <w:qFormat/>
    <w:uiPriority w:val="99"/>
    <w:rPr>
      <w:rFonts w:ascii="仿宋_GB2312" w:hAnsi="仿宋_GB2312" w:eastAsia="仿宋_GB2312"/>
      <w:kern w:val="2"/>
      <w:sz w:val="24"/>
    </w:rPr>
  </w:style>
  <w:style w:type="character" w:customStyle="1" w:styleId="275">
    <w:name w:val="question-title2"/>
    <w:qFormat/>
    <w:uiPriority w:val="99"/>
    <w:rPr>
      <w:rFonts w:ascii="Arial" w:hAnsi="Arial" w:eastAsia="黑体"/>
      <w:snapToGrid w:val="0"/>
      <w:kern w:val="0"/>
      <w:sz w:val="21"/>
    </w:rPr>
  </w:style>
  <w:style w:type="character" w:customStyle="1" w:styleId="276">
    <w:name w:val="gf正文1 Char Char"/>
    <w:link w:val="277"/>
    <w:qFormat/>
    <w:locked/>
    <w:uiPriority w:val="99"/>
    <w:rPr>
      <w:rFonts w:ascii="宋体" w:eastAsia="宋体"/>
      <w:kern w:val="2"/>
      <w:sz w:val="24"/>
    </w:rPr>
  </w:style>
  <w:style w:type="paragraph" w:customStyle="1" w:styleId="277">
    <w:name w:val="gf正文1"/>
    <w:basedOn w:val="1"/>
    <w:link w:val="276"/>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qFormat/>
    <w:uiPriority w:val="99"/>
    <w:rPr>
      <w:rFonts w:ascii="宋体" w:eastAsia="宋体"/>
      <w:kern w:val="1"/>
      <w:sz w:val="21"/>
    </w:rPr>
  </w:style>
  <w:style w:type="character" w:customStyle="1" w:styleId="279">
    <w:name w:val="正文缩进 Char3"/>
    <w:qFormat/>
    <w:uiPriority w:val="99"/>
    <w:rPr>
      <w:rFonts w:ascii="宋体" w:eastAsia="宋体"/>
      <w:snapToGrid w:val="0"/>
      <w:color w:val="000000"/>
      <w:kern w:val="28"/>
      <w:sz w:val="28"/>
      <w:lang w:val="en-US" w:eastAsia="zh-CN"/>
    </w:rPr>
  </w:style>
  <w:style w:type="character" w:customStyle="1" w:styleId="280">
    <w:name w:val="列出段落 Char1"/>
    <w:link w:val="281"/>
    <w:qFormat/>
    <w:locked/>
    <w:uiPriority w:val="99"/>
    <w:rPr>
      <w:rFonts w:ascii="Calibri" w:hAnsi="Calibri"/>
      <w:sz w:val="24"/>
      <w:lang w:eastAsia="en-US"/>
    </w:rPr>
  </w:style>
  <w:style w:type="paragraph" w:customStyle="1" w:styleId="281">
    <w:name w:val="列表1"/>
    <w:basedOn w:val="1"/>
    <w:next w:val="87"/>
    <w:link w:val="280"/>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Footer-Even Char1"/>
    <w:qFormat/>
    <w:uiPriority w:val="99"/>
    <w:rPr>
      <w:rFonts w:eastAsia="宋体"/>
      <w:kern w:val="2"/>
      <w:sz w:val="18"/>
      <w:lang w:val="en-US" w:eastAsia="zh-CN"/>
    </w:rPr>
  </w:style>
  <w:style w:type="character" w:customStyle="1" w:styleId="305">
    <w:name w:val="Char Char29"/>
    <w:qFormat/>
    <w:uiPriority w:val="99"/>
    <w:rPr>
      <w:rFonts w:ascii="Arial" w:hAnsi="Arial" w:eastAsia="微软雅黑"/>
      <w:b/>
      <w:kern w:val="1"/>
      <w:sz w:val="32"/>
      <w:lang w:val="en-US" w:eastAsia="zh-CN"/>
    </w:rPr>
  </w:style>
  <w:style w:type="character" w:customStyle="1" w:styleId="306">
    <w:name w:val="font81"/>
    <w:qFormat/>
    <w:uiPriority w:val="99"/>
    <w:rPr>
      <w:rFonts w:ascii="微软雅黑" w:hAnsi="微软雅黑" w:eastAsia="微软雅黑"/>
      <w:color w:val="000000"/>
      <w:sz w:val="20"/>
      <w:u w:val="none"/>
    </w:rPr>
  </w:style>
  <w:style w:type="character" w:customStyle="1" w:styleId="307">
    <w:name w:val="Char Char312"/>
    <w:qFormat/>
    <w:uiPriority w:val="99"/>
    <w:rPr>
      <w:rFonts w:ascii="Times New Roman" w:hAnsi="Times New Roman" w:eastAsia="宋体"/>
      <w:b/>
      <w:kern w:val="2"/>
      <w:sz w:val="24"/>
      <w:lang w:val="en-US" w:eastAsia="zh-CN"/>
    </w:rPr>
  </w:style>
  <w:style w:type="character" w:customStyle="1" w:styleId="308">
    <w:name w:val="t21"/>
    <w:qFormat/>
    <w:uiPriority w:val="99"/>
    <w:rPr>
      <w:rFonts w:ascii="仿宋_GB2312" w:eastAsia="微软雅黑"/>
      <w:b/>
      <w:kern w:val="2"/>
      <w:sz w:val="23"/>
      <w:lang w:val="en-US" w:eastAsia="zh-CN"/>
    </w:rPr>
  </w:style>
  <w:style w:type="character" w:customStyle="1" w:styleId="309">
    <w:name w:val="样式8 Char"/>
    <w:qFormat/>
    <w:uiPriority w:val="99"/>
    <w:rPr>
      <w:rFonts w:ascii="仿宋_GB2312" w:hAnsi="宋体" w:eastAsia="仿宋_GB2312"/>
      <w:b/>
      <w:kern w:val="2"/>
      <w:sz w:val="24"/>
    </w:rPr>
  </w:style>
  <w:style w:type="character" w:customStyle="1" w:styleId="310">
    <w:name w:val="表格 Char Char"/>
    <w:qFormat/>
    <w:uiPriority w:val="99"/>
    <w:rPr>
      <w:rFonts w:ascii="宋体" w:hAnsi="宋体" w:eastAsia="宋体"/>
    </w:rPr>
  </w:style>
  <w:style w:type="character" w:customStyle="1" w:styleId="311">
    <w:name w:val="正文文本 字符1"/>
    <w:qFormat/>
    <w:uiPriority w:val="99"/>
    <w:rPr>
      <w:rFonts w:ascii="Calibri" w:hAnsi="Calibri" w:eastAsia="黑体"/>
      <w:snapToGrid w:val="0"/>
      <w:kern w:val="2"/>
      <w:sz w:val="21"/>
    </w:rPr>
  </w:style>
  <w:style w:type="character" w:customStyle="1" w:styleId="312">
    <w:name w:val="标题 6 Char1"/>
    <w:qFormat/>
    <w:uiPriority w:val="99"/>
    <w:rPr>
      <w:rFonts w:ascii="Arial" w:hAnsi="Arial" w:eastAsia="黑体"/>
      <w:b/>
      <w:sz w:val="20"/>
    </w:rPr>
  </w:style>
  <w:style w:type="character" w:customStyle="1" w:styleId="313">
    <w:name w:val="带编号样式 Char"/>
    <w:qFormat/>
    <w:uiPriority w:val="99"/>
    <w:rPr>
      <w:rFonts w:ascii="仿宋_GB2312" w:eastAsia="仿宋_GB2312"/>
      <w:color w:val="000000"/>
      <w:sz w:val="24"/>
    </w:rPr>
  </w:style>
  <w:style w:type="character" w:customStyle="1" w:styleId="314">
    <w:name w:val="unnamed31"/>
    <w:qFormat/>
    <w:uiPriority w:val="99"/>
    <w:rPr>
      <w:rFonts w:ascii="Tahoma" w:hAnsi="Tahoma" w:eastAsia="宋体"/>
      <w:b/>
      <w:kern w:val="2"/>
      <w:sz w:val="32"/>
      <w:u w:val="none"/>
      <w:lang w:val="en-US" w:eastAsia="zh-CN"/>
    </w:rPr>
  </w:style>
  <w:style w:type="character" w:customStyle="1" w:styleId="315">
    <w:name w:val="正文首行缩进 Char Char Char Char Char Char1"/>
    <w:qFormat/>
    <w:uiPriority w:val="99"/>
    <w:rPr>
      <w:rFonts w:ascii="宋体" w:eastAsia="宋体"/>
      <w:kern w:val="2"/>
      <w:sz w:val="24"/>
      <w:lang w:val="zh-CN"/>
    </w:rPr>
  </w:style>
  <w:style w:type="character" w:customStyle="1" w:styleId="316">
    <w:name w:val="文本正文 Char Char"/>
    <w:qFormat/>
    <w:locked/>
    <w:uiPriority w:val="99"/>
    <w:rPr>
      <w:sz w:val="24"/>
    </w:rPr>
  </w:style>
  <w:style w:type="character" w:customStyle="1" w:styleId="317">
    <w:name w:val="样式 样式 标题 4h4H4Fab-4T5Ref Heading 1rh1Heading sqlsect 1.2.3.... +... Char"/>
    <w:link w:val="318"/>
    <w:qFormat/>
    <w:locked/>
    <w:uiPriority w:val="99"/>
    <w:rPr>
      <w:rFonts w:ascii="微软雅黑" w:hAnsi="微软雅黑" w:eastAsia="微软雅黑"/>
      <w:b/>
      <w:kern w:val="2"/>
      <w:sz w:val="28"/>
    </w:rPr>
  </w:style>
  <w:style w:type="paragraph" w:customStyle="1" w:styleId="318">
    <w:name w:val="样式 样式 标题 4h4H4Fab-4T5Ref Heading 1rh1Heading sqlsect 1.2.3.... +..."/>
    <w:basedOn w:val="319"/>
    <w:link w:val="317"/>
    <w:qFormat/>
    <w:uiPriority w:val="99"/>
    <w:pPr>
      <w:tabs>
        <w:tab w:val="left" w:pos="2356"/>
      </w:tabs>
    </w:pPr>
  </w:style>
  <w:style w:type="paragraph" w:customStyle="1" w:styleId="319">
    <w:name w:val="样式 标题 4h4H4Fab-4T5Ref Heading 1rh1Heading sqlsect 1.2.3...."/>
    <w:basedOn w:val="6"/>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0">
    <w:name w:val="正文非缩进 Char"/>
    <w:qFormat/>
    <w:uiPriority w:val="99"/>
    <w:rPr>
      <w:rFonts w:ascii="宋体" w:eastAsia="宋体"/>
      <w:snapToGrid w:val="0"/>
      <w:color w:val="000000"/>
      <w:kern w:val="28"/>
      <w:sz w:val="28"/>
      <w:lang w:val="en-US" w:eastAsia="zh-CN"/>
    </w:rPr>
  </w:style>
  <w:style w:type="character" w:customStyle="1" w:styleId="321">
    <w:name w:val="标题 7 Char"/>
    <w:link w:val="9"/>
    <w:qFormat/>
    <w:locked/>
    <w:uiPriority w:val="99"/>
    <w:rPr>
      <w:b/>
      <w:kern w:val="2"/>
      <w:sz w:val="24"/>
    </w:rPr>
  </w:style>
  <w:style w:type="character" w:customStyle="1" w:styleId="322">
    <w:name w:val="Char Char5"/>
    <w:qFormat/>
    <w:uiPriority w:val="99"/>
    <w:rPr>
      <w:rFonts w:ascii="宋体" w:hAnsi="Courier New" w:eastAsia="宋体"/>
      <w:kern w:val="2"/>
      <w:sz w:val="21"/>
      <w:lang w:val="en-US" w:eastAsia="zh-CN"/>
    </w:rPr>
  </w:style>
  <w:style w:type="character" w:customStyle="1" w:styleId="323">
    <w:name w:val="称呼 Char1"/>
    <w:qFormat/>
    <w:uiPriority w:val="99"/>
    <w:rPr>
      <w:rFonts w:ascii="Times New Roman" w:hAnsi="Times New Roman" w:eastAsia="宋体"/>
      <w:sz w:val="24"/>
    </w:rPr>
  </w:style>
  <w:style w:type="character" w:customStyle="1" w:styleId="324">
    <w:name w:val="正文1 Char"/>
    <w:qFormat/>
    <w:uiPriority w:val="99"/>
    <w:rPr>
      <w:rFonts w:ascii="宋体" w:eastAsia="宋体"/>
      <w:snapToGrid w:val="0"/>
      <w:color w:val="000000"/>
      <w:kern w:val="28"/>
      <w:sz w:val="28"/>
      <w:lang w:val="en-US" w:eastAsia="zh-CN"/>
    </w:rPr>
  </w:style>
  <w:style w:type="character" w:customStyle="1" w:styleId="325">
    <w:name w:val="正文缩进 Char1"/>
    <w:qFormat/>
    <w:uiPriority w:val="99"/>
    <w:rPr>
      <w:rFonts w:ascii="宋体" w:eastAsia="宋体"/>
      <w:snapToGrid w:val="0"/>
      <w:color w:val="000000"/>
      <w:kern w:val="28"/>
      <w:sz w:val="28"/>
      <w:lang w:val="en-US" w:eastAsia="zh-CN"/>
    </w:rPr>
  </w:style>
  <w:style w:type="character" w:customStyle="1" w:styleId="326">
    <w:name w:val="font21"/>
    <w:qFormat/>
    <w:uiPriority w:val="99"/>
    <w:rPr>
      <w:rFonts w:ascii="宋体" w:hAnsi="宋体" w:eastAsia="宋体"/>
      <w:kern w:val="2"/>
      <w:sz w:val="28"/>
      <w:lang w:val="en-US" w:eastAsia="zh-CN"/>
    </w:rPr>
  </w:style>
  <w:style w:type="character" w:customStyle="1" w:styleId="327">
    <w:name w:val="Char Char26"/>
    <w:qFormat/>
    <w:uiPriority w:val="99"/>
    <w:rPr>
      <w:kern w:val="1"/>
      <w:sz w:val="24"/>
    </w:rPr>
  </w:style>
  <w:style w:type="character" w:customStyle="1" w:styleId="328">
    <w:name w:val="Item List Char"/>
    <w:link w:val="329"/>
    <w:qFormat/>
    <w:locked/>
    <w:uiPriority w:val="99"/>
    <w:rPr>
      <w:rFonts w:ascii="Arial"/>
      <w:sz w:val="21"/>
      <w:lang w:val="en-US" w:eastAsia="zh-CN"/>
    </w:rPr>
  </w:style>
  <w:style w:type="paragraph" w:customStyle="1" w:styleId="329">
    <w:name w:val="Item List"/>
    <w:link w:val="328"/>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99"/>
    <w:rPr>
      <w:rFonts w:ascii="Times New Roman" w:hAnsi="Times New Roman" w:eastAsia="宋体"/>
      <w:sz w:val="18"/>
    </w:rPr>
  </w:style>
  <w:style w:type="character" w:customStyle="1" w:styleId="331">
    <w:name w:val="纯文本 Char1"/>
    <w:link w:val="332"/>
    <w:qFormat/>
    <w:locked/>
    <w:uiPriority w:val="99"/>
    <w:rPr>
      <w:rFonts w:ascii="宋体" w:hAnsi="Courier New"/>
    </w:rPr>
  </w:style>
  <w:style w:type="paragraph" w:customStyle="1" w:styleId="332">
    <w:name w:val="纯文本1"/>
    <w:basedOn w:val="1"/>
    <w:link w:val="331"/>
    <w:qFormat/>
    <w:uiPriority w:val="99"/>
    <w:pPr>
      <w:adjustRightInd/>
    </w:pPr>
    <w:rPr>
      <w:rFonts w:ascii="宋体" w:hAnsi="Courier New"/>
      <w:kern w:val="0"/>
      <w:sz w:val="20"/>
      <w:szCs w:val="20"/>
    </w:rPr>
  </w:style>
  <w:style w:type="character" w:customStyle="1" w:styleId="333">
    <w:name w:val="h3 Char"/>
    <w:qFormat/>
    <w:uiPriority w:val="99"/>
    <w:rPr>
      <w:rFonts w:eastAsia="宋体"/>
      <w:b/>
      <w:kern w:val="2"/>
      <w:sz w:val="32"/>
      <w:lang w:val="en-US" w:eastAsia="zh-CN"/>
    </w:rPr>
  </w:style>
  <w:style w:type="character" w:customStyle="1" w:styleId="334">
    <w:name w:val="dandyren_title1"/>
    <w:qFormat/>
    <w:uiPriority w:val="99"/>
    <w:rPr>
      <w:b/>
      <w:color w:val="FF6633"/>
      <w:sz w:val="18"/>
    </w:rPr>
  </w:style>
  <w:style w:type="character" w:customStyle="1" w:styleId="335">
    <w:name w:val="Char Char31"/>
    <w:qFormat/>
    <w:uiPriority w:val="99"/>
    <w:rPr>
      <w:rFonts w:ascii="Arial" w:hAnsi="Arial" w:eastAsia="黑体"/>
      <w:kern w:val="1"/>
      <w:sz w:val="24"/>
    </w:rPr>
  </w:style>
  <w:style w:type="character" w:customStyle="1" w:styleId="336">
    <w:name w:val="h Char1"/>
    <w:qFormat/>
    <w:uiPriority w:val="99"/>
    <w:rPr>
      <w:sz w:val="18"/>
    </w:rPr>
  </w:style>
  <w:style w:type="character" w:customStyle="1" w:styleId="337">
    <w:name w:val="solutionfonts"/>
    <w:qFormat/>
    <w:uiPriority w:val="99"/>
  </w:style>
  <w:style w:type="character" w:customStyle="1" w:styleId="338">
    <w:name w:val="首行缩进 Char"/>
    <w:qFormat/>
    <w:uiPriority w:val="99"/>
    <w:rPr>
      <w:rFonts w:ascii="宋体" w:eastAsia="宋体"/>
      <w:kern w:val="2"/>
      <w:sz w:val="24"/>
      <w:lang w:val="en-US" w:eastAsia="zh-CN"/>
    </w:rPr>
  </w:style>
  <w:style w:type="character" w:customStyle="1" w:styleId="339">
    <w:name w:val="Char Char52"/>
    <w:qFormat/>
    <w:uiPriority w:val="99"/>
    <w:rPr>
      <w:rFonts w:ascii="宋体" w:hAnsi="Courier New" w:eastAsia="宋体"/>
      <w:kern w:val="2"/>
      <w:sz w:val="21"/>
      <w:lang w:val="en-US" w:eastAsia="zh-CN"/>
    </w:rPr>
  </w:style>
  <w:style w:type="character" w:customStyle="1" w:styleId="340">
    <w:name w:val="font31"/>
    <w:qFormat/>
    <w:uiPriority w:val="99"/>
    <w:rPr>
      <w:rFonts w:ascii="仿宋" w:hAnsi="仿宋" w:eastAsia="仿宋"/>
      <w:color w:val="000000"/>
      <w:sz w:val="20"/>
      <w:u w:val="none"/>
    </w:rPr>
  </w:style>
  <w:style w:type="character" w:customStyle="1" w:styleId="341">
    <w:name w:val="正文说明 Char"/>
    <w:link w:val="342"/>
    <w:qFormat/>
    <w:locked/>
    <w:uiPriority w:val="99"/>
    <w:rPr>
      <w:sz w:val="24"/>
    </w:rPr>
  </w:style>
  <w:style w:type="paragraph" w:customStyle="1" w:styleId="342">
    <w:name w:val="正文说明"/>
    <w:basedOn w:val="1"/>
    <w:link w:val="341"/>
    <w:qFormat/>
    <w:uiPriority w:val="99"/>
    <w:pPr>
      <w:adjustRightInd/>
      <w:spacing w:line="360" w:lineRule="auto"/>
    </w:pPr>
    <w:rPr>
      <w:kern w:val="0"/>
      <w:sz w:val="24"/>
      <w:szCs w:val="20"/>
    </w:rPr>
  </w:style>
  <w:style w:type="character" w:customStyle="1" w:styleId="343">
    <w:name w:val="脚注文本 Char1"/>
    <w:qFormat/>
    <w:uiPriority w:val="99"/>
    <w:rPr>
      <w:rFonts w:ascii="Times New Roman" w:hAnsi="Times New Roman" w:eastAsia="宋体"/>
      <w:sz w:val="18"/>
    </w:rPr>
  </w:style>
  <w:style w:type="character" w:customStyle="1" w:styleId="344">
    <w:name w:val="Char Char1211"/>
    <w:qFormat/>
    <w:uiPriority w:val="99"/>
    <w:rPr>
      <w:rFonts w:ascii="仿宋_GB2312" w:eastAsia="仿宋_GB2312"/>
      <w:b/>
      <w:kern w:val="2"/>
      <w:sz w:val="24"/>
      <w:lang w:val="zh-CN" w:eastAsia="zh-CN"/>
    </w:rPr>
  </w:style>
  <w:style w:type="character" w:customStyle="1" w:styleId="345">
    <w:name w:val="标题 Char"/>
    <w:qFormat/>
    <w:uiPriority w:val="99"/>
    <w:rPr>
      <w:rFonts w:eastAsia="宋体"/>
      <w:b/>
      <w:sz w:val="24"/>
      <w:lang w:val="en-GB" w:eastAsia="zh-CN"/>
    </w:rPr>
  </w:style>
  <w:style w:type="character" w:customStyle="1" w:styleId="346">
    <w:name w:val="Char Char35"/>
    <w:qFormat/>
    <w:uiPriority w:val="99"/>
    <w:rPr>
      <w:rFonts w:ascii="Arial" w:hAnsi="Arial" w:eastAsia="黑体"/>
      <w:b/>
      <w:kern w:val="1"/>
      <w:sz w:val="28"/>
      <w:lang w:val="zh-CN"/>
    </w:rPr>
  </w:style>
  <w:style w:type="character" w:customStyle="1" w:styleId="347">
    <w:name w:val="纯文本 Char Char Char"/>
    <w:qFormat/>
    <w:uiPriority w:val="99"/>
    <w:rPr>
      <w:rFonts w:ascii="宋体" w:hAnsi="Courier New" w:eastAsia="宋体"/>
      <w:kern w:val="2"/>
      <w:sz w:val="21"/>
      <w:lang w:val="en-US" w:eastAsia="zh-CN"/>
    </w:rPr>
  </w:style>
  <w:style w:type="character" w:customStyle="1" w:styleId="348">
    <w:name w:val="Table Text Char"/>
    <w:link w:val="349"/>
    <w:qFormat/>
    <w:locked/>
    <w:uiPriority w:val="99"/>
    <w:rPr>
      <w:sz w:val="24"/>
    </w:rPr>
  </w:style>
  <w:style w:type="paragraph" w:customStyle="1" w:styleId="349">
    <w:name w:val="Table Text"/>
    <w:basedOn w:val="1"/>
    <w:link w:val="348"/>
    <w:qFormat/>
    <w:uiPriority w:val="99"/>
    <w:pPr>
      <w:widowControl/>
      <w:spacing w:before="60" w:after="60"/>
      <w:jc w:val="left"/>
    </w:pPr>
    <w:rPr>
      <w:kern w:val="0"/>
      <w:sz w:val="24"/>
      <w:szCs w:val="20"/>
    </w:rPr>
  </w:style>
  <w:style w:type="character" w:customStyle="1" w:styleId="350">
    <w:name w:val="正文1 Char1"/>
    <w:qFormat/>
    <w:uiPriority w:val="99"/>
    <w:rPr>
      <w:rFonts w:ascii="仿宋_GB2312" w:hAnsi="Courier New" w:eastAsia="仿宋_GB2312"/>
      <w:kern w:val="28"/>
      <w:sz w:val="24"/>
      <w:lang w:val="en-US" w:eastAsia="zh-CN"/>
    </w:rPr>
  </w:style>
  <w:style w:type="character" w:customStyle="1" w:styleId="351">
    <w:name w:val="页脚 Char1"/>
    <w:qFormat/>
    <w:uiPriority w:val="99"/>
    <w:rPr>
      <w:rFonts w:eastAsia="宋体"/>
      <w:kern w:val="2"/>
      <w:sz w:val="18"/>
      <w:lang w:val="en-US" w:eastAsia="zh-CN"/>
    </w:rPr>
  </w:style>
  <w:style w:type="character" w:customStyle="1" w:styleId="352">
    <w:name w:val="Bold"/>
    <w:qFormat/>
    <w:uiPriority w:val="99"/>
    <w:rPr>
      <w:rFonts w:ascii="Arial" w:hAnsi="Arial" w:eastAsia="黑体"/>
      <w:b/>
      <w:kern w:val="2"/>
      <w:sz w:val="32"/>
      <w:lang w:val="en-US" w:eastAsia="zh-CN"/>
    </w:rPr>
  </w:style>
  <w:style w:type="character" w:customStyle="1" w:styleId="353">
    <w:name w:val="批注文字 Char1"/>
    <w:link w:val="19"/>
    <w:qFormat/>
    <w:locked/>
    <w:uiPriority w:val="99"/>
    <w:rPr>
      <w:kern w:val="2"/>
      <w:sz w:val="24"/>
    </w:rPr>
  </w:style>
  <w:style w:type="character" w:customStyle="1" w:styleId="354">
    <w:name w:val="hui3"/>
    <w:qFormat/>
    <w:uiPriority w:val="99"/>
    <w:rPr>
      <w:color w:val="333333"/>
    </w:rPr>
  </w:style>
  <w:style w:type="character" w:customStyle="1" w:styleId="355">
    <w:name w:val="Char Char17"/>
    <w:qFormat/>
    <w:uiPriority w:val="99"/>
    <w:rPr>
      <w:rFonts w:eastAsia="仿宋_GB2312"/>
      <w:sz w:val="24"/>
    </w:rPr>
  </w:style>
  <w:style w:type="character" w:customStyle="1" w:styleId="356">
    <w:name w:val="Char Char37"/>
    <w:qFormat/>
    <w:uiPriority w:val="99"/>
    <w:rPr>
      <w:b/>
      <w:kern w:val="1"/>
      <w:sz w:val="44"/>
    </w:rPr>
  </w:style>
  <w:style w:type="character" w:customStyle="1" w:styleId="357">
    <w:name w:val="列出段落 Char"/>
    <w:qFormat/>
    <w:uiPriority w:val="99"/>
    <w:rPr>
      <w:rFonts w:eastAsia="楷体_GB2312"/>
      <w:kern w:val="2"/>
      <w:sz w:val="24"/>
      <w:lang w:val="en-US" w:eastAsia="zh-CN"/>
    </w:rPr>
  </w:style>
  <w:style w:type="character" w:customStyle="1" w:styleId="358">
    <w:name w:val="正文文本缩进 3 Char1"/>
    <w:semiHidden/>
    <w:qFormat/>
    <w:uiPriority w:val="99"/>
    <w:rPr>
      <w:rFonts w:ascii="Times New Roman" w:hAnsi="Times New Roman" w:eastAsia="宋体"/>
      <w:sz w:val="16"/>
    </w:rPr>
  </w:style>
  <w:style w:type="character" w:customStyle="1" w:styleId="359">
    <w:name w:val="公文正文 Char Char"/>
    <w:link w:val="360"/>
    <w:qFormat/>
    <w:locked/>
    <w:uiPriority w:val="99"/>
    <w:rPr>
      <w:rFonts w:ascii="仿宋_GB2312" w:eastAsia="仿宋_GB2312"/>
      <w:kern w:val="2"/>
      <w:sz w:val="24"/>
    </w:rPr>
  </w:style>
  <w:style w:type="paragraph" w:customStyle="1" w:styleId="360">
    <w:name w:val="公文正文"/>
    <w:basedOn w:val="1"/>
    <w:link w:val="359"/>
    <w:qFormat/>
    <w:uiPriority w:val="99"/>
    <w:pPr>
      <w:adjustRightInd/>
      <w:spacing w:before="156" w:line="360" w:lineRule="auto"/>
      <w:ind w:firstLine="360" w:firstLineChars="200"/>
    </w:pPr>
    <w:rPr>
      <w:rFonts w:ascii="仿宋_GB2312" w:eastAsia="仿宋_GB2312"/>
      <w:sz w:val="24"/>
      <w:szCs w:val="20"/>
    </w:rPr>
  </w:style>
  <w:style w:type="character" w:customStyle="1" w:styleId="361">
    <w:name w:val="Table Text Char1"/>
    <w:qFormat/>
    <w:uiPriority w:val="99"/>
    <w:rPr>
      <w:rFonts w:eastAsia="宋体"/>
      <w:sz w:val="24"/>
      <w:lang w:val="en-US" w:eastAsia="zh-CN"/>
    </w:rPr>
  </w:style>
  <w:style w:type="character" w:customStyle="1" w:styleId="362">
    <w:name w:val="标题 1 Char Char"/>
    <w:qFormat/>
    <w:uiPriority w:val="99"/>
    <w:rPr>
      <w:rFonts w:ascii="宋体" w:hAnsi="宋体" w:eastAsia="宋体"/>
      <w:b/>
      <w:spacing w:val="-2"/>
      <w:sz w:val="24"/>
      <w:lang w:val="en-US" w:eastAsia="zh-CN"/>
    </w:rPr>
  </w:style>
  <w:style w:type="character" w:customStyle="1" w:styleId="363">
    <w:name w:val="正文（缩进2汉字） Char"/>
    <w:link w:val="364"/>
    <w:qFormat/>
    <w:locked/>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4"/>
    </w:rPr>
  </w:style>
  <w:style w:type="character" w:customStyle="1" w:styleId="366">
    <w:name w:val="tw4winError"/>
    <w:qFormat/>
    <w:uiPriority w:val="99"/>
    <w:rPr>
      <w:rFonts w:ascii="Courier New" w:hAnsi="Courier New"/>
      <w:color w:val="00FF00"/>
      <w:sz w:val="40"/>
    </w:rPr>
  </w:style>
  <w:style w:type="character" w:customStyle="1" w:styleId="367">
    <w:name w:val="Body Text(ch) Char Char"/>
    <w:qFormat/>
    <w:uiPriority w:val="99"/>
    <w:rPr>
      <w:rFonts w:ascii="宋体"/>
      <w:kern w:val="2"/>
      <w:sz w:val="21"/>
      <w:lang w:val="zh-CN"/>
    </w:rPr>
  </w:style>
  <w:style w:type="character" w:customStyle="1" w:styleId="368">
    <w:name w:val="正文首行缩进两字 Char"/>
    <w:qFormat/>
    <w:uiPriority w:val="99"/>
    <w:rPr>
      <w:sz w:val="24"/>
      <w:lang w:val="en-US" w:eastAsia="zh-CN"/>
    </w:rPr>
  </w:style>
  <w:style w:type="character" w:customStyle="1" w:styleId="369">
    <w:name w:val="文档结构图 字符1"/>
    <w:qFormat/>
    <w:uiPriority w:val="99"/>
    <w:rPr>
      <w:rFonts w:ascii="宋体" w:hAnsi="Calibri" w:eastAsia="黑体"/>
      <w:snapToGrid w:val="0"/>
      <w:kern w:val="2"/>
      <w:sz w:val="18"/>
    </w:rPr>
  </w:style>
  <w:style w:type="character" w:customStyle="1" w:styleId="370">
    <w:name w:val="content"/>
    <w:qFormat/>
    <w:uiPriority w:val="99"/>
  </w:style>
  <w:style w:type="character" w:customStyle="1" w:styleId="371">
    <w:name w:val="tw4winPopup"/>
    <w:qFormat/>
    <w:uiPriority w:val="99"/>
    <w:rPr>
      <w:rFonts w:ascii="Courier New" w:hAnsi="Courier New"/>
      <w:color w:val="008000"/>
      <w:lang w:val="en-US" w:eastAsia="zh-CN"/>
    </w:rPr>
  </w:style>
  <w:style w:type="character" w:customStyle="1" w:styleId="372">
    <w:name w:val="param-name"/>
    <w:qFormat/>
    <w:uiPriority w:val="99"/>
    <w:rPr>
      <w:rFonts w:ascii="Arial" w:hAnsi="Arial" w:eastAsia="黑体"/>
      <w:snapToGrid w:val="0"/>
      <w:kern w:val="0"/>
      <w:sz w:val="21"/>
    </w:rPr>
  </w:style>
  <w:style w:type="character" w:customStyle="1" w:styleId="373">
    <w:name w:val="标准正文格式 Char"/>
    <w:qFormat/>
    <w:uiPriority w:val="99"/>
    <w:rPr>
      <w:rFonts w:ascii="宋体" w:eastAsia="仿宋_GB2312"/>
      <w:color w:val="000000"/>
      <w:sz w:val="24"/>
      <w:lang w:val="en-US" w:eastAsia="zh-CN"/>
    </w:rPr>
  </w:style>
  <w:style w:type="character" w:customStyle="1" w:styleId="374">
    <w:name w:val="Char Char212"/>
    <w:qFormat/>
    <w:uiPriority w:val="99"/>
    <w:rPr>
      <w:rFonts w:eastAsia="宋体"/>
      <w:b/>
      <w:kern w:val="2"/>
      <w:sz w:val="24"/>
      <w:lang w:val="en-US" w:eastAsia="zh-CN"/>
    </w:rPr>
  </w:style>
  <w:style w:type="character" w:customStyle="1" w:styleId="375">
    <w:name w:val="文档结构图 Char"/>
    <w:qFormat/>
    <w:uiPriority w:val="99"/>
    <w:rPr>
      <w:rFonts w:eastAsia="宋体"/>
      <w:kern w:val="2"/>
      <w:sz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rPr>
  </w:style>
  <w:style w:type="character" w:customStyle="1" w:styleId="378">
    <w:name w:val="font51"/>
    <w:qFormat/>
    <w:uiPriority w:val="99"/>
    <w:rPr>
      <w:rFonts w:ascii="仿宋" w:hAnsi="仿宋" w:eastAsia="仿宋"/>
      <w:color w:val="000000"/>
      <w:sz w:val="20"/>
      <w:u w:val="none"/>
    </w:rPr>
  </w:style>
  <w:style w:type="character" w:customStyle="1" w:styleId="379">
    <w:name w:val="Char Char82"/>
    <w:qFormat/>
    <w:uiPriority w:val="99"/>
    <w:rPr>
      <w:rFonts w:eastAsia="宋体"/>
      <w:b/>
      <w:sz w:val="24"/>
      <w:lang w:val="en-GB" w:eastAsia="zh-CN"/>
    </w:rPr>
  </w:style>
  <w:style w:type="character" w:customStyle="1" w:styleId="380">
    <w:name w:val="日期 Char1"/>
    <w:semiHidden/>
    <w:qFormat/>
    <w:uiPriority w:val="99"/>
    <w:rPr>
      <w:rFonts w:ascii="Times New Roman" w:hAnsi="Times New Roman" w:eastAsia="宋体"/>
      <w:sz w:val="24"/>
    </w:rPr>
  </w:style>
  <w:style w:type="character" w:customStyle="1" w:styleId="381">
    <w:name w:val="页眉 字符"/>
    <w:qFormat/>
    <w:uiPriority w:val="99"/>
    <w:rPr>
      <w:kern w:val="2"/>
      <w:sz w:val="18"/>
    </w:rPr>
  </w:style>
  <w:style w:type="character" w:customStyle="1" w:styleId="382">
    <w:name w:val="Char Char33"/>
    <w:qFormat/>
    <w:uiPriority w:val="99"/>
    <w:rPr>
      <w:rFonts w:ascii="Arial" w:hAnsi="Arial" w:eastAsia="黑体"/>
      <w:b/>
      <w:kern w:val="1"/>
      <w:sz w:val="24"/>
    </w:rPr>
  </w:style>
  <w:style w:type="character" w:customStyle="1" w:styleId="383">
    <w:name w:val="b11_01b Char"/>
    <w:link w:val="384"/>
    <w:qFormat/>
    <w:locked/>
    <w:uiPriority w:val="99"/>
    <w:rPr>
      <w:rFonts w:ascii="Verdana" w:hAnsi="Verdana"/>
      <w:b/>
      <w:color w:val="4A82CA"/>
      <w:sz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5">
    <w:name w:val="Char Char121"/>
    <w:qFormat/>
    <w:uiPriority w:val="99"/>
    <w:rPr>
      <w:rFonts w:ascii="仿宋_GB2312" w:eastAsia="仿宋_GB2312"/>
      <w:b/>
      <w:kern w:val="2"/>
      <w:sz w:val="24"/>
      <w:lang w:val="zh-CN" w:eastAsia="zh-CN"/>
    </w:rPr>
  </w:style>
  <w:style w:type="character" w:customStyle="1" w:styleId="386">
    <w:name w:val="Footer-Even Char"/>
    <w:qFormat/>
    <w:uiPriority w:val="99"/>
    <w:rPr>
      <w:rFonts w:eastAsia="宋体"/>
      <w:kern w:val="2"/>
      <w:sz w:val="18"/>
      <w:lang w:val="en-US" w:eastAsia="zh-CN"/>
    </w:rPr>
  </w:style>
  <w:style w:type="character" w:customStyle="1" w:styleId="387">
    <w:name w:val="页脚 Char2"/>
    <w:link w:val="39"/>
    <w:qFormat/>
    <w:locked/>
    <w:uiPriority w:val="99"/>
    <w:rPr>
      <w:kern w:val="2"/>
      <w:sz w:val="18"/>
    </w:rPr>
  </w:style>
  <w:style w:type="character" w:customStyle="1" w:styleId="388">
    <w:name w:val="Char Char36"/>
    <w:qFormat/>
    <w:uiPriority w:val="99"/>
    <w:rPr>
      <w:rFonts w:ascii="仿宋_GB2312" w:hAnsi="仿宋_GB2312" w:eastAsia="仿宋_GB2312"/>
      <w:b/>
      <w:kern w:val="1"/>
      <w:sz w:val="32"/>
      <w:lang w:val="zh-CN" w:eastAsia="zh-CN"/>
    </w:rPr>
  </w:style>
  <w:style w:type="character" w:customStyle="1" w:styleId="389">
    <w:name w:val="Char Char61"/>
    <w:qFormat/>
    <w:uiPriority w:val="99"/>
    <w:rPr>
      <w:rFonts w:eastAsia="宋体"/>
      <w:kern w:val="2"/>
      <w:sz w:val="24"/>
      <w:lang w:val="en-US" w:eastAsia="zh-CN"/>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lang w:val="en-US" w:eastAsia="zh-CN"/>
    </w:rPr>
  </w:style>
  <w:style w:type="character" w:customStyle="1" w:styleId="392">
    <w:name w:val="段落 Char Char"/>
    <w:link w:val="393"/>
    <w:qFormat/>
    <w:locked/>
    <w:uiPriority w:val="99"/>
    <w:rPr>
      <w:rFonts w:ascii="宋体" w:eastAsia="宋体"/>
      <w:sz w:val="24"/>
    </w:rPr>
  </w:style>
  <w:style w:type="paragraph" w:customStyle="1" w:styleId="393">
    <w:name w:val="段落"/>
    <w:basedOn w:val="1"/>
    <w:link w:val="392"/>
    <w:qFormat/>
    <w:uiPriority w:val="99"/>
    <w:pPr>
      <w:adjustRightInd/>
      <w:spacing w:line="360" w:lineRule="auto"/>
      <w:ind w:firstLine="480" w:firstLineChars="200"/>
    </w:pPr>
    <w:rPr>
      <w:rFonts w:ascii="宋体"/>
      <w:kern w:val="0"/>
      <w:sz w:val="24"/>
      <w:szCs w:val="20"/>
    </w:rPr>
  </w:style>
  <w:style w:type="character" w:customStyle="1" w:styleId="394">
    <w:name w:val="标题 3 Char2"/>
    <w:qFormat/>
    <w:uiPriority w:val="99"/>
    <w:rPr>
      <w:rFonts w:eastAsia="宋体"/>
      <w:b/>
      <w:kern w:val="2"/>
      <w:sz w:val="32"/>
      <w:lang w:val="en-US" w:eastAsia="zh-CN"/>
    </w:rPr>
  </w:style>
  <w:style w:type="character" w:customStyle="1" w:styleId="395">
    <w:name w:val="apple-converted-space"/>
    <w:qFormat/>
    <w:uiPriority w:val="99"/>
  </w:style>
  <w:style w:type="character" w:customStyle="1" w:styleId="396">
    <w:name w:val="页眉 Char2"/>
    <w:link w:val="41"/>
    <w:qFormat/>
    <w:locked/>
    <w:uiPriority w:val="99"/>
    <w:rPr>
      <w:kern w:val="2"/>
      <w:sz w:val="18"/>
    </w:rPr>
  </w:style>
  <w:style w:type="character" w:customStyle="1" w:styleId="397">
    <w:name w:val="Char Char9"/>
    <w:qFormat/>
    <w:uiPriority w:val="99"/>
    <w:rPr>
      <w:rFonts w:eastAsia="宋体"/>
      <w:kern w:val="2"/>
      <w:sz w:val="18"/>
      <w:lang w:val="en-US" w:eastAsia="zh-CN"/>
    </w:rPr>
  </w:style>
  <w:style w:type="character" w:customStyle="1" w:styleId="398">
    <w:name w:val="Char Char41"/>
    <w:qFormat/>
    <w:uiPriority w:val="99"/>
    <w:rPr>
      <w:rFonts w:eastAsia="宋体"/>
      <w:b/>
      <w:sz w:val="24"/>
      <w:lang w:val="en-GB" w:eastAsia="zh-CN"/>
    </w:rPr>
  </w:style>
  <w:style w:type="character" w:customStyle="1" w:styleId="399">
    <w:name w:val="large1"/>
    <w:qFormat/>
    <w:uiPriority w:val="99"/>
    <w:rPr>
      <w:rFonts w:ascii="宋体" w:hAnsi="宋体" w:eastAsia="宋体"/>
      <w:sz w:val="21"/>
    </w:rPr>
  </w:style>
  <w:style w:type="character" w:customStyle="1" w:styleId="400">
    <w:name w:val="正文段 Char"/>
    <w:link w:val="401"/>
    <w:qFormat/>
    <w:locked/>
    <w:uiPriority w:val="99"/>
    <w:rPr>
      <w:sz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0"/>
    </w:rPr>
  </w:style>
  <w:style w:type="character" w:customStyle="1" w:styleId="402">
    <w:name w:val="Char Char13"/>
    <w:qFormat/>
    <w:uiPriority w:val="99"/>
    <w:rPr>
      <w:rFonts w:ascii="宋体" w:eastAsia="宋体"/>
      <w:kern w:val="1"/>
      <w:sz w:val="24"/>
    </w:rPr>
  </w:style>
  <w:style w:type="character" w:customStyle="1" w:styleId="403">
    <w:name w:val="Char Char92"/>
    <w:qFormat/>
    <w:uiPriority w:val="99"/>
    <w:rPr>
      <w:rFonts w:ascii="Times New Roman" w:hAnsi="Times New Roman" w:eastAsia="宋体"/>
      <w:b/>
      <w:kern w:val="2"/>
      <w:sz w:val="32"/>
      <w:lang w:val="en-US" w:eastAsia="zh-CN"/>
    </w:rPr>
  </w:style>
  <w:style w:type="character" w:customStyle="1" w:styleId="404">
    <w:name w:val="冯广丽 Char"/>
    <w:link w:val="405"/>
    <w:qFormat/>
    <w:locked/>
    <w:uiPriority w:val="99"/>
    <w:rPr>
      <w:rFonts w:ascii="宋体" w:eastAsia="宋体"/>
      <w:kern w:val="2"/>
      <w:sz w:val="22"/>
    </w:rPr>
  </w:style>
  <w:style w:type="paragraph" w:customStyle="1" w:styleId="405">
    <w:name w:val="冯广丽"/>
    <w:basedOn w:val="1"/>
    <w:link w:val="404"/>
    <w:qFormat/>
    <w:uiPriority w:val="99"/>
    <w:pPr>
      <w:adjustRightInd/>
      <w:spacing w:line="360" w:lineRule="auto"/>
      <w:ind w:firstLine="480" w:firstLineChars="200"/>
    </w:pPr>
    <w:rPr>
      <w:rFonts w:ascii="宋体"/>
      <w:sz w:val="22"/>
      <w:szCs w:val="20"/>
    </w:rPr>
  </w:style>
  <w:style w:type="character" w:customStyle="1" w:styleId="406">
    <w:name w:val="批注文字 字符"/>
    <w:qFormat/>
    <w:uiPriority w:val="99"/>
    <w:rPr>
      <w:rFonts w:ascii="Arial" w:hAnsi="Arial" w:eastAsia="黑体"/>
      <w:snapToGrid w:val="0"/>
      <w:kern w:val="0"/>
      <w:sz w:val="21"/>
    </w:rPr>
  </w:style>
  <w:style w:type="character" w:customStyle="1" w:styleId="407">
    <w:name w:val="Char Char161"/>
    <w:qFormat/>
    <w:uiPriority w:val="99"/>
    <w:rPr>
      <w:rFonts w:eastAsia="宋体"/>
      <w:b/>
      <w:kern w:val="2"/>
      <w:sz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kern w:val="2"/>
      <w:sz w:val="24"/>
      <w:lang w:val="en-US" w:eastAsia="zh-CN"/>
    </w:rPr>
  </w:style>
  <w:style w:type="character" w:customStyle="1" w:styleId="410">
    <w:name w:val="Used by Word for text of Help footnotes Char Char"/>
    <w:qFormat/>
    <w:uiPriority w:val="99"/>
    <w:rPr>
      <w:rFonts w:ascii="Times New Roman" w:hAnsi="Times New Roman" w:eastAsia="宋体"/>
      <w:sz w:val="20"/>
    </w:rPr>
  </w:style>
  <w:style w:type="character" w:customStyle="1" w:styleId="411">
    <w:name w:val="编号，小四 Char"/>
    <w:link w:val="412"/>
    <w:qFormat/>
    <w:locked/>
    <w:uiPriority w:val="99"/>
    <w:rPr>
      <w:rFonts w:ascii="Arial" w:hAnsi="Arial"/>
      <w:sz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olor w:val="000000"/>
      <w:sz w:val="14"/>
    </w:rPr>
  </w:style>
  <w:style w:type="character" w:customStyle="1" w:styleId="414">
    <w:name w:val="标题 2 Char Char"/>
    <w:qFormat/>
    <w:uiPriority w:val="99"/>
    <w:rPr>
      <w:rFonts w:ascii="楷体_GB2312" w:hAnsi="Arial" w:eastAsia="楷体_GB2312"/>
      <w:b/>
      <w:kern w:val="2"/>
      <w:sz w:val="32"/>
      <w:lang w:val="en-US" w:eastAsia="zh-CN"/>
    </w:rPr>
  </w:style>
  <w:style w:type="character" w:customStyle="1" w:styleId="415">
    <w:name w:val="未用 Char"/>
    <w:qFormat/>
    <w:uiPriority w:val="99"/>
    <w:rPr>
      <w:rFonts w:ascii="Arial" w:hAnsi="Arial" w:eastAsia="黑体"/>
      <w:kern w:val="2"/>
      <w:sz w:val="21"/>
      <w:lang w:val="en-US" w:eastAsia="zh-CN"/>
    </w:rPr>
  </w:style>
  <w:style w:type="character" w:customStyle="1" w:styleId="416">
    <w:name w:val="myp1111"/>
    <w:qFormat/>
    <w:uiPriority w:val="99"/>
    <w:rPr>
      <w:rFonts w:ascii="??" w:hAnsi="??"/>
      <w:color w:val="000000"/>
      <w:sz w:val="20"/>
      <w:u w:val="none"/>
    </w:rPr>
  </w:style>
  <w:style w:type="character" w:customStyle="1" w:styleId="417">
    <w:name w:val="样式 标题 4h4H4Fab-4T5Ref Heading 1rh1Heading sqlsect 1.2.3.... Char"/>
    <w:link w:val="319"/>
    <w:qFormat/>
    <w:locked/>
    <w:uiPriority w:val="99"/>
    <w:rPr>
      <w:rFonts w:ascii="微软雅黑" w:hAnsi="微软雅黑" w:eastAsia="微软雅黑"/>
      <w:b/>
      <w:kern w:val="2"/>
      <w:sz w:val="28"/>
    </w:rPr>
  </w:style>
  <w:style w:type="character" w:customStyle="1" w:styleId="418">
    <w:name w:val="h Char Char"/>
    <w:qFormat/>
    <w:uiPriority w:val="99"/>
    <w:rPr>
      <w:rFonts w:eastAsia="宋体"/>
      <w:kern w:val="2"/>
      <w:sz w:val="18"/>
      <w:lang w:val="en-US" w:eastAsia="zh-CN"/>
    </w:rPr>
  </w:style>
  <w:style w:type="character" w:customStyle="1" w:styleId="419">
    <w:name w:val="仿宋正文 Char"/>
    <w:link w:val="420"/>
    <w:qFormat/>
    <w:locked/>
    <w:uiPriority w:val="99"/>
    <w:rPr>
      <w:rFonts w:ascii="仿宋_GB2312" w:eastAsia="仿宋_GB2312"/>
      <w:kern w:val="2"/>
      <w:sz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99"/>
    <w:rPr>
      <w:rFonts w:ascii="宋体" w:eastAsia="宋体"/>
      <w:kern w:val="2"/>
      <w:sz w:val="24"/>
      <w:lang w:val="zh-CN"/>
    </w:rPr>
  </w:style>
  <w:style w:type="character" w:customStyle="1" w:styleId="422">
    <w:name w:val="样式 宋体"/>
    <w:qFormat/>
    <w:uiPriority w:val="99"/>
    <w:rPr>
      <w:rFonts w:ascii="宋体" w:eastAsia="宋体"/>
      <w:sz w:val="24"/>
    </w:rPr>
  </w:style>
  <w:style w:type="character" w:customStyle="1" w:styleId="423">
    <w:name w:val="tw4winJump"/>
    <w:qFormat/>
    <w:uiPriority w:val="99"/>
    <w:rPr>
      <w:rFonts w:ascii="Courier New" w:hAnsi="Courier New"/>
      <w:color w:val="008080"/>
      <w:lang w:val="en-US" w:eastAsia="zh-CN"/>
    </w:rPr>
  </w:style>
  <w:style w:type="character" w:customStyle="1" w:styleId="424">
    <w:name w:val="标题 1 字符"/>
    <w:qFormat/>
    <w:uiPriority w:val="99"/>
    <w:rPr>
      <w:rFonts w:ascii="Arial" w:hAnsi="Arial" w:eastAsia="黑体"/>
      <w:b/>
      <w:snapToGrid w:val="0"/>
      <w:kern w:val="44"/>
      <w:sz w:val="44"/>
    </w:rPr>
  </w:style>
  <w:style w:type="character" w:customStyle="1" w:styleId="425">
    <w:name w:val="style36"/>
    <w:basedOn w:val="70"/>
    <w:qFormat/>
    <w:uiPriority w:val="99"/>
    <w:rPr>
      <w:rFonts w:ascii="Arial" w:hAnsi="Arial" w:eastAsia="黑体" w:cs="Arial"/>
      <w:snapToGrid w:val="0"/>
      <w:kern w:val="0"/>
      <w:sz w:val="21"/>
      <w:szCs w:val="21"/>
    </w:rPr>
  </w:style>
  <w:style w:type="character" w:customStyle="1" w:styleId="426">
    <w:name w:val="pt9"/>
    <w:qFormat/>
    <w:uiPriority w:val="99"/>
    <w:rPr>
      <w:rFonts w:ascii="仿宋_GB2312" w:eastAsia="微软雅黑"/>
      <w:b/>
      <w:kern w:val="2"/>
      <w:sz w:val="32"/>
      <w:lang w:val="en-US" w:eastAsia="zh-CN"/>
    </w:rPr>
  </w:style>
  <w:style w:type="character" w:customStyle="1" w:styleId="427">
    <w:name w:val="DO_NOT_TRANSLATE"/>
    <w:qFormat/>
    <w:uiPriority w:val="99"/>
    <w:rPr>
      <w:rFonts w:ascii="Courier New" w:hAnsi="Courier New"/>
      <w:color w:val="800000"/>
      <w:lang w:val="en-US" w:eastAsia="zh-CN"/>
    </w:rPr>
  </w:style>
  <w:style w:type="character" w:customStyle="1" w:styleId="428">
    <w:name w:val="标书1 Char1"/>
    <w:qFormat/>
    <w:uiPriority w:val="99"/>
    <w:rPr>
      <w:rFonts w:eastAsia="宋体"/>
      <w:b/>
      <w:kern w:val="44"/>
      <w:sz w:val="44"/>
      <w:lang w:val="en-US" w:eastAsia="zh-CN"/>
    </w:rPr>
  </w:style>
  <w:style w:type="character" w:customStyle="1" w:styleId="429">
    <w:name w:val="页脚 字符"/>
    <w:qFormat/>
    <w:uiPriority w:val="99"/>
    <w:rPr>
      <w:kern w:val="2"/>
      <w:sz w:val="18"/>
    </w:rPr>
  </w:style>
  <w:style w:type="character" w:customStyle="1" w:styleId="430">
    <w:name w:val="正文2 Char"/>
    <w:qFormat/>
    <w:uiPriority w:val="99"/>
    <w:rPr>
      <w:rFonts w:eastAsia="宋体"/>
      <w:kern w:val="2"/>
      <w:sz w:val="24"/>
      <w:lang w:val="en-US" w:eastAsia="zh-CN"/>
    </w:rPr>
  </w:style>
  <w:style w:type="character" w:customStyle="1" w:styleId="431">
    <w:name w:val="Char Char21"/>
    <w:qFormat/>
    <w:uiPriority w:val="99"/>
    <w:rPr>
      <w:rFonts w:ascii="宋体" w:eastAsia="宋体"/>
      <w:kern w:val="1"/>
      <w:sz w:val="21"/>
      <w:lang w:val="zh-CN"/>
    </w:rPr>
  </w:style>
  <w:style w:type="character" w:customStyle="1" w:styleId="432">
    <w:name w:val="样式 正文缩进 + 首行缩进:  2 字符 Char Char"/>
    <w:link w:val="433"/>
    <w:qFormat/>
    <w:locked/>
    <w:uiPriority w:val="99"/>
    <w:rPr>
      <w:kern w:val="2"/>
      <w:sz w:val="24"/>
    </w:rPr>
  </w:style>
  <w:style w:type="paragraph" w:customStyle="1" w:styleId="433">
    <w:name w:val="样式 正文缩进 + 首行缩进:  2 字符"/>
    <w:basedOn w:val="5"/>
    <w:link w:val="43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4">
    <w:name w:val="gray6"/>
    <w:basedOn w:val="70"/>
    <w:qFormat/>
    <w:uiPriority w:val="99"/>
    <w:rPr>
      <w:rFonts w:ascii="Arial" w:hAnsi="Arial" w:eastAsia="黑体" w:cs="Arial"/>
      <w:snapToGrid w:val="0"/>
      <w:kern w:val="0"/>
      <w:sz w:val="21"/>
      <w:szCs w:val="21"/>
    </w:rPr>
  </w:style>
  <w:style w:type="character" w:customStyle="1" w:styleId="435">
    <w:name w:val="hui"/>
    <w:basedOn w:val="70"/>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kern w:val="2"/>
      <w:sz w:val="24"/>
      <w:lang w:val="en-US" w:eastAsia="zh-CN"/>
    </w:rPr>
  </w:style>
  <w:style w:type="paragraph" w:customStyle="1" w:styleId="437">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99"/>
    <w:pPr>
      <w:spacing w:before="120" w:line="360" w:lineRule="auto"/>
      <w:ind w:firstLine="567"/>
    </w:pPr>
    <w:rPr>
      <w:rFonts w:ascii="Arial" w:hAnsi="Arial"/>
      <w:sz w:val="20"/>
      <w:szCs w:val="20"/>
    </w:rPr>
  </w:style>
  <w:style w:type="paragraph" w:customStyle="1" w:styleId="44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99"/>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99"/>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99"/>
    <w:pPr>
      <w:adjustRightInd/>
      <w:ind w:firstLine="200" w:firstLineChars="200"/>
    </w:pPr>
    <w:rPr>
      <w:rFonts w:ascii="Tahoma" w:hAnsi="Tahoma"/>
      <w:sz w:val="24"/>
      <w:szCs w:val="20"/>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99"/>
    <w:pPr>
      <w:tabs>
        <w:tab w:val="left" w:pos="360"/>
      </w:tabs>
    </w:pPr>
    <w:rPr>
      <w:sz w:val="24"/>
      <w:szCs w:val="20"/>
    </w:rPr>
  </w:style>
  <w:style w:type="paragraph" w:customStyle="1" w:styleId="459">
    <w:name w:val="Char Char11 Char Char Char"/>
    <w:basedOn w:val="1"/>
    <w:qFormat/>
    <w:uiPriority w:val="99"/>
    <w:pPr>
      <w:spacing w:line="360" w:lineRule="auto"/>
    </w:pPr>
    <w:rPr>
      <w:szCs w:val="20"/>
    </w:r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99"/>
    <w:pPr>
      <w:tabs>
        <w:tab w:val="left" w:pos="840"/>
      </w:tabs>
      <w:ind w:left="840" w:hanging="420"/>
    </w:pPr>
    <w:rPr>
      <w:rFonts w:ascii="Tahoma" w:hAnsi="Tahoma"/>
      <w:sz w:val="24"/>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99"/>
    <w:pPr>
      <w:adjustRightInd/>
      <w:spacing w:before="156" w:line="360" w:lineRule="auto"/>
      <w:ind w:firstLine="510" w:firstLineChars="200"/>
    </w:pPr>
    <w:rPr>
      <w:sz w:val="24"/>
      <w:szCs w:val="20"/>
    </w:rPr>
  </w:style>
  <w:style w:type="paragraph" w:customStyle="1" w:styleId="469">
    <w:name w:val="Test2"/>
    <w:basedOn w:val="2"/>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8">
    <w:name w:val="4级标题"/>
    <w:basedOn w:val="8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9">
    <w:name w:val="样式 正文文本缩进 + 段前: 2 字符"/>
    <w:basedOn w:val="1"/>
    <w:qFormat/>
    <w:uiPriority w:val="99"/>
    <w:pPr>
      <w:adjustRightInd/>
      <w:ind w:left="420" w:leftChars="200"/>
      <w:jc w:val="left"/>
    </w:pPr>
    <w:rPr>
      <w:sz w:val="28"/>
      <w:szCs w:val="20"/>
      <w:lang w:eastAsia="zh-TW"/>
    </w:rPr>
  </w:style>
  <w:style w:type="paragraph" w:customStyle="1" w:styleId="480">
    <w:name w:val="Char2 Char Char"/>
    <w:basedOn w:val="1"/>
    <w:qFormat/>
    <w:uiPriority w:val="99"/>
    <w:pPr>
      <w:adjustRightInd/>
    </w:pPr>
    <w:rPr>
      <w:rFonts w:ascii="Tahoma" w:hAnsi="Tahoma"/>
      <w:sz w:val="24"/>
      <w:szCs w:val="20"/>
    </w:rPr>
  </w:style>
  <w:style w:type="paragraph" w:customStyle="1" w:styleId="481">
    <w:name w:val="_Style 11"/>
    <w:basedOn w:val="1"/>
    <w:qFormat/>
    <w:uiPriority w:val="99"/>
    <w:pPr>
      <w:adjustRightInd/>
      <w:ind w:firstLine="420" w:firstLineChars="200"/>
    </w:pPr>
    <w:rPr>
      <w:rFonts w:eastAsia="仿宋_GB2312"/>
      <w:sz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5">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 w:val="22"/>
      <w:szCs w:val="20"/>
    </w:rPr>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99"/>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99"/>
    <w:pPr>
      <w:tabs>
        <w:tab w:val="left" w:pos="1260"/>
      </w:tabs>
      <w:ind w:left="1260" w:hanging="420"/>
    </w:pPr>
    <w:rPr>
      <w:rFonts w:ascii="Arial" w:hAnsi="Arial" w:eastAsia="黑体"/>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仿宋_GB2312" w:eastAsia="仿宋_GB2312"/>
      <w:b/>
      <w:sz w:val="32"/>
      <w:szCs w:val="32"/>
    </w:rPr>
  </w:style>
  <w:style w:type="paragraph" w:customStyle="1" w:styleId="495">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99"/>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8">
    <w:name w:val="Char2"/>
    <w:basedOn w:val="1"/>
    <w:qFormat/>
    <w:uiPriority w:val="99"/>
    <w:rPr>
      <w:rFonts w:ascii="仿宋_GB2312" w:eastAsia="仿宋_GB2312"/>
      <w:b/>
      <w:sz w:val="32"/>
      <w:szCs w:val="32"/>
    </w:rPr>
  </w:style>
  <w:style w:type="paragraph" w:customStyle="1" w:styleId="499">
    <w:name w:val="数字标题3"/>
    <w:basedOn w:val="4"/>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0"/>
    </w:rPr>
  </w:style>
  <w:style w:type="paragraph" w:customStyle="1" w:styleId="501">
    <w:name w:val="MM Topic 5"/>
    <w:basedOn w:val="7"/>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仿宋_GB2312" w:eastAsia="仿宋_GB2312"/>
      <w:b/>
      <w:sz w:val="32"/>
      <w:szCs w:val="32"/>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99"/>
    <w:rPr>
      <w:rFonts w:ascii="仿宋_GB2312" w:eastAsia="仿宋_GB2312"/>
      <w:b/>
      <w:sz w:val="32"/>
      <w:szCs w:val="32"/>
    </w:rPr>
  </w:style>
  <w:style w:type="paragraph" w:customStyle="1" w:styleId="506">
    <w:name w:val="Char2 Char Char Char1"/>
    <w:basedOn w:val="1"/>
    <w:qFormat/>
    <w:uiPriority w:val="99"/>
    <w:rPr>
      <w:rFonts w:ascii="仿宋_GB2312" w:eastAsia="仿宋_GB2312"/>
      <w:b/>
      <w:sz w:val="32"/>
      <w:szCs w:val="32"/>
    </w:rPr>
  </w:style>
  <w:style w:type="paragraph" w:customStyle="1" w:styleId="507">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99"/>
    <w:pPr>
      <w:snapToGrid w:val="0"/>
      <w:spacing w:line="240" w:lineRule="atLeast"/>
      <w:ind w:firstLine="200" w:firstLineChars="200"/>
      <w:jc w:val="center"/>
    </w:pPr>
    <w:rPr>
      <w:sz w:val="24"/>
      <w:szCs w:val="20"/>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99"/>
    <w:pPr>
      <w:adjustRightInd/>
      <w:snapToGrid w:val="0"/>
      <w:spacing w:line="300" w:lineRule="auto"/>
    </w:pPr>
    <w:rPr>
      <w:rFonts w:eastAsia="仿宋"/>
      <w:szCs w:val="21"/>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99"/>
    <w:pPr>
      <w:adjustRightInd/>
    </w:pPr>
    <w:rPr>
      <w:rFonts w:ascii="Tahoma" w:hAnsi="Tahoma"/>
      <w:sz w:val="24"/>
      <w:szCs w:val="20"/>
    </w:rPr>
  </w:style>
  <w:style w:type="paragraph" w:customStyle="1" w:styleId="516">
    <w:name w:val="列出段落5"/>
    <w:basedOn w:val="1"/>
    <w:qFormat/>
    <w:uiPriority w:val="99"/>
    <w:pPr>
      <w:spacing w:line="360" w:lineRule="auto"/>
      <w:ind w:firstLine="200" w:firstLineChars="200"/>
    </w:pPr>
    <w:rPr>
      <w:rFonts w:eastAsia="楷体_GB2312" w:cs="Lucida Sans"/>
      <w:sz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519">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3">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4">
    <w:name w:val="_Style 3"/>
    <w:basedOn w:val="1"/>
    <w:qFormat/>
    <w:uiPriority w:val="99"/>
    <w:pPr>
      <w:adjustRightInd/>
      <w:ind w:firstLine="420" w:firstLineChars="200"/>
    </w:pPr>
    <w:rPr>
      <w:rFonts w:eastAsia="仿宋_GB2312"/>
      <w:sz w:val="28"/>
    </w:rPr>
  </w:style>
  <w:style w:type="paragraph" w:customStyle="1" w:styleId="52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99"/>
    <w:pPr>
      <w:adjustRightInd/>
      <w:ind w:firstLine="200" w:firstLineChars="200"/>
      <w:jc w:val="right"/>
    </w:pPr>
  </w:style>
  <w:style w:type="paragraph" w:customStyle="1" w:styleId="528">
    <w:name w:val="Char Char11 Char Char Char Char Char Char Char Char Char"/>
    <w:basedOn w:val="1"/>
    <w:qFormat/>
    <w:uiPriority w:val="99"/>
    <w:pPr>
      <w:spacing w:line="360" w:lineRule="auto"/>
    </w:pPr>
    <w:rPr>
      <w:szCs w:val="20"/>
    </w:rPr>
  </w:style>
  <w:style w:type="paragraph" w:customStyle="1" w:styleId="529">
    <w:name w:val="正文1.25"/>
    <w:basedOn w:val="1"/>
    <w:qFormat/>
    <w:uiPriority w:val="99"/>
    <w:pPr>
      <w:adjustRightInd/>
      <w:spacing w:line="300" w:lineRule="auto"/>
      <w:ind w:firstLine="480" w:firstLineChars="200"/>
    </w:pPr>
    <w:rPr>
      <w:sz w:val="24"/>
      <w:szCs w:val="20"/>
    </w:rPr>
  </w:style>
  <w:style w:type="paragraph" w:customStyle="1" w:styleId="530">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99"/>
    <w:rPr>
      <w:rFonts w:ascii="仿宋_GB2312" w:eastAsia="仿宋_GB2312"/>
      <w:b/>
      <w:sz w:val="32"/>
      <w:szCs w:val="20"/>
    </w:rPr>
  </w:style>
  <w:style w:type="paragraph" w:customStyle="1" w:styleId="534">
    <w:name w:val="列出段落2"/>
    <w:basedOn w:val="1"/>
    <w:qFormat/>
    <w:uiPriority w:val="99"/>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99"/>
    <w:pPr>
      <w:widowControl/>
      <w:jc w:val="left"/>
    </w:pPr>
    <w:rPr>
      <w:rFonts w:cs="宋体"/>
      <w:sz w:val="24"/>
      <w:szCs w:val="20"/>
    </w:rPr>
  </w:style>
  <w:style w:type="paragraph" w:customStyle="1" w:styleId="538">
    <w:name w:val="彩色列表 - 强调文字颜色 11"/>
    <w:basedOn w:val="1"/>
    <w:qFormat/>
    <w:uiPriority w:val="99"/>
    <w:pPr>
      <w:adjustRightInd/>
      <w:ind w:firstLine="420" w:firstLineChars="200"/>
    </w:pPr>
    <w:rPr>
      <w:rFonts w:ascii="Calibri" w:hAnsi="Calibri"/>
      <w:szCs w:val="22"/>
    </w:rPr>
  </w:style>
  <w:style w:type="paragraph" w:customStyle="1" w:styleId="539">
    <w:name w:val="加粗正文"/>
    <w:basedOn w:val="1"/>
    <w:qFormat/>
    <w:uiPriority w:val="99"/>
    <w:pPr>
      <w:adjustRightInd/>
      <w:spacing w:beforeLines="50" w:afterLines="50" w:line="360" w:lineRule="auto"/>
      <w:ind w:firstLine="422" w:firstLineChars="200"/>
    </w:pPr>
    <w:rPr>
      <w:b/>
      <w:bCs/>
      <w:szCs w:val="21"/>
    </w:rPr>
  </w:style>
  <w:style w:type="paragraph" w:customStyle="1" w:styleId="54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99"/>
    <w:rPr>
      <w:szCs w:val="20"/>
    </w:rPr>
  </w:style>
  <w:style w:type="paragraph" w:customStyle="1" w:styleId="54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9"/>
    <w:next w:val="259"/>
    <w:qFormat/>
    <w:uiPriority w:val="99"/>
    <w:pPr>
      <w:spacing w:after="68"/>
    </w:pPr>
    <w:rPr>
      <w:rFonts w:ascii="FHLHE E+ Futura Bk" w:eastAsia="FHLHE E+ Futura Bk" w:cs="Times New Roman"/>
      <w:color w:val="auto"/>
    </w:rPr>
  </w:style>
  <w:style w:type="paragraph" w:customStyle="1" w:styleId="54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2">
    <w:name w:val="正文文字 2"/>
    <w:basedOn w:val="259"/>
    <w:next w:val="259"/>
    <w:qFormat/>
    <w:uiPriority w:val="99"/>
    <w:rPr>
      <w:rFonts w:ascii="宋体" w:eastAsia="宋体" w:cs="Times New Roman"/>
      <w:color w:val="auto"/>
    </w:rPr>
  </w:style>
  <w:style w:type="paragraph" w:customStyle="1" w:styleId="553">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仿宋_GB2312" w:eastAsia="仿宋_GB2312"/>
      <w:b/>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7">
    <w:name w:val="Char Char111"/>
    <w:basedOn w:val="1"/>
    <w:qFormat/>
    <w:uiPriority w:val="99"/>
    <w:pPr>
      <w:spacing w:line="360" w:lineRule="auto"/>
    </w:pPr>
    <w:rPr>
      <w:szCs w:val="20"/>
    </w:rPr>
  </w:style>
  <w:style w:type="paragraph" w:customStyle="1" w:styleId="558">
    <w:name w:val="Char"/>
    <w:basedOn w:val="1"/>
    <w:qFormat/>
    <w:uiPriority w:val="99"/>
    <w:rPr>
      <w:rFonts w:ascii="仿宋_GB2312" w:eastAsia="仿宋_GB2312"/>
      <w:b/>
      <w:sz w:val="32"/>
      <w:szCs w:val="32"/>
    </w:rPr>
  </w:style>
  <w:style w:type="paragraph" w:customStyle="1" w:styleId="55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99"/>
    <w:rPr>
      <w:szCs w:val="20"/>
    </w:rPr>
  </w:style>
  <w:style w:type="paragraph" w:customStyle="1" w:styleId="562">
    <w:name w:val="正文标准"/>
    <w:basedOn w:val="1"/>
    <w:qFormat/>
    <w:uiPriority w:val="99"/>
    <w:pPr>
      <w:adjustRightInd/>
      <w:spacing w:line="360" w:lineRule="auto"/>
      <w:ind w:firstLine="200" w:firstLineChars="200"/>
    </w:pPr>
    <w:rPr>
      <w:rFonts w:ascii="宋体" w:hAnsi="Calibri"/>
      <w:sz w:val="24"/>
    </w:rPr>
  </w:style>
  <w:style w:type="paragraph" w:customStyle="1" w:styleId="56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5">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99"/>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7">
    <w:name w:val="_正文段落"/>
    <w:basedOn w:val="1"/>
    <w:qFormat/>
    <w:uiPriority w:val="99"/>
    <w:pPr>
      <w:adjustRightInd/>
      <w:ind w:firstLine="560"/>
    </w:pPr>
    <w:rPr>
      <w:rFonts w:ascii="仿宋_GB2312" w:hAnsi="仿宋" w:eastAsia="仿宋_GB2312"/>
      <w:kern w:val="0"/>
      <w:sz w:val="28"/>
      <w:szCs w:val="28"/>
    </w:rPr>
  </w:style>
  <w:style w:type="paragraph" w:customStyle="1" w:styleId="578">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2">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99"/>
    <w:rPr>
      <w:szCs w:val="20"/>
    </w:rPr>
  </w:style>
  <w:style w:type="paragraph" w:customStyle="1" w:styleId="585">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6">
    <w:name w:val="默认段落字体 Para Char"/>
    <w:basedOn w:val="1"/>
    <w:qFormat/>
    <w:uiPriority w:val="99"/>
    <w:rPr>
      <w:rFonts w:ascii="Tahoma" w:hAnsi="Tahoma"/>
      <w:sz w:val="24"/>
      <w:szCs w:val="20"/>
    </w:rPr>
  </w:style>
  <w:style w:type="paragraph" w:customStyle="1" w:styleId="587">
    <w:name w:val="标题五"/>
    <w:basedOn w:val="1"/>
    <w:qFormat/>
    <w:uiPriority w:val="99"/>
    <w:pPr>
      <w:adjustRightInd/>
      <w:spacing w:beforeLines="50" w:line="360" w:lineRule="auto"/>
    </w:pPr>
    <w:rPr>
      <w:b/>
      <w:sz w:val="24"/>
    </w:rPr>
  </w:style>
  <w:style w:type="paragraph" w:customStyle="1" w:styleId="588">
    <w:name w:val="Char Char1101"/>
    <w:basedOn w:val="1"/>
    <w:qFormat/>
    <w:uiPriority w:val="99"/>
    <w:pPr>
      <w:spacing w:line="360" w:lineRule="auto"/>
    </w:pPr>
    <w:rPr>
      <w:rFonts w:ascii="Tahoma" w:hAnsi="Tahoma"/>
      <w:sz w:val="24"/>
      <w:szCs w:val="20"/>
    </w:rPr>
  </w:style>
  <w:style w:type="paragraph" w:customStyle="1" w:styleId="589">
    <w:name w:val="Char Char Char Char Char Char Char Char1"/>
    <w:basedOn w:val="1"/>
    <w:qFormat/>
    <w:uiPriority w:val="99"/>
    <w:pPr>
      <w:tabs>
        <w:tab w:val="left" w:pos="360"/>
      </w:tabs>
    </w:pPr>
    <w:rPr>
      <w:sz w:val="24"/>
      <w:szCs w:val="20"/>
    </w:rPr>
  </w:style>
  <w:style w:type="paragraph" w:customStyle="1" w:styleId="590">
    <w:name w:val="Char Char Char 字元 字元"/>
    <w:basedOn w:val="1"/>
    <w:qFormat/>
    <w:uiPriority w:val="99"/>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99"/>
    <w:rPr>
      <w:rFonts w:ascii="仿宋_GB2312" w:eastAsia="仿宋_GB2312"/>
      <w:b/>
      <w:sz w:val="32"/>
      <w:szCs w:val="32"/>
    </w:rPr>
  </w:style>
  <w:style w:type="paragraph" w:customStyle="1" w:styleId="59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99"/>
    <w:pPr>
      <w:adjustRightInd/>
    </w:pPr>
    <w:rPr>
      <w:sz w:val="18"/>
      <w:szCs w:val="20"/>
    </w:rPr>
  </w:style>
  <w:style w:type="paragraph" w:customStyle="1" w:styleId="59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99"/>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99"/>
    <w:pPr>
      <w:snapToGrid w:val="0"/>
      <w:spacing w:line="360" w:lineRule="auto"/>
    </w:pPr>
    <w:rPr>
      <w:rFonts w:ascii="宋体"/>
      <w:b/>
      <w:sz w:val="24"/>
      <w:szCs w:val="20"/>
    </w:rPr>
  </w:style>
  <w:style w:type="paragraph" w:customStyle="1" w:styleId="608">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99"/>
    <w:pPr>
      <w:adjustRightInd/>
    </w:pPr>
    <w:rPr>
      <w:rFonts w:ascii="宋体" w:hAnsi="Courier New"/>
    </w:rPr>
  </w:style>
  <w:style w:type="paragraph" w:customStyle="1" w:styleId="611">
    <w:name w:val="Char3"/>
    <w:basedOn w:val="1"/>
    <w:qFormat/>
    <w:uiPriority w:val="99"/>
    <w:pPr>
      <w:adjustRightInd/>
    </w:pPr>
    <w:rPr>
      <w:rFonts w:ascii="仿宋_GB2312" w:eastAsia="仿宋_GB2312"/>
      <w:b/>
      <w:sz w:val="32"/>
      <w:szCs w:val="32"/>
    </w:rPr>
  </w:style>
  <w:style w:type="paragraph" w:customStyle="1" w:styleId="61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4">
    <w:name w:val="标题2"/>
    <w:basedOn w:val="2"/>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99"/>
    <w:pPr>
      <w:widowControl/>
      <w:adjustRightInd/>
      <w:spacing w:after="160" w:line="240" w:lineRule="exact"/>
      <w:jc w:val="left"/>
    </w:pPr>
    <w:rPr>
      <w:szCs w:val="20"/>
    </w:rPr>
  </w:style>
  <w:style w:type="paragraph" w:customStyle="1" w:styleId="620">
    <w:name w:val="表格标题2"/>
    <w:basedOn w:val="621"/>
    <w:qFormat/>
    <w:uiPriority w:val="99"/>
    <w:rPr>
      <w:b/>
    </w:rPr>
  </w:style>
  <w:style w:type="paragraph" w:customStyle="1" w:styleId="621">
    <w:name w:val="表格内文"/>
    <w:basedOn w:val="1"/>
    <w:qFormat/>
    <w:uiPriority w:val="99"/>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99"/>
    <w:rPr>
      <w:rFonts w:ascii="仿宋_GB2312" w:eastAsia="仿宋_GB2312"/>
      <w:b/>
      <w:sz w:val="32"/>
      <w:szCs w:val="32"/>
    </w:rPr>
  </w:style>
  <w:style w:type="paragraph" w:customStyle="1" w:styleId="62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5">
    <w:name w:val="Char Char11 Char Char Char Char Char Char Char Char Char11"/>
    <w:basedOn w:val="1"/>
    <w:qFormat/>
    <w:uiPriority w:val="99"/>
    <w:pPr>
      <w:spacing w:line="360" w:lineRule="auto"/>
    </w:pPr>
    <w:rPr>
      <w:szCs w:val="20"/>
    </w:rPr>
  </w:style>
  <w:style w:type="paragraph" w:customStyle="1" w:styleId="626">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8">
    <w:name w:val="MM Topic 1"/>
    <w:basedOn w:val="3"/>
    <w:qFormat/>
    <w:uiPriority w:val="99"/>
    <w:pPr>
      <w:tabs>
        <w:tab w:val="left" w:pos="840"/>
      </w:tabs>
      <w:adjustRightInd/>
      <w:ind w:left="840" w:hanging="420"/>
    </w:pPr>
  </w:style>
  <w:style w:type="paragraph" w:customStyle="1" w:styleId="629">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99"/>
    <w:pPr>
      <w:spacing w:line="360" w:lineRule="auto"/>
      <w:ind w:firstLine="200" w:firstLineChars="200"/>
    </w:pPr>
    <w:rPr>
      <w:kern w:val="0"/>
      <w:sz w:val="24"/>
      <w:szCs w:val="20"/>
    </w:rPr>
  </w:style>
  <w:style w:type="paragraph" w:customStyle="1" w:styleId="631">
    <w:name w:val="表格"/>
    <w:basedOn w:val="1"/>
    <w:qFormat/>
    <w:uiPriority w:val="99"/>
    <w:pPr>
      <w:snapToGrid w:val="0"/>
      <w:ind w:firstLine="42" w:firstLineChars="21"/>
    </w:pPr>
    <w:rPr>
      <w:rFonts w:ascii="宋体" w:hAnsi="宋体"/>
      <w:kern w:val="0"/>
      <w:sz w:val="20"/>
      <w:szCs w:val="20"/>
    </w:rPr>
  </w:style>
  <w:style w:type="paragraph" w:customStyle="1" w:styleId="632">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99"/>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99"/>
    <w:rPr>
      <w:rFonts w:ascii="仿宋_GB2312" w:eastAsia="仿宋_GB2312"/>
      <w:b/>
      <w:sz w:val="32"/>
      <w:szCs w:val="20"/>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99"/>
    <w:pPr>
      <w:adjustRightInd/>
      <w:ind w:firstLine="200" w:firstLineChars="200"/>
    </w:pPr>
    <w:rPr>
      <w:rFonts w:ascii="Tahoma" w:hAnsi="Tahoma"/>
      <w:sz w:val="24"/>
      <w:szCs w:val="20"/>
    </w:rPr>
  </w:style>
  <w:style w:type="paragraph" w:customStyle="1" w:styleId="650">
    <w:name w:val="a1"/>
    <w:basedOn w:val="1"/>
    <w:qFormat/>
    <w:uiPriority w:val="99"/>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99"/>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99"/>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99"/>
    <w:pPr>
      <w:widowControl/>
      <w:adjustRightInd/>
      <w:ind w:left="720" w:hanging="720"/>
    </w:pPr>
    <w:rPr>
      <w:color w:val="000000"/>
      <w:kern w:val="0"/>
      <w:sz w:val="24"/>
      <w:szCs w:val="20"/>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99"/>
    <w:pPr>
      <w:jc w:val="left"/>
      <w:outlineLvl w:val="1"/>
    </w:pPr>
    <w:rPr>
      <w:rFonts w:ascii="Times New Roman" w:hAnsi="Times New Roman" w:eastAsia="仿宋"/>
      <w:sz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rPr>
      <w:szCs w:val="20"/>
    </w:rPr>
  </w:style>
  <w:style w:type="paragraph" w:customStyle="1" w:styleId="693">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99"/>
    <w:rPr>
      <w:rFonts w:ascii="仿宋_GB2312" w:eastAsia="仿宋_GB2312"/>
      <w:b/>
      <w:sz w:val="32"/>
      <w:szCs w:val="32"/>
    </w:rPr>
  </w:style>
  <w:style w:type="paragraph" w:customStyle="1" w:styleId="705">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99"/>
    <w:pPr>
      <w:widowControl/>
      <w:adjustRightInd/>
      <w:spacing w:after="160" w:line="240" w:lineRule="exact"/>
      <w:jc w:val="left"/>
    </w:pPr>
    <w:rPr>
      <w:szCs w:val="20"/>
    </w:rPr>
  </w:style>
  <w:style w:type="paragraph" w:customStyle="1" w:styleId="708">
    <w:name w:val="Char Char1121"/>
    <w:basedOn w:val="1"/>
    <w:qFormat/>
    <w:uiPriority w:val="99"/>
    <w:pPr>
      <w:spacing w:line="360" w:lineRule="auto"/>
    </w:pPr>
    <w:rPr>
      <w:szCs w:val="20"/>
    </w:r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lang w:val="en-US" w:eastAsia="en-US" w:bidi="ar-SA"/>
    </w:rPr>
  </w:style>
  <w:style w:type="paragraph" w:customStyle="1" w:styleId="712">
    <w:name w:val="带编号样式"/>
    <w:basedOn w:val="630"/>
    <w:qFormat/>
    <w:uiPriority w:val="99"/>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99"/>
    <w:pPr>
      <w:spacing w:line="360" w:lineRule="atLeast"/>
      <w:jc w:val="right"/>
      <w:textAlignment w:val="baseline"/>
    </w:pPr>
    <w:rPr>
      <w:rFonts w:ascii="Symbol" w:hAnsi="Symbol"/>
      <w:kern w:val="0"/>
      <w:szCs w:val="2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rPr>
  </w:style>
  <w:style w:type="paragraph" w:customStyle="1" w:styleId="719">
    <w:name w:val="WW-正文文字缩进 2"/>
    <w:basedOn w:val="1"/>
    <w:qFormat/>
    <w:uiPriority w:val="99"/>
    <w:pPr>
      <w:suppressAutoHyphens/>
      <w:adjustRightInd/>
      <w:ind w:firstLine="420"/>
    </w:pPr>
    <w:rPr>
      <w:kern w:val="1"/>
      <w:szCs w:val="20"/>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99"/>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99"/>
    <w:pPr>
      <w:spacing w:after="120" w:line="480" w:lineRule="auto"/>
      <w:ind w:left="420" w:leftChars="200"/>
    </w:pPr>
    <w:rPr>
      <w:sz w:val="24"/>
      <w:szCs w:val="20"/>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99"/>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7">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99"/>
    <w:rPr>
      <w:rFonts w:ascii="仿宋_GB2312" w:eastAsia="仿宋_GB2312"/>
      <w:b/>
      <w:sz w:val="32"/>
      <w:szCs w:val="32"/>
    </w:rPr>
  </w:style>
  <w:style w:type="paragraph" w:customStyle="1" w:styleId="739">
    <w:name w:val="Char3 Char Char Char1"/>
    <w:basedOn w:val="1"/>
    <w:qFormat/>
    <w:uiPriority w:val="99"/>
    <w:pPr>
      <w:widowControl/>
      <w:adjustRightInd/>
      <w:spacing w:after="160" w:line="240" w:lineRule="exact"/>
      <w:jc w:val="left"/>
    </w:pPr>
    <w:rPr>
      <w:szCs w:val="20"/>
    </w:rPr>
  </w:style>
  <w:style w:type="paragraph" w:customStyle="1" w:styleId="740">
    <w:name w:val="Char1 Char Char Char21"/>
    <w:basedOn w:val="1"/>
    <w:qFormat/>
    <w:uiPriority w:val="99"/>
    <w:rPr>
      <w:rFonts w:ascii="Tahoma" w:hAnsi="Tahoma"/>
      <w:sz w:val="24"/>
      <w:szCs w:val="20"/>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2">
    <w:name w:val="正文（标题三）"/>
    <w:basedOn w:val="1"/>
    <w:qFormat/>
    <w:uiPriority w:val="99"/>
    <w:pPr>
      <w:spacing w:line="360" w:lineRule="auto"/>
      <w:ind w:firstLine="200" w:firstLineChars="200"/>
    </w:pPr>
    <w:rPr>
      <w:sz w:val="24"/>
    </w:rPr>
  </w:style>
  <w:style w:type="paragraph" w:customStyle="1" w:styleId="743">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99"/>
    <w:pPr>
      <w:adjustRightInd/>
      <w:ind w:firstLine="200" w:firstLineChars="200"/>
    </w:pPr>
    <w:rPr>
      <w:rFonts w:ascii="Tahoma" w:hAnsi="Tahoma"/>
      <w:sz w:val="24"/>
      <w:szCs w:val="20"/>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99"/>
    <w:pPr>
      <w:adjustRightInd/>
      <w:spacing w:line="360" w:lineRule="auto"/>
    </w:pPr>
    <w:rPr>
      <w:rFonts w:ascii="宋体" w:hAnsi="宋体"/>
      <w:szCs w:val="20"/>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99"/>
    <w:pPr>
      <w:adjustRightInd/>
    </w:pPr>
    <w:rPr>
      <w:rFonts w:ascii="Tahoma" w:hAnsi="Tahoma"/>
      <w:sz w:val="24"/>
    </w:rPr>
  </w:style>
  <w:style w:type="paragraph" w:customStyle="1" w:styleId="757">
    <w:name w:val="Char Char Char Char11"/>
    <w:basedOn w:val="1"/>
    <w:qFormat/>
    <w:uiPriority w:val="99"/>
    <w:rPr>
      <w:rFonts w:ascii="Tahoma" w:hAnsi="Tahoma"/>
      <w:sz w:val="24"/>
      <w:szCs w:val="20"/>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99"/>
    <w:pPr>
      <w:adjustRightInd/>
    </w:pPr>
    <w:rPr>
      <w:szCs w:val="20"/>
    </w:r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99"/>
    <w:pPr>
      <w:adjustRightInd/>
      <w:ind w:firstLine="420" w:firstLineChars="200"/>
    </w:pPr>
    <w:rPr>
      <w:rFonts w:eastAsia="仿宋_GB2312"/>
      <w:sz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99"/>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99"/>
    <w:rPr>
      <w:rFonts w:ascii="宋体" w:hAnsi="Times New Roman" w:eastAsia="宋体" w:cs="Times New Roman"/>
      <w:kern w:val="2"/>
      <w:lang w:val="en-US" w:eastAsia="zh-CN" w:bidi="ar-SA"/>
    </w:rPr>
  </w:style>
  <w:style w:type="paragraph" w:customStyle="1" w:styleId="775">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99"/>
    <w:pPr>
      <w:tabs>
        <w:tab w:val="left" w:pos="360"/>
      </w:tabs>
    </w:pPr>
    <w:rPr>
      <w:sz w:val="24"/>
      <w:szCs w:val="20"/>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99"/>
    <w:pPr>
      <w:widowControl/>
      <w:adjustRightInd/>
    </w:pPr>
    <w:rPr>
      <w:kern w:val="0"/>
      <w:szCs w:val="21"/>
    </w:rPr>
  </w:style>
  <w:style w:type="paragraph" w:customStyle="1" w:styleId="788">
    <w:name w:val="Char6"/>
    <w:basedOn w:val="1"/>
    <w:qFormat/>
    <w:uiPriority w:val="99"/>
    <w:rPr>
      <w:rFonts w:ascii="仿宋_GB2312" w:eastAsia="仿宋_GB2312"/>
      <w:b/>
      <w:sz w:val="32"/>
      <w:szCs w:val="32"/>
    </w:rPr>
  </w:style>
  <w:style w:type="paragraph" w:customStyle="1" w:styleId="789">
    <w:name w:val="Char111"/>
    <w:basedOn w:val="1"/>
    <w:qFormat/>
    <w:uiPriority w:val="99"/>
    <w:rPr>
      <w:rFonts w:ascii="仿宋_GB2312" w:eastAsia="仿宋_GB2312"/>
      <w:b/>
      <w:sz w:val="32"/>
      <w:szCs w:val="32"/>
    </w:rPr>
  </w:style>
  <w:style w:type="paragraph" w:customStyle="1" w:styleId="790">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6">
    <w:name w:val="Char Char Char Char Char Char Char2"/>
    <w:basedOn w:val="1"/>
    <w:qFormat/>
    <w:uiPriority w:val="99"/>
    <w:rPr>
      <w:rFonts w:ascii="仿宋_GB2312" w:eastAsia="仿宋_GB2312"/>
      <w:b/>
      <w:sz w:val="32"/>
      <w:szCs w:val="32"/>
    </w:rPr>
  </w:style>
  <w:style w:type="paragraph" w:customStyle="1" w:styleId="797">
    <w:name w:val="五级条标题"/>
    <w:basedOn w:val="798"/>
    <w:next w:val="643"/>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99"/>
    <w:rPr>
      <w:rFonts w:ascii="仿宋_GB2312" w:eastAsia="仿宋_GB2312"/>
      <w:b/>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99"/>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5">
    <w:name w:val="单元格左对齐"/>
    <w:basedOn w:val="1"/>
    <w:qFormat/>
    <w:uiPriority w:val="99"/>
    <w:pPr>
      <w:adjustRightInd/>
      <w:spacing w:line="360" w:lineRule="auto"/>
    </w:pPr>
    <w:rPr>
      <w:sz w:val="24"/>
    </w:rPr>
  </w:style>
  <w:style w:type="paragraph" w:customStyle="1" w:styleId="806">
    <w:name w:val="正文主体"/>
    <w:basedOn w:val="627"/>
    <w:qFormat/>
    <w:uiPriority w:val="99"/>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8">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9">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99"/>
    <w:pPr>
      <w:adjustRightInd/>
      <w:spacing w:line="360" w:lineRule="auto"/>
      <w:ind w:firstLine="480" w:firstLineChars="200"/>
    </w:pPr>
    <w:rPr>
      <w:sz w:val="24"/>
      <w:szCs w:val="20"/>
    </w:rPr>
  </w:style>
  <w:style w:type="paragraph" w:customStyle="1" w:styleId="811">
    <w:name w:val="P1"/>
    <w:basedOn w:val="1"/>
    <w:qFormat/>
    <w:uiPriority w:val="99"/>
    <w:pPr>
      <w:adjustRightInd/>
      <w:spacing w:line="288" w:lineRule="auto"/>
      <w:ind w:firstLine="425" w:firstLineChars="200"/>
    </w:pPr>
  </w:style>
  <w:style w:type="paragraph" w:customStyle="1" w:styleId="812">
    <w:name w:val="列表内容"/>
    <w:basedOn w:val="1"/>
    <w:next w:val="1"/>
    <w:qFormat/>
    <w:uiPriority w:val="99"/>
    <w:pPr>
      <w:widowControl/>
      <w:tabs>
        <w:tab w:val="left" w:pos="840"/>
      </w:tabs>
      <w:ind w:left="840" w:hanging="420"/>
      <w:jc w:val="left"/>
    </w:pPr>
    <w:rPr>
      <w:kern w:val="0"/>
      <w:sz w:val="18"/>
    </w:rPr>
  </w:style>
  <w:style w:type="paragraph" w:customStyle="1" w:styleId="813">
    <w:name w:val="Char Char11 Char Char Char1"/>
    <w:basedOn w:val="1"/>
    <w:qFormat/>
    <w:uiPriority w:val="99"/>
    <w:pPr>
      <w:spacing w:line="360" w:lineRule="auto"/>
    </w:pPr>
    <w:rPr>
      <w:szCs w:val="20"/>
    </w:rPr>
  </w:style>
  <w:style w:type="paragraph" w:customStyle="1" w:styleId="814">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5">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99"/>
    <w:pPr>
      <w:spacing w:line="360" w:lineRule="auto"/>
    </w:pPr>
    <w:rPr>
      <w:szCs w:val="20"/>
    </w:rPr>
  </w:style>
  <w:style w:type="paragraph" w:customStyle="1" w:styleId="820">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99"/>
    <w:rPr>
      <w:rFonts w:ascii="仿宋_GB2312" w:eastAsia="仿宋_GB2312"/>
      <w:b/>
      <w:sz w:val="32"/>
      <w:szCs w:val="32"/>
    </w:rPr>
  </w:style>
  <w:style w:type="paragraph" w:customStyle="1" w:styleId="823">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5">
    <w:name w:val="正文 首行缩进:  2 字符 Char"/>
    <w:basedOn w:val="1"/>
    <w:qFormat/>
    <w:uiPriority w:val="99"/>
    <w:pPr>
      <w:adjustRightInd/>
      <w:spacing w:line="360" w:lineRule="auto"/>
      <w:ind w:firstLine="480"/>
    </w:pPr>
    <w:rPr>
      <w:rFonts w:cs="宋体"/>
      <w:sz w:val="24"/>
      <w:szCs w:val="20"/>
    </w:rPr>
  </w:style>
  <w:style w:type="paragraph" w:customStyle="1" w:styleId="826">
    <w:name w:val="Char Char4 Char Char"/>
    <w:basedOn w:val="1"/>
    <w:qFormat/>
    <w:uiPriority w:val="99"/>
    <w:pPr>
      <w:widowControl/>
      <w:adjustRightInd/>
      <w:spacing w:after="160" w:line="240" w:lineRule="exact"/>
      <w:jc w:val="left"/>
    </w:pPr>
  </w:style>
  <w:style w:type="paragraph" w:customStyle="1" w:styleId="827">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99"/>
    <w:pPr>
      <w:spacing w:line="360" w:lineRule="auto"/>
    </w:pPr>
    <w:rPr>
      <w:szCs w:val="20"/>
    </w:rPr>
  </w:style>
  <w:style w:type="paragraph" w:customStyle="1" w:styleId="829">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1">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99"/>
    <w:pPr>
      <w:adjustRightInd/>
      <w:ind w:firstLine="200" w:firstLineChars="200"/>
    </w:pPr>
    <w:rPr>
      <w:rFonts w:ascii="Tahoma" w:hAnsi="Tahoma"/>
      <w:sz w:val="24"/>
      <w:szCs w:val="20"/>
    </w:rPr>
  </w:style>
  <w:style w:type="paragraph" w:customStyle="1" w:styleId="836">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99"/>
    <w:pPr>
      <w:tabs>
        <w:tab w:val="left" w:pos="0"/>
      </w:tabs>
      <w:ind w:left="900" w:firstLine="0" w:firstLineChars="0"/>
    </w:pPr>
  </w:style>
  <w:style w:type="paragraph" w:customStyle="1" w:styleId="839">
    <w:name w:val="Bulleted List"/>
    <w:basedOn w:val="1"/>
    <w:qFormat/>
    <w:uiPriority w:val="99"/>
    <w:pPr>
      <w:tabs>
        <w:tab w:val="left" w:pos="1260"/>
      </w:tabs>
      <w:adjustRightInd/>
      <w:ind w:left="1260" w:hanging="420"/>
    </w:pPr>
  </w:style>
  <w:style w:type="paragraph" w:customStyle="1" w:styleId="840">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99"/>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99"/>
    <w:rPr>
      <w:rFonts w:ascii="Tahoma" w:hAnsi="Tahoma" w:cs="仿宋_GB2312"/>
      <w:sz w:val="24"/>
      <w:szCs w:val="20"/>
    </w:rPr>
  </w:style>
  <w:style w:type="paragraph" w:customStyle="1" w:styleId="843">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5">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99"/>
    <w:rPr>
      <w:rFonts w:ascii="仿宋_GB2312" w:eastAsia="仿宋_GB2312"/>
      <w:b/>
      <w:sz w:val="32"/>
      <w:szCs w:val="20"/>
    </w:rPr>
  </w:style>
  <w:style w:type="paragraph" w:customStyle="1" w:styleId="850">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2">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7">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99"/>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1">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99"/>
    <w:pPr>
      <w:adjustRightInd/>
      <w:ind w:firstLine="200" w:firstLineChars="200"/>
    </w:pPr>
    <w:rPr>
      <w:rFonts w:ascii="仿宋_GB2312" w:eastAsia="仿宋_GB2312"/>
      <w:b/>
      <w:sz w:val="32"/>
      <w:szCs w:val="32"/>
    </w:rPr>
  </w:style>
  <w:style w:type="paragraph" w:customStyle="1" w:styleId="865">
    <w:name w:val="列表段落1"/>
    <w:basedOn w:val="1"/>
    <w:qFormat/>
    <w:uiPriority w:val="99"/>
    <w:pPr>
      <w:adjustRightInd/>
      <w:ind w:right="238" w:firstLine="420"/>
    </w:pPr>
    <w:rPr>
      <w:rFonts w:ascii="Calibri" w:hAnsi="Calibri"/>
      <w:sz w:val="24"/>
    </w:rPr>
  </w:style>
  <w:style w:type="paragraph" w:customStyle="1" w:styleId="866">
    <w:name w:val="Char Char110"/>
    <w:basedOn w:val="1"/>
    <w:qFormat/>
    <w:uiPriority w:val="99"/>
    <w:pPr>
      <w:spacing w:line="360" w:lineRule="auto"/>
    </w:pPr>
    <w:rPr>
      <w:rFonts w:ascii="Tahoma" w:hAnsi="Tahoma"/>
      <w:sz w:val="24"/>
      <w:szCs w:val="20"/>
    </w:rPr>
  </w:style>
  <w:style w:type="paragraph" w:customStyle="1" w:styleId="867">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9">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99"/>
    <w:rPr>
      <w:rFonts w:ascii="Tahoma" w:hAnsi="Tahoma" w:cs="仿宋_GB2312"/>
      <w:sz w:val="24"/>
      <w:szCs w:val="20"/>
    </w:rPr>
  </w:style>
  <w:style w:type="paragraph" w:customStyle="1" w:styleId="872">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4">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6">
    <w:name w:val="_Style 12"/>
    <w:basedOn w:val="18"/>
    <w:qFormat/>
    <w:uiPriority w:val="99"/>
    <w:pPr>
      <w:snapToGrid w:val="0"/>
      <w:spacing w:line="360" w:lineRule="auto"/>
    </w:pPr>
  </w:style>
  <w:style w:type="paragraph" w:customStyle="1" w:styleId="8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7"/>
    <w:qFormat/>
    <w:uiPriority w:val="99"/>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99"/>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99"/>
    <w:pPr>
      <w:adjustRightInd/>
      <w:ind w:firstLine="200" w:firstLineChars="200"/>
    </w:pPr>
    <w:rPr>
      <w:rFonts w:ascii="Tahoma" w:hAnsi="Tahoma"/>
      <w:sz w:val="24"/>
      <w:szCs w:val="20"/>
    </w:rPr>
  </w:style>
  <w:style w:type="paragraph" w:customStyle="1" w:styleId="886">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7">
    <w:name w:val="MM Empty"/>
    <w:basedOn w:val="1"/>
    <w:qFormat/>
    <w:uiPriority w:val="99"/>
    <w:pPr>
      <w:adjustRightInd/>
    </w:pPr>
  </w:style>
  <w:style w:type="paragraph" w:customStyle="1" w:styleId="888">
    <w:name w:val="Char24"/>
    <w:basedOn w:val="1"/>
    <w:qFormat/>
    <w:uiPriority w:val="99"/>
    <w:rPr>
      <w:rFonts w:ascii="仿宋_GB2312" w:eastAsia="仿宋_GB2312"/>
      <w:b/>
      <w:sz w:val="32"/>
      <w:szCs w:val="32"/>
    </w:rPr>
  </w:style>
  <w:style w:type="paragraph" w:customStyle="1" w:styleId="889">
    <w:name w:val="正文箭头"/>
    <w:basedOn w:val="541"/>
    <w:qFormat/>
    <w:uiPriority w:val="99"/>
  </w:style>
  <w:style w:type="paragraph" w:customStyle="1" w:styleId="890">
    <w:name w:val="U_编号2"/>
    <w:basedOn w:val="1"/>
    <w:qFormat/>
    <w:uiPriority w:val="99"/>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99"/>
    <w:pPr>
      <w:adjustRightInd/>
      <w:ind w:firstLine="420" w:firstLineChars="200"/>
    </w:pPr>
    <w:rPr>
      <w:rFonts w:eastAsia="仿宋_GB2312"/>
      <w:sz w:val="28"/>
    </w:rPr>
  </w:style>
  <w:style w:type="paragraph" w:customStyle="1" w:styleId="896">
    <w:name w:val="表格 内容"/>
    <w:basedOn w:val="732"/>
    <w:qFormat/>
    <w:uiPriority w:val="99"/>
    <w:rPr>
      <w:b w:val="0"/>
      <w:sz w:val="20"/>
    </w:rPr>
  </w:style>
  <w:style w:type="paragraph" w:customStyle="1" w:styleId="897">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99"/>
    <w:pPr>
      <w:tabs>
        <w:tab w:val="left" w:pos="1080"/>
      </w:tabs>
      <w:ind w:left="1080" w:hanging="1080"/>
    </w:pPr>
  </w:style>
  <w:style w:type="paragraph" w:customStyle="1" w:styleId="900">
    <w:name w:val="数字标题1"/>
    <w:basedOn w:val="3"/>
    <w:next w:val="1"/>
    <w:qFormat/>
    <w:uiPriority w:val="99"/>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99"/>
    <w:pPr>
      <w:widowControl/>
    </w:pPr>
    <w:rPr>
      <w:kern w:val="0"/>
      <w:sz w:val="24"/>
      <w:szCs w:val="20"/>
    </w:rPr>
  </w:style>
  <w:style w:type="paragraph" w:customStyle="1" w:styleId="908">
    <w:name w:val="Char Char113"/>
    <w:basedOn w:val="1"/>
    <w:qFormat/>
    <w:uiPriority w:val="99"/>
    <w:pPr>
      <w:widowControl/>
      <w:spacing w:after="160" w:line="240" w:lineRule="exact"/>
      <w:jc w:val="left"/>
    </w:pPr>
    <w:rPr>
      <w:rFonts w:eastAsia="仿宋_GB2312"/>
      <w:sz w:val="28"/>
    </w:rPr>
  </w:style>
  <w:style w:type="paragraph" w:customStyle="1" w:styleId="909">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99"/>
    <w:pPr>
      <w:adjustRightInd/>
      <w:ind w:firstLine="420" w:firstLineChars="200"/>
    </w:pPr>
    <w:rPr>
      <w:rFonts w:eastAsia="仿宋_GB2312"/>
      <w:sz w:val="28"/>
    </w:rPr>
  </w:style>
  <w:style w:type="paragraph" w:customStyle="1" w:styleId="91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99"/>
    <w:pPr>
      <w:widowControl/>
      <w:spacing w:after="160" w:line="240" w:lineRule="exact"/>
      <w:jc w:val="left"/>
    </w:pPr>
    <w:rPr>
      <w:rFonts w:eastAsia="仿宋_GB2312"/>
      <w:sz w:val="28"/>
    </w:rPr>
  </w:style>
  <w:style w:type="paragraph" w:customStyle="1" w:styleId="917">
    <w:name w:val="正文 图"/>
    <w:basedOn w:val="446"/>
    <w:qFormat/>
    <w:uiPriority w:val="99"/>
    <w:pPr>
      <w:adjustRightInd/>
      <w:spacing w:before="0"/>
      <w:ind w:firstLine="0"/>
      <w:jc w:val="center"/>
    </w:pPr>
    <w:rPr>
      <w:rFonts w:ascii="微软雅黑" w:hAnsi="微软雅黑"/>
    </w:rPr>
  </w:style>
  <w:style w:type="paragraph" w:customStyle="1" w:styleId="91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99"/>
    <w:pPr>
      <w:ind w:left="0"/>
    </w:pPr>
  </w:style>
  <w:style w:type="paragraph" w:customStyle="1" w:styleId="92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99"/>
    <w:pPr>
      <w:adjustRightInd/>
      <w:spacing w:line="360" w:lineRule="auto"/>
      <w:ind w:firstLine="480"/>
    </w:pPr>
    <w:rPr>
      <w:sz w:val="24"/>
    </w:rPr>
  </w:style>
  <w:style w:type="table" w:customStyle="1" w:styleId="924">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99"/>
    <w:pPr>
      <w:ind w:firstLine="420" w:firstLineChars="200"/>
    </w:pPr>
  </w:style>
  <w:style w:type="character" w:customStyle="1" w:styleId="931">
    <w:name w:val="交叉引用"/>
    <w:qFormat/>
    <w:uiPriority w:val="99"/>
    <w:rPr>
      <w:rFonts w:ascii="Arial" w:hAnsi="Arial" w:eastAsia="黑体"/>
      <w:snapToGrid w:val="0"/>
      <w:color w:val="0000FF"/>
      <w:kern w:val="0"/>
      <w:sz w:val="21"/>
      <w:u w:val="single"/>
      <w:lang w:val="en-US" w:eastAsia="zh-CN"/>
    </w:rPr>
  </w:style>
  <w:style w:type="character" w:customStyle="1" w:styleId="932">
    <w:name w:val="正文缩进 字符1"/>
    <w:qFormat/>
    <w:uiPriority w:val="99"/>
    <w:rPr>
      <w:rFonts w:ascii="宋体" w:eastAsia="宋体"/>
      <w:snapToGrid w:val="0"/>
      <w:color w:val="000000"/>
      <w:kern w:val="28"/>
      <w:sz w:val="28"/>
      <w:lang w:val="en-US" w:eastAsia="zh-CN"/>
    </w:rPr>
  </w:style>
  <w:style w:type="character" w:customStyle="1" w:styleId="933">
    <w:name w:val="页脚 字符1"/>
    <w:qFormat/>
    <w:locked/>
    <w:uiPriority w:val="99"/>
    <w:rPr>
      <w:kern w:val="2"/>
      <w:sz w:val="18"/>
    </w:rPr>
  </w:style>
  <w:style w:type="character" w:customStyle="1" w:styleId="934">
    <w:name w:val="页眉 字符1"/>
    <w:qFormat/>
    <w:uiPriority w:val="99"/>
    <w:rPr>
      <w:kern w:val="2"/>
      <w:sz w:val="18"/>
    </w:rPr>
  </w:style>
  <w:style w:type="character" w:customStyle="1" w:styleId="935">
    <w:name w:val="无间隔 Char"/>
    <w:link w:val="486"/>
    <w:qFormat/>
    <w:locked/>
    <w:uiPriority w:val="99"/>
    <w:rPr>
      <w:kern w:val="2"/>
      <w:sz w:val="22"/>
    </w:rPr>
  </w:style>
  <w:style w:type="character" w:customStyle="1" w:styleId="936">
    <w:name w:val="标准文本 Char Char"/>
    <w:link w:val="937"/>
    <w:qFormat/>
    <w:locked/>
    <w:uiPriority w:val="99"/>
    <w:rPr>
      <w:kern w:val="2"/>
      <w:sz w:val="24"/>
    </w:rPr>
  </w:style>
  <w:style w:type="paragraph" w:customStyle="1" w:styleId="937">
    <w:name w:val="标准文本"/>
    <w:basedOn w:val="1"/>
    <w:link w:val="936"/>
    <w:qFormat/>
    <w:uiPriority w:val="99"/>
    <w:pPr>
      <w:adjustRightInd/>
      <w:spacing w:line="360" w:lineRule="auto"/>
      <w:ind w:firstLine="480" w:firstLineChars="200"/>
    </w:pPr>
    <w:rPr>
      <w:sz w:val="24"/>
      <w:szCs w:val="20"/>
    </w:rPr>
  </w:style>
  <w:style w:type="character" w:customStyle="1" w:styleId="938">
    <w:name w:val="Char Char213"/>
    <w:qFormat/>
    <w:uiPriority w:val="99"/>
    <w:rPr>
      <w:rFonts w:eastAsia="Times New Roman"/>
      <w:b/>
      <w:kern w:val="44"/>
      <w:sz w:val="44"/>
      <w:lang w:val="en-US" w:eastAsia="zh-CN"/>
    </w:rPr>
  </w:style>
  <w:style w:type="character" w:customStyle="1" w:styleId="939">
    <w:name w:val="apple-style-span"/>
    <w:qFormat/>
    <w:uiPriority w:val="99"/>
    <w:rPr>
      <w:rFonts w:ascii="Arial" w:hAnsi="Arial" w:eastAsia="黑体"/>
      <w:snapToGrid w:val="0"/>
      <w:kern w:val="0"/>
      <w:sz w:val="21"/>
    </w:rPr>
  </w:style>
  <w:style w:type="character" w:customStyle="1" w:styleId="940">
    <w:name w:val="15"/>
    <w:qFormat/>
    <w:uiPriority w:val="99"/>
    <w:rPr>
      <w:rFonts w:ascii="Calibri" w:hAnsi="Calibri"/>
      <w:color w:val="0000FF"/>
      <w:u w:val="single"/>
    </w:rPr>
  </w:style>
  <w:style w:type="character" w:customStyle="1" w:styleId="941">
    <w:name w:val="16"/>
    <w:qFormat/>
    <w:uiPriority w:val="99"/>
    <w:rPr>
      <w:rFonts w:ascii="宋体" w:hAnsi="宋体" w:eastAsia="宋体"/>
      <w:color w:val="000000"/>
      <w:sz w:val="20"/>
    </w:rPr>
  </w:style>
  <w:style w:type="character" w:customStyle="1" w:styleId="942">
    <w:name w:val="edui-unclickable"/>
    <w:qFormat/>
    <w:uiPriority w:val="99"/>
    <w:rPr>
      <w:color w:val="808080"/>
    </w:rPr>
  </w:style>
  <w:style w:type="character" w:customStyle="1" w:styleId="943">
    <w:name w:val="tpc_content1"/>
    <w:qFormat/>
    <w:uiPriority w:val="99"/>
    <w:rPr>
      <w:sz w:val="20"/>
    </w:rPr>
  </w:style>
  <w:style w:type="character" w:customStyle="1" w:styleId="944">
    <w:name w:val="正文文本缩进 字符"/>
    <w:qFormat/>
    <w:uiPriority w:val="99"/>
    <w:rPr>
      <w:rFonts w:ascii="Century Gothic" w:hAnsi="Century Gothic"/>
      <w:kern w:val="2"/>
      <w:sz w:val="24"/>
      <w:lang w:val="en-US" w:eastAsia="zh-CN"/>
    </w:rPr>
  </w:style>
  <w:style w:type="character" w:customStyle="1" w:styleId="945">
    <w:name w:val="正文文本 2 字符"/>
    <w:qFormat/>
    <w:uiPriority w:val="99"/>
    <w:rPr>
      <w:rFonts w:ascii="Arial" w:hAnsi="Arial" w:eastAsia="宋体"/>
      <w:kern w:val="2"/>
      <w:sz w:val="24"/>
      <w:lang w:val="en-US" w:eastAsia="zh-CN"/>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snapToGrid w:val="0"/>
      <w:kern w:val="0"/>
      <w:sz w:val="21"/>
    </w:rPr>
  </w:style>
  <w:style w:type="character" w:customStyle="1" w:styleId="948">
    <w:name w:val="zbggtop11 style5"/>
    <w:qFormat/>
    <w:uiPriority w:val="99"/>
    <w:rPr>
      <w:rFonts w:ascii="Arial" w:hAnsi="Arial" w:eastAsia="黑体"/>
      <w:snapToGrid w:val="0"/>
      <w:kern w:val="0"/>
      <w:sz w:val="21"/>
    </w:rPr>
  </w:style>
  <w:style w:type="character" w:customStyle="1" w:styleId="949">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0">
    <w:name w:val="bulletintext1"/>
    <w:qFormat/>
    <w:uiPriority w:val="99"/>
    <w:rPr>
      <w:color w:val="000000"/>
      <w:sz w:val="18"/>
    </w:rPr>
  </w:style>
  <w:style w:type="paragraph" w:customStyle="1" w:styleId="951">
    <w:name w:val="_Style 947"/>
    <w:basedOn w:val="1"/>
    <w:next w:val="87"/>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Times New Roman"/>
      <w:szCs w:val="20"/>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0"/>
    </w:rPr>
  </w:style>
  <w:style w:type="paragraph" w:customStyle="1" w:styleId="958">
    <w:name w:val="p1"/>
    <w:basedOn w:val="1"/>
    <w:qFormat/>
    <w:uiPriority w:val="99"/>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99"/>
    <w:pPr>
      <w:adjustRightInd/>
      <w:jc w:val="left"/>
    </w:pPr>
    <w:rPr>
      <w:rFonts w:ascii="Calibri" w:hAnsi="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99"/>
    <w:rPr>
      <w:rFonts w:cs="Times New Roman"/>
      <w:color w:val="000000"/>
      <w:shd w:val="clear" w:color="auto" w:fill="EFD200"/>
    </w:rPr>
  </w:style>
  <w:style w:type="character" w:customStyle="1" w:styleId="964">
    <w:name w:val="font71"/>
    <w:qFormat/>
    <w:uiPriority w:val="99"/>
    <w:rPr>
      <w:rFonts w:ascii="宋体" w:hAnsi="宋体" w:eastAsia="宋体"/>
      <w:color w:val="000000"/>
      <w:sz w:val="22"/>
      <w:u w:val="none"/>
    </w:rPr>
  </w:style>
  <w:style w:type="character" w:customStyle="1" w:styleId="965">
    <w:name w:val="font91"/>
    <w:qFormat/>
    <w:uiPriority w:val="99"/>
    <w:rPr>
      <w:rFonts w:ascii="仿宋" w:hAnsi="仿宋" w:eastAsia="仿宋"/>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41032</Words>
  <Characters>44270</Characters>
  <Lines>371</Lines>
  <Paragraphs>104</Paragraphs>
  <TotalTime>2</TotalTime>
  <ScaleCrop>false</ScaleCrop>
  <LinksUpToDate>false</LinksUpToDate>
  <CharactersWithSpaces>50074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2022-09-05T06:53:00Z</cp:lastPrinted>
  <dcterms:modified xsi:type="dcterms:W3CDTF">2024-09-28T13:57:41Z</dcterms:modified>
  <dc:title>杭州市市民卡扩大发卡工程</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96231058FC9041FC8BE78248AFF0238B_13</vt:lpwstr>
  </property>
</Properties>
</file>