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35364">
      <w:pPr>
        <w:pStyle w:val="121"/>
        <w:ind w:firstLine="480"/>
        <w:rPr>
          <w:color w:val="auto"/>
        </w:rPr>
      </w:pPr>
    </w:p>
    <w:p w14:paraId="0B92F12F">
      <w:pPr>
        <w:pStyle w:val="284"/>
        <w:jc w:val="center"/>
        <w:rPr>
          <w:rFonts w:hint="eastAsia" w:ascii="方正粗黑宋简体" w:hAnsi="方正粗黑宋简体" w:eastAsia="方正粗黑宋简体"/>
          <w:color w:val="auto"/>
          <w:sz w:val="48"/>
          <w:szCs w:val="48"/>
        </w:rPr>
      </w:pPr>
    </w:p>
    <w:p w14:paraId="1F3B40FD">
      <w:pPr>
        <w:pStyle w:val="284"/>
        <w:jc w:val="center"/>
        <w:rPr>
          <w:rFonts w:hint="eastAsia" w:ascii="微软雅黑" w:hAnsi="微软雅黑"/>
          <w:bCs/>
          <w:color w:val="auto"/>
          <w:w w:val="95"/>
          <w:sz w:val="28"/>
          <w:szCs w:val="28"/>
        </w:rPr>
      </w:pPr>
      <w:r>
        <w:rPr>
          <w:rFonts w:hint="eastAsia" w:ascii="方正粗黑宋简体" w:hAnsi="方正粗黑宋简体" w:eastAsia="方正粗黑宋简体"/>
          <w:color w:val="auto"/>
          <w:sz w:val="48"/>
          <w:szCs w:val="48"/>
        </w:rPr>
        <w:t>嘉兴市公安局南湖区分局</w:t>
      </w:r>
      <w:r>
        <w:rPr>
          <w:rFonts w:hint="eastAsia" w:ascii="方正粗黑宋简体" w:hAnsi="方正粗黑宋简体" w:eastAsia="方正粗黑宋简体"/>
          <w:color w:val="auto"/>
          <w:sz w:val="48"/>
          <w:szCs w:val="48"/>
        </w:rPr>
        <w:t>涉</w:t>
      </w:r>
      <w:r>
        <w:rPr>
          <w:rFonts w:hint="eastAsia" w:ascii="方正粗黑宋简体" w:hAnsi="方正粗黑宋简体" w:eastAsia="方正粗黑宋简体"/>
          <w:color w:val="auto"/>
          <w:sz w:val="48"/>
          <w:szCs w:val="48"/>
        </w:rPr>
        <w:t>诈数据处理服务项目</w:t>
      </w:r>
    </w:p>
    <w:p w14:paraId="3F38E421">
      <w:pPr>
        <w:pStyle w:val="284"/>
        <w:jc w:val="center"/>
        <w:rPr>
          <w:rFonts w:hint="eastAsia" w:ascii="方正粗黑宋简体" w:hAnsi="方正粗黑宋简体" w:eastAsia="方正粗黑宋简体"/>
          <w:color w:val="auto"/>
          <w:sz w:val="72"/>
          <w:szCs w:val="72"/>
        </w:rPr>
      </w:pPr>
    </w:p>
    <w:p w14:paraId="0494A500">
      <w:pPr>
        <w:pStyle w:val="284"/>
        <w:jc w:val="center"/>
        <w:rPr>
          <w:rFonts w:hint="eastAsia" w:ascii="方正粗黑宋简体" w:hAnsi="方正粗黑宋简体" w:eastAsia="方正粗黑宋简体"/>
          <w:color w:val="auto"/>
          <w:sz w:val="72"/>
          <w:szCs w:val="72"/>
        </w:rPr>
      </w:pPr>
      <w:r>
        <w:rPr>
          <w:rFonts w:hint="eastAsia" w:ascii="方正粗黑宋简体" w:hAnsi="方正粗黑宋简体" w:eastAsia="方正粗黑宋简体"/>
          <w:color w:val="auto"/>
          <w:sz w:val="72"/>
          <w:szCs w:val="72"/>
        </w:rPr>
        <w:t>公开招标采购文件</w:t>
      </w:r>
    </w:p>
    <w:p w14:paraId="558AB0C3">
      <w:pPr>
        <w:pStyle w:val="284"/>
        <w:jc w:val="center"/>
        <w:rPr>
          <w:rFonts w:hint="eastAsia" w:ascii="方正粗黑宋简体" w:hAnsi="方正粗黑宋简体" w:eastAsia="方正粗黑宋简体"/>
          <w:color w:val="auto"/>
          <w:sz w:val="52"/>
          <w:szCs w:val="52"/>
        </w:rPr>
      </w:pPr>
    </w:p>
    <w:p w14:paraId="44AC18C8">
      <w:pPr>
        <w:pStyle w:val="284"/>
        <w:rPr>
          <w:color w:val="auto"/>
        </w:rPr>
      </w:pPr>
    </w:p>
    <w:p w14:paraId="193F98BC">
      <w:pPr>
        <w:pStyle w:val="26"/>
        <w:ind w:firstLine="0" w:firstLineChars="0"/>
        <w:rPr>
          <w:rFonts w:hint="eastAsia" w:ascii="微软雅黑" w:hAnsi="微软雅黑"/>
          <w:bCs/>
          <w:color w:val="auto"/>
          <w:w w:val="95"/>
          <w:sz w:val="28"/>
          <w:szCs w:val="28"/>
        </w:rPr>
      </w:pPr>
    </w:p>
    <w:p w14:paraId="37D3233D">
      <w:pPr>
        <w:pStyle w:val="26"/>
        <w:ind w:firstLine="0" w:firstLineChars="0"/>
        <w:rPr>
          <w:rFonts w:hint="eastAsia" w:ascii="微软雅黑" w:hAnsi="微软雅黑"/>
          <w:bCs/>
          <w:color w:val="auto"/>
          <w:w w:val="95"/>
          <w:sz w:val="28"/>
          <w:szCs w:val="28"/>
        </w:rPr>
      </w:pPr>
      <w:r>
        <w:rPr>
          <w:rFonts w:hint="eastAsia" w:ascii="微软雅黑" w:hAnsi="微软雅黑"/>
          <w:bCs/>
          <w:color w:val="auto"/>
          <w:w w:val="95"/>
          <w:sz w:val="28"/>
          <w:szCs w:val="28"/>
        </w:rPr>
        <w:t>项目名称：嘉兴市公安局南湖区分局涉诈数据处理服务项目</w:t>
      </w:r>
    </w:p>
    <w:p w14:paraId="39FBA4D1">
      <w:pPr>
        <w:pStyle w:val="26"/>
        <w:ind w:firstLine="0" w:firstLineChars="0"/>
        <w:rPr>
          <w:rFonts w:hint="eastAsia" w:ascii="微软雅黑" w:hAnsi="微软雅黑"/>
          <w:bCs/>
          <w:color w:val="auto"/>
          <w:w w:val="95"/>
          <w:sz w:val="28"/>
          <w:szCs w:val="28"/>
        </w:rPr>
      </w:pPr>
      <w:r>
        <w:rPr>
          <w:rFonts w:hint="eastAsia" w:ascii="微软雅黑" w:hAnsi="微软雅黑"/>
          <w:bCs/>
          <w:color w:val="auto"/>
          <w:w w:val="95"/>
          <w:sz w:val="28"/>
          <w:szCs w:val="28"/>
        </w:rPr>
        <w:t>招标编号：中际-ZJZJGC（2024）嘉26号</w:t>
      </w:r>
    </w:p>
    <w:p w14:paraId="05EEAE9C">
      <w:pPr>
        <w:pStyle w:val="26"/>
        <w:ind w:firstLine="0" w:firstLineChars="0"/>
        <w:rPr>
          <w:rFonts w:hint="eastAsia" w:ascii="微软雅黑" w:hAnsi="微软雅黑"/>
          <w:bCs/>
          <w:color w:val="auto"/>
          <w:w w:val="95"/>
          <w:sz w:val="28"/>
          <w:szCs w:val="28"/>
        </w:rPr>
      </w:pPr>
      <w:r>
        <w:rPr>
          <w:rFonts w:hint="eastAsia" w:ascii="微软雅黑" w:hAnsi="微软雅黑"/>
          <w:bCs/>
          <w:color w:val="auto"/>
          <w:w w:val="95"/>
          <w:sz w:val="28"/>
          <w:szCs w:val="28"/>
        </w:rPr>
        <w:t>采购单位：嘉兴市公安局南湖区分局</w:t>
      </w:r>
    </w:p>
    <w:p w14:paraId="30AD517E">
      <w:pPr>
        <w:pStyle w:val="26"/>
        <w:ind w:firstLine="0" w:firstLineChars="0"/>
        <w:rPr>
          <w:rFonts w:hint="eastAsia" w:ascii="微软雅黑" w:hAnsi="微软雅黑"/>
          <w:bCs/>
          <w:color w:val="auto"/>
          <w:w w:val="95"/>
          <w:sz w:val="28"/>
          <w:szCs w:val="28"/>
        </w:rPr>
      </w:pPr>
      <w:r>
        <w:rPr>
          <w:rFonts w:hint="eastAsia" w:ascii="微软雅黑" w:hAnsi="微软雅黑"/>
          <w:bCs/>
          <w:color w:val="auto"/>
          <w:w w:val="95"/>
          <w:sz w:val="28"/>
          <w:szCs w:val="28"/>
        </w:rPr>
        <w:t>代理机构：浙江中际工程项目管理有限公司</w:t>
      </w:r>
    </w:p>
    <w:p w14:paraId="041C18CE">
      <w:pPr>
        <w:pStyle w:val="26"/>
        <w:ind w:firstLine="0" w:firstLineChars="0"/>
        <w:rPr>
          <w:rFonts w:hint="eastAsia" w:ascii="微软雅黑" w:hAnsi="微软雅黑"/>
          <w:b/>
          <w:color w:val="auto"/>
          <w:sz w:val="28"/>
          <w:szCs w:val="28"/>
        </w:rPr>
      </w:pPr>
      <w:bookmarkStart w:id="0" w:name="_Toc50012812"/>
      <w:r>
        <w:rPr>
          <w:rFonts w:hint="eastAsia" w:ascii="微软雅黑" w:hAnsi="微软雅黑"/>
          <w:bCs/>
          <w:color w:val="auto"/>
          <w:w w:val="95"/>
          <w:sz w:val="28"/>
          <w:szCs w:val="28"/>
        </w:rPr>
        <w:t>日    期：</w:t>
      </w:r>
      <w:bookmarkEnd w:id="0"/>
      <w:r>
        <w:rPr>
          <w:rFonts w:hint="eastAsia" w:ascii="微软雅黑" w:hAnsi="微软雅黑"/>
          <w:bCs/>
          <w:color w:val="auto"/>
          <w:w w:val="95"/>
          <w:sz w:val="28"/>
          <w:szCs w:val="28"/>
        </w:rPr>
        <w:t>2024年9月</w:t>
      </w:r>
      <w:r>
        <w:rPr>
          <w:rFonts w:hint="eastAsia" w:ascii="微软雅黑" w:hAnsi="微软雅黑"/>
          <w:bCs/>
          <w:color w:val="auto"/>
          <w:w w:val="95"/>
          <w:sz w:val="28"/>
          <w:szCs w:val="28"/>
          <w:lang w:val="en-US" w:eastAsia="zh-CN"/>
        </w:rPr>
        <w:t>20</w:t>
      </w:r>
      <w:r>
        <w:rPr>
          <w:rFonts w:hint="eastAsia" w:ascii="微软雅黑" w:hAnsi="微软雅黑"/>
          <w:bCs/>
          <w:color w:val="auto"/>
          <w:w w:val="95"/>
          <w:sz w:val="28"/>
          <w:szCs w:val="28"/>
        </w:rPr>
        <w:t>日</w:t>
      </w:r>
    </w:p>
    <w:p w14:paraId="44F05BFF">
      <w:pPr>
        <w:ind w:firstLine="420"/>
        <w:rPr>
          <w:rFonts w:hint="eastAsia" w:ascii="微软雅黑" w:hAnsi="微软雅黑" w:cs="微软雅黑"/>
          <w:color w:val="auto"/>
          <w:szCs w:val="21"/>
          <w:lang w:val="zh-CN"/>
        </w:rPr>
      </w:pPr>
      <w:bookmarkStart w:id="1" w:name="_Toc5881"/>
      <w:bookmarkStart w:id="2" w:name="_Toc13327"/>
      <w:r>
        <w:rPr>
          <w:rFonts w:hint="eastAsia" w:ascii="微软雅黑" w:hAnsi="微软雅黑" w:cs="微软雅黑"/>
          <w:color w:val="auto"/>
          <w:szCs w:val="21"/>
          <w:lang w:val="zh-CN"/>
        </w:rPr>
        <w:br w:type="page"/>
      </w:r>
    </w:p>
    <w:p w14:paraId="54061236">
      <w:pPr>
        <w:pStyle w:val="135"/>
        <w:spacing w:before="0" w:line="600" w:lineRule="exact"/>
        <w:jc w:val="center"/>
        <w:rPr>
          <w:rFonts w:hint="eastAsia" w:ascii="微软雅黑" w:hAnsi="微软雅黑" w:cs="微软雅黑"/>
          <w:color w:val="auto"/>
          <w:sz w:val="21"/>
          <w:szCs w:val="21"/>
        </w:rPr>
      </w:pPr>
      <w:r>
        <w:rPr>
          <w:rFonts w:hint="eastAsia" w:ascii="微软雅黑" w:hAnsi="微软雅黑" w:cs="微软雅黑"/>
          <w:color w:val="auto"/>
          <w:sz w:val="21"/>
          <w:szCs w:val="21"/>
          <w:lang w:val="zh-CN"/>
        </w:rPr>
        <w:t>目录</w:t>
      </w:r>
      <w:bookmarkEnd w:id="1"/>
      <w:bookmarkEnd w:id="2"/>
    </w:p>
    <w:p w14:paraId="07F593E3">
      <w:pPr>
        <w:pStyle w:val="93"/>
        <w:tabs>
          <w:tab w:val="right" w:leader="dot" w:pos="8312"/>
        </w:tabs>
        <w:spacing w:line="600" w:lineRule="exact"/>
        <w:ind w:firstLine="420"/>
        <w:rPr>
          <w:rFonts w:hint="eastAsia" w:ascii="微软雅黑" w:hAnsi="微软雅黑" w:cs="微软雅黑"/>
          <w:color w:val="auto"/>
          <w:szCs w:val="21"/>
        </w:rPr>
      </w:pPr>
      <w:r>
        <w:rPr>
          <w:rFonts w:hint="eastAsia" w:ascii="微软雅黑" w:hAnsi="微软雅黑" w:cs="微软雅黑"/>
          <w:b/>
          <w:color w:val="auto"/>
          <w:szCs w:val="21"/>
        </w:rPr>
        <w:fldChar w:fldCharType="begin"/>
      </w:r>
      <w:r>
        <w:rPr>
          <w:rFonts w:hint="eastAsia" w:ascii="微软雅黑" w:hAnsi="微软雅黑" w:cs="微软雅黑"/>
          <w:b/>
          <w:color w:val="auto"/>
          <w:szCs w:val="21"/>
        </w:rPr>
        <w:instrText xml:space="preserve">TOC \o "1-1" \h \u </w:instrText>
      </w:r>
      <w:r>
        <w:rPr>
          <w:rFonts w:hint="eastAsia" w:ascii="微软雅黑" w:hAnsi="微软雅黑" w:cs="微软雅黑"/>
          <w:b/>
          <w:color w:val="auto"/>
          <w:szCs w:val="21"/>
        </w:rPr>
        <w:fldChar w:fldCharType="separate"/>
      </w:r>
    </w:p>
    <w:p w14:paraId="73371F03">
      <w:pPr>
        <w:pStyle w:val="93"/>
        <w:tabs>
          <w:tab w:val="right" w:leader="dot" w:pos="8312"/>
        </w:tabs>
        <w:spacing w:line="600" w:lineRule="exact"/>
        <w:ind w:firstLine="420"/>
        <w:rPr>
          <w:rFonts w:hint="eastAsia" w:ascii="微软雅黑" w:hAnsi="微软雅黑" w:cs="微软雅黑"/>
          <w:color w:val="auto"/>
          <w:szCs w:val="21"/>
        </w:rPr>
      </w:pPr>
      <w:r>
        <w:rPr>
          <w:color w:val="auto"/>
        </w:rPr>
        <w:fldChar w:fldCharType="begin"/>
      </w:r>
      <w:r>
        <w:rPr>
          <w:color w:val="auto"/>
        </w:rPr>
        <w:instrText xml:space="preserve"> HYPERLINK \l "_Toc22578" </w:instrText>
      </w:r>
      <w:r>
        <w:rPr>
          <w:color w:val="auto"/>
        </w:rPr>
        <w:fldChar w:fldCharType="separate"/>
      </w:r>
      <w:r>
        <w:rPr>
          <w:rFonts w:hint="eastAsia" w:ascii="微软雅黑" w:hAnsi="微软雅黑" w:cs="微软雅黑"/>
          <w:color w:val="auto"/>
          <w:szCs w:val="21"/>
        </w:rPr>
        <w:t>第一章  公开招标采购公告</w:t>
      </w:r>
      <w:r>
        <w:rPr>
          <w:rFonts w:hint="eastAsia" w:ascii="微软雅黑" w:hAnsi="微软雅黑" w:cs="微软雅黑"/>
          <w:color w:val="auto"/>
          <w:szCs w:val="21"/>
        </w:rPr>
        <w:tab/>
      </w:r>
      <w:r>
        <w:rPr>
          <w:rFonts w:hint="eastAsia" w:ascii="微软雅黑" w:hAnsi="微软雅黑" w:cs="微软雅黑"/>
          <w:color w:val="auto"/>
          <w:szCs w:val="21"/>
        </w:rPr>
        <w:fldChar w:fldCharType="begin"/>
      </w:r>
      <w:r>
        <w:rPr>
          <w:rFonts w:hint="eastAsia" w:ascii="微软雅黑" w:hAnsi="微软雅黑" w:cs="微软雅黑"/>
          <w:color w:val="auto"/>
          <w:szCs w:val="21"/>
        </w:rPr>
        <w:instrText xml:space="preserve"> PAGEREF _Toc22578 </w:instrText>
      </w:r>
      <w:r>
        <w:rPr>
          <w:rFonts w:hint="eastAsia" w:ascii="微软雅黑" w:hAnsi="微软雅黑" w:cs="微软雅黑"/>
          <w:color w:val="auto"/>
          <w:szCs w:val="21"/>
        </w:rPr>
        <w:fldChar w:fldCharType="separate"/>
      </w:r>
      <w:r>
        <w:rPr>
          <w:rFonts w:hint="eastAsia" w:ascii="微软雅黑" w:hAnsi="微软雅黑" w:cs="微软雅黑"/>
          <w:color w:val="auto"/>
          <w:szCs w:val="21"/>
        </w:rPr>
        <w:t>3</w:t>
      </w:r>
      <w:r>
        <w:rPr>
          <w:rFonts w:hint="eastAsia" w:ascii="微软雅黑" w:hAnsi="微软雅黑" w:cs="微软雅黑"/>
          <w:color w:val="auto"/>
          <w:szCs w:val="21"/>
        </w:rPr>
        <w:fldChar w:fldCharType="end"/>
      </w:r>
      <w:r>
        <w:rPr>
          <w:rFonts w:hint="eastAsia" w:ascii="微软雅黑" w:hAnsi="微软雅黑" w:cs="微软雅黑"/>
          <w:color w:val="auto"/>
          <w:szCs w:val="21"/>
        </w:rPr>
        <w:fldChar w:fldCharType="end"/>
      </w:r>
    </w:p>
    <w:p w14:paraId="24ADB518">
      <w:pPr>
        <w:pStyle w:val="93"/>
        <w:tabs>
          <w:tab w:val="right" w:leader="dot" w:pos="8312"/>
        </w:tabs>
        <w:spacing w:line="600" w:lineRule="exact"/>
        <w:ind w:firstLine="420"/>
        <w:rPr>
          <w:rFonts w:hint="eastAsia" w:ascii="微软雅黑" w:hAnsi="微软雅黑" w:cs="微软雅黑"/>
          <w:color w:val="auto"/>
          <w:szCs w:val="21"/>
        </w:rPr>
      </w:pPr>
      <w:r>
        <w:rPr>
          <w:color w:val="auto"/>
        </w:rPr>
        <w:fldChar w:fldCharType="begin"/>
      </w:r>
      <w:r>
        <w:rPr>
          <w:color w:val="auto"/>
        </w:rPr>
        <w:instrText xml:space="preserve"> HYPERLINK \l "_Toc5875" </w:instrText>
      </w:r>
      <w:r>
        <w:rPr>
          <w:color w:val="auto"/>
        </w:rPr>
        <w:fldChar w:fldCharType="separate"/>
      </w:r>
      <w:r>
        <w:rPr>
          <w:rFonts w:hint="eastAsia" w:ascii="微软雅黑" w:hAnsi="微软雅黑" w:cs="微软雅黑"/>
          <w:color w:val="auto"/>
          <w:szCs w:val="21"/>
        </w:rPr>
        <w:t>第二章 招标项目要求</w:t>
      </w:r>
      <w:r>
        <w:rPr>
          <w:rFonts w:hint="eastAsia" w:ascii="微软雅黑" w:hAnsi="微软雅黑" w:cs="微软雅黑"/>
          <w:color w:val="auto"/>
          <w:szCs w:val="21"/>
        </w:rPr>
        <w:tab/>
      </w:r>
      <w:r>
        <w:rPr>
          <w:rFonts w:hint="eastAsia" w:ascii="微软雅黑" w:hAnsi="微软雅黑" w:cs="微软雅黑"/>
          <w:color w:val="auto"/>
          <w:szCs w:val="21"/>
        </w:rPr>
        <w:fldChar w:fldCharType="begin"/>
      </w:r>
      <w:r>
        <w:rPr>
          <w:rFonts w:hint="eastAsia" w:ascii="微软雅黑" w:hAnsi="微软雅黑" w:cs="微软雅黑"/>
          <w:color w:val="auto"/>
          <w:szCs w:val="21"/>
        </w:rPr>
        <w:instrText xml:space="preserve"> PAGEREF _Toc5875 </w:instrText>
      </w:r>
      <w:r>
        <w:rPr>
          <w:rFonts w:hint="eastAsia" w:ascii="微软雅黑" w:hAnsi="微软雅黑" w:cs="微软雅黑"/>
          <w:color w:val="auto"/>
          <w:szCs w:val="21"/>
        </w:rPr>
        <w:fldChar w:fldCharType="separate"/>
      </w:r>
      <w:r>
        <w:rPr>
          <w:rFonts w:hint="eastAsia" w:ascii="微软雅黑" w:hAnsi="微软雅黑" w:cs="微软雅黑"/>
          <w:color w:val="auto"/>
          <w:szCs w:val="21"/>
        </w:rPr>
        <w:t>8</w:t>
      </w:r>
      <w:r>
        <w:rPr>
          <w:rFonts w:hint="eastAsia" w:ascii="微软雅黑" w:hAnsi="微软雅黑" w:cs="微软雅黑"/>
          <w:color w:val="auto"/>
          <w:szCs w:val="21"/>
        </w:rPr>
        <w:fldChar w:fldCharType="end"/>
      </w:r>
      <w:r>
        <w:rPr>
          <w:rFonts w:hint="eastAsia" w:ascii="微软雅黑" w:hAnsi="微软雅黑" w:cs="微软雅黑"/>
          <w:color w:val="auto"/>
          <w:szCs w:val="21"/>
        </w:rPr>
        <w:fldChar w:fldCharType="end"/>
      </w:r>
    </w:p>
    <w:p w14:paraId="37092F10">
      <w:pPr>
        <w:pStyle w:val="93"/>
        <w:tabs>
          <w:tab w:val="right" w:leader="dot" w:pos="8312"/>
        </w:tabs>
        <w:spacing w:line="600" w:lineRule="exact"/>
        <w:ind w:firstLine="420"/>
        <w:rPr>
          <w:rFonts w:hint="eastAsia" w:ascii="微软雅黑" w:hAnsi="微软雅黑" w:cs="微软雅黑"/>
          <w:color w:val="auto"/>
          <w:szCs w:val="21"/>
        </w:rPr>
      </w:pPr>
      <w:r>
        <w:rPr>
          <w:color w:val="auto"/>
        </w:rPr>
        <w:fldChar w:fldCharType="begin"/>
      </w:r>
      <w:r>
        <w:rPr>
          <w:color w:val="auto"/>
        </w:rPr>
        <w:instrText xml:space="preserve"> HYPERLINK \l "_Toc19683" </w:instrText>
      </w:r>
      <w:r>
        <w:rPr>
          <w:color w:val="auto"/>
        </w:rPr>
        <w:fldChar w:fldCharType="separate"/>
      </w:r>
      <w:r>
        <w:rPr>
          <w:rFonts w:hint="eastAsia" w:ascii="微软雅黑" w:hAnsi="微软雅黑" w:cs="微软雅黑"/>
          <w:color w:val="auto"/>
          <w:szCs w:val="21"/>
        </w:rPr>
        <w:t>第三章  投标</w:t>
      </w:r>
      <w:bookmarkStart w:id="3" w:name="_Hlt66106899"/>
      <w:bookmarkStart w:id="4" w:name="_Hlt66106898"/>
      <w:r>
        <w:rPr>
          <w:rFonts w:hint="eastAsia" w:ascii="微软雅黑" w:hAnsi="微软雅黑" w:cs="微软雅黑"/>
          <w:color w:val="auto"/>
          <w:szCs w:val="21"/>
        </w:rPr>
        <w:t>人</w:t>
      </w:r>
      <w:bookmarkEnd w:id="3"/>
      <w:bookmarkEnd w:id="4"/>
      <w:r>
        <w:rPr>
          <w:rFonts w:hint="eastAsia" w:ascii="微软雅黑" w:hAnsi="微软雅黑" w:cs="微软雅黑"/>
          <w:color w:val="auto"/>
          <w:szCs w:val="21"/>
        </w:rPr>
        <w:t>须知</w:t>
      </w:r>
      <w:r>
        <w:rPr>
          <w:rFonts w:hint="eastAsia" w:ascii="微软雅黑" w:hAnsi="微软雅黑" w:cs="微软雅黑"/>
          <w:color w:val="auto"/>
          <w:szCs w:val="21"/>
        </w:rPr>
        <w:tab/>
      </w:r>
      <w:r>
        <w:rPr>
          <w:rFonts w:hint="eastAsia" w:ascii="微软雅黑" w:hAnsi="微软雅黑" w:cs="微软雅黑"/>
          <w:color w:val="auto"/>
          <w:szCs w:val="21"/>
        </w:rPr>
        <w:fldChar w:fldCharType="begin"/>
      </w:r>
      <w:r>
        <w:rPr>
          <w:rFonts w:hint="eastAsia" w:ascii="微软雅黑" w:hAnsi="微软雅黑" w:cs="微软雅黑"/>
          <w:color w:val="auto"/>
          <w:szCs w:val="21"/>
        </w:rPr>
        <w:instrText xml:space="preserve"> PAGEREF _Toc19683 </w:instrText>
      </w:r>
      <w:r>
        <w:rPr>
          <w:rFonts w:hint="eastAsia" w:ascii="微软雅黑" w:hAnsi="微软雅黑" w:cs="微软雅黑"/>
          <w:color w:val="auto"/>
          <w:szCs w:val="21"/>
        </w:rPr>
        <w:fldChar w:fldCharType="separate"/>
      </w:r>
      <w:r>
        <w:rPr>
          <w:rFonts w:hint="eastAsia" w:ascii="微软雅黑" w:hAnsi="微软雅黑" w:cs="微软雅黑"/>
          <w:color w:val="auto"/>
          <w:szCs w:val="21"/>
        </w:rPr>
        <w:t>9</w:t>
      </w:r>
      <w:r>
        <w:rPr>
          <w:rFonts w:hint="eastAsia" w:ascii="微软雅黑" w:hAnsi="微软雅黑" w:cs="微软雅黑"/>
          <w:color w:val="auto"/>
          <w:szCs w:val="21"/>
        </w:rPr>
        <w:fldChar w:fldCharType="end"/>
      </w:r>
      <w:r>
        <w:rPr>
          <w:rFonts w:hint="eastAsia" w:ascii="微软雅黑" w:hAnsi="微软雅黑" w:cs="微软雅黑"/>
          <w:color w:val="auto"/>
          <w:szCs w:val="21"/>
        </w:rPr>
        <w:fldChar w:fldCharType="end"/>
      </w:r>
    </w:p>
    <w:p w14:paraId="765F4E61">
      <w:pPr>
        <w:pStyle w:val="93"/>
        <w:tabs>
          <w:tab w:val="right" w:leader="dot" w:pos="8312"/>
        </w:tabs>
        <w:spacing w:line="600" w:lineRule="exact"/>
        <w:ind w:firstLine="420"/>
        <w:rPr>
          <w:rFonts w:hint="eastAsia" w:ascii="微软雅黑" w:hAnsi="微软雅黑" w:cs="微软雅黑"/>
          <w:color w:val="auto"/>
          <w:szCs w:val="21"/>
        </w:rPr>
      </w:pPr>
      <w:r>
        <w:rPr>
          <w:color w:val="auto"/>
        </w:rPr>
        <w:fldChar w:fldCharType="begin"/>
      </w:r>
      <w:r>
        <w:rPr>
          <w:color w:val="auto"/>
        </w:rPr>
        <w:instrText xml:space="preserve"> HYPERLINK \l "_Toc25435" </w:instrText>
      </w:r>
      <w:r>
        <w:rPr>
          <w:color w:val="auto"/>
        </w:rPr>
        <w:fldChar w:fldCharType="separate"/>
      </w:r>
      <w:r>
        <w:rPr>
          <w:rFonts w:hint="eastAsia" w:ascii="微软雅黑" w:hAnsi="微软雅黑" w:cs="微软雅黑"/>
          <w:color w:val="auto"/>
          <w:szCs w:val="21"/>
        </w:rPr>
        <w:t>第四章  评标办法及评分标准</w:t>
      </w:r>
      <w:r>
        <w:rPr>
          <w:rFonts w:hint="eastAsia" w:ascii="微软雅黑" w:hAnsi="微软雅黑" w:cs="微软雅黑"/>
          <w:color w:val="auto"/>
          <w:szCs w:val="21"/>
        </w:rPr>
        <w:tab/>
      </w:r>
      <w:r>
        <w:rPr>
          <w:rFonts w:hint="eastAsia" w:ascii="微软雅黑" w:hAnsi="微软雅黑" w:cs="微软雅黑"/>
          <w:color w:val="auto"/>
          <w:szCs w:val="21"/>
        </w:rPr>
        <w:fldChar w:fldCharType="begin"/>
      </w:r>
      <w:r>
        <w:rPr>
          <w:rFonts w:hint="eastAsia" w:ascii="微软雅黑" w:hAnsi="微软雅黑" w:cs="微软雅黑"/>
          <w:color w:val="auto"/>
          <w:szCs w:val="21"/>
        </w:rPr>
        <w:instrText xml:space="preserve"> PAGEREF _Toc25435 </w:instrText>
      </w:r>
      <w:r>
        <w:rPr>
          <w:rFonts w:hint="eastAsia" w:ascii="微软雅黑" w:hAnsi="微软雅黑" w:cs="微软雅黑"/>
          <w:color w:val="auto"/>
          <w:szCs w:val="21"/>
        </w:rPr>
        <w:fldChar w:fldCharType="separate"/>
      </w:r>
      <w:r>
        <w:rPr>
          <w:rFonts w:hint="eastAsia" w:ascii="微软雅黑" w:hAnsi="微软雅黑" w:cs="微软雅黑"/>
          <w:color w:val="auto"/>
          <w:szCs w:val="21"/>
        </w:rPr>
        <w:t>27</w:t>
      </w:r>
      <w:r>
        <w:rPr>
          <w:rFonts w:hint="eastAsia" w:ascii="微软雅黑" w:hAnsi="微软雅黑" w:cs="微软雅黑"/>
          <w:color w:val="auto"/>
          <w:szCs w:val="21"/>
        </w:rPr>
        <w:fldChar w:fldCharType="end"/>
      </w:r>
      <w:r>
        <w:rPr>
          <w:rFonts w:hint="eastAsia" w:ascii="微软雅黑" w:hAnsi="微软雅黑" w:cs="微软雅黑"/>
          <w:color w:val="auto"/>
          <w:szCs w:val="21"/>
        </w:rPr>
        <w:fldChar w:fldCharType="end"/>
      </w:r>
    </w:p>
    <w:p w14:paraId="414EC9B6">
      <w:pPr>
        <w:pStyle w:val="93"/>
        <w:tabs>
          <w:tab w:val="right" w:leader="dot" w:pos="8312"/>
        </w:tabs>
        <w:spacing w:line="600" w:lineRule="exact"/>
        <w:ind w:firstLine="420"/>
        <w:rPr>
          <w:rFonts w:hint="eastAsia" w:ascii="微软雅黑" w:hAnsi="微软雅黑" w:cs="微软雅黑"/>
          <w:color w:val="auto"/>
          <w:szCs w:val="21"/>
        </w:rPr>
      </w:pPr>
      <w:r>
        <w:rPr>
          <w:color w:val="auto"/>
        </w:rPr>
        <w:fldChar w:fldCharType="begin"/>
      </w:r>
      <w:r>
        <w:rPr>
          <w:color w:val="auto"/>
        </w:rPr>
        <w:instrText xml:space="preserve"> HYPERLINK \l "_Toc24358" </w:instrText>
      </w:r>
      <w:r>
        <w:rPr>
          <w:color w:val="auto"/>
        </w:rPr>
        <w:fldChar w:fldCharType="separate"/>
      </w:r>
      <w:r>
        <w:rPr>
          <w:rFonts w:hint="eastAsia" w:ascii="微软雅黑" w:hAnsi="微软雅黑" w:cs="微软雅黑"/>
          <w:color w:val="auto"/>
          <w:szCs w:val="21"/>
        </w:rPr>
        <w:t>第五章  政府采购合同</w:t>
      </w:r>
      <w:r>
        <w:rPr>
          <w:rFonts w:hint="eastAsia" w:ascii="微软雅黑" w:hAnsi="微软雅黑" w:cs="微软雅黑"/>
          <w:color w:val="auto"/>
          <w:szCs w:val="21"/>
        </w:rPr>
        <w:tab/>
      </w:r>
      <w:r>
        <w:rPr>
          <w:rFonts w:hint="eastAsia" w:ascii="微软雅黑" w:hAnsi="微软雅黑" w:cs="微软雅黑"/>
          <w:color w:val="auto"/>
          <w:szCs w:val="21"/>
        </w:rPr>
        <w:fldChar w:fldCharType="begin"/>
      </w:r>
      <w:r>
        <w:rPr>
          <w:rFonts w:hint="eastAsia" w:ascii="微软雅黑" w:hAnsi="微软雅黑" w:cs="微软雅黑"/>
          <w:color w:val="auto"/>
          <w:szCs w:val="21"/>
        </w:rPr>
        <w:instrText xml:space="preserve"> PAGEREF _Toc24358 </w:instrText>
      </w:r>
      <w:r>
        <w:rPr>
          <w:rFonts w:hint="eastAsia" w:ascii="微软雅黑" w:hAnsi="微软雅黑" w:cs="微软雅黑"/>
          <w:color w:val="auto"/>
          <w:szCs w:val="21"/>
        </w:rPr>
        <w:fldChar w:fldCharType="separate"/>
      </w:r>
      <w:r>
        <w:rPr>
          <w:rFonts w:hint="eastAsia" w:ascii="微软雅黑" w:hAnsi="微软雅黑" w:cs="微软雅黑"/>
          <w:color w:val="auto"/>
          <w:szCs w:val="21"/>
        </w:rPr>
        <w:t>27</w:t>
      </w:r>
      <w:r>
        <w:rPr>
          <w:rFonts w:hint="eastAsia" w:ascii="微软雅黑" w:hAnsi="微软雅黑" w:cs="微软雅黑"/>
          <w:color w:val="auto"/>
          <w:szCs w:val="21"/>
        </w:rPr>
        <w:fldChar w:fldCharType="end"/>
      </w:r>
      <w:r>
        <w:rPr>
          <w:rFonts w:hint="eastAsia" w:ascii="微软雅黑" w:hAnsi="微软雅黑" w:cs="微软雅黑"/>
          <w:color w:val="auto"/>
          <w:szCs w:val="21"/>
        </w:rPr>
        <w:fldChar w:fldCharType="end"/>
      </w:r>
    </w:p>
    <w:p w14:paraId="069D294E">
      <w:pPr>
        <w:pStyle w:val="93"/>
        <w:tabs>
          <w:tab w:val="right" w:leader="dot" w:pos="8312"/>
        </w:tabs>
        <w:spacing w:line="600" w:lineRule="exact"/>
        <w:ind w:firstLine="420"/>
        <w:rPr>
          <w:rFonts w:hint="eastAsia" w:ascii="微软雅黑" w:hAnsi="微软雅黑" w:cs="微软雅黑"/>
          <w:color w:val="auto"/>
          <w:szCs w:val="21"/>
        </w:rPr>
      </w:pPr>
      <w:r>
        <w:rPr>
          <w:color w:val="auto"/>
        </w:rPr>
        <w:fldChar w:fldCharType="begin"/>
      </w:r>
      <w:r>
        <w:rPr>
          <w:color w:val="auto"/>
        </w:rPr>
        <w:instrText xml:space="preserve"> HYPERLINK \l "_Toc25864" </w:instrText>
      </w:r>
      <w:r>
        <w:rPr>
          <w:color w:val="auto"/>
        </w:rPr>
        <w:fldChar w:fldCharType="separate"/>
      </w:r>
      <w:r>
        <w:rPr>
          <w:rFonts w:hint="eastAsia" w:ascii="微软雅黑" w:hAnsi="微软雅黑" w:cs="微软雅黑"/>
          <w:color w:val="auto"/>
          <w:szCs w:val="21"/>
        </w:rPr>
        <w:t>第六章 投标文件相关</w:t>
      </w:r>
      <w:bookmarkStart w:id="5" w:name="_Hlt66106946"/>
      <w:r>
        <w:rPr>
          <w:rFonts w:hint="eastAsia" w:ascii="微软雅黑" w:hAnsi="微软雅黑" w:cs="微软雅黑"/>
          <w:color w:val="auto"/>
          <w:szCs w:val="21"/>
        </w:rPr>
        <w:t>格</w:t>
      </w:r>
      <w:bookmarkEnd w:id="5"/>
      <w:r>
        <w:rPr>
          <w:rFonts w:hint="eastAsia" w:ascii="微软雅黑" w:hAnsi="微软雅黑" w:cs="微软雅黑"/>
          <w:color w:val="auto"/>
          <w:szCs w:val="21"/>
        </w:rPr>
        <w:t>式</w:t>
      </w:r>
      <w:r>
        <w:rPr>
          <w:rFonts w:hint="eastAsia" w:ascii="微软雅黑" w:hAnsi="微软雅黑" w:cs="微软雅黑"/>
          <w:color w:val="auto"/>
          <w:szCs w:val="21"/>
        </w:rPr>
        <w:tab/>
      </w:r>
      <w:r>
        <w:rPr>
          <w:rFonts w:hint="eastAsia" w:ascii="微软雅黑" w:hAnsi="微软雅黑" w:cs="微软雅黑"/>
          <w:color w:val="auto"/>
          <w:szCs w:val="21"/>
        </w:rPr>
        <w:fldChar w:fldCharType="begin"/>
      </w:r>
      <w:r>
        <w:rPr>
          <w:rFonts w:hint="eastAsia" w:ascii="微软雅黑" w:hAnsi="微软雅黑" w:cs="微软雅黑"/>
          <w:color w:val="auto"/>
          <w:szCs w:val="21"/>
        </w:rPr>
        <w:instrText xml:space="preserve"> PAGEREF _Toc25864 </w:instrText>
      </w:r>
      <w:r>
        <w:rPr>
          <w:rFonts w:hint="eastAsia" w:ascii="微软雅黑" w:hAnsi="微软雅黑" w:cs="微软雅黑"/>
          <w:color w:val="auto"/>
          <w:szCs w:val="21"/>
        </w:rPr>
        <w:fldChar w:fldCharType="separate"/>
      </w:r>
      <w:r>
        <w:rPr>
          <w:rFonts w:hint="eastAsia" w:ascii="微软雅黑" w:hAnsi="微软雅黑" w:cs="微软雅黑"/>
          <w:color w:val="auto"/>
          <w:szCs w:val="21"/>
        </w:rPr>
        <w:t>35</w:t>
      </w:r>
      <w:r>
        <w:rPr>
          <w:rFonts w:hint="eastAsia" w:ascii="微软雅黑" w:hAnsi="微软雅黑" w:cs="微软雅黑"/>
          <w:color w:val="auto"/>
          <w:szCs w:val="21"/>
        </w:rPr>
        <w:fldChar w:fldCharType="end"/>
      </w:r>
      <w:r>
        <w:rPr>
          <w:rFonts w:hint="eastAsia" w:ascii="微软雅黑" w:hAnsi="微软雅黑" w:cs="微软雅黑"/>
          <w:color w:val="auto"/>
          <w:szCs w:val="21"/>
        </w:rPr>
        <w:fldChar w:fldCharType="end"/>
      </w:r>
    </w:p>
    <w:p w14:paraId="5646552C">
      <w:pPr>
        <w:spacing w:line="600" w:lineRule="exact"/>
        <w:ind w:firstLine="420"/>
        <w:rPr>
          <w:rFonts w:hint="eastAsia" w:ascii="微软雅黑" w:hAnsi="微软雅黑" w:cs="微软雅黑"/>
          <w:b/>
          <w:color w:val="auto"/>
          <w:szCs w:val="21"/>
        </w:rPr>
      </w:pPr>
      <w:r>
        <w:rPr>
          <w:rFonts w:hint="eastAsia" w:ascii="微软雅黑" w:hAnsi="微软雅黑" w:cs="微软雅黑"/>
          <w:color w:val="auto"/>
          <w:szCs w:val="21"/>
        </w:rPr>
        <w:fldChar w:fldCharType="end"/>
      </w:r>
    </w:p>
    <w:p w14:paraId="633E6FE5">
      <w:pPr>
        <w:pStyle w:val="3"/>
        <w:numPr>
          <w:ilvl w:val="0"/>
          <w:numId w:val="3"/>
        </w:numPr>
        <w:rPr>
          <w:rStyle w:val="73"/>
          <w:b/>
          <w:bCs/>
          <w:color w:val="auto"/>
        </w:rPr>
      </w:pPr>
      <w:bookmarkStart w:id="6" w:name="_Toc493511540"/>
      <w:r>
        <w:rPr>
          <w:rFonts w:hint="eastAsia" w:ascii="微软雅黑" w:hAnsi="微软雅黑"/>
          <w:color w:val="auto"/>
        </w:rPr>
        <w:br w:type="page"/>
      </w:r>
      <w:bookmarkStart w:id="7" w:name="_Toc22578"/>
      <w:r>
        <w:rPr>
          <w:rStyle w:val="73"/>
          <w:rFonts w:hint="eastAsia"/>
          <w:b/>
          <w:bCs/>
          <w:color w:val="auto"/>
        </w:rPr>
        <w:t>公开招标采购公告</w:t>
      </w:r>
      <w:bookmarkEnd w:id="6"/>
      <w:bookmarkEnd w:id="7"/>
    </w:p>
    <w:p w14:paraId="6D578825">
      <w:pPr>
        <w:pBdr>
          <w:top w:val="single" w:color="auto" w:sz="4" w:space="1"/>
          <w:left w:val="single" w:color="auto" w:sz="4" w:space="4"/>
          <w:bottom w:val="single" w:color="auto" w:sz="4" w:space="1"/>
          <w:right w:val="single" w:color="auto" w:sz="4" w:space="4"/>
        </w:pBdr>
        <w:ind w:firstLine="420"/>
        <w:rPr>
          <w:rFonts w:hint="eastAsia" w:ascii="宋体" w:hAnsi="宋体" w:eastAsia="宋体" w:cs="宋体"/>
          <w:color w:val="auto"/>
          <w:szCs w:val="21"/>
        </w:rPr>
      </w:pPr>
      <w:bookmarkStart w:id="8" w:name="_Toc493511541"/>
      <w:bookmarkStart w:id="9" w:name="_Toc177870534"/>
      <w:r>
        <w:rPr>
          <w:rFonts w:hint="eastAsia" w:ascii="宋体" w:hAnsi="宋体" w:eastAsia="宋体" w:cs="宋体"/>
          <w:color w:val="auto"/>
          <w:szCs w:val="21"/>
        </w:rPr>
        <w:t>项目概况</w:t>
      </w:r>
    </w:p>
    <w:p w14:paraId="520ED91E">
      <w:pPr>
        <w:pBdr>
          <w:top w:val="single" w:color="auto" w:sz="4" w:space="1"/>
          <w:left w:val="single" w:color="auto" w:sz="4" w:space="4"/>
          <w:bottom w:val="single" w:color="auto" w:sz="4" w:space="1"/>
          <w:right w:val="single" w:color="auto" w:sz="4" w:space="4"/>
        </w:pBdr>
        <w:ind w:firstLine="420"/>
        <w:rPr>
          <w:rFonts w:hint="eastAsia" w:ascii="宋体" w:hAnsi="宋体" w:eastAsia="宋体" w:cs="宋体"/>
          <w:color w:val="auto"/>
          <w:szCs w:val="21"/>
          <w:u w:val="single"/>
        </w:rPr>
      </w:pPr>
      <w:r>
        <w:rPr>
          <w:rFonts w:hint="eastAsia" w:ascii="宋体" w:hAnsi="宋体" w:eastAsia="宋体" w:cs="宋体"/>
          <w:color w:val="auto"/>
          <w:szCs w:val="21"/>
          <w:lang w:val="zh-CN"/>
        </w:rPr>
        <w:t>嘉兴市公安局南湖区分局涉诈数据处理服务项目</w:t>
      </w:r>
      <w:r>
        <w:rPr>
          <w:rFonts w:hint="eastAsia" w:ascii="宋体" w:hAnsi="宋体" w:eastAsia="宋体" w:cs="宋体"/>
          <w:color w:val="auto"/>
          <w:szCs w:val="21"/>
        </w:rPr>
        <w:t>的潜在供应商应在</w:t>
      </w:r>
      <w:r>
        <w:rPr>
          <w:rFonts w:hint="eastAsia" w:ascii="宋体" w:hAnsi="宋体" w:eastAsia="宋体" w:cs="宋体"/>
          <w:color w:val="auto"/>
          <w:szCs w:val="21"/>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5"/>
          <w:rFonts w:hint="eastAsia" w:ascii="宋体" w:hAnsi="宋体" w:eastAsia="宋体" w:cs="宋体"/>
          <w:color w:val="auto"/>
          <w:szCs w:val="21"/>
        </w:rPr>
        <w:t>https://www.zcygov.cn/</w:t>
      </w:r>
      <w:r>
        <w:rPr>
          <w:rStyle w:val="65"/>
          <w:rFonts w:hint="eastAsia" w:ascii="宋体" w:hAnsi="宋体" w:eastAsia="宋体" w:cs="宋体"/>
          <w:color w:val="auto"/>
          <w:szCs w:val="21"/>
        </w:rPr>
        <w:fldChar w:fldCharType="end"/>
      </w:r>
      <w:r>
        <w:rPr>
          <w:rFonts w:hint="eastAsia" w:ascii="宋体" w:hAnsi="宋体" w:eastAsia="宋体" w:cs="宋体"/>
          <w:color w:val="auto"/>
          <w:szCs w:val="21"/>
          <w:u w:val="single"/>
        </w:rPr>
        <w:t>）</w:t>
      </w:r>
      <w:r>
        <w:rPr>
          <w:rFonts w:hint="eastAsia" w:ascii="宋体" w:hAnsi="宋体" w:eastAsia="宋体" w:cs="宋体"/>
          <w:color w:val="auto"/>
          <w:szCs w:val="21"/>
        </w:rPr>
        <w:t>获取采购文件，并于</w:t>
      </w:r>
      <w:r>
        <w:rPr>
          <w:rFonts w:hint="eastAsia" w:ascii="宋体" w:hAnsi="宋体" w:eastAsia="宋体" w:cs="宋体"/>
          <w:color w:val="auto"/>
          <w:szCs w:val="21"/>
          <w:u w:val="single"/>
        </w:rPr>
        <w:t>2024年</w:t>
      </w:r>
      <w:r>
        <w:rPr>
          <w:rFonts w:hint="eastAsia" w:ascii="宋体" w:hAnsi="宋体" w:eastAsia="宋体" w:cs="宋体"/>
          <w:color w:val="auto"/>
          <w:szCs w:val="21"/>
          <w:u w:val="single"/>
          <w:lang w:eastAsia="zh-CN"/>
        </w:rPr>
        <w:t>10月11日</w:t>
      </w:r>
      <w:r>
        <w:rPr>
          <w:rFonts w:hint="eastAsia" w:ascii="宋体" w:hAnsi="宋体" w:eastAsia="宋体" w:cs="宋体"/>
          <w:bCs/>
          <w:color w:val="auto"/>
          <w:szCs w:val="21"/>
          <w:u w:val="single"/>
          <w:lang w:eastAsia="zh-CN"/>
        </w:rPr>
        <w:t>14时00分</w:t>
      </w:r>
      <w:r>
        <w:rPr>
          <w:rFonts w:hint="eastAsia" w:ascii="宋体" w:hAnsi="宋体" w:eastAsia="宋体" w:cs="宋体"/>
          <w:bCs/>
          <w:color w:val="auto"/>
          <w:szCs w:val="21"/>
          <w:u w:val="single"/>
        </w:rPr>
        <w:t>00秒</w:t>
      </w:r>
      <w:r>
        <w:rPr>
          <w:rFonts w:hint="eastAsia" w:ascii="宋体" w:hAnsi="宋体" w:eastAsia="宋体" w:cs="宋体"/>
          <w:bCs/>
          <w:color w:val="auto"/>
          <w:szCs w:val="21"/>
        </w:rPr>
        <w:t>（北京时间）前提交响应文件</w:t>
      </w:r>
      <w:r>
        <w:rPr>
          <w:rFonts w:hint="eastAsia" w:ascii="宋体" w:hAnsi="宋体" w:eastAsia="宋体" w:cs="宋体"/>
          <w:color w:val="auto"/>
          <w:szCs w:val="21"/>
        </w:rPr>
        <w:t>。</w:t>
      </w:r>
    </w:p>
    <w:p w14:paraId="1EAC4079">
      <w:pPr>
        <w:spacing w:line="500" w:lineRule="exact"/>
        <w:ind w:firstLine="420"/>
        <w:rPr>
          <w:rFonts w:hint="eastAsia" w:ascii="宋体" w:hAnsi="宋体" w:eastAsia="宋体" w:cs="宋体"/>
          <w:color w:val="auto"/>
          <w:szCs w:val="21"/>
        </w:rPr>
      </w:pPr>
      <w:r>
        <w:rPr>
          <w:rFonts w:hint="eastAsia" w:ascii="宋体" w:hAnsi="宋体" w:eastAsia="宋体" w:cs="宋体"/>
          <w:color w:val="auto"/>
          <w:szCs w:val="21"/>
        </w:rPr>
        <w:t>                   </w:t>
      </w:r>
    </w:p>
    <w:p w14:paraId="51321D00">
      <w:pPr>
        <w:pStyle w:val="2"/>
        <w:numPr>
          <w:ilvl w:val="0"/>
          <w:numId w:val="4"/>
        </w:numPr>
        <w:spacing w:line="500" w:lineRule="exact"/>
        <w:ind w:firstLineChars="0"/>
        <w:rPr>
          <w:rFonts w:hint="eastAsia" w:ascii="宋体" w:hAnsi="宋体" w:eastAsia="宋体" w:cs="宋体"/>
          <w:color w:val="auto"/>
          <w:szCs w:val="21"/>
        </w:rPr>
      </w:pPr>
      <w:r>
        <w:rPr>
          <w:rFonts w:hint="eastAsia" w:ascii="宋体" w:hAnsi="宋体" w:eastAsia="宋体" w:cs="宋体"/>
          <w:color w:val="auto"/>
          <w:szCs w:val="21"/>
        </w:rPr>
        <w:t>项目基本情况</w:t>
      </w:r>
    </w:p>
    <w:p w14:paraId="0A8F67F0">
      <w:pPr>
        <w:spacing w:line="500" w:lineRule="exact"/>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项目编号： 中际-ZJZJGC（2024）嘉26号 </w:t>
      </w:r>
    </w:p>
    <w:p w14:paraId="3A931AFC">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项目名称：嘉兴市公安局南湖区分局涉诈数据处理服务项目</w:t>
      </w:r>
    </w:p>
    <w:p w14:paraId="387F0340">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预算金额（元）：716000</w:t>
      </w:r>
    </w:p>
    <w:p w14:paraId="7BAC6F96">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最高限价（元）：716000</w:t>
      </w:r>
    </w:p>
    <w:p w14:paraId="2141B652">
      <w:pPr>
        <w:pStyle w:val="45"/>
        <w:spacing w:before="0" w:beforeAutospacing="0" w:after="0" w:afterAutospacing="0" w:line="500" w:lineRule="exact"/>
        <w:ind w:firstLine="420"/>
        <w:rPr>
          <w:rStyle w:val="119"/>
          <w:rFonts w:hint="eastAsia" w:eastAsia="宋体" w:cs="宋体"/>
          <w:color w:val="auto"/>
          <w:sz w:val="21"/>
          <w:szCs w:val="21"/>
        </w:rPr>
      </w:pPr>
      <w:r>
        <w:rPr>
          <w:rStyle w:val="119"/>
          <w:rFonts w:hint="eastAsia" w:eastAsia="宋体" w:cs="宋体"/>
          <w:color w:val="auto"/>
          <w:sz w:val="21"/>
          <w:szCs w:val="21"/>
        </w:rPr>
        <w:t>采购需求：</w:t>
      </w:r>
    </w:p>
    <w:p w14:paraId="70FC1FC2">
      <w:pPr>
        <w:pStyle w:val="45"/>
        <w:spacing w:before="0" w:beforeAutospacing="0" w:after="0" w:afterAutospacing="0" w:line="500" w:lineRule="exact"/>
        <w:ind w:firstLine="420"/>
        <w:rPr>
          <w:rStyle w:val="119"/>
          <w:rFonts w:hint="eastAsia" w:eastAsia="宋体" w:cs="宋体"/>
          <w:color w:val="auto"/>
          <w:sz w:val="21"/>
          <w:szCs w:val="21"/>
        </w:rPr>
      </w:pPr>
    </w:p>
    <w:p w14:paraId="135B499E">
      <w:pPr>
        <w:spacing w:line="500" w:lineRule="exact"/>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标项名称：嘉兴市公安局南湖区分局涉诈数据处理服务项目 </w:t>
      </w:r>
    </w:p>
    <w:p w14:paraId="3023FADB">
      <w:pPr>
        <w:spacing w:line="500" w:lineRule="exact"/>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数量: 不限  </w:t>
      </w:r>
    </w:p>
    <w:p w14:paraId="6F5B6FD5">
      <w:pPr>
        <w:spacing w:line="500" w:lineRule="exact"/>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 预算金额（元）:716000</w:t>
      </w:r>
    </w:p>
    <w:p w14:paraId="21DE3B23">
      <w:pPr>
        <w:spacing w:line="500" w:lineRule="exact"/>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 简要规格描述或项目基本概况介绍、用途：详见采购文件 </w:t>
      </w:r>
    </w:p>
    <w:p w14:paraId="658F71D3">
      <w:pPr>
        <w:spacing w:line="500" w:lineRule="exact"/>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 备注： </w:t>
      </w:r>
    </w:p>
    <w:p w14:paraId="4B0E89C3">
      <w:pPr>
        <w:spacing w:line="500" w:lineRule="exact"/>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合同履约期限：标项 1，详见采购文件</w:t>
      </w:r>
    </w:p>
    <w:p w14:paraId="07C7DD14">
      <w:pPr>
        <w:spacing w:line="500" w:lineRule="exact"/>
        <w:ind w:firstLine="422"/>
        <w:rPr>
          <w:rFonts w:hint="eastAsia" w:ascii="宋体" w:hAnsi="宋体" w:eastAsia="宋体" w:cs="宋体"/>
          <w:b/>
          <w:bCs/>
          <w:color w:val="auto"/>
          <w:szCs w:val="21"/>
        </w:rPr>
      </w:pPr>
      <w:r>
        <w:rPr>
          <w:rFonts w:hint="eastAsia" w:ascii="宋体" w:hAnsi="宋体" w:eastAsia="宋体" w:cs="宋体"/>
          <w:b/>
          <w:bCs/>
          <w:color w:val="auto"/>
          <w:szCs w:val="21"/>
        </w:rPr>
        <w:t>本项目（是）接受联合体投标。</w:t>
      </w:r>
    </w:p>
    <w:p w14:paraId="1978F693">
      <w:pPr>
        <w:spacing w:line="500" w:lineRule="exact"/>
        <w:ind w:firstLine="422"/>
        <w:rPr>
          <w:rFonts w:hint="eastAsia" w:ascii="宋体" w:hAnsi="宋体" w:eastAsia="宋体" w:cs="宋体"/>
          <w:b/>
          <w:bCs/>
          <w:color w:val="auto"/>
          <w:szCs w:val="21"/>
        </w:rPr>
      </w:pPr>
      <w:r>
        <w:rPr>
          <w:rFonts w:hint="eastAsia" w:ascii="宋体" w:hAnsi="宋体" w:eastAsia="宋体" w:cs="宋体"/>
          <w:b/>
          <w:bCs/>
          <w:color w:val="auto"/>
          <w:szCs w:val="21"/>
        </w:rPr>
        <w:t>申请人的资格要求：</w:t>
      </w:r>
    </w:p>
    <w:p w14:paraId="5098229E">
      <w:pPr>
        <w:spacing w:line="500" w:lineRule="exact"/>
        <w:ind w:firstLine="420"/>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774F098">
      <w:pPr>
        <w:spacing w:line="500" w:lineRule="exact"/>
        <w:ind w:firstLine="420"/>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2.落实政府采购政策需满足的资格要求：本次采购为专门面向中小企业预留采购份额的采购项目。</w:t>
      </w:r>
    </w:p>
    <w:p w14:paraId="5C3EF852">
      <w:pPr>
        <w:spacing w:line="500" w:lineRule="exact"/>
        <w:ind w:firstLine="420"/>
        <w:rPr>
          <w:rFonts w:hint="eastAsia" w:ascii="宋体" w:hAnsi="宋体" w:eastAsia="宋体" w:cs="宋体"/>
          <w:color w:val="auto"/>
          <w:szCs w:val="21"/>
        </w:rPr>
      </w:pPr>
      <w:r>
        <w:rPr>
          <w:rFonts w:hint="eastAsia" w:ascii="宋体" w:hAnsi="宋体" w:eastAsia="宋体" w:cs="宋体"/>
          <w:color w:val="auto"/>
          <w:szCs w:val="21"/>
        </w:rPr>
        <w:t>3.本项目的特定资格要求：/；</w:t>
      </w:r>
    </w:p>
    <w:p w14:paraId="76C93A6D">
      <w:pPr>
        <w:pStyle w:val="2"/>
        <w:numPr>
          <w:ilvl w:val="0"/>
          <w:numId w:val="4"/>
        </w:numPr>
        <w:spacing w:line="500" w:lineRule="exact"/>
        <w:ind w:firstLineChars="0"/>
        <w:rPr>
          <w:rFonts w:hint="eastAsia" w:ascii="宋体" w:hAnsi="宋体" w:eastAsia="宋体" w:cs="宋体"/>
          <w:color w:val="auto"/>
          <w:szCs w:val="21"/>
        </w:rPr>
      </w:pPr>
      <w:r>
        <w:rPr>
          <w:rFonts w:hint="eastAsia" w:ascii="宋体" w:hAnsi="宋体" w:eastAsia="宋体" w:cs="宋体"/>
          <w:color w:val="auto"/>
          <w:szCs w:val="21"/>
        </w:rPr>
        <w:t>获取招标文件</w:t>
      </w:r>
    </w:p>
    <w:p w14:paraId="20D3633B">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时间：</w:t>
      </w:r>
      <w:r>
        <w:rPr>
          <w:rFonts w:hint="eastAsia" w:eastAsia="宋体" w:cs="宋体"/>
          <w:color w:val="auto"/>
          <w:sz w:val="21"/>
          <w:szCs w:val="21"/>
          <w:u w:val="single"/>
        </w:rPr>
        <w:t>/至2024年</w:t>
      </w:r>
      <w:r>
        <w:rPr>
          <w:rFonts w:hint="eastAsia" w:eastAsia="宋体" w:cs="宋体"/>
          <w:color w:val="auto"/>
          <w:sz w:val="21"/>
          <w:szCs w:val="21"/>
          <w:u w:val="single"/>
          <w:lang w:eastAsia="zh-CN"/>
        </w:rPr>
        <w:t>10月11日</w:t>
      </w:r>
      <w:r>
        <w:rPr>
          <w:rFonts w:hint="eastAsia" w:eastAsia="宋体" w:cs="宋体"/>
          <w:color w:val="auto"/>
          <w:sz w:val="21"/>
          <w:szCs w:val="21"/>
          <w:u w:val="single"/>
        </w:rPr>
        <w:t>，每天上午00:00至12:00，下午12:00至23:59</w:t>
      </w:r>
      <w:r>
        <w:rPr>
          <w:rFonts w:hint="eastAsia" w:eastAsia="宋体" w:cs="宋体"/>
          <w:color w:val="auto"/>
          <w:sz w:val="21"/>
          <w:szCs w:val="21"/>
        </w:rPr>
        <w:t>（北京时间，线上获取法定节假日均可，线下获取文件法定节假日除外）</w:t>
      </w:r>
    </w:p>
    <w:p w14:paraId="68929D2E">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地点（网址）： 浙江政府采购网https://zfcg.czt.zj.gov.cn/  </w:t>
      </w:r>
    </w:p>
    <w:p w14:paraId="5BA4EA3E">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获取方式：供应商登录政采云平台https://www.zcygov.cn/在线申请获取采购文件（进入“项目采购”应用，在获取采购文件菜单中选择项目，申请获取采购文件）。</w:t>
      </w:r>
    </w:p>
    <w:p w14:paraId="60BB2204">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 售价（元）：  0 </w:t>
      </w:r>
    </w:p>
    <w:p w14:paraId="0614D6F6">
      <w:pPr>
        <w:pStyle w:val="2"/>
        <w:numPr>
          <w:ilvl w:val="0"/>
          <w:numId w:val="4"/>
        </w:numPr>
        <w:spacing w:line="500" w:lineRule="exact"/>
        <w:ind w:firstLineChars="0"/>
        <w:rPr>
          <w:rFonts w:hint="eastAsia" w:ascii="宋体" w:hAnsi="宋体" w:eastAsia="宋体" w:cs="宋体"/>
          <w:color w:val="auto"/>
          <w:szCs w:val="21"/>
        </w:rPr>
      </w:pPr>
      <w:r>
        <w:rPr>
          <w:rFonts w:hint="eastAsia" w:ascii="宋体" w:hAnsi="宋体" w:eastAsia="宋体" w:cs="宋体"/>
          <w:color w:val="auto"/>
          <w:szCs w:val="21"/>
        </w:rPr>
        <w:t>提交投标文件截止时间、开标时间和地点</w:t>
      </w:r>
    </w:p>
    <w:p w14:paraId="6887573C">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提交投标文件截止时间：</w:t>
      </w:r>
      <w:r>
        <w:rPr>
          <w:rFonts w:hint="eastAsia" w:eastAsia="宋体" w:cs="宋体"/>
          <w:color w:val="auto"/>
          <w:sz w:val="21"/>
          <w:szCs w:val="21"/>
          <w:u w:val="single"/>
        </w:rPr>
        <w:t> 2024年</w:t>
      </w:r>
      <w:r>
        <w:rPr>
          <w:rFonts w:hint="eastAsia" w:eastAsia="宋体" w:cs="宋体"/>
          <w:color w:val="auto"/>
          <w:sz w:val="21"/>
          <w:szCs w:val="21"/>
          <w:u w:val="single"/>
          <w:lang w:eastAsia="zh-CN"/>
        </w:rPr>
        <w:t>10月11日14时00分</w:t>
      </w:r>
      <w:r>
        <w:rPr>
          <w:rFonts w:hint="eastAsia" w:eastAsia="宋体" w:cs="宋体"/>
          <w:color w:val="auto"/>
          <w:sz w:val="21"/>
          <w:szCs w:val="21"/>
        </w:rPr>
        <w:t>（北京时间）</w:t>
      </w:r>
    </w:p>
    <w:p w14:paraId="2B2A77A8">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投标地点（网址）：“政采云”平台电子投标  </w:t>
      </w:r>
    </w:p>
    <w:p w14:paraId="173D403A">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开标时间：  2024年</w:t>
      </w:r>
      <w:r>
        <w:rPr>
          <w:rFonts w:hint="eastAsia" w:eastAsia="宋体" w:cs="宋体"/>
          <w:color w:val="auto"/>
          <w:sz w:val="21"/>
          <w:szCs w:val="21"/>
          <w:lang w:eastAsia="zh-CN"/>
        </w:rPr>
        <w:t>10月11日14时00分</w:t>
      </w:r>
    </w:p>
    <w:p w14:paraId="23D59C88">
      <w:pPr>
        <w:pStyle w:val="45"/>
        <w:spacing w:before="0" w:beforeAutospacing="0" w:after="0" w:afterAutospacing="0" w:line="500" w:lineRule="exact"/>
        <w:ind w:firstLine="420"/>
        <w:rPr>
          <w:rFonts w:hint="eastAsia" w:eastAsia="宋体" w:cs="宋体"/>
          <w:color w:val="auto"/>
          <w:sz w:val="21"/>
          <w:szCs w:val="21"/>
          <w:u w:val="single"/>
        </w:rPr>
      </w:pPr>
      <w:r>
        <w:rPr>
          <w:rFonts w:hint="eastAsia" w:eastAsia="宋体" w:cs="宋体"/>
          <w:color w:val="auto"/>
          <w:sz w:val="21"/>
          <w:szCs w:val="21"/>
        </w:rPr>
        <w:t>开标地点（网址）：</w:t>
      </w:r>
      <w:r>
        <w:rPr>
          <w:rFonts w:hint="eastAsia" w:eastAsia="宋体" w:cs="宋体"/>
          <w:color w:val="auto"/>
          <w:sz w:val="21"/>
          <w:szCs w:val="21"/>
          <w:u w:val="single"/>
        </w:rPr>
        <w:t>嘉兴市由拳路南湖大道口华隆广场1号楼1306室（线下）</w:t>
      </w:r>
    </w:p>
    <w:p w14:paraId="54E2CE5E">
      <w:pPr>
        <w:pStyle w:val="2"/>
        <w:numPr>
          <w:ilvl w:val="0"/>
          <w:numId w:val="4"/>
        </w:numPr>
        <w:spacing w:line="500" w:lineRule="exact"/>
        <w:ind w:firstLineChars="0"/>
        <w:rPr>
          <w:rFonts w:hint="eastAsia" w:ascii="宋体" w:hAnsi="宋体" w:eastAsia="宋体" w:cs="宋体"/>
          <w:color w:val="auto"/>
          <w:szCs w:val="21"/>
        </w:rPr>
      </w:pPr>
      <w:r>
        <w:rPr>
          <w:rFonts w:hint="eastAsia" w:ascii="宋体" w:hAnsi="宋体" w:eastAsia="宋体" w:cs="宋体"/>
          <w:color w:val="auto"/>
          <w:szCs w:val="21"/>
        </w:rPr>
        <w:t>公告期限</w:t>
      </w:r>
    </w:p>
    <w:p w14:paraId="1C13D87F">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自本公告发布之日起5个工作日。</w:t>
      </w:r>
    </w:p>
    <w:p w14:paraId="40654CA4">
      <w:pPr>
        <w:pStyle w:val="2"/>
        <w:numPr>
          <w:ilvl w:val="0"/>
          <w:numId w:val="4"/>
        </w:numPr>
        <w:spacing w:line="500" w:lineRule="exact"/>
        <w:ind w:firstLineChars="0"/>
        <w:rPr>
          <w:rFonts w:hint="eastAsia" w:ascii="宋体" w:hAnsi="宋体" w:eastAsia="宋体" w:cs="宋体"/>
          <w:color w:val="auto"/>
          <w:szCs w:val="21"/>
        </w:rPr>
      </w:pPr>
      <w:r>
        <w:rPr>
          <w:rFonts w:hint="eastAsia" w:ascii="宋体" w:hAnsi="宋体" w:eastAsia="宋体" w:cs="宋体"/>
          <w:color w:val="auto"/>
          <w:szCs w:val="21"/>
        </w:rPr>
        <w:t>其他补充事宜</w:t>
      </w:r>
    </w:p>
    <w:p w14:paraId="0939F484">
      <w:pPr>
        <w:numPr>
          <w:ilvl w:val="0"/>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6623A1">
      <w:pPr>
        <w:numPr>
          <w:ilvl w:val="0"/>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本采购项目，中标单位与采购人签订的政府采购合同适用于嘉兴市政府采购贷款政策，简称“政采贷”，具体内容可参阅政府采购贷款流程：</w:t>
      </w:r>
      <w:r>
        <w:rPr>
          <w:color w:val="auto"/>
        </w:rPr>
        <w:fldChar w:fldCharType="begin"/>
      </w:r>
      <w:r>
        <w:rPr>
          <w:color w:val="auto"/>
        </w:rPr>
        <w:instrText xml:space="preserve"> HYPERLINK "http://www.jxzbtb.cn/zxfw/005012/20181016/7e541bf4-ad29-4286-ace8-d12c1b2c54fc.html%E3%80%82" </w:instrText>
      </w:r>
      <w:r>
        <w:rPr>
          <w:color w:val="auto"/>
        </w:rPr>
        <w:fldChar w:fldCharType="separate"/>
      </w:r>
      <w:r>
        <w:rPr>
          <w:rStyle w:val="65"/>
          <w:rFonts w:hint="eastAsia" w:ascii="宋体" w:hAnsi="宋体" w:eastAsia="宋体" w:cs="宋体"/>
          <w:color w:val="auto"/>
          <w:szCs w:val="21"/>
        </w:rPr>
        <w:t>http://jxszwsjb.jiaxing.gov.cn/zxfw/005012/20181016/7e541bf4-ad29-4286-ace8-d12c1b2c54fc.html</w:t>
      </w:r>
      <w:r>
        <w:rPr>
          <w:rStyle w:val="65"/>
          <w:rFonts w:hint="eastAsia" w:ascii="宋体" w:hAnsi="宋体" w:eastAsia="宋体" w:cs="宋体"/>
          <w:color w:val="auto"/>
          <w:szCs w:val="21"/>
        </w:rPr>
        <w:fldChar w:fldCharType="end"/>
      </w:r>
    </w:p>
    <w:p w14:paraId="5C718964">
      <w:pPr>
        <w:numPr>
          <w:ilvl w:val="0"/>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投标说明：</w:t>
      </w:r>
    </w:p>
    <w:p w14:paraId="0AB09A1F">
      <w:pPr>
        <w:numPr>
          <w:ilvl w:val="1"/>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本项目按照《浙江省财政厅关于印发浙江省政府采购项电子交易管理暂行办法的通知》实行电子交易。</w:t>
      </w:r>
    </w:p>
    <w:p w14:paraId="3415541B">
      <w:pPr>
        <w:numPr>
          <w:ilvl w:val="1"/>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供应商注册</w:t>
      </w:r>
    </w:p>
    <w:p w14:paraId="3148562B">
      <w:pPr>
        <w:numPr>
          <w:ilvl w:val="2"/>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注册网址：</w:t>
      </w:r>
    </w:p>
    <w:p w14:paraId="3F1E789A">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浙江政府采购网：</w:t>
      </w:r>
      <w:r>
        <w:rPr>
          <w:color w:val="auto"/>
        </w:rPr>
        <w:fldChar w:fldCharType="begin"/>
      </w:r>
      <w:r>
        <w:rPr>
          <w:color w:val="auto"/>
        </w:rPr>
        <w:instrText xml:space="preserve"> HYPERLINK "https://middle.zcygov.cn/v-settle-front/enter/account?settleCategory=1&amp;entranceType=1" </w:instrText>
      </w:r>
      <w:r>
        <w:rPr>
          <w:color w:val="auto"/>
        </w:rPr>
        <w:fldChar w:fldCharType="separate"/>
      </w:r>
      <w:r>
        <w:rPr>
          <w:rStyle w:val="65"/>
          <w:rFonts w:hint="eastAsia" w:eastAsia="宋体" w:cs="宋体"/>
          <w:color w:val="auto"/>
          <w:sz w:val="21"/>
          <w:szCs w:val="21"/>
        </w:rPr>
        <w:t>https://middle.zcygov.cn/v-settle-front/enter/account?settleCategory=1&amp;entranceType=1</w:t>
      </w:r>
      <w:r>
        <w:rPr>
          <w:rStyle w:val="65"/>
          <w:rFonts w:hint="eastAsia" w:eastAsia="宋体" w:cs="宋体"/>
          <w:color w:val="auto"/>
          <w:sz w:val="21"/>
          <w:szCs w:val="21"/>
        </w:rPr>
        <w:fldChar w:fldCharType="end"/>
      </w:r>
    </w:p>
    <w:p w14:paraId="0F0582A4">
      <w:pPr>
        <w:numPr>
          <w:ilvl w:val="2"/>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供应商按照《浙江省政府采购供应商注册和诚信管理暂行办法》要求执行。</w:t>
      </w:r>
    </w:p>
    <w:p w14:paraId="6171871F">
      <w:pPr>
        <w:numPr>
          <w:ilvl w:val="0"/>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投标文件制作注意事项</w:t>
      </w:r>
    </w:p>
    <w:p w14:paraId="5B599D48">
      <w:pPr>
        <w:numPr>
          <w:ilvl w:val="1"/>
          <w:numId w:val="5"/>
        </w:numPr>
        <w:spacing w:line="500" w:lineRule="exact"/>
        <w:ind w:left="0" w:firstLine="420"/>
        <w:rPr>
          <w:rFonts w:hint="eastAsia" w:ascii="宋体" w:hAnsi="宋体" w:eastAsia="宋体" w:cs="宋体"/>
          <w:color w:val="auto"/>
          <w:szCs w:val="21"/>
          <w:u w:val="single"/>
        </w:rPr>
      </w:pPr>
      <w:r>
        <w:rPr>
          <w:rFonts w:hint="eastAsia" w:ascii="宋体" w:hAnsi="宋体" w:eastAsia="宋体" w:cs="宋体"/>
          <w:color w:val="auto"/>
          <w:szCs w:val="21"/>
        </w:rPr>
        <w:t>供应商将政采云电子交易客户端下载、安装完成后，可通过账号密码或CA登录客户端进行投标文件制作。</w:t>
      </w:r>
    </w:p>
    <w:p w14:paraId="17F3B803">
      <w:pPr>
        <w:numPr>
          <w:ilvl w:val="1"/>
          <w:numId w:val="5"/>
        </w:numPr>
        <w:spacing w:line="500" w:lineRule="exact"/>
        <w:ind w:left="0" w:firstLine="420"/>
        <w:rPr>
          <w:rFonts w:hint="eastAsia" w:ascii="宋体" w:hAnsi="宋体" w:eastAsia="宋体" w:cs="宋体"/>
          <w:color w:val="auto"/>
          <w:szCs w:val="21"/>
          <w:u w:val="single"/>
        </w:rPr>
      </w:pPr>
      <w:r>
        <w:rPr>
          <w:rFonts w:hint="eastAsia" w:ascii="宋体" w:hAnsi="宋体" w:eastAsia="宋体" w:cs="宋体"/>
          <w:color w:val="auto"/>
          <w:szCs w:val="21"/>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7BE7114B">
      <w:pPr>
        <w:numPr>
          <w:ilvl w:val="1"/>
          <w:numId w:val="5"/>
        </w:numPr>
        <w:spacing w:line="500" w:lineRule="exact"/>
        <w:ind w:left="0" w:firstLine="420"/>
        <w:rPr>
          <w:rFonts w:hint="eastAsia" w:ascii="宋体" w:hAnsi="宋体" w:eastAsia="宋体" w:cs="宋体"/>
          <w:color w:val="auto"/>
          <w:szCs w:val="21"/>
          <w:u w:val="single"/>
        </w:rPr>
      </w:pPr>
      <w:r>
        <w:rPr>
          <w:rFonts w:hint="eastAsia" w:ascii="宋体" w:hAnsi="宋体" w:eastAsia="宋体" w:cs="宋体"/>
          <w:color w:val="auto"/>
          <w:szCs w:val="21"/>
        </w:rPr>
        <w:t>电子交易操作指南：</w:t>
      </w:r>
      <w:r>
        <w:rPr>
          <w:rFonts w:hint="eastAsia" w:ascii="宋体" w:hAnsi="宋体" w:eastAsia="宋体" w:cs="宋体"/>
          <w:color w:val="auto"/>
          <w:szCs w:val="21"/>
          <w:u w:val="single"/>
        </w:rPr>
        <w:t>https://service.zcygov.cn/#/knowledges/PGP8bW4ByNnJ3A2CyXG_/xg8jI3MBiyELHE-ou3ei?keyword=%E7%94%B5%E5%AD%90%E4%BA%A4%E6%98%93</w:t>
      </w:r>
    </w:p>
    <w:p w14:paraId="6A8F7204">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如何申请/申领办理CA</w:t>
      </w:r>
    </w:p>
    <w:p w14:paraId="1C15E264">
      <w:pPr>
        <w:pStyle w:val="45"/>
        <w:spacing w:before="0" w:beforeAutospacing="0" w:after="0" w:afterAutospacing="0" w:line="500" w:lineRule="exact"/>
        <w:ind w:firstLine="420"/>
        <w:rPr>
          <w:rFonts w:hint="eastAsia" w:eastAsia="宋体" w:cs="宋体"/>
          <w:color w:val="auto"/>
          <w:sz w:val="21"/>
          <w:szCs w:val="21"/>
          <w:u w:val="single"/>
        </w:rPr>
      </w:pPr>
      <w:r>
        <w:rPr>
          <w:rFonts w:hint="eastAsia" w:eastAsia="宋体" w:cs="宋体"/>
          <w:color w:val="auto"/>
          <w:sz w:val="21"/>
          <w:szCs w:val="21"/>
          <w:u w:val="single"/>
        </w:rPr>
        <w:t>https://service.zcygov.cn/#/knowledges/Pmw7VHIByNnJ3A2CbAN_/PXKYt3MByNnJ3A2CyAMX?keyword=CA</w:t>
      </w:r>
    </w:p>
    <w:p w14:paraId="0E9ACF21">
      <w:pPr>
        <w:pStyle w:val="45"/>
        <w:spacing w:before="0" w:beforeAutospacing="0" w:after="0" w:afterAutospacing="0" w:line="500" w:lineRule="exact"/>
        <w:ind w:firstLine="420"/>
        <w:rPr>
          <w:rFonts w:hint="eastAsia" w:eastAsia="宋体" w:cs="宋体"/>
          <w:color w:val="auto"/>
          <w:sz w:val="21"/>
          <w:szCs w:val="21"/>
          <w:u w:val="single"/>
        </w:rPr>
      </w:pPr>
      <w:r>
        <w:rPr>
          <w:rFonts w:hint="eastAsia" w:eastAsia="宋体" w:cs="宋体"/>
          <w:color w:val="auto"/>
          <w:sz w:val="21"/>
          <w:szCs w:val="21"/>
        </w:rPr>
        <w:t>注：ＣＡ证书遗失补办、延期、解锁、质保等业务可以在联连客户端上进行操作；使用政采云投标客户端时，建议使用WIN7及以上操作系统。</w:t>
      </w:r>
    </w:p>
    <w:p w14:paraId="6408CC53">
      <w:pPr>
        <w:numPr>
          <w:ilvl w:val="0"/>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政采云咨询电话：400-881-7190；</w:t>
      </w:r>
    </w:p>
    <w:p w14:paraId="409373DA">
      <w:pPr>
        <w:spacing w:line="500" w:lineRule="exact"/>
        <w:ind w:firstLine="420"/>
        <w:rPr>
          <w:rFonts w:hint="eastAsia" w:ascii="宋体" w:hAnsi="宋体" w:eastAsia="宋体" w:cs="宋体"/>
          <w:color w:val="auto"/>
          <w:szCs w:val="21"/>
        </w:rPr>
      </w:pPr>
      <w:r>
        <w:rPr>
          <w:rFonts w:hint="eastAsia" w:ascii="宋体" w:hAnsi="宋体" w:eastAsia="宋体" w:cs="宋体"/>
          <w:color w:val="auto"/>
          <w:szCs w:val="21"/>
        </w:rPr>
        <w:t>政采云平台服务中心：</w:t>
      </w:r>
      <w:r>
        <w:rPr>
          <w:color w:val="auto"/>
        </w:rPr>
        <w:fldChar w:fldCharType="begin"/>
      </w:r>
      <w:r>
        <w:rPr>
          <w:color w:val="auto"/>
        </w:rPr>
        <w:instrText xml:space="preserve"> HYPERLINK "https://service.zcygov.cn/" \l "/" \t "_blank" </w:instrText>
      </w:r>
      <w:r>
        <w:rPr>
          <w:color w:val="auto"/>
        </w:rPr>
        <w:fldChar w:fldCharType="separate"/>
      </w:r>
      <w:r>
        <w:rPr>
          <w:rStyle w:val="65"/>
          <w:rFonts w:hint="eastAsia" w:ascii="宋体" w:hAnsi="宋体" w:eastAsia="宋体" w:cs="宋体"/>
          <w:color w:val="auto"/>
          <w:szCs w:val="21"/>
        </w:rPr>
        <w:t>https://service.zcygov.cn/#/</w:t>
      </w:r>
      <w:r>
        <w:rPr>
          <w:rStyle w:val="65"/>
          <w:rFonts w:hint="eastAsia" w:ascii="宋体" w:hAnsi="宋体" w:eastAsia="宋体" w:cs="宋体"/>
          <w:color w:val="auto"/>
          <w:szCs w:val="21"/>
        </w:rPr>
        <w:fldChar w:fldCharType="end"/>
      </w:r>
    </w:p>
    <w:p w14:paraId="73D05B04">
      <w:pPr>
        <w:numPr>
          <w:ilvl w:val="0"/>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汇信（ＣＡ）客服电话：400-888-4636</w:t>
      </w:r>
    </w:p>
    <w:p w14:paraId="1B40AD14">
      <w:pPr>
        <w:numPr>
          <w:ilvl w:val="0"/>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投标文件提交注意事项：</w:t>
      </w:r>
    </w:p>
    <w:p w14:paraId="1B3C9F3A">
      <w:pPr>
        <w:numPr>
          <w:ilvl w:val="1"/>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 xml:space="preserve">供应商进行电子投标应安装客户端软件，并按照招标文件和电子交易平台的要求编制并加密投标文件。供应商未按规定加密的投标文件，代理机构应当拒收。 </w:t>
      </w:r>
    </w:p>
    <w:p w14:paraId="7FB52811">
      <w:pPr>
        <w:numPr>
          <w:ilvl w:val="1"/>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 xml:space="preserve">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63CF16A0">
      <w:pPr>
        <w:numPr>
          <w:ilvl w:val="1"/>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嘉兴市由拳路南湖大道口华隆广场1号楼1306室（浙江中际工程项目管理有限公司嘉兴分公司），马专圆13511352944），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37475903@qq.com），以便代理机构查收快递。如供应商选择快递费到付，将被拒收。 </w:t>
      </w:r>
    </w:p>
    <w:p w14:paraId="1AA3DB1C">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“备份投标文件”是指与“电子加密投标文件”同时生成的数据电文形式的电子文件（备份标书），其他方式编制的备份投标文件视为无效备份投标文件。</w:t>
      </w:r>
    </w:p>
    <w:p w14:paraId="1B1972A1">
      <w:pPr>
        <w:numPr>
          <w:ilvl w:val="1"/>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备份电子标文件制作为非强制性，但如遇因应商电子投标文件解密失败等情况造成无效标，后果由供应商自负。　</w:t>
      </w:r>
    </w:p>
    <w:p w14:paraId="3A4F3978">
      <w:pPr>
        <w:numPr>
          <w:ilvl w:val="0"/>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C5C862A">
      <w:pPr>
        <w:numPr>
          <w:ilvl w:val="0"/>
          <w:numId w:val="5"/>
        </w:numPr>
        <w:spacing w:line="500" w:lineRule="exact"/>
        <w:ind w:left="0" w:firstLine="420"/>
        <w:rPr>
          <w:rFonts w:hint="eastAsia" w:ascii="宋体" w:hAnsi="宋体" w:eastAsia="宋体" w:cs="宋体"/>
          <w:color w:val="auto"/>
          <w:szCs w:val="21"/>
        </w:rPr>
      </w:pPr>
      <w:r>
        <w:rPr>
          <w:rFonts w:hint="eastAsia" w:ascii="宋体" w:hAnsi="宋体" w:eastAsia="宋体" w:cs="宋体"/>
          <w:color w:val="auto"/>
          <w:szCs w:val="21"/>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93BD5E">
      <w:pPr>
        <w:pStyle w:val="2"/>
        <w:numPr>
          <w:ilvl w:val="0"/>
          <w:numId w:val="4"/>
        </w:numPr>
        <w:spacing w:line="500" w:lineRule="exact"/>
        <w:ind w:firstLineChars="0"/>
        <w:rPr>
          <w:rFonts w:hint="eastAsia" w:ascii="宋体" w:hAnsi="宋体" w:eastAsia="宋体" w:cs="宋体"/>
          <w:color w:val="auto"/>
          <w:szCs w:val="21"/>
        </w:rPr>
      </w:pPr>
      <w:r>
        <w:rPr>
          <w:rFonts w:hint="eastAsia" w:ascii="宋体" w:hAnsi="宋体" w:eastAsia="宋体" w:cs="宋体"/>
          <w:color w:val="auto"/>
          <w:szCs w:val="21"/>
        </w:rPr>
        <w:t>对本次招标提出询问、质疑、投诉，请按以下方式联系。　　　　　　　　　　　　</w:t>
      </w:r>
    </w:p>
    <w:p w14:paraId="42D49D42">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 1、采购人信息</w:t>
      </w:r>
    </w:p>
    <w:p w14:paraId="71A1CC35">
      <w:pPr>
        <w:pStyle w:val="45"/>
        <w:spacing w:before="0" w:beforeAutospacing="0" w:after="0" w:afterAutospacing="0" w:line="500" w:lineRule="exact"/>
        <w:ind w:firstLine="420"/>
        <w:rPr>
          <w:rFonts w:hint="eastAsia" w:eastAsia="宋体" w:cs="宋体"/>
          <w:color w:val="auto"/>
          <w:sz w:val="21"/>
          <w:szCs w:val="21"/>
          <w:u w:val="single"/>
        </w:rPr>
      </w:pPr>
      <w:r>
        <w:rPr>
          <w:rFonts w:hint="eastAsia" w:eastAsia="宋体" w:cs="宋体"/>
          <w:color w:val="auto"/>
          <w:sz w:val="21"/>
          <w:szCs w:val="21"/>
        </w:rPr>
        <w:t>名称：</w:t>
      </w:r>
      <w:r>
        <w:rPr>
          <w:rFonts w:hint="eastAsia" w:eastAsia="宋体" w:cs="宋体"/>
          <w:color w:val="auto"/>
          <w:sz w:val="21"/>
          <w:szCs w:val="21"/>
          <w:u w:val="single"/>
        </w:rPr>
        <w:t>嘉兴市公安局南湖区分局</w:t>
      </w:r>
    </w:p>
    <w:p w14:paraId="67240849">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 xml:space="preserve">地址： </w:t>
      </w:r>
      <w:r>
        <w:rPr>
          <w:rFonts w:hint="eastAsia" w:eastAsia="宋体" w:cs="宋体"/>
          <w:color w:val="auto"/>
          <w:sz w:val="21"/>
          <w:szCs w:val="21"/>
          <w:u w:val="single"/>
        </w:rPr>
        <w:t>/ </w:t>
      </w:r>
      <w:r>
        <w:rPr>
          <w:rFonts w:hint="eastAsia" w:eastAsia="宋体" w:cs="宋体"/>
          <w:color w:val="auto"/>
          <w:sz w:val="21"/>
          <w:szCs w:val="21"/>
        </w:rPr>
        <w:t xml:space="preserve"> 　　</w:t>
      </w:r>
    </w:p>
    <w:p w14:paraId="6C5EBC3F">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传真：</w:t>
      </w:r>
      <w:r>
        <w:rPr>
          <w:rFonts w:hint="eastAsia" w:eastAsia="宋体" w:cs="宋体"/>
          <w:color w:val="auto"/>
          <w:sz w:val="21"/>
          <w:szCs w:val="21"/>
          <w:u w:val="single"/>
        </w:rPr>
        <w:t>/</w:t>
      </w:r>
      <w:r>
        <w:rPr>
          <w:rFonts w:hint="eastAsia" w:eastAsia="宋体" w:cs="宋体"/>
          <w:color w:val="auto"/>
          <w:sz w:val="21"/>
          <w:szCs w:val="21"/>
        </w:rPr>
        <w:t>  　　</w:t>
      </w:r>
    </w:p>
    <w:p w14:paraId="0968B407">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项目联系人（询问）：</w:t>
      </w:r>
      <w:r>
        <w:rPr>
          <w:rFonts w:hint="eastAsia" w:eastAsia="宋体" w:cs="宋体"/>
          <w:color w:val="auto"/>
          <w:sz w:val="21"/>
          <w:szCs w:val="21"/>
          <w:u w:val="single"/>
        </w:rPr>
        <w:t>李军</w:t>
      </w:r>
    </w:p>
    <w:p w14:paraId="10CF1CD4">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项目联系方式（询问）：</w:t>
      </w:r>
      <w:r>
        <w:rPr>
          <w:rFonts w:hint="eastAsia" w:eastAsia="宋体" w:cs="宋体"/>
          <w:color w:val="auto"/>
          <w:sz w:val="21"/>
          <w:szCs w:val="21"/>
          <w:u w:val="single"/>
        </w:rPr>
        <w:t>0573-82096911</w:t>
      </w:r>
    </w:p>
    <w:p w14:paraId="7491B1E7">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质疑联系人：</w:t>
      </w:r>
      <w:r>
        <w:rPr>
          <w:rFonts w:hint="eastAsia" w:eastAsia="宋体" w:cs="宋体"/>
          <w:color w:val="auto"/>
          <w:sz w:val="21"/>
          <w:szCs w:val="21"/>
          <w:u w:val="single"/>
        </w:rPr>
        <w:t>李军</w:t>
      </w:r>
      <w:r>
        <w:rPr>
          <w:rFonts w:hint="eastAsia" w:eastAsia="宋体" w:cs="宋体"/>
          <w:color w:val="auto"/>
          <w:sz w:val="21"/>
          <w:szCs w:val="21"/>
        </w:rPr>
        <w:t>　　</w:t>
      </w:r>
    </w:p>
    <w:p w14:paraId="1462D04D">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质疑联系方式：</w:t>
      </w:r>
      <w:r>
        <w:rPr>
          <w:rFonts w:hint="eastAsia" w:eastAsia="宋体" w:cs="宋体"/>
          <w:color w:val="auto"/>
          <w:sz w:val="21"/>
          <w:szCs w:val="21"/>
          <w:u w:val="single"/>
        </w:rPr>
        <w:t>13732583555</w:t>
      </w:r>
    </w:p>
    <w:p w14:paraId="2DDDC44F">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 2、采购代理机构信息</w:t>
      </w:r>
    </w:p>
    <w:p w14:paraId="2FC0D63A">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名    称： </w:t>
      </w:r>
      <w:r>
        <w:rPr>
          <w:rStyle w:val="117"/>
          <w:rFonts w:hint="eastAsia" w:eastAsia="宋体" w:cs="宋体"/>
          <w:color w:val="auto"/>
          <w:sz w:val="21"/>
          <w:szCs w:val="21"/>
          <w:u w:val="single"/>
        </w:rPr>
        <w:t>浙江中际工程项目管理有限公司</w:t>
      </w:r>
    </w:p>
    <w:p w14:paraId="13E74C82">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地    址： </w:t>
      </w:r>
      <w:r>
        <w:rPr>
          <w:rStyle w:val="117"/>
          <w:rFonts w:hint="eastAsia" w:eastAsia="宋体" w:cs="宋体"/>
          <w:color w:val="auto"/>
          <w:sz w:val="21"/>
          <w:szCs w:val="21"/>
          <w:u w:val="single"/>
        </w:rPr>
        <w:t>嘉兴市由拳路南湖大道口华隆广场1号楼1306室</w:t>
      </w:r>
    </w:p>
    <w:p w14:paraId="2B6EDE1C">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传    真：</w:t>
      </w:r>
      <w:r>
        <w:rPr>
          <w:rFonts w:hint="eastAsia" w:eastAsia="宋体" w:cs="宋体"/>
          <w:color w:val="auto"/>
          <w:sz w:val="21"/>
          <w:szCs w:val="21"/>
          <w:u w:val="single"/>
        </w:rPr>
        <w:t> </w:t>
      </w:r>
      <w:r>
        <w:rPr>
          <w:rStyle w:val="117"/>
          <w:rFonts w:hint="eastAsia" w:eastAsia="宋体" w:cs="宋体"/>
          <w:color w:val="auto"/>
          <w:sz w:val="21"/>
          <w:szCs w:val="21"/>
          <w:u w:val="single"/>
        </w:rPr>
        <w:t>0573-82861011</w:t>
      </w:r>
    </w:p>
    <w:p w14:paraId="574BAB91">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项目联系人（询问）：</w:t>
      </w:r>
      <w:r>
        <w:rPr>
          <w:rStyle w:val="117"/>
          <w:rFonts w:hint="eastAsia" w:eastAsia="宋体" w:cs="宋体"/>
          <w:color w:val="auto"/>
          <w:sz w:val="21"/>
          <w:szCs w:val="21"/>
          <w:u w:val="single"/>
        </w:rPr>
        <w:t>马专圆</w:t>
      </w:r>
    </w:p>
    <w:p w14:paraId="0D01B9E3">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项目联系方式（询问）：</w:t>
      </w:r>
      <w:r>
        <w:rPr>
          <w:rFonts w:hint="eastAsia" w:eastAsia="宋体" w:cs="宋体"/>
          <w:color w:val="auto"/>
          <w:sz w:val="21"/>
          <w:szCs w:val="21"/>
          <w:u w:val="single"/>
        </w:rPr>
        <w:t> </w:t>
      </w:r>
      <w:r>
        <w:rPr>
          <w:rStyle w:val="117"/>
          <w:rFonts w:hint="eastAsia" w:eastAsia="宋体" w:cs="宋体"/>
          <w:color w:val="auto"/>
          <w:sz w:val="21"/>
          <w:szCs w:val="21"/>
          <w:u w:val="single"/>
        </w:rPr>
        <w:t>0573-82861011</w:t>
      </w:r>
    </w:p>
    <w:p w14:paraId="1644F5A3">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质疑联系人：</w:t>
      </w:r>
      <w:r>
        <w:rPr>
          <w:rFonts w:hint="eastAsia" w:eastAsia="宋体" w:cs="宋体"/>
          <w:color w:val="auto"/>
          <w:sz w:val="21"/>
          <w:szCs w:val="21"/>
          <w:u w:val="single"/>
        </w:rPr>
        <w:t>庞佳玥</w:t>
      </w:r>
    </w:p>
    <w:p w14:paraId="6E901C38">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质疑联系方式： </w:t>
      </w:r>
      <w:r>
        <w:rPr>
          <w:rFonts w:hint="eastAsia" w:eastAsia="宋体" w:cs="宋体"/>
          <w:color w:val="auto"/>
          <w:sz w:val="21"/>
          <w:szCs w:val="21"/>
          <w:u w:val="single"/>
        </w:rPr>
        <w:t> </w:t>
      </w:r>
      <w:r>
        <w:rPr>
          <w:rStyle w:val="117"/>
          <w:rFonts w:hint="eastAsia" w:eastAsia="宋体" w:cs="宋体"/>
          <w:color w:val="auto"/>
          <w:sz w:val="21"/>
          <w:szCs w:val="21"/>
          <w:u w:val="single"/>
        </w:rPr>
        <w:t xml:space="preserve">0573-82862011  </w:t>
      </w:r>
    </w:p>
    <w:p w14:paraId="29977E6A">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3、同级政府采购监督管理部门</w:t>
      </w:r>
    </w:p>
    <w:p w14:paraId="33D97BE7">
      <w:pPr>
        <w:pStyle w:val="45"/>
        <w:spacing w:before="0" w:beforeAutospacing="0" w:after="0" w:afterAutospacing="0" w:line="500" w:lineRule="exact"/>
        <w:ind w:firstLine="420"/>
        <w:rPr>
          <w:rStyle w:val="117"/>
          <w:rFonts w:hint="eastAsia" w:eastAsia="宋体" w:cs="宋体"/>
          <w:color w:val="auto"/>
          <w:sz w:val="21"/>
          <w:szCs w:val="21"/>
          <w:u w:val="single"/>
        </w:rPr>
      </w:pPr>
      <w:r>
        <w:rPr>
          <w:rFonts w:hint="eastAsia" w:eastAsia="宋体" w:cs="宋体"/>
          <w:color w:val="auto"/>
          <w:sz w:val="21"/>
          <w:szCs w:val="21"/>
        </w:rPr>
        <w:t>名    称： </w:t>
      </w:r>
      <w:r>
        <w:rPr>
          <w:rStyle w:val="117"/>
          <w:rFonts w:hint="eastAsia" w:eastAsia="宋体" w:cs="宋体"/>
          <w:color w:val="auto"/>
          <w:sz w:val="21"/>
          <w:szCs w:val="21"/>
          <w:u w:val="single"/>
        </w:rPr>
        <w:t>南湖区财政监督局</w:t>
      </w:r>
    </w:p>
    <w:p w14:paraId="39732D20">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地    址： /</w:t>
      </w:r>
    </w:p>
    <w:p w14:paraId="12970729">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传    真： /</w:t>
      </w:r>
    </w:p>
    <w:p w14:paraId="46FA5DE7">
      <w:pPr>
        <w:pStyle w:val="45"/>
        <w:spacing w:before="0" w:beforeAutospacing="0" w:after="0" w:afterAutospacing="0" w:line="500" w:lineRule="exact"/>
        <w:ind w:firstLine="420"/>
        <w:rPr>
          <w:rStyle w:val="117"/>
          <w:rFonts w:hint="eastAsia" w:eastAsia="宋体" w:cs="宋体"/>
          <w:color w:val="auto"/>
          <w:sz w:val="21"/>
          <w:szCs w:val="21"/>
          <w:u w:val="single"/>
        </w:rPr>
      </w:pPr>
      <w:r>
        <w:rPr>
          <w:rFonts w:hint="eastAsia" w:eastAsia="宋体" w:cs="宋体"/>
          <w:color w:val="auto"/>
          <w:sz w:val="21"/>
          <w:szCs w:val="21"/>
        </w:rPr>
        <w:t>联系人 ：</w:t>
      </w:r>
      <w:r>
        <w:rPr>
          <w:rStyle w:val="117"/>
          <w:rFonts w:hint="eastAsia" w:eastAsia="宋体" w:cs="宋体"/>
          <w:color w:val="auto"/>
          <w:sz w:val="21"/>
          <w:szCs w:val="21"/>
          <w:u w:val="single"/>
        </w:rPr>
        <w:t xml:space="preserve">乔先生  </w:t>
      </w:r>
    </w:p>
    <w:p w14:paraId="0DF12EA1">
      <w:pPr>
        <w:pStyle w:val="45"/>
        <w:spacing w:before="0" w:beforeAutospacing="0" w:after="0" w:afterAutospacing="0" w:line="500" w:lineRule="exact"/>
        <w:ind w:firstLine="420"/>
        <w:rPr>
          <w:rFonts w:hint="eastAsia" w:eastAsia="宋体" w:cs="宋体"/>
          <w:color w:val="auto"/>
          <w:sz w:val="21"/>
          <w:szCs w:val="21"/>
        </w:rPr>
      </w:pPr>
      <w:r>
        <w:rPr>
          <w:rFonts w:hint="eastAsia" w:eastAsia="宋体" w:cs="宋体"/>
          <w:color w:val="auto"/>
          <w:sz w:val="21"/>
          <w:szCs w:val="21"/>
        </w:rPr>
        <w:t>监督投诉电话：</w:t>
      </w:r>
      <w:r>
        <w:rPr>
          <w:rStyle w:val="117"/>
          <w:rFonts w:hint="eastAsia" w:eastAsia="宋体" w:cs="宋体"/>
          <w:color w:val="auto"/>
          <w:sz w:val="21"/>
          <w:szCs w:val="21"/>
          <w:u w:val="single"/>
        </w:rPr>
        <w:t>0573-82832019</w:t>
      </w:r>
    </w:p>
    <w:p w14:paraId="78968371">
      <w:pPr>
        <w:pStyle w:val="3"/>
        <w:numPr>
          <w:ilvl w:val="0"/>
          <w:numId w:val="6"/>
        </w:numPr>
        <w:rPr>
          <w:rStyle w:val="73"/>
          <w:b/>
          <w:bCs/>
          <w:color w:val="auto"/>
        </w:rPr>
      </w:pPr>
      <w:r>
        <w:rPr>
          <w:rFonts w:ascii="微软雅黑" w:hAnsi="微软雅黑"/>
          <w:color w:val="auto"/>
        </w:rPr>
        <w:br w:type="page"/>
      </w:r>
      <w:bookmarkStart w:id="10" w:name="_Toc5875"/>
      <w:r>
        <w:rPr>
          <w:rStyle w:val="73"/>
          <w:rFonts w:hint="eastAsia"/>
          <w:b/>
          <w:bCs/>
          <w:color w:val="auto"/>
        </w:rPr>
        <w:t>招标项目要求</w:t>
      </w:r>
      <w:bookmarkEnd w:id="8"/>
      <w:bookmarkEnd w:id="10"/>
    </w:p>
    <w:p w14:paraId="413D85A7">
      <w:pPr>
        <w:snapToGrid w:val="0"/>
        <w:ind w:firstLine="422"/>
        <w:rPr>
          <w:rFonts w:hint="eastAsia" w:ascii="宋体" w:hAnsi="宋体" w:eastAsia="宋体" w:cs="宋体"/>
          <w:b/>
          <w:color w:val="auto"/>
          <w:szCs w:val="21"/>
        </w:rPr>
      </w:pPr>
      <w:bookmarkStart w:id="11" w:name="_Toc355959986"/>
      <w:bookmarkStart w:id="12" w:name="_Toc19683"/>
      <w:bookmarkStart w:id="13" w:name="_Toc493511542"/>
      <w:r>
        <w:rPr>
          <w:rFonts w:hint="eastAsia" w:ascii="宋体" w:hAnsi="宋体" w:eastAsia="宋体" w:cs="宋体"/>
          <w:b/>
          <w:color w:val="auto"/>
          <w:szCs w:val="21"/>
        </w:rPr>
        <w:t>一、</w:t>
      </w:r>
      <w:bookmarkEnd w:id="11"/>
      <w:bookmarkStart w:id="14" w:name="_Toc395277380"/>
      <w:bookmarkStart w:id="15" w:name="_Toc423086283"/>
      <w:bookmarkStart w:id="16" w:name="_Toc423086164"/>
      <w:r>
        <w:rPr>
          <w:rFonts w:hint="eastAsia" w:ascii="宋体" w:hAnsi="宋体" w:eastAsia="宋体" w:cs="宋体"/>
          <w:b/>
          <w:color w:val="auto"/>
          <w:szCs w:val="21"/>
        </w:rPr>
        <w:t>项目</w:t>
      </w:r>
      <w:bookmarkEnd w:id="14"/>
      <w:bookmarkEnd w:id="15"/>
      <w:bookmarkEnd w:id="16"/>
      <w:r>
        <w:rPr>
          <w:rFonts w:hint="eastAsia" w:ascii="宋体" w:hAnsi="宋体" w:eastAsia="宋体" w:cs="宋体"/>
          <w:b/>
          <w:color w:val="auto"/>
          <w:szCs w:val="21"/>
        </w:rPr>
        <w:t>背景</w:t>
      </w:r>
    </w:p>
    <w:p w14:paraId="703D3E64">
      <w:pPr>
        <w:snapToGrid w:val="0"/>
        <w:ind w:firstLine="420"/>
        <w:rPr>
          <w:rFonts w:hint="eastAsia" w:ascii="宋体" w:hAnsi="宋体" w:eastAsia="宋体" w:cs="宋体"/>
          <w:color w:val="auto"/>
          <w:szCs w:val="21"/>
        </w:rPr>
      </w:pPr>
      <w:r>
        <w:rPr>
          <w:rFonts w:hint="eastAsia" w:ascii="宋体" w:hAnsi="宋体" w:eastAsia="宋体" w:cs="宋体"/>
          <w:color w:val="auto"/>
          <w:szCs w:val="21"/>
        </w:rPr>
        <w:t>受国内外复杂经济形势的综合影响，当前我国社会领域经济犯罪与专业领域经济犯罪相互叠加，传统经济犯罪与网络经济犯罪交织共生，破坏力倍增，严重破坏市场经济秩序和国家经济安全，给广大群众造成了巨大的经济损失。近年来罪手段升级的显著特征是涉案资金与游离于金融监管体系之外的非法金融机构相结合，从事非法资金存储借贷等金融业务。例如近年来比较猖狂的电信诈骗、非法集资等活动，犯罪非法所得一旦通过非法金融机构洗白、出境，追赃难度显著增加。在整个犯罪过程中，银行卡涉及最关键的资金转移问题。通过银行卡，犯罪分子可以隐藏自己的真实身份，通过银行卡之间的层层转账完成对非法所得资金的洗白。</w:t>
      </w:r>
    </w:p>
    <w:p w14:paraId="788F83A7">
      <w:pPr>
        <w:snapToGrid w:val="0"/>
        <w:ind w:firstLine="420"/>
        <w:rPr>
          <w:rFonts w:hint="eastAsia" w:ascii="宋体" w:hAnsi="宋体" w:eastAsia="宋体" w:cs="宋体"/>
          <w:color w:val="auto"/>
          <w:szCs w:val="21"/>
        </w:rPr>
      </w:pPr>
      <w:r>
        <w:rPr>
          <w:rFonts w:hint="eastAsia" w:ascii="宋体" w:hAnsi="宋体" w:eastAsia="宋体" w:cs="宋体"/>
          <w:color w:val="auto"/>
          <w:szCs w:val="21"/>
        </w:rPr>
        <w:t> 2020年10月，在国务院打击治理电信网络新型违法犯罪工作部际联席会议办公室指挥下，全国“断卡”行动开展首轮集中收网行动。随着打击力度的加强，犯罪嫌疑人对洗白涉案资金的手段日益提升，涉案手段不断出新多变。传统的资金类非法行为的分析研判方法已经不能适应当前资金流量巨大、高科技化的犯罪手段， 急需侦查手段与现代科技手段相结合，发挥互联网大数据分析技术、人工智能研判作用，提升资金查控在类案侦察过程的效能。</w:t>
      </w:r>
    </w:p>
    <w:p w14:paraId="34BA8B4A">
      <w:pPr>
        <w:snapToGrid w:val="0"/>
        <w:ind w:firstLine="422"/>
        <w:rPr>
          <w:rFonts w:hint="eastAsia" w:ascii="宋体" w:hAnsi="宋体" w:eastAsia="宋体" w:cs="宋体"/>
          <w:b/>
          <w:color w:val="auto"/>
          <w:szCs w:val="21"/>
        </w:rPr>
      </w:pPr>
      <w:r>
        <w:rPr>
          <w:rFonts w:hint="eastAsia" w:ascii="宋体" w:hAnsi="宋体" w:eastAsia="宋体" w:cs="宋体"/>
          <w:b/>
          <w:color w:val="auto"/>
          <w:szCs w:val="21"/>
        </w:rPr>
        <w:t>二、整体目标</w:t>
      </w:r>
    </w:p>
    <w:p w14:paraId="737E65D4">
      <w:pPr>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本项目立足类案侦查中对涉案资金分析查控的实际需求，运用高性能计算、人工智能、可视化等信息技术，建设资金分析查控平台。基于智能可视化系统对类案研判过程中的资金数据进行分析，梳理资金流中关键资金的流向和重点账户的资金链层级；基于人工智能算法和可视分析方法深挖资金链中的重点线索，包括重点角色，设备，位置，实现对风险对象进一步分析、锁定，辅助案件查办。</w:t>
      </w:r>
    </w:p>
    <w:p w14:paraId="53156EF3">
      <w:pPr>
        <w:snapToGrid w:val="0"/>
        <w:ind w:firstLine="422"/>
        <w:rPr>
          <w:rFonts w:hint="eastAsia" w:ascii="宋体" w:hAnsi="宋体" w:eastAsia="宋体" w:cs="宋体"/>
          <w:b/>
          <w:color w:val="auto"/>
          <w:szCs w:val="21"/>
        </w:rPr>
      </w:pPr>
      <w:r>
        <w:rPr>
          <w:rFonts w:hint="eastAsia" w:ascii="宋体" w:hAnsi="宋体" w:eastAsia="宋体" w:cs="宋体"/>
          <w:b/>
          <w:color w:val="auto"/>
          <w:szCs w:val="21"/>
        </w:rPr>
        <w:t>三、项目服务内容及需求</w:t>
      </w:r>
    </w:p>
    <w:tbl>
      <w:tblPr>
        <w:tblStyle w:val="52"/>
        <w:tblW w:w="9514" w:type="dxa"/>
        <w:jc w:val="center"/>
        <w:tblLayout w:type="fixed"/>
        <w:tblCellMar>
          <w:top w:w="0" w:type="dxa"/>
          <w:left w:w="108" w:type="dxa"/>
          <w:bottom w:w="0" w:type="dxa"/>
          <w:right w:w="108" w:type="dxa"/>
        </w:tblCellMar>
      </w:tblPr>
      <w:tblGrid>
        <w:gridCol w:w="872"/>
        <w:gridCol w:w="1191"/>
        <w:gridCol w:w="784"/>
        <w:gridCol w:w="6667"/>
      </w:tblGrid>
      <w:tr w14:paraId="182D8F51">
        <w:tblPrEx>
          <w:tblCellMar>
            <w:top w:w="0" w:type="dxa"/>
            <w:left w:w="108" w:type="dxa"/>
            <w:bottom w:w="0" w:type="dxa"/>
            <w:right w:w="108" w:type="dxa"/>
          </w:tblCellMar>
        </w:tblPrEx>
        <w:trPr>
          <w:trHeight w:val="510" w:hRule="atLeast"/>
          <w:tblHeader/>
          <w:jc w:val="center"/>
        </w:trPr>
        <w:tc>
          <w:tcPr>
            <w:tcW w:w="872" w:type="dxa"/>
            <w:tcBorders>
              <w:top w:val="single" w:color="auto" w:sz="4" w:space="0"/>
              <w:left w:val="single" w:color="auto" w:sz="4" w:space="0"/>
              <w:bottom w:val="single" w:color="auto" w:sz="4" w:space="0"/>
              <w:right w:val="single" w:color="auto" w:sz="4" w:space="0"/>
            </w:tcBorders>
            <w:vAlign w:val="center"/>
          </w:tcPr>
          <w:p w14:paraId="784E40B5">
            <w:pPr>
              <w:adjustRightInd w:val="0"/>
              <w:snapToGrid w:val="0"/>
              <w:spacing w:line="240" w:lineRule="auto"/>
              <w:ind w:firstLine="0" w:firstLineChars="0"/>
              <w:jc w:val="center"/>
              <w:textAlignment w:val="baseline"/>
              <w:rPr>
                <w:rFonts w:hint="eastAsia" w:ascii="宋体" w:hAnsi="宋体" w:eastAsia="宋体" w:cs="宋体"/>
                <w:bCs/>
                <w:color w:val="auto"/>
                <w:szCs w:val="21"/>
              </w:rPr>
            </w:pPr>
            <w:r>
              <w:rPr>
                <w:rFonts w:hint="eastAsia" w:ascii="宋体" w:hAnsi="宋体" w:eastAsia="宋体" w:cs="宋体"/>
                <w:b/>
                <w:color w:val="auto"/>
                <w:kern w:val="0"/>
                <w:szCs w:val="21"/>
              </w:rPr>
              <w:t>项号</w:t>
            </w:r>
          </w:p>
        </w:tc>
        <w:tc>
          <w:tcPr>
            <w:tcW w:w="1191" w:type="dxa"/>
            <w:tcBorders>
              <w:top w:val="single" w:color="auto" w:sz="4" w:space="0"/>
              <w:left w:val="nil"/>
              <w:bottom w:val="single" w:color="auto" w:sz="4" w:space="0"/>
              <w:right w:val="single" w:color="auto" w:sz="4" w:space="0"/>
            </w:tcBorders>
            <w:vAlign w:val="center"/>
          </w:tcPr>
          <w:p w14:paraId="6D155730">
            <w:pPr>
              <w:adjustRightInd w:val="0"/>
              <w:snapToGrid w:val="0"/>
              <w:spacing w:line="240" w:lineRule="auto"/>
              <w:ind w:firstLine="0" w:firstLineChars="0"/>
              <w:jc w:val="center"/>
              <w:textAlignment w:val="baseline"/>
              <w:rPr>
                <w:rFonts w:hint="eastAsia" w:ascii="宋体" w:hAnsi="宋体" w:eastAsia="宋体" w:cs="宋体"/>
                <w:color w:val="auto"/>
                <w:szCs w:val="21"/>
              </w:rPr>
            </w:pPr>
            <w:r>
              <w:rPr>
                <w:rFonts w:hint="eastAsia" w:ascii="宋体" w:hAnsi="宋体" w:eastAsia="宋体" w:cs="宋体"/>
                <w:b/>
                <w:color w:val="auto"/>
                <w:kern w:val="0"/>
                <w:szCs w:val="21"/>
              </w:rPr>
              <w:t>服务项目名称</w:t>
            </w:r>
          </w:p>
        </w:tc>
        <w:tc>
          <w:tcPr>
            <w:tcW w:w="784" w:type="dxa"/>
            <w:tcBorders>
              <w:top w:val="single" w:color="auto" w:sz="4" w:space="0"/>
              <w:left w:val="nil"/>
              <w:bottom w:val="single" w:color="auto" w:sz="4" w:space="0"/>
              <w:right w:val="single" w:color="auto" w:sz="4" w:space="0"/>
            </w:tcBorders>
            <w:vAlign w:val="center"/>
          </w:tcPr>
          <w:p w14:paraId="66BEBAF4">
            <w:pPr>
              <w:adjustRightInd w:val="0"/>
              <w:snapToGrid w:val="0"/>
              <w:spacing w:line="240" w:lineRule="auto"/>
              <w:ind w:firstLine="0" w:firstLineChars="0"/>
              <w:jc w:val="center"/>
              <w:textAlignment w:val="baseline"/>
              <w:rPr>
                <w:rFonts w:hint="eastAsia" w:ascii="宋体" w:hAnsi="宋体" w:eastAsia="宋体" w:cs="宋体"/>
                <w:color w:val="auto"/>
                <w:szCs w:val="21"/>
              </w:rPr>
            </w:pPr>
            <w:r>
              <w:rPr>
                <w:rFonts w:hint="eastAsia" w:ascii="宋体" w:hAnsi="宋体" w:eastAsia="宋体" w:cs="宋体"/>
                <w:b/>
                <w:color w:val="auto"/>
                <w:kern w:val="0"/>
                <w:szCs w:val="21"/>
              </w:rPr>
              <w:t>数量</w:t>
            </w:r>
          </w:p>
        </w:tc>
        <w:tc>
          <w:tcPr>
            <w:tcW w:w="6667" w:type="dxa"/>
            <w:tcBorders>
              <w:top w:val="single" w:color="auto" w:sz="4" w:space="0"/>
              <w:left w:val="nil"/>
              <w:bottom w:val="single" w:color="auto" w:sz="4" w:space="0"/>
              <w:right w:val="single" w:color="auto" w:sz="4" w:space="0"/>
            </w:tcBorders>
            <w:vAlign w:val="center"/>
          </w:tcPr>
          <w:p w14:paraId="3E171FD9">
            <w:pPr>
              <w:adjustRightInd w:val="0"/>
              <w:snapToGrid w:val="0"/>
              <w:spacing w:line="240" w:lineRule="auto"/>
              <w:ind w:left="316" w:hanging="316" w:hangingChars="150"/>
              <w:jc w:val="center"/>
              <w:textAlignment w:val="baseline"/>
              <w:rPr>
                <w:rFonts w:hint="eastAsia" w:ascii="宋体" w:hAnsi="宋体" w:eastAsia="宋体" w:cs="宋体"/>
                <w:b/>
                <w:color w:val="auto"/>
                <w:szCs w:val="21"/>
              </w:rPr>
            </w:pPr>
            <w:r>
              <w:rPr>
                <w:rFonts w:hint="eastAsia" w:ascii="宋体" w:hAnsi="宋体" w:eastAsia="宋体" w:cs="宋体"/>
                <w:b/>
                <w:bCs/>
                <w:color w:val="auto"/>
                <w:szCs w:val="21"/>
              </w:rPr>
              <w:t>服务内容及需求</w:t>
            </w:r>
          </w:p>
        </w:tc>
      </w:tr>
      <w:tr w14:paraId="29281355">
        <w:tblPrEx>
          <w:tblCellMar>
            <w:top w:w="0" w:type="dxa"/>
            <w:left w:w="108" w:type="dxa"/>
            <w:bottom w:w="0" w:type="dxa"/>
            <w:right w:w="108" w:type="dxa"/>
          </w:tblCellMar>
        </w:tblPrEx>
        <w:trPr>
          <w:trHeight w:val="2689"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26DFD4D8">
            <w:pPr>
              <w:spacing w:line="24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rPr>
              <w:t>1</w:t>
            </w:r>
          </w:p>
        </w:tc>
        <w:tc>
          <w:tcPr>
            <w:tcW w:w="1191" w:type="dxa"/>
            <w:tcBorders>
              <w:top w:val="single" w:color="auto" w:sz="4" w:space="0"/>
              <w:left w:val="nil"/>
              <w:bottom w:val="single" w:color="auto" w:sz="4" w:space="0"/>
              <w:right w:val="single" w:color="auto" w:sz="4" w:space="0"/>
            </w:tcBorders>
            <w:vAlign w:val="center"/>
          </w:tcPr>
          <w:p w14:paraId="73F521B5">
            <w:pPr>
              <w:spacing w:line="24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rPr>
              <w:t>局端账户</w:t>
            </w:r>
          </w:p>
        </w:tc>
        <w:tc>
          <w:tcPr>
            <w:tcW w:w="784" w:type="dxa"/>
            <w:tcBorders>
              <w:top w:val="single" w:color="auto" w:sz="4" w:space="0"/>
              <w:left w:val="nil"/>
              <w:bottom w:val="single" w:color="auto" w:sz="4" w:space="0"/>
              <w:right w:val="single" w:color="auto" w:sz="4" w:space="0"/>
            </w:tcBorders>
            <w:vAlign w:val="center"/>
          </w:tcPr>
          <w:p w14:paraId="1E1B0249">
            <w:pPr>
              <w:widowControl/>
              <w:spacing w:line="240" w:lineRule="auto"/>
              <w:ind w:firstLine="0" w:firstLineChars="0"/>
              <w:jc w:val="both"/>
              <w:rPr>
                <w:rFonts w:hint="eastAsia" w:ascii="宋体" w:hAnsi="宋体" w:eastAsia="宋体" w:cs="宋体"/>
                <w:color w:val="auto"/>
                <w:kern w:val="0"/>
                <w:szCs w:val="21"/>
              </w:rPr>
            </w:pPr>
            <w:r>
              <w:rPr>
                <w:rFonts w:hint="eastAsia" w:ascii="宋体" w:hAnsi="宋体" w:eastAsia="宋体" w:cs="宋体"/>
                <w:color w:val="auto"/>
                <w:kern w:val="0"/>
                <w:szCs w:val="21"/>
              </w:rPr>
              <w:t>1项</w:t>
            </w:r>
          </w:p>
        </w:tc>
        <w:tc>
          <w:tcPr>
            <w:tcW w:w="6667" w:type="dxa"/>
            <w:tcBorders>
              <w:top w:val="single" w:color="auto" w:sz="4" w:space="0"/>
              <w:left w:val="nil"/>
              <w:bottom w:val="single" w:color="auto" w:sz="4" w:space="0"/>
              <w:right w:val="single" w:color="auto" w:sz="4" w:space="0"/>
            </w:tcBorders>
            <w:vAlign w:val="center"/>
          </w:tcPr>
          <w:p w14:paraId="0D3362CB">
            <w:pPr>
              <w:snapToGrid w:val="0"/>
              <w:spacing w:line="240" w:lineRule="auto"/>
              <w:ind w:firstLine="420"/>
              <w:rPr>
                <w:rFonts w:hint="eastAsia" w:ascii="宋体" w:hAnsi="宋体" w:eastAsia="宋体" w:cs="宋体"/>
                <w:color w:val="auto"/>
                <w:szCs w:val="21"/>
              </w:rPr>
            </w:pPr>
            <w:r>
              <w:rPr>
                <w:rFonts w:hint="eastAsia" w:ascii="宋体" w:hAnsi="宋体" w:eastAsia="宋体" w:cs="宋体"/>
                <w:color w:val="auto"/>
                <w:szCs w:val="21"/>
              </w:rPr>
              <w:t>面向局端的涉诈资金链查控打处解决方案，根据预先设置于软件的AI模型，对采购人合法取得的信息进行清洗、加工、分析，并对结果进行可视化展示，以最快速度对涉案资金进行查控打处。</w:t>
            </w:r>
          </w:p>
          <w:p w14:paraId="0761C909">
            <w:pPr>
              <w:adjustRightInd w:val="0"/>
              <w:snapToGrid w:val="0"/>
              <w:spacing w:line="240" w:lineRule="auto"/>
              <w:ind w:firstLine="0" w:firstLineChars="0"/>
              <w:textAlignment w:val="baseline"/>
              <w:rPr>
                <w:rFonts w:hint="eastAsia" w:ascii="宋体" w:hAnsi="宋体" w:eastAsia="宋体" w:cs="宋体"/>
                <w:color w:val="auto"/>
                <w:szCs w:val="21"/>
              </w:rPr>
            </w:pPr>
            <w:r>
              <w:rPr>
                <w:rFonts w:hint="eastAsia" w:ascii="宋体" w:hAnsi="宋体" w:eastAsia="宋体" w:cs="宋体"/>
                <w:bCs/>
                <w:color w:val="auto"/>
                <w:spacing w:val="11"/>
                <w:szCs w:val="21"/>
              </w:rPr>
              <w:t>▲</w:t>
            </w:r>
            <w:r>
              <w:rPr>
                <w:rFonts w:hint="eastAsia" w:ascii="宋体" w:hAnsi="宋体" w:eastAsia="宋体" w:cs="宋体"/>
                <w:b/>
                <w:bCs/>
                <w:color w:val="auto"/>
                <w:szCs w:val="21"/>
              </w:rPr>
              <w:t>一、核心能力</w:t>
            </w:r>
          </w:p>
          <w:p w14:paraId="4D6A1617">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1、要求系统可实现边调证边止付，五级之内可任意指定止付层级和起始金额，并可生成金流图，层级清晰。</w:t>
            </w:r>
          </w:p>
          <w:p w14:paraId="79DE568E">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2、支持按照公安部标准自动生成返还计算结果，并附带计算公式，方便验证计算结果。</w:t>
            </w:r>
          </w:p>
          <w:p w14:paraId="61AB7C7F">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3、支持一键导出断卡线索，明确应止付和冻结的重点卡，提供详尽的研判依据和报告。</w:t>
            </w:r>
          </w:p>
          <w:p w14:paraId="0AD3F82B">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4、支持输入案件三要素（双方卡号、案发时间段），使用数字证书即可实现全库查查询和自动下载流水。</w:t>
            </w:r>
          </w:p>
          <w:p w14:paraId="00E44FE8">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5、支持在国反之外独立上传流水并进行流水清洗，自动展现流水层级。</w:t>
            </w:r>
          </w:p>
          <w:p w14:paraId="51DA394B">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6、支持对案件待冻账户进行临期止付，同时一键派发冻结任务到所端账户进行冻结处置。</w:t>
            </w:r>
          </w:p>
          <w:p w14:paraId="3BD4CD10">
            <w:pPr>
              <w:adjustRightInd w:val="0"/>
              <w:snapToGrid w:val="0"/>
              <w:spacing w:line="240" w:lineRule="auto"/>
              <w:ind w:firstLine="0" w:firstLineChars="0"/>
              <w:textAlignment w:val="baseline"/>
              <w:rPr>
                <w:rFonts w:hint="eastAsia" w:ascii="宋体" w:hAnsi="宋体" w:eastAsia="宋体" w:cs="宋体"/>
                <w:b/>
                <w:bCs/>
                <w:color w:val="auto"/>
                <w:szCs w:val="21"/>
              </w:rPr>
            </w:pPr>
            <w:r>
              <w:rPr>
                <w:rFonts w:hint="eastAsia" w:ascii="宋体" w:hAnsi="宋体" w:eastAsia="宋体" w:cs="宋体"/>
                <w:b/>
                <w:bCs/>
                <w:color w:val="auto"/>
                <w:szCs w:val="21"/>
              </w:rPr>
              <w:t>二、数据治理</w:t>
            </w:r>
          </w:p>
          <w:p w14:paraId="6DCBA372">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1、数据读取管理</w:t>
            </w:r>
          </w:p>
          <w:p w14:paraId="384A34F1">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1）为了高效支持批量读取处理Excel和CSV格式的银行流水及三方流水资金数据。</w:t>
            </w:r>
          </w:p>
          <w:p w14:paraId="11DDC404">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2）支持批量读取处理Excel和CSV格式的话单通联数据。</w:t>
            </w:r>
          </w:p>
          <w:p w14:paraId="03B5855B">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3）支持自动清理日期时间格式不规范、金额格式不规范、无对手卡号、借贷标识不规范等信息。</w:t>
            </w:r>
          </w:p>
          <w:p w14:paraId="65C99480">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2、智能数据清洗</w:t>
            </w:r>
          </w:p>
          <w:p w14:paraId="0152E54B">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自动清洗数据信息并提取高价值信息。支持识别银行卡主体的类别。</w:t>
            </w:r>
          </w:p>
          <w:p w14:paraId="64332C36">
            <w:pPr>
              <w:adjustRightInd w:val="0"/>
              <w:snapToGrid w:val="0"/>
              <w:spacing w:line="240" w:lineRule="auto"/>
              <w:ind w:firstLine="0" w:firstLineChars="0"/>
              <w:textAlignment w:val="baseline"/>
              <w:rPr>
                <w:rFonts w:hint="eastAsia" w:ascii="宋体" w:hAnsi="宋体" w:eastAsia="宋体" w:cs="宋体"/>
                <w:b/>
                <w:bCs/>
                <w:color w:val="auto"/>
                <w:szCs w:val="21"/>
              </w:rPr>
            </w:pPr>
            <w:r>
              <w:rPr>
                <w:rFonts w:hint="eastAsia" w:ascii="宋体" w:hAnsi="宋体" w:eastAsia="宋体" w:cs="宋体"/>
                <w:b/>
                <w:bCs/>
                <w:color w:val="auto"/>
                <w:szCs w:val="21"/>
              </w:rPr>
              <w:t>三、智能绘图</w:t>
            </w:r>
          </w:p>
          <w:p w14:paraId="1A33F5C7">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kern w:val="0"/>
                <w:szCs w:val="21"/>
              </w:rPr>
              <w:t>1、</w:t>
            </w:r>
            <w:r>
              <w:rPr>
                <w:rFonts w:hint="eastAsia" w:ascii="宋体" w:hAnsi="宋体" w:eastAsia="宋体" w:cs="宋体"/>
                <w:color w:val="auto"/>
                <w:szCs w:val="21"/>
              </w:rPr>
              <w:t>智能资金流向图绘制</w:t>
            </w:r>
          </w:p>
          <w:p w14:paraId="56689049">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1）自动追踪指定交易资金的来源和去向，并按资金层级自动绘制金流图进行分析。</w:t>
            </w:r>
          </w:p>
          <w:p w14:paraId="047414D1">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2）支持按照《电信网络新型违法犯罪案件冻结资金返还若干规定》中的指导方法对所追踪资金计算返还金额。</w:t>
            </w:r>
          </w:p>
          <w:p w14:paraId="744F56A9">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kern w:val="0"/>
                <w:szCs w:val="21"/>
              </w:rPr>
              <w:t>2、</w:t>
            </w:r>
            <w:r>
              <w:rPr>
                <w:rFonts w:hint="eastAsia" w:ascii="宋体" w:hAnsi="宋体" w:eastAsia="宋体" w:cs="宋体"/>
                <w:color w:val="auto"/>
                <w:szCs w:val="21"/>
              </w:rPr>
              <w:t>智能资金关系图绘制</w:t>
            </w:r>
          </w:p>
          <w:p w14:paraId="22BC8F34">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支持按照资金账户的交易关系，所属设备（IP， Mac）关系，开户人关系自动绘制关系图。</w:t>
            </w:r>
          </w:p>
          <w:p w14:paraId="36CE7078">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kern w:val="0"/>
                <w:szCs w:val="21"/>
              </w:rPr>
              <w:t>3、</w:t>
            </w:r>
            <w:r>
              <w:rPr>
                <w:rFonts w:hint="eastAsia" w:ascii="宋体" w:hAnsi="宋体" w:eastAsia="宋体" w:cs="宋体"/>
                <w:color w:val="auto"/>
                <w:szCs w:val="21"/>
              </w:rPr>
              <w:t>单卡资金模式分析</w:t>
            </w:r>
          </w:p>
          <w:p w14:paraId="28BD7660">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对于个体银行账户，支持按个人、公司、第三方支付、金融机构等交易对手类型进行分布统计，可查看主要交易对象及交易详情。</w:t>
            </w:r>
          </w:p>
          <w:p w14:paraId="0772FEFF">
            <w:pPr>
              <w:adjustRightInd w:val="0"/>
              <w:snapToGrid w:val="0"/>
              <w:spacing w:line="240" w:lineRule="auto"/>
              <w:ind w:firstLine="0" w:firstLineChars="0"/>
              <w:textAlignment w:val="baseline"/>
              <w:rPr>
                <w:rFonts w:hint="eastAsia" w:ascii="宋体" w:hAnsi="宋体" w:eastAsia="宋体" w:cs="宋体"/>
                <w:b/>
                <w:bCs/>
                <w:color w:val="auto"/>
                <w:szCs w:val="21"/>
              </w:rPr>
            </w:pPr>
            <w:r>
              <w:rPr>
                <w:rFonts w:hint="eastAsia" w:ascii="宋体" w:hAnsi="宋体" w:eastAsia="宋体" w:cs="宋体"/>
                <w:b/>
                <w:bCs/>
                <w:color w:val="auto"/>
                <w:szCs w:val="21"/>
              </w:rPr>
              <w:t>四、智能线索推荐</w:t>
            </w:r>
          </w:p>
          <w:p w14:paraId="61AD2000">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1、共性分析</w:t>
            </w:r>
          </w:p>
          <w:p w14:paraId="49B19603">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分析存在同特征以及重点分析存在同地点、同开户银行卡及第三方账户。</w:t>
            </w:r>
          </w:p>
          <w:p w14:paraId="3CD4CE27">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2、位置分析</w:t>
            </w:r>
          </w:p>
          <w:p w14:paraId="4AF57892">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通过所属IP分析资金交易的地市级位置。</w:t>
            </w:r>
          </w:p>
          <w:p w14:paraId="461F610A">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3、行为分析</w:t>
            </w:r>
          </w:p>
          <w:p w14:paraId="3CDA9AF8">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智能识别存在帮信和掩隐等涉案风险行为的资金账户，并标记和查看该交易详情。</w:t>
            </w:r>
          </w:p>
          <w:p w14:paraId="2977E9DF">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4、角色分析</w:t>
            </w:r>
          </w:p>
          <w:p w14:paraId="7853D850">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1）智能识别存在资金账户及背后实人角色。</w:t>
            </w:r>
          </w:p>
          <w:p w14:paraId="439E8021">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2）智能识别网络赌博资金链中的重要资金账户，例如赌博充值卡和赌博代理平台账户。</w:t>
            </w:r>
          </w:p>
          <w:p w14:paraId="32A650A0">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五、▲所端案件、线索及战果数据可以通过内网实现实时上传到南湖公安分局端涉诈资金查控数字指挥系统；局端所有数据可以通过内网实时上传到省厅涉诈资金查控数字指挥系统。</w:t>
            </w:r>
          </w:p>
          <w:p w14:paraId="316FCD69">
            <w:pPr>
              <w:pStyle w:val="2"/>
              <w:ind w:firstLine="420"/>
              <w:rPr>
                <w:rFonts w:hint="eastAsia"/>
                <w:color w:val="auto"/>
              </w:rPr>
            </w:pPr>
          </w:p>
        </w:tc>
      </w:tr>
      <w:tr w14:paraId="4E7C4585">
        <w:tblPrEx>
          <w:tblCellMar>
            <w:top w:w="0" w:type="dxa"/>
            <w:left w:w="108" w:type="dxa"/>
            <w:bottom w:w="0" w:type="dxa"/>
            <w:right w:w="108" w:type="dxa"/>
          </w:tblCellMar>
        </w:tblPrEx>
        <w:trPr>
          <w:trHeight w:val="569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017A63B9">
            <w:pPr>
              <w:spacing w:line="24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rPr>
              <w:t>2</w:t>
            </w:r>
          </w:p>
        </w:tc>
        <w:tc>
          <w:tcPr>
            <w:tcW w:w="1191" w:type="dxa"/>
            <w:tcBorders>
              <w:top w:val="single" w:color="auto" w:sz="4" w:space="0"/>
              <w:left w:val="nil"/>
              <w:bottom w:val="single" w:color="auto" w:sz="4" w:space="0"/>
              <w:right w:val="single" w:color="auto" w:sz="4" w:space="0"/>
            </w:tcBorders>
            <w:vAlign w:val="center"/>
          </w:tcPr>
          <w:p w14:paraId="4F505A64">
            <w:pPr>
              <w:spacing w:line="24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rPr>
              <w:t>所端账户</w:t>
            </w:r>
          </w:p>
        </w:tc>
        <w:tc>
          <w:tcPr>
            <w:tcW w:w="784" w:type="dxa"/>
            <w:tcBorders>
              <w:top w:val="single" w:color="auto" w:sz="4" w:space="0"/>
              <w:left w:val="nil"/>
              <w:bottom w:val="single" w:color="auto" w:sz="4" w:space="0"/>
              <w:right w:val="single" w:color="auto" w:sz="4" w:space="0"/>
            </w:tcBorders>
            <w:vAlign w:val="center"/>
          </w:tcPr>
          <w:p w14:paraId="58A89248">
            <w:pPr>
              <w:widowControl/>
              <w:spacing w:line="240" w:lineRule="auto"/>
              <w:ind w:firstLine="0" w:firstLineChars="0"/>
              <w:jc w:val="both"/>
              <w:rPr>
                <w:rFonts w:hint="eastAsia" w:ascii="宋体" w:hAnsi="宋体" w:eastAsia="宋体" w:cs="宋体"/>
                <w:color w:val="auto"/>
                <w:kern w:val="0"/>
                <w:szCs w:val="21"/>
              </w:rPr>
            </w:pPr>
            <w:r>
              <w:rPr>
                <w:rFonts w:hint="eastAsia" w:ascii="宋体" w:hAnsi="宋体" w:eastAsia="宋体" w:cs="宋体"/>
                <w:color w:val="auto"/>
                <w:kern w:val="0"/>
                <w:szCs w:val="21"/>
              </w:rPr>
              <w:t>11项</w:t>
            </w:r>
          </w:p>
        </w:tc>
        <w:tc>
          <w:tcPr>
            <w:tcW w:w="6667" w:type="dxa"/>
            <w:tcBorders>
              <w:top w:val="single" w:color="auto" w:sz="4" w:space="0"/>
              <w:left w:val="nil"/>
              <w:bottom w:val="single" w:color="auto" w:sz="4" w:space="0"/>
              <w:right w:val="single" w:color="auto" w:sz="4" w:space="0"/>
            </w:tcBorders>
            <w:vAlign w:val="center"/>
          </w:tcPr>
          <w:p w14:paraId="5600C54C">
            <w:pPr>
              <w:adjustRightInd w:val="0"/>
              <w:snapToGrid w:val="0"/>
              <w:spacing w:line="240" w:lineRule="auto"/>
              <w:ind w:firstLine="420"/>
              <w:textAlignment w:val="baseline"/>
              <w:rPr>
                <w:rFonts w:hint="eastAsia" w:ascii="宋体" w:hAnsi="宋体" w:eastAsia="宋体" w:cs="宋体"/>
                <w:color w:val="auto"/>
                <w:szCs w:val="21"/>
              </w:rPr>
            </w:pPr>
            <w:r>
              <w:rPr>
                <w:rFonts w:hint="eastAsia" w:ascii="宋体" w:hAnsi="宋体" w:eastAsia="宋体" w:cs="宋体"/>
                <w:color w:val="auto"/>
                <w:szCs w:val="21"/>
              </w:rPr>
              <w:t>面向所端的自动化资金查控解决方案，以智能模型为核心能力，替代了原有资金查控过程中的调证、文书处理等机械劳作，精准度高、分析能力强，实战效果好。</w:t>
            </w:r>
          </w:p>
          <w:p w14:paraId="769DD916">
            <w:pPr>
              <w:adjustRightInd w:val="0"/>
              <w:snapToGrid w:val="0"/>
              <w:spacing w:line="240" w:lineRule="auto"/>
              <w:ind w:firstLine="0" w:firstLineChars="0"/>
              <w:textAlignment w:val="baseline"/>
              <w:rPr>
                <w:rFonts w:hint="eastAsia" w:ascii="宋体" w:hAnsi="宋体" w:eastAsia="宋体" w:cs="宋体"/>
                <w:color w:val="auto"/>
                <w:szCs w:val="21"/>
              </w:rPr>
            </w:pPr>
            <w:r>
              <w:rPr>
                <w:rFonts w:hint="eastAsia" w:ascii="宋体" w:hAnsi="宋体" w:eastAsia="宋体" w:cs="宋体"/>
                <w:bCs/>
                <w:color w:val="auto"/>
                <w:spacing w:val="11"/>
                <w:szCs w:val="21"/>
              </w:rPr>
              <w:t>▲</w:t>
            </w:r>
            <w:r>
              <w:rPr>
                <w:rFonts w:hint="eastAsia" w:ascii="宋体" w:hAnsi="宋体" w:eastAsia="宋体" w:cs="宋体"/>
                <w:b/>
                <w:bCs/>
                <w:color w:val="auto"/>
                <w:szCs w:val="21"/>
              </w:rPr>
              <w:t>一、核心能力</w:t>
            </w:r>
          </w:p>
          <w:p w14:paraId="209E1116">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1、要求系统可实现边调证边止付，五级之内可任意指定止付层级和起始金额，并可生成金流图，层级清晰。</w:t>
            </w:r>
          </w:p>
          <w:p w14:paraId="6B0248A3">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2、支持按照公安部标准自动生成返还计算结果，并附带计算公式，方便验证计算结果。</w:t>
            </w:r>
          </w:p>
          <w:p w14:paraId="51A998A3">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3、支持一键导出断卡线索，明确应止付和冻结的重点卡，提供详尽的研判依据和报告。</w:t>
            </w:r>
          </w:p>
          <w:p w14:paraId="72519621">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4、支持输入案件三要素（双方卡号、案发时间段），使用数字证书即可实现全库查查询和自动下载流水。</w:t>
            </w:r>
          </w:p>
          <w:p w14:paraId="3EF965ED">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5、支持在国反之外独立上传流水并进行流水清洗，自动展现流水层级。</w:t>
            </w:r>
          </w:p>
          <w:p w14:paraId="00C80B58">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6、支持通过上传案件受害人笔录一键生成冻结通知书及呈请函的文书内容。</w:t>
            </w:r>
          </w:p>
          <w:p w14:paraId="1567E512">
            <w:pPr>
              <w:adjustRightInd w:val="0"/>
              <w:snapToGrid w:val="0"/>
              <w:spacing w:line="240" w:lineRule="auto"/>
              <w:ind w:firstLine="0" w:firstLineChars="0"/>
              <w:textAlignment w:val="baseline"/>
              <w:rPr>
                <w:rFonts w:hint="eastAsia" w:ascii="宋体" w:hAnsi="宋体" w:eastAsia="宋体" w:cs="宋体"/>
                <w:b/>
                <w:bCs/>
                <w:color w:val="auto"/>
                <w:szCs w:val="21"/>
              </w:rPr>
            </w:pPr>
            <w:r>
              <w:rPr>
                <w:rFonts w:hint="eastAsia" w:ascii="宋体" w:hAnsi="宋体" w:eastAsia="宋体" w:cs="宋体"/>
                <w:b/>
                <w:bCs/>
                <w:color w:val="auto"/>
                <w:szCs w:val="21"/>
              </w:rPr>
              <w:t>二、其他能力</w:t>
            </w:r>
          </w:p>
          <w:p w14:paraId="4DCB9C8F">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1、通过大数据挖掘技术对资金数据上传，配合数字证书可完成自动资金追踪；</w:t>
            </w:r>
          </w:p>
          <w:p w14:paraId="1742080F">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2、以可视化形式展示资金流水相关信息并本地导出可编辑绘图文件；</w:t>
            </w:r>
          </w:p>
          <w:p w14:paraId="5B3BEB09">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3、通过大数据挖掘技术进行资金返还计算，全自动资金追踪返还；</w:t>
            </w:r>
          </w:p>
          <w:p w14:paraId="24B48BF7">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4、支持国反平台全库查数据的查询和自动下载；</w:t>
            </w:r>
          </w:p>
          <w:p w14:paraId="3D6A5873">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5、自动生成止付文书，自动导入止付信息，一键完成全自动止付流程；</w:t>
            </w:r>
          </w:p>
          <w:p w14:paraId="33D005D3">
            <w:pPr>
              <w:adjustRightInd w:val="0"/>
              <w:snapToGrid w:val="0"/>
              <w:spacing w:line="240" w:lineRule="auto"/>
              <w:ind w:left="420" w:firstLine="420"/>
              <w:textAlignment w:val="baseline"/>
              <w:rPr>
                <w:rFonts w:hint="eastAsia" w:ascii="宋体" w:hAnsi="宋体" w:eastAsia="宋体" w:cs="宋体"/>
                <w:color w:val="auto"/>
                <w:szCs w:val="21"/>
              </w:rPr>
            </w:pPr>
            <w:r>
              <w:rPr>
                <w:rFonts w:hint="eastAsia" w:ascii="宋体" w:hAnsi="宋体" w:eastAsia="宋体" w:cs="宋体"/>
                <w:color w:val="auto"/>
                <w:szCs w:val="21"/>
              </w:rPr>
              <w:t>6、可用于保护性止付和嫌疑卡止付。</w:t>
            </w:r>
          </w:p>
        </w:tc>
      </w:tr>
    </w:tbl>
    <w:p w14:paraId="2E1A5A9A">
      <w:pPr>
        <w:snapToGrid w:val="0"/>
        <w:ind w:firstLine="422"/>
        <w:rPr>
          <w:rFonts w:hint="eastAsia" w:ascii="宋体" w:hAnsi="宋体" w:eastAsia="宋体" w:cs="宋体"/>
          <w:b/>
          <w:color w:val="auto"/>
          <w:szCs w:val="21"/>
        </w:rPr>
      </w:pPr>
      <w:r>
        <w:rPr>
          <w:rFonts w:hint="eastAsia" w:ascii="宋体" w:hAnsi="宋体" w:eastAsia="宋体" w:cs="宋体"/>
          <w:b/>
          <w:color w:val="auto"/>
          <w:szCs w:val="21"/>
        </w:rPr>
        <w:t>四、服务要求</w:t>
      </w:r>
    </w:p>
    <w:p w14:paraId="44128051">
      <w:pPr>
        <w:ind w:firstLine="420"/>
        <w:rPr>
          <w:rFonts w:hint="eastAsia" w:ascii="宋体" w:hAnsi="宋体" w:eastAsia="宋体" w:cs="宋体"/>
          <w:bCs/>
          <w:color w:val="auto"/>
          <w:kern w:val="0"/>
          <w:szCs w:val="21"/>
        </w:rPr>
      </w:pPr>
      <w:r>
        <w:rPr>
          <w:rFonts w:hint="eastAsia" w:ascii="宋体" w:hAnsi="宋体" w:eastAsia="宋体" w:cs="宋体"/>
          <w:bCs/>
          <w:color w:val="auto"/>
          <w:szCs w:val="21"/>
        </w:rPr>
        <w:t>1、服务期限：</w:t>
      </w:r>
      <w:r>
        <w:rPr>
          <w:rFonts w:hint="eastAsia" w:ascii="宋体" w:hAnsi="宋体" w:eastAsia="宋体" w:cs="宋体"/>
          <w:bCs/>
          <w:color w:val="auto"/>
          <w:kern w:val="0"/>
          <w:szCs w:val="21"/>
        </w:rPr>
        <w:t>服务期限为24个月（自正式账户开通且通过验收之日起算）；</w:t>
      </w:r>
    </w:p>
    <w:p w14:paraId="14D16A03">
      <w:pPr>
        <w:ind w:firstLine="420"/>
        <w:rPr>
          <w:rFonts w:hint="eastAsia" w:ascii="宋体" w:hAnsi="宋体" w:eastAsia="宋体" w:cs="宋体"/>
          <w:bCs/>
          <w:color w:val="auto"/>
          <w:szCs w:val="21"/>
        </w:rPr>
      </w:pPr>
      <w:r>
        <w:rPr>
          <w:rFonts w:hint="eastAsia" w:ascii="宋体" w:hAnsi="宋体" w:eastAsia="宋体" w:cs="宋体"/>
          <w:bCs/>
          <w:color w:val="auto"/>
          <w:szCs w:val="21"/>
        </w:rPr>
        <w:t>2、验收标准：按照采购合同规定的技术、服务等要求组织对供应商履约的验收 。</w:t>
      </w:r>
    </w:p>
    <w:p w14:paraId="40DCAC9D">
      <w:pPr>
        <w:ind w:firstLine="420"/>
        <w:rPr>
          <w:rFonts w:hint="eastAsia" w:ascii="宋体" w:hAnsi="宋体" w:eastAsia="宋体" w:cs="宋体"/>
          <w:bCs/>
          <w:color w:val="auto"/>
          <w:szCs w:val="21"/>
        </w:rPr>
      </w:pPr>
      <w:r>
        <w:rPr>
          <w:rFonts w:hint="eastAsia" w:ascii="宋体" w:hAnsi="宋体" w:eastAsia="宋体" w:cs="宋体"/>
          <w:bCs/>
          <w:color w:val="auto"/>
          <w:szCs w:val="21"/>
        </w:rPr>
        <w:t>3、具体服务要求：</w:t>
      </w:r>
    </w:p>
    <w:p w14:paraId="6CD6CD5D">
      <w:pPr>
        <w:ind w:firstLine="420"/>
        <w:rPr>
          <w:rFonts w:hint="eastAsia" w:ascii="宋体" w:hAnsi="宋体" w:eastAsia="宋体" w:cs="宋体"/>
          <w:color w:val="auto"/>
          <w:kern w:val="0"/>
          <w:szCs w:val="21"/>
        </w:rPr>
      </w:pPr>
      <w:r>
        <w:rPr>
          <w:rFonts w:hint="eastAsia" w:ascii="宋体" w:hAnsi="宋体" w:eastAsia="宋体" w:cs="宋体"/>
          <w:bCs/>
          <w:color w:val="auto"/>
          <w:szCs w:val="21"/>
        </w:rPr>
        <w:t>3.1.远程技术支持：供应商应具有稳定的技术支持队伍和完善的服务支持网络，</w:t>
      </w:r>
      <w:r>
        <w:rPr>
          <w:rFonts w:hint="eastAsia" w:ascii="宋体" w:hAnsi="宋体" w:eastAsia="宋体" w:cs="宋体"/>
          <w:color w:val="auto"/>
          <w:kern w:val="0"/>
          <w:szCs w:val="21"/>
        </w:rPr>
        <w:t>提供7×24小时技术支持服务，及时响应采购人的技术服务支持需求，提出有效的解决方案，解决采购人在使用过程中遇到的实际问题。</w:t>
      </w:r>
    </w:p>
    <w:p w14:paraId="079149D2">
      <w:pPr>
        <w:widowControl/>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rPr>
        <w:t>3.2.现场技术支持：对于通过电话、邮件等远程技术支持不能解决的问题，供应商应在4小时内派遣相关人员赶赴现场，24小时内解决问题；发生紧急事故的，供应商应在接到采购人通知后4小时内到达现场抢修，并于到达现场24小时之内排除故障。</w:t>
      </w:r>
    </w:p>
    <w:p w14:paraId="6BC9B974">
      <w:pPr>
        <w:widowControl/>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3.3.原厂技术支持热线服务：提供原厂7x24远程技术支持服务，支持范围包括：问题提交、问题远程指导、分析和排除、产品功能介绍、配置以及使用中遇到的技术问题的咨询等。</w:t>
      </w:r>
    </w:p>
    <w:p w14:paraId="34DC91E0">
      <w:pPr>
        <w:widowControl/>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rPr>
        <w:t>4.紧急故障和应急处理服务：供应商协助嘉兴市公安局南湖区分局制定系统应急处理流程并提供相对应的应急处理服务。由服务人员与嘉兴市公安局南湖区分局共同配合，制定切实可行的服务商应急处理流程，并在可能的情况下进行实际演练，以保障突发故障状态下的应急处理流程的有效性。一旦出现紧急故障或问题，双方将依照预定的应急处理流程，快速组织故障排查，并根据情况，调用原厂资源进行技术支持，以快速恢复系统运行。</w:t>
      </w:r>
    </w:p>
    <w:p w14:paraId="0CD5063C">
      <w:pPr>
        <w:widowControl/>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3.5.技术培训服务：供应商应根据用户的具体情况，提供有针对性的专项培训服务，确保系统正常使用并能排除基本故障。</w:t>
      </w:r>
    </w:p>
    <w:p w14:paraId="635CE6B0">
      <w:pPr>
        <w:widowControl/>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3.6.技术团队配备：技术团队技术人员不得少于2人。</w:t>
      </w:r>
    </w:p>
    <w:p w14:paraId="7E0AE54B">
      <w:pPr>
        <w:widowControl/>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★3.7.提供服务记录：提供服务记录，维护记录内容包括但不限于服务人员出入记录、服务开始时间、</w:t>
      </w:r>
      <w:r>
        <w:rPr>
          <w:rFonts w:hint="eastAsia" w:ascii="宋体" w:hAnsi="宋体" w:eastAsia="宋体" w:cs="宋体"/>
          <w:color w:val="auto"/>
          <w:kern w:val="0"/>
          <w:szCs w:val="21"/>
        </w:rPr>
        <w:t>服务结束时间、服务人员姓名、服务人数、服务地点、服务内容、服务结果等内容。</w:t>
      </w:r>
    </w:p>
    <w:p w14:paraId="030B7C04">
      <w:pPr>
        <w:widowControl/>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★3.8.服务期内定期进行巡检，对服务系统进行常规检查，提交检查报告和优化建议，有效保障系统安全、平稳运行，常规巡检频率不少于每月1次。</w:t>
      </w:r>
    </w:p>
    <w:p w14:paraId="6AA14C0A">
      <w:pPr>
        <w:widowControl/>
        <w:ind w:firstLine="420"/>
        <w:rPr>
          <w:rFonts w:ascii="宋体" w:hAnsi="宋体" w:eastAsia="宋体" w:cs="宋体"/>
          <w:color w:val="auto"/>
          <w:kern w:val="0"/>
          <w:szCs w:val="21"/>
        </w:rPr>
      </w:pPr>
      <w:r>
        <w:rPr>
          <w:rFonts w:hint="eastAsia" w:ascii="宋体" w:hAnsi="宋体" w:eastAsia="宋体" w:cs="宋体"/>
          <w:color w:val="auto"/>
          <w:kern w:val="0"/>
          <w:szCs w:val="21"/>
        </w:rPr>
        <w:t>3.9.技术升级：系统平台会不定期进行升级，服务人员会在48小时内通知用户，并给出详细升级说明，服务期内免费升级。</w:t>
      </w:r>
    </w:p>
    <w:p w14:paraId="7805050C">
      <w:pPr>
        <w:pStyle w:val="16"/>
        <w:ind w:firstLine="420"/>
        <w:rPr>
          <w:rFonts w:hint="eastAsia"/>
          <w:color w:val="auto"/>
        </w:rPr>
      </w:pPr>
      <w:r>
        <w:rPr>
          <w:rFonts w:hint="eastAsia"/>
          <w:color w:val="auto"/>
          <w:lang w:val="en-US" w:eastAsia="zh-CN"/>
        </w:rPr>
        <w:t>3.10</w:t>
      </w:r>
      <w:r>
        <w:rPr>
          <w:rFonts w:hint="eastAsia"/>
          <w:color w:val="auto"/>
        </w:rPr>
        <w:t>成交人应对本项目所涉及到的过程数据以及结果数据严格保密，并与采购人签订《保密协议书》，未经采购人授权不得泄露给任何单位和个人，不得利用此数据进行任何侵害采购人的行为，否则采购人有权追究成交人的责任。</w:t>
      </w:r>
    </w:p>
    <w:p w14:paraId="48EF0A61">
      <w:pPr>
        <w:ind w:firstLine="422"/>
        <w:rPr>
          <w:rFonts w:hint="eastAsia" w:ascii="宋体" w:hAnsi="宋体" w:eastAsia="宋体" w:cs="宋体"/>
          <w:b/>
          <w:color w:val="auto"/>
          <w:szCs w:val="21"/>
        </w:rPr>
      </w:pPr>
      <w:r>
        <w:rPr>
          <w:rFonts w:hint="eastAsia" w:ascii="宋体" w:hAnsi="宋体" w:eastAsia="宋体" w:cs="宋体"/>
          <w:b/>
          <w:color w:val="auto"/>
          <w:szCs w:val="21"/>
        </w:rPr>
        <w:t>五、付款方式</w:t>
      </w:r>
    </w:p>
    <w:p w14:paraId="156E078E">
      <w:pPr>
        <w:ind w:firstLine="420"/>
        <w:rPr>
          <w:rFonts w:hint="eastAsia" w:ascii="宋体" w:hAnsi="宋体" w:eastAsia="宋体" w:cs="宋体"/>
          <w:color w:val="auto"/>
          <w:szCs w:val="21"/>
          <w:shd w:val="clear" w:color="auto" w:fill="FFFFFF"/>
        </w:rPr>
      </w:pPr>
      <w:r>
        <w:rPr>
          <w:rFonts w:hint="eastAsia" w:ascii="宋体" w:hAnsi="宋体" w:eastAsia="宋体" w:cs="宋体"/>
          <w:color w:val="auto"/>
          <w:szCs w:val="21"/>
        </w:rPr>
        <w:t>合同签订生效且具备实施条件后7个工作日内支付二个月费用作为预付款，2025年1月具备实施条件后7个工作日内支付一个月费用，2025年4月具备实施条件后7个工作日内支付3个月费用，合同签订满12个月具备实施条件后7个工作日内支付6个月费用作为预付款，2025年9月具备实施条件后7个工作日内支付3个月费用，2026年4月具备实施条件后7个工作日内支付3个月费用，合同签订满24个月支付至核定价的100%。</w:t>
      </w:r>
    </w:p>
    <w:p w14:paraId="39247DAC">
      <w:pPr>
        <w:rPr>
          <w:rStyle w:val="73"/>
          <w:color w:val="auto"/>
        </w:rPr>
      </w:pPr>
      <w:r>
        <w:rPr>
          <w:rStyle w:val="73"/>
          <w:rFonts w:hint="eastAsia"/>
          <w:color w:val="auto"/>
        </w:rPr>
        <w:br w:type="page"/>
      </w:r>
    </w:p>
    <w:p w14:paraId="47F5F3F8">
      <w:pPr>
        <w:pStyle w:val="3"/>
        <w:rPr>
          <w:rStyle w:val="73"/>
          <w:b/>
          <w:bCs/>
          <w:color w:val="auto"/>
        </w:rPr>
      </w:pPr>
      <w:r>
        <w:rPr>
          <w:rStyle w:val="73"/>
          <w:rFonts w:hint="eastAsia"/>
          <w:b/>
          <w:bCs/>
          <w:color w:val="auto"/>
        </w:rPr>
        <w:t>投标人须知</w:t>
      </w:r>
      <w:bookmarkEnd w:id="9"/>
      <w:bookmarkEnd w:id="12"/>
      <w:bookmarkEnd w:id="13"/>
    </w:p>
    <w:p w14:paraId="419D4BAF">
      <w:pPr>
        <w:pStyle w:val="2"/>
        <w:ind w:firstLine="420"/>
        <w:jc w:val="center"/>
        <w:rPr>
          <w:rFonts w:hint="eastAsia"/>
          <w:color w:val="auto"/>
        </w:rPr>
      </w:pPr>
      <w:bookmarkStart w:id="17" w:name="_Toc493511543"/>
      <w:bookmarkStart w:id="18" w:name="_Toc177870535"/>
      <w:r>
        <w:rPr>
          <w:rFonts w:hint="eastAsia"/>
          <w:color w:val="auto"/>
        </w:rPr>
        <w:t>电子交易注意事项</w:t>
      </w:r>
    </w:p>
    <w:p w14:paraId="4A6D4334">
      <w:pPr>
        <w:spacing w:line="560" w:lineRule="exact"/>
        <w:ind w:firstLine="210" w:firstLineChars="100"/>
        <w:rPr>
          <w:rFonts w:hint="eastAsia" w:ascii="微软雅黑" w:hAnsi="微软雅黑" w:cs="宋体"/>
          <w:color w:val="auto"/>
          <w:szCs w:val="21"/>
          <w:shd w:val="clear" w:color="auto" w:fill="FFFFFF"/>
        </w:rPr>
      </w:pPr>
      <w:r>
        <w:rPr>
          <w:rFonts w:hint="eastAsia" w:ascii="微软雅黑" w:hAnsi="微软雅黑" w:cs="宋体"/>
          <w:color w:val="auto"/>
          <w:szCs w:val="21"/>
          <w:shd w:val="clear" w:color="auto" w:fill="FFFFFF"/>
        </w:rPr>
        <w:t>　政府采购项目电子交易活动适用《浙江省政府采购项目电子交易管理暂行办法》，现将相关注意事项告知如下：</w:t>
      </w:r>
    </w:p>
    <w:p w14:paraId="5CB7F86E">
      <w:pPr>
        <w:spacing w:line="560" w:lineRule="exact"/>
        <w:ind w:firstLine="210" w:firstLineChars="100"/>
        <w:rPr>
          <w:rFonts w:hint="eastAsia" w:ascii="微软雅黑" w:hAnsi="微软雅黑" w:cs="宋体"/>
          <w:color w:val="auto"/>
          <w:szCs w:val="21"/>
        </w:rPr>
      </w:pPr>
      <w:r>
        <w:rPr>
          <w:rFonts w:hint="eastAsia" w:ascii="微软雅黑" w:hAnsi="微软雅黑" w:cs="宋体"/>
          <w:color w:val="auto"/>
          <w:szCs w:val="21"/>
        </w:rPr>
        <w:t>　1、代理机构按照招标文件规定的时间通过电子交易平台组织开标、开启投标文件，所有供应商均应当准时在线参加，直至评审结束。</w:t>
      </w:r>
    </w:p>
    <w:p w14:paraId="18C28C4C">
      <w:pPr>
        <w:pStyle w:val="45"/>
        <w:spacing w:before="0" w:beforeAutospacing="0" w:after="0" w:afterAutospacing="0" w:line="560" w:lineRule="exact"/>
        <w:ind w:firstLine="210" w:firstLineChars="100"/>
        <w:rPr>
          <w:rFonts w:hint="eastAsia" w:ascii="微软雅黑" w:hAnsi="微软雅黑"/>
          <w:color w:val="auto"/>
          <w:kern w:val="2"/>
          <w:sz w:val="21"/>
          <w:szCs w:val="21"/>
        </w:rPr>
      </w:pPr>
      <w:r>
        <w:rPr>
          <w:rFonts w:hint="eastAsia" w:ascii="微软雅黑" w:hAnsi="微软雅黑"/>
          <w:color w:val="auto"/>
          <w:kern w:val="2"/>
          <w:sz w:val="21"/>
          <w:szCs w:val="21"/>
        </w:rPr>
        <w:t>　2、投标文件未按时解密，供应商如提供备份投标文件的，以符合要求的备份投标文件作为依据，否则视为投标文件撤回。投标文件已按时解密的，备份投标文件自动失效。</w:t>
      </w:r>
    </w:p>
    <w:p w14:paraId="7A8D0E81">
      <w:pPr>
        <w:pStyle w:val="45"/>
        <w:spacing w:before="0" w:beforeAutospacing="0" w:after="0" w:afterAutospacing="0" w:line="560" w:lineRule="exact"/>
        <w:ind w:firstLine="210" w:firstLineChars="100"/>
        <w:rPr>
          <w:rFonts w:hint="eastAsia" w:ascii="微软雅黑" w:hAnsi="微软雅黑"/>
          <w:color w:val="auto"/>
          <w:kern w:val="2"/>
          <w:sz w:val="21"/>
          <w:szCs w:val="21"/>
        </w:rPr>
      </w:pPr>
      <w:r>
        <w:rPr>
          <w:rFonts w:hint="eastAsia" w:ascii="微软雅黑" w:hAnsi="微软雅黑"/>
          <w:color w:val="auto"/>
          <w:kern w:val="2"/>
          <w:sz w:val="21"/>
          <w:szCs w:val="21"/>
        </w:rPr>
        <w:t>　3、采购过程中出现以下情形，导致电子交易平台无法正常运行，或者无法保证电子交易的公平、公正和安全时，代理机构可中止电子交易活动：</w:t>
      </w:r>
    </w:p>
    <w:p w14:paraId="10727556">
      <w:pPr>
        <w:pStyle w:val="45"/>
        <w:spacing w:before="0" w:beforeAutospacing="0" w:after="0" w:afterAutospacing="0" w:line="560" w:lineRule="exact"/>
        <w:ind w:firstLine="420"/>
        <w:rPr>
          <w:rFonts w:hint="eastAsia" w:ascii="微软雅黑" w:hAnsi="微软雅黑"/>
          <w:color w:val="auto"/>
          <w:kern w:val="2"/>
          <w:sz w:val="21"/>
          <w:szCs w:val="21"/>
        </w:rPr>
      </w:pPr>
      <w:r>
        <w:rPr>
          <w:rFonts w:hint="eastAsia" w:ascii="微软雅黑" w:hAnsi="微软雅黑"/>
          <w:color w:val="auto"/>
          <w:kern w:val="2"/>
          <w:sz w:val="21"/>
          <w:szCs w:val="21"/>
        </w:rPr>
        <w:t>（一）电子交易平台发生故障而无法登录访问的； </w:t>
      </w:r>
    </w:p>
    <w:p w14:paraId="120C0B22">
      <w:pPr>
        <w:pStyle w:val="45"/>
        <w:spacing w:before="0" w:beforeAutospacing="0" w:after="0" w:afterAutospacing="0" w:line="560" w:lineRule="exact"/>
        <w:ind w:firstLine="420"/>
        <w:rPr>
          <w:rFonts w:hint="eastAsia" w:ascii="微软雅黑" w:hAnsi="微软雅黑"/>
          <w:color w:val="auto"/>
          <w:kern w:val="2"/>
          <w:sz w:val="21"/>
          <w:szCs w:val="21"/>
        </w:rPr>
      </w:pPr>
      <w:r>
        <w:rPr>
          <w:rFonts w:hint="eastAsia" w:ascii="微软雅黑" w:hAnsi="微软雅黑"/>
          <w:color w:val="auto"/>
          <w:kern w:val="2"/>
          <w:sz w:val="21"/>
          <w:szCs w:val="21"/>
        </w:rPr>
        <w:t>（二）电子交易平台应用或数据库出现错误，不能进行正常操作的；</w:t>
      </w:r>
    </w:p>
    <w:p w14:paraId="7313D53D">
      <w:pPr>
        <w:pStyle w:val="45"/>
        <w:spacing w:before="0" w:beforeAutospacing="0" w:after="0" w:afterAutospacing="0" w:line="560" w:lineRule="exact"/>
        <w:ind w:firstLine="420"/>
        <w:rPr>
          <w:rFonts w:hint="eastAsia" w:ascii="微软雅黑" w:hAnsi="微软雅黑"/>
          <w:color w:val="auto"/>
          <w:kern w:val="2"/>
          <w:sz w:val="21"/>
          <w:szCs w:val="21"/>
        </w:rPr>
      </w:pPr>
      <w:r>
        <w:rPr>
          <w:rFonts w:hint="eastAsia" w:ascii="微软雅黑" w:hAnsi="微软雅黑"/>
          <w:color w:val="auto"/>
          <w:kern w:val="2"/>
          <w:sz w:val="21"/>
          <w:szCs w:val="21"/>
        </w:rPr>
        <w:t>（三）电子交易平台发现严重安全漏洞，有潜在泄密危险的；</w:t>
      </w:r>
    </w:p>
    <w:p w14:paraId="5AE886B6">
      <w:pPr>
        <w:pStyle w:val="45"/>
        <w:spacing w:before="0" w:beforeAutospacing="0" w:after="0" w:afterAutospacing="0" w:line="560" w:lineRule="exact"/>
        <w:ind w:firstLine="420"/>
        <w:rPr>
          <w:rFonts w:hint="eastAsia" w:ascii="微软雅黑" w:hAnsi="微软雅黑"/>
          <w:color w:val="auto"/>
          <w:kern w:val="2"/>
          <w:sz w:val="21"/>
          <w:szCs w:val="21"/>
        </w:rPr>
      </w:pPr>
      <w:r>
        <w:rPr>
          <w:rFonts w:hint="eastAsia" w:ascii="微软雅黑" w:hAnsi="微软雅黑"/>
          <w:color w:val="auto"/>
          <w:kern w:val="2"/>
          <w:sz w:val="21"/>
          <w:szCs w:val="21"/>
        </w:rPr>
        <w:t>（四）病毒发作导致不能进行正常操作的； </w:t>
      </w:r>
    </w:p>
    <w:p w14:paraId="2584D035">
      <w:pPr>
        <w:pStyle w:val="45"/>
        <w:spacing w:before="0" w:beforeAutospacing="0" w:after="0" w:afterAutospacing="0" w:line="560" w:lineRule="exact"/>
        <w:ind w:firstLine="420"/>
        <w:rPr>
          <w:rFonts w:hint="eastAsia" w:ascii="微软雅黑" w:hAnsi="微软雅黑"/>
          <w:color w:val="auto"/>
          <w:kern w:val="2"/>
          <w:sz w:val="21"/>
          <w:szCs w:val="21"/>
        </w:rPr>
      </w:pPr>
      <w:r>
        <w:rPr>
          <w:rFonts w:hint="eastAsia" w:ascii="微软雅黑" w:hAnsi="微软雅黑"/>
          <w:color w:val="auto"/>
          <w:kern w:val="2"/>
          <w:sz w:val="21"/>
          <w:szCs w:val="21"/>
        </w:rPr>
        <w:t>（五）其他无法保证电子交易的公平、公正和安全的情况。</w:t>
      </w:r>
    </w:p>
    <w:p w14:paraId="73343DCB">
      <w:pPr>
        <w:pStyle w:val="45"/>
        <w:spacing w:before="0" w:beforeAutospacing="0" w:after="0" w:afterAutospacing="0" w:line="560" w:lineRule="exact"/>
        <w:ind w:firstLine="420"/>
        <w:rPr>
          <w:rFonts w:hint="eastAsia" w:ascii="微软雅黑" w:hAnsi="微软雅黑"/>
          <w:color w:val="auto"/>
          <w:kern w:val="2"/>
          <w:sz w:val="21"/>
          <w:szCs w:val="21"/>
        </w:rPr>
      </w:pPr>
      <w:r>
        <w:rPr>
          <w:rFonts w:hint="eastAsia" w:ascii="微软雅黑" w:hAnsi="微软雅黑"/>
          <w:color w:val="auto"/>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36338BF5">
      <w:pPr>
        <w:pStyle w:val="45"/>
        <w:spacing w:before="0" w:beforeAutospacing="0" w:after="0" w:afterAutospacing="0" w:line="560" w:lineRule="exact"/>
        <w:ind w:firstLine="420"/>
        <w:rPr>
          <w:rFonts w:hint="eastAsia" w:ascii="微软雅黑" w:hAnsi="微软雅黑"/>
          <w:color w:val="auto"/>
          <w:sz w:val="21"/>
          <w:szCs w:val="21"/>
          <w:shd w:val="clear" w:color="auto" w:fill="FFFFFF"/>
        </w:rPr>
      </w:pPr>
      <w:r>
        <w:rPr>
          <w:rFonts w:hint="eastAsia" w:ascii="微软雅黑" w:hAnsi="微软雅黑"/>
          <w:color w:val="auto"/>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728D0F8A">
      <w:pPr>
        <w:pStyle w:val="72"/>
        <w:spacing w:line="560" w:lineRule="exact"/>
        <w:ind w:firstLine="420"/>
        <w:rPr>
          <w:rFonts w:hint="eastAsia" w:ascii="微软雅黑" w:hAnsi="微软雅黑" w:cs="宋体"/>
          <w:b/>
          <w:color w:val="auto"/>
          <w:kern w:val="0"/>
          <w:sz w:val="21"/>
          <w:szCs w:val="21"/>
          <w:shd w:val="clear" w:color="auto" w:fill="FFFFFF"/>
        </w:rPr>
      </w:pPr>
      <w:r>
        <w:rPr>
          <w:rFonts w:hint="eastAsia" w:ascii="微软雅黑" w:hAnsi="微软雅黑" w:cs="宋体"/>
          <w:b/>
          <w:color w:val="auto"/>
          <w:kern w:val="0"/>
          <w:sz w:val="21"/>
          <w:szCs w:val="21"/>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7F0B0271">
      <w:pPr>
        <w:ind w:left="238" w:firstLine="420"/>
        <w:jc w:val="center"/>
        <w:outlineLvl w:val="1"/>
        <w:rPr>
          <w:rFonts w:hint="eastAsia" w:ascii="微软雅黑" w:hAnsi="微软雅黑"/>
          <w:b/>
          <w:color w:val="auto"/>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74" w:right="1797" w:bottom="1247" w:left="1797" w:header="851" w:footer="851" w:gutter="0"/>
          <w:cols w:space="720" w:num="1"/>
          <w:docGrid w:linePitch="312" w:charSpace="0"/>
        </w:sectPr>
      </w:pPr>
    </w:p>
    <w:p w14:paraId="3C56CE0E">
      <w:pPr>
        <w:ind w:left="238" w:firstLine="420"/>
        <w:jc w:val="center"/>
        <w:outlineLvl w:val="1"/>
        <w:rPr>
          <w:rFonts w:hint="eastAsia" w:ascii="微软雅黑" w:hAnsi="微软雅黑"/>
          <w:b/>
          <w:color w:val="auto"/>
          <w:szCs w:val="21"/>
        </w:rPr>
      </w:pPr>
      <w:r>
        <w:rPr>
          <w:rFonts w:hint="eastAsia" w:ascii="微软雅黑" w:hAnsi="微软雅黑"/>
          <w:b/>
          <w:color w:val="auto"/>
          <w:szCs w:val="21"/>
        </w:rPr>
        <w:t>前附表</w:t>
      </w:r>
      <w:bookmarkEnd w:id="17"/>
      <w:bookmarkEnd w:id="18"/>
    </w:p>
    <w:tbl>
      <w:tblPr>
        <w:tblStyle w:val="52"/>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0365D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92BC9BF">
            <w:pPr>
              <w:snapToGrid w:val="0"/>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4FE79C59">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内容、要求</w:t>
            </w:r>
          </w:p>
        </w:tc>
      </w:tr>
      <w:tr w14:paraId="3CEDE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49FC275">
            <w:pPr>
              <w:snapToGrid w:val="0"/>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1</w:t>
            </w:r>
          </w:p>
        </w:tc>
        <w:tc>
          <w:tcPr>
            <w:tcW w:w="8652" w:type="dxa"/>
            <w:tcBorders>
              <w:top w:val="single" w:color="auto" w:sz="4" w:space="0"/>
              <w:left w:val="single" w:color="auto" w:sz="4" w:space="0"/>
              <w:bottom w:val="single" w:color="auto" w:sz="4" w:space="0"/>
              <w:right w:val="single" w:color="auto" w:sz="4" w:space="0"/>
            </w:tcBorders>
            <w:vAlign w:val="center"/>
          </w:tcPr>
          <w:p w14:paraId="2FF3F43F">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项目名称：嘉兴市公安局南湖区分局涉诈数据处理服务项目</w:t>
            </w:r>
          </w:p>
        </w:tc>
      </w:tr>
      <w:tr w14:paraId="24179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D6538D5">
            <w:pPr>
              <w:snapToGrid w:val="0"/>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2</w:t>
            </w:r>
          </w:p>
        </w:tc>
        <w:tc>
          <w:tcPr>
            <w:tcW w:w="8652" w:type="dxa"/>
            <w:tcBorders>
              <w:top w:val="single" w:color="auto" w:sz="4" w:space="0"/>
              <w:left w:val="single" w:color="auto" w:sz="4" w:space="0"/>
              <w:bottom w:val="single" w:color="auto" w:sz="4" w:space="0"/>
              <w:right w:val="single" w:color="auto" w:sz="4" w:space="0"/>
            </w:tcBorders>
            <w:vAlign w:val="center"/>
          </w:tcPr>
          <w:p w14:paraId="7F420DC7">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招标编号：中际-ZJZJGC（2024）嘉26号</w:t>
            </w:r>
          </w:p>
        </w:tc>
      </w:tr>
      <w:tr w14:paraId="4CA26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86EA05E">
            <w:pPr>
              <w:snapToGrid w:val="0"/>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3</w:t>
            </w:r>
          </w:p>
        </w:tc>
        <w:tc>
          <w:tcPr>
            <w:tcW w:w="8652" w:type="dxa"/>
            <w:tcBorders>
              <w:top w:val="single" w:color="auto" w:sz="4" w:space="0"/>
              <w:left w:val="single" w:color="auto" w:sz="4" w:space="0"/>
              <w:bottom w:val="single" w:color="auto" w:sz="4" w:space="0"/>
              <w:right w:val="single" w:color="auto" w:sz="4" w:space="0"/>
            </w:tcBorders>
            <w:vAlign w:val="center"/>
          </w:tcPr>
          <w:p w14:paraId="070B03EE">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投标报价及费用：1、本项目投标应以人民币报价；2、不论投标结果如何，投标人均应自行承担所有与投标有关的全部费用；3、</w:t>
            </w:r>
            <w:r>
              <w:rPr>
                <w:rFonts w:hint="eastAsia"/>
                <w:color w:val="auto"/>
                <w:lang w:val="zh-CN"/>
              </w:rPr>
              <w:t>招标文件未列明，而投标供应商认为必需的费用也需列入报价。</w:t>
            </w:r>
            <w:r>
              <w:rPr>
                <w:rFonts w:hint="eastAsia"/>
                <w:b/>
                <w:bCs/>
                <w:color w:val="auto"/>
                <w:kern w:val="0"/>
                <w:lang w:val="zh-CN"/>
              </w:rPr>
              <w:t>提醒：验收时检测费、</w:t>
            </w:r>
            <w:r>
              <w:rPr>
                <w:rFonts w:hint="eastAsia"/>
                <w:b/>
                <w:bCs/>
                <w:color w:val="auto"/>
                <w:kern w:val="0"/>
              </w:rPr>
              <w:t>专家费等验收所产生的合理费</w:t>
            </w:r>
            <w:r>
              <w:rPr>
                <w:rFonts w:hint="eastAsia"/>
                <w:b/>
                <w:bCs/>
                <w:color w:val="auto"/>
                <w:kern w:val="0"/>
                <w:lang w:val="zh-CN"/>
              </w:rPr>
              <w:t>用由采购人承担，不包含在投标总价中，</w:t>
            </w:r>
            <w:r>
              <w:rPr>
                <w:rFonts w:hint="eastAsia"/>
                <w:b/>
                <w:bCs/>
                <w:color w:val="auto"/>
                <w:kern w:val="0"/>
              </w:rPr>
              <w:t>若由供应商原因造成的验收不合格所产生的费用，由供应商承担</w:t>
            </w:r>
            <w:r>
              <w:rPr>
                <w:rFonts w:hint="eastAsia"/>
                <w:b/>
                <w:bCs/>
                <w:color w:val="auto"/>
                <w:kern w:val="0"/>
                <w:lang w:val="zh-CN"/>
              </w:rPr>
              <w:t>。</w:t>
            </w:r>
          </w:p>
        </w:tc>
      </w:tr>
      <w:tr w14:paraId="5EC3B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CCC4B20">
            <w:pPr>
              <w:snapToGrid w:val="0"/>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4</w:t>
            </w:r>
          </w:p>
        </w:tc>
        <w:tc>
          <w:tcPr>
            <w:tcW w:w="8652" w:type="dxa"/>
            <w:tcBorders>
              <w:top w:val="single" w:color="auto" w:sz="4" w:space="0"/>
              <w:left w:val="single" w:color="auto" w:sz="4" w:space="0"/>
              <w:bottom w:val="single" w:color="auto" w:sz="4" w:space="0"/>
              <w:right w:val="single" w:color="auto" w:sz="4" w:space="0"/>
            </w:tcBorders>
            <w:vAlign w:val="center"/>
          </w:tcPr>
          <w:p w14:paraId="146AC2E6">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预算金额： 人民币716000.00元</w:t>
            </w:r>
          </w:p>
        </w:tc>
      </w:tr>
      <w:tr w14:paraId="266BC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4FD7A4B">
            <w:pPr>
              <w:snapToGrid w:val="0"/>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5</w:t>
            </w:r>
          </w:p>
        </w:tc>
        <w:tc>
          <w:tcPr>
            <w:tcW w:w="8652" w:type="dxa"/>
            <w:tcBorders>
              <w:top w:val="single" w:color="auto" w:sz="4" w:space="0"/>
              <w:left w:val="single" w:color="auto" w:sz="4" w:space="0"/>
              <w:bottom w:val="single" w:color="auto" w:sz="4" w:space="0"/>
              <w:right w:val="single" w:color="auto" w:sz="4" w:space="0"/>
            </w:tcBorders>
            <w:vAlign w:val="center"/>
          </w:tcPr>
          <w:p w14:paraId="5B494F15">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投标保证金：无</w:t>
            </w:r>
          </w:p>
        </w:tc>
      </w:tr>
      <w:tr w14:paraId="72470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105C517">
            <w:pPr>
              <w:snapToGrid w:val="0"/>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6</w:t>
            </w:r>
          </w:p>
        </w:tc>
        <w:tc>
          <w:tcPr>
            <w:tcW w:w="8652" w:type="dxa"/>
            <w:tcBorders>
              <w:top w:val="single" w:color="auto" w:sz="4" w:space="0"/>
              <w:left w:val="single" w:color="auto" w:sz="4" w:space="0"/>
              <w:bottom w:val="single" w:color="auto" w:sz="4" w:space="0"/>
              <w:right w:val="single" w:color="auto" w:sz="4" w:space="0"/>
            </w:tcBorders>
            <w:vAlign w:val="center"/>
          </w:tcPr>
          <w:p w14:paraId="2566C2AC">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现场踏勘：无</w:t>
            </w:r>
          </w:p>
        </w:tc>
      </w:tr>
      <w:tr w14:paraId="51271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9D5B5D7">
            <w:pPr>
              <w:snapToGrid w:val="0"/>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7</w:t>
            </w:r>
          </w:p>
        </w:tc>
        <w:tc>
          <w:tcPr>
            <w:tcW w:w="8652" w:type="dxa"/>
            <w:tcBorders>
              <w:top w:val="single" w:color="auto" w:sz="4" w:space="0"/>
              <w:left w:val="single" w:color="auto" w:sz="4" w:space="0"/>
              <w:bottom w:val="single" w:color="auto" w:sz="4" w:space="0"/>
              <w:right w:val="single" w:color="auto" w:sz="4" w:space="0"/>
            </w:tcBorders>
            <w:vAlign w:val="center"/>
          </w:tcPr>
          <w:p w14:paraId="06ADB5E0">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 xml:space="preserve">演示时间及地点：无 </w:t>
            </w:r>
          </w:p>
        </w:tc>
      </w:tr>
      <w:tr w14:paraId="7F967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2E1594D">
            <w:pPr>
              <w:snapToGrid w:val="0"/>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8</w:t>
            </w:r>
          </w:p>
        </w:tc>
        <w:tc>
          <w:tcPr>
            <w:tcW w:w="8652" w:type="dxa"/>
            <w:tcBorders>
              <w:top w:val="single" w:color="auto" w:sz="4" w:space="0"/>
              <w:left w:val="single" w:color="auto" w:sz="4" w:space="0"/>
              <w:bottom w:val="single" w:color="auto" w:sz="4" w:space="0"/>
              <w:right w:val="single" w:color="auto" w:sz="4" w:space="0"/>
            </w:tcBorders>
            <w:vAlign w:val="center"/>
          </w:tcPr>
          <w:p w14:paraId="7A2BDBA6">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 xml:space="preserve">答疑与澄清：按（本章节 二、招标文件  </w:t>
            </w:r>
            <w:r>
              <w:rPr>
                <w:rFonts w:hint="eastAsia" w:ascii="微软雅黑" w:hAnsi="微软雅黑" w:cs="微软雅黑"/>
                <w:b/>
                <w:color w:val="auto"/>
                <w:szCs w:val="21"/>
              </w:rPr>
              <w:t>（三）招标文件的澄清与修改）执行。</w:t>
            </w:r>
          </w:p>
        </w:tc>
      </w:tr>
      <w:tr w14:paraId="6FD25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AB08F6B">
            <w:pPr>
              <w:snapToGrid w:val="0"/>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9</w:t>
            </w:r>
          </w:p>
        </w:tc>
        <w:tc>
          <w:tcPr>
            <w:tcW w:w="8652" w:type="dxa"/>
            <w:tcBorders>
              <w:top w:val="single" w:color="auto" w:sz="4" w:space="0"/>
              <w:left w:val="single" w:color="auto" w:sz="4" w:space="0"/>
              <w:bottom w:val="single" w:color="auto" w:sz="4" w:space="0"/>
              <w:right w:val="single" w:color="auto" w:sz="4" w:space="0"/>
            </w:tcBorders>
            <w:vAlign w:val="center"/>
          </w:tcPr>
          <w:p w14:paraId="727AE5E4">
            <w:pPr>
              <w:autoSpaceDE w:val="0"/>
              <w:autoSpaceDN w:val="0"/>
              <w:snapToGrid w:val="0"/>
              <w:spacing w:line="500" w:lineRule="exact"/>
              <w:ind w:firstLine="0" w:firstLineChars="0"/>
              <w:textAlignment w:val="bottom"/>
              <w:rPr>
                <w:rFonts w:hint="eastAsia" w:ascii="微软雅黑" w:hAnsi="微软雅黑" w:cs="微软雅黑"/>
                <w:color w:val="auto"/>
                <w:szCs w:val="21"/>
              </w:rPr>
            </w:pPr>
            <w:r>
              <w:rPr>
                <w:rFonts w:hint="eastAsia" w:ascii="微软雅黑" w:hAnsi="微软雅黑" w:cs="微软雅黑"/>
                <w:color w:val="auto"/>
                <w:szCs w:val="21"/>
              </w:rPr>
              <w:t>投标文件组成：</w:t>
            </w:r>
            <w:r>
              <w:rPr>
                <w:rFonts w:hint="eastAsia" w:ascii="微软雅黑" w:hAnsi="微软雅黑" w:cs="微软雅黑"/>
                <w:bCs/>
                <w:color w:val="auto"/>
                <w:szCs w:val="21"/>
              </w:rPr>
              <w:t>完整的《投标文件》由</w:t>
            </w:r>
            <w:r>
              <w:rPr>
                <w:rFonts w:hint="eastAsia" w:ascii="微软雅黑" w:hAnsi="微软雅黑" w:cs="微软雅黑"/>
                <w:b/>
                <w:color w:val="auto"/>
                <w:szCs w:val="21"/>
              </w:rPr>
              <w:t>资格响应文件、商务技术文件、报价文件三部份组成</w:t>
            </w:r>
            <w:r>
              <w:rPr>
                <w:rFonts w:hint="eastAsia" w:ascii="微软雅黑" w:hAnsi="微软雅黑" w:cs="微软雅黑"/>
                <w:bCs/>
                <w:color w:val="auto"/>
                <w:szCs w:val="21"/>
              </w:rPr>
              <w:t>。</w:t>
            </w:r>
          </w:p>
        </w:tc>
      </w:tr>
      <w:tr w14:paraId="189E6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4410F4D">
            <w:pPr>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10</w:t>
            </w:r>
          </w:p>
        </w:tc>
        <w:tc>
          <w:tcPr>
            <w:tcW w:w="8652" w:type="dxa"/>
            <w:tcBorders>
              <w:top w:val="single" w:color="auto" w:sz="4" w:space="0"/>
              <w:left w:val="single" w:color="auto" w:sz="4" w:space="0"/>
              <w:bottom w:val="single" w:color="auto" w:sz="4" w:space="0"/>
              <w:right w:val="single" w:color="auto" w:sz="4" w:space="0"/>
            </w:tcBorders>
            <w:vAlign w:val="center"/>
          </w:tcPr>
          <w:p w14:paraId="7EF503C4">
            <w:pPr>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投标文件的编制：供应商应先安装“政采云电子交易客户端”，并按照本招标文件和“政府采购云平台”的要求，通过“政采云电子交易客户端”编制并加密投标文件。</w:t>
            </w:r>
          </w:p>
        </w:tc>
      </w:tr>
      <w:tr w14:paraId="0530D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0E3D488">
            <w:pPr>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11</w:t>
            </w:r>
          </w:p>
        </w:tc>
        <w:tc>
          <w:tcPr>
            <w:tcW w:w="8652" w:type="dxa"/>
            <w:tcBorders>
              <w:top w:val="single" w:color="auto" w:sz="4" w:space="0"/>
              <w:left w:val="single" w:color="auto" w:sz="4" w:space="0"/>
              <w:bottom w:val="single" w:color="auto" w:sz="4" w:space="0"/>
              <w:right w:val="single" w:color="auto" w:sz="4" w:space="0"/>
            </w:tcBorders>
            <w:vAlign w:val="center"/>
          </w:tcPr>
          <w:p w14:paraId="0F5D3116">
            <w:pPr>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投标文件的签章：电子签章。</w:t>
            </w:r>
          </w:p>
        </w:tc>
      </w:tr>
      <w:tr w14:paraId="20BA8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EC18B01">
            <w:pPr>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12</w:t>
            </w:r>
          </w:p>
        </w:tc>
        <w:tc>
          <w:tcPr>
            <w:tcW w:w="8652" w:type="dxa"/>
            <w:tcBorders>
              <w:top w:val="single" w:color="auto" w:sz="4" w:space="0"/>
              <w:left w:val="single" w:color="auto" w:sz="4" w:space="0"/>
              <w:bottom w:val="single" w:color="auto" w:sz="4" w:space="0"/>
              <w:right w:val="single" w:color="auto" w:sz="4" w:space="0"/>
            </w:tcBorders>
            <w:vAlign w:val="center"/>
          </w:tcPr>
          <w:p w14:paraId="21FE7983">
            <w:pPr>
              <w:spacing w:line="500" w:lineRule="exact"/>
              <w:ind w:firstLine="420"/>
              <w:rPr>
                <w:rFonts w:hint="eastAsia" w:ascii="微软雅黑" w:hAnsi="微软雅黑" w:cs="微软雅黑"/>
                <w:bCs/>
                <w:color w:val="auto"/>
                <w:szCs w:val="21"/>
              </w:rPr>
            </w:pPr>
            <w:r>
              <w:rPr>
                <w:rFonts w:hint="eastAsia" w:ascii="微软雅黑" w:hAnsi="微软雅黑" w:cs="微软雅黑"/>
                <w:color w:val="auto"/>
                <w:szCs w:val="21"/>
              </w:rPr>
              <w:t>投标文件的形式：</w:t>
            </w:r>
            <w:r>
              <w:rPr>
                <w:rFonts w:hint="eastAsia" w:ascii="微软雅黑" w:hAnsi="微软雅黑" w:cs="微软雅黑"/>
                <w:bCs/>
                <w:color w:val="auto"/>
                <w:szCs w:val="21"/>
              </w:rPr>
              <w:t>☑电子投标文件（包括“电子加密投标文件”和“备份投标文件”，在投标文件编制完成后同时生成）；</w:t>
            </w:r>
          </w:p>
          <w:p w14:paraId="3A884964">
            <w:pPr>
              <w:spacing w:line="500" w:lineRule="exact"/>
              <w:ind w:firstLine="420"/>
              <w:rPr>
                <w:rFonts w:hint="eastAsia" w:ascii="微软雅黑" w:hAnsi="微软雅黑" w:cs="微软雅黑"/>
                <w:bCs/>
                <w:color w:val="auto"/>
                <w:szCs w:val="21"/>
              </w:rPr>
            </w:pPr>
            <w:r>
              <w:rPr>
                <w:rFonts w:hint="eastAsia" w:ascii="微软雅黑" w:hAnsi="微软雅黑" w:cs="微软雅黑"/>
                <w:bCs/>
                <w:color w:val="auto"/>
                <w:szCs w:val="21"/>
              </w:rPr>
              <w:t>（1）“电子加密投标文件”是指通过“政采云电子交易客户端”完成投标文件编制后生成并加密的数据电文形式的投标文件。</w:t>
            </w:r>
          </w:p>
          <w:p w14:paraId="19746104">
            <w:pPr>
              <w:spacing w:line="500" w:lineRule="exact"/>
              <w:ind w:firstLine="420"/>
              <w:rPr>
                <w:rFonts w:hint="eastAsia" w:ascii="微软雅黑" w:hAnsi="微软雅黑" w:cs="微软雅黑"/>
                <w:color w:val="auto"/>
                <w:szCs w:val="21"/>
              </w:rPr>
            </w:pPr>
            <w:r>
              <w:rPr>
                <w:rFonts w:hint="eastAsia" w:ascii="微软雅黑" w:hAnsi="微软雅黑" w:cs="微软雅黑"/>
                <w:bCs/>
                <w:color w:val="auto"/>
                <w:szCs w:val="21"/>
              </w:rPr>
              <w:t>（2）“备份投标文件”是指与“电子加密投标文件”同时生成的数据电文形式的电子文件（备份标书），其他方式编制的备份投标文件视为无效备份投标文件。</w:t>
            </w:r>
          </w:p>
        </w:tc>
      </w:tr>
      <w:tr w14:paraId="40E2A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F08241C">
            <w:pPr>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13</w:t>
            </w:r>
          </w:p>
        </w:tc>
        <w:tc>
          <w:tcPr>
            <w:tcW w:w="8652" w:type="dxa"/>
            <w:tcBorders>
              <w:top w:val="single" w:color="auto" w:sz="4" w:space="0"/>
              <w:left w:val="single" w:color="auto" w:sz="4" w:space="0"/>
              <w:bottom w:val="single" w:color="auto" w:sz="4" w:space="0"/>
              <w:right w:val="single" w:color="auto" w:sz="4" w:space="0"/>
            </w:tcBorders>
            <w:vAlign w:val="center"/>
          </w:tcPr>
          <w:p w14:paraId="665E0B41">
            <w:pPr>
              <w:spacing w:line="500" w:lineRule="exact"/>
              <w:ind w:firstLine="420"/>
              <w:rPr>
                <w:rFonts w:hint="eastAsia" w:ascii="微软雅黑" w:hAnsi="微软雅黑" w:cs="微软雅黑"/>
                <w:color w:val="auto"/>
                <w:szCs w:val="21"/>
              </w:rPr>
            </w:pPr>
            <w:r>
              <w:rPr>
                <w:rFonts w:hint="eastAsia" w:ascii="微软雅黑" w:hAnsi="微软雅黑" w:cs="微软雅黑"/>
                <w:color w:val="auto"/>
                <w:szCs w:val="21"/>
              </w:rPr>
              <w:t>投标文件份数：</w:t>
            </w:r>
            <w:r>
              <w:rPr>
                <w:rFonts w:hint="eastAsia" w:ascii="微软雅黑" w:hAnsi="微软雅黑" w:cs="微软雅黑"/>
                <w:bCs/>
                <w:color w:val="auto"/>
                <w:szCs w:val="21"/>
              </w:rPr>
              <w:t>（1）“电子加密投标文件”：在线上传递交、一份。（2）“备份投标文件”：密封包装后（邮寄形式）投标截止时间前递交、一份（邮寄地址：嘉兴市由拳路南湖大道口华隆广场1号楼1306室（浙江中际工程项目管理有限公司嘉兴分公司）（马专圆  电话：13511352944）。</w:t>
            </w:r>
          </w:p>
        </w:tc>
      </w:tr>
      <w:tr w14:paraId="61199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26A5284">
            <w:pPr>
              <w:spacing w:line="500" w:lineRule="exact"/>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14</w:t>
            </w:r>
          </w:p>
        </w:tc>
        <w:tc>
          <w:tcPr>
            <w:tcW w:w="8652" w:type="dxa"/>
            <w:tcBorders>
              <w:top w:val="single" w:color="auto" w:sz="4" w:space="0"/>
              <w:left w:val="single" w:color="auto" w:sz="4" w:space="0"/>
              <w:bottom w:val="single" w:color="auto" w:sz="4" w:space="0"/>
              <w:right w:val="single" w:color="auto" w:sz="4" w:space="0"/>
            </w:tcBorders>
            <w:vAlign w:val="center"/>
          </w:tcPr>
          <w:p w14:paraId="53EC6B7E">
            <w:pPr>
              <w:spacing w:line="500" w:lineRule="exact"/>
              <w:ind w:firstLine="420"/>
              <w:rPr>
                <w:rFonts w:hint="eastAsia" w:ascii="微软雅黑" w:hAnsi="微软雅黑" w:cs="微软雅黑"/>
                <w:color w:val="auto"/>
                <w:szCs w:val="21"/>
              </w:rPr>
            </w:pPr>
            <w:r>
              <w:rPr>
                <w:rFonts w:hint="eastAsia" w:ascii="微软雅黑" w:hAnsi="微软雅黑" w:cs="微软雅黑"/>
                <w:color w:val="auto"/>
                <w:szCs w:val="21"/>
              </w:rPr>
              <w:t>投标文件的上传和递交：</w:t>
            </w:r>
          </w:p>
          <w:p w14:paraId="2FE49CF0">
            <w:pPr>
              <w:spacing w:line="500" w:lineRule="exact"/>
              <w:ind w:firstLine="420"/>
              <w:rPr>
                <w:rFonts w:hint="eastAsia" w:ascii="微软雅黑" w:hAnsi="微软雅黑" w:cs="微软雅黑"/>
                <w:bCs/>
                <w:color w:val="auto"/>
                <w:szCs w:val="21"/>
              </w:rPr>
            </w:pPr>
            <w:r>
              <w:rPr>
                <w:rFonts w:hint="eastAsia" w:ascii="微软雅黑" w:hAnsi="微软雅黑" w:cs="微软雅黑"/>
                <w:bCs/>
                <w:color w:val="auto"/>
                <w:szCs w:val="21"/>
              </w:rPr>
              <w:t>（1）“电子加密投标文件”的上传、递交：</w:t>
            </w:r>
          </w:p>
          <w:p w14:paraId="706566B2">
            <w:pPr>
              <w:spacing w:line="500" w:lineRule="exact"/>
              <w:ind w:firstLine="420"/>
              <w:rPr>
                <w:rFonts w:hint="eastAsia" w:ascii="微软雅黑" w:hAnsi="微软雅黑" w:cs="微软雅黑"/>
                <w:bCs/>
                <w:color w:val="auto"/>
                <w:szCs w:val="21"/>
              </w:rPr>
            </w:pPr>
            <w:r>
              <w:rPr>
                <w:rFonts w:hint="eastAsia" w:ascii="微软雅黑" w:hAnsi="微软雅黑" w:cs="微软雅黑"/>
                <w:bCs/>
                <w:color w:val="auto"/>
                <w:szCs w:val="21"/>
              </w:rPr>
              <w:t>a.投标供应商应在投标截止时间前将“电子加密投标文件”成功上传递交至“政府采购云平台”，否则投标无效。</w:t>
            </w:r>
          </w:p>
          <w:p w14:paraId="7D21ADC0">
            <w:pPr>
              <w:spacing w:line="500" w:lineRule="exact"/>
              <w:ind w:firstLine="420"/>
              <w:rPr>
                <w:rFonts w:hint="eastAsia" w:ascii="微软雅黑" w:hAnsi="微软雅黑" w:cs="微软雅黑"/>
                <w:bCs/>
                <w:color w:val="auto"/>
                <w:szCs w:val="21"/>
              </w:rPr>
            </w:pPr>
            <w:r>
              <w:rPr>
                <w:rFonts w:hint="eastAsia" w:ascii="微软雅黑" w:hAnsi="微软雅黑" w:cs="微软雅黑"/>
                <w:bCs/>
                <w:color w:val="auto"/>
                <w:szCs w:val="21"/>
              </w:rPr>
              <w:t>b.“电子加密投标文件”成功上传递交后，供应商可自行打印投标文件接收回执。</w:t>
            </w:r>
          </w:p>
          <w:p w14:paraId="10139EF5">
            <w:pPr>
              <w:spacing w:line="500" w:lineRule="exact"/>
              <w:ind w:firstLine="420"/>
              <w:rPr>
                <w:rFonts w:hint="eastAsia" w:ascii="微软雅黑" w:hAnsi="微软雅黑" w:cs="微软雅黑"/>
                <w:bCs/>
                <w:color w:val="auto"/>
                <w:szCs w:val="21"/>
              </w:rPr>
            </w:pPr>
            <w:r>
              <w:rPr>
                <w:rFonts w:hint="eastAsia" w:ascii="微软雅黑" w:hAnsi="微软雅黑" w:cs="微软雅黑"/>
                <w:bCs/>
                <w:color w:val="auto"/>
                <w:szCs w:val="21"/>
              </w:rPr>
              <w:t>（2）“备份投标文件”的密封包装、递交：</w:t>
            </w:r>
          </w:p>
          <w:p w14:paraId="5BC5C863">
            <w:pPr>
              <w:spacing w:line="500" w:lineRule="exact"/>
              <w:ind w:firstLine="420"/>
              <w:rPr>
                <w:rFonts w:hint="eastAsia" w:ascii="微软雅黑" w:hAnsi="微软雅黑" w:cs="微软雅黑"/>
                <w:bCs/>
                <w:color w:val="auto"/>
                <w:szCs w:val="21"/>
              </w:rPr>
            </w:pPr>
            <w:r>
              <w:rPr>
                <w:rFonts w:hint="eastAsia" w:ascii="微软雅黑" w:hAnsi="微软雅黑" w:cs="微软雅黑"/>
                <w:bCs/>
                <w:color w:val="auto"/>
                <w:szCs w:val="21"/>
              </w:rPr>
              <w:t>a.投标供应商在“政府采购云平台”完成“电子加密投标文件”的上传递交后，还可以（邮寄形式）在投标截止时间前递交以介质（U盘）存储的 “备份投标文件”（一份）；</w:t>
            </w:r>
          </w:p>
          <w:p w14:paraId="4DA55E52">
            <w:pPr>
              <w:spacing w:line="500" w:lineRule="exact"/>
              <w:ind w:firstLine="420"/>
              <w:rPr>
                <w:rFonts w:hint="eastAsia" w:ascii="微软雅黑" w:hAnsi="微软雅黑" w:cs="微软雅黑"/>
                <w:b/>
                <w:bCs/>
                <w:color w:val="auto"/>
                <w:szCs w:val="21"/>
              </w:rPr>
            </w:pPr>
            <w:r>
              <w:rPr>
                <w:rFonts w:hint="eastAsia" w:ascii="微软雅黑" w:hAnsi="微软雅黑" w:cs="微软雅黑"/>
                <w:b/>
                <w:bCs/>
                <w:color w:val="auto"/>
                <w:szCs w:val="21"/>
              </w:rPr>
              <w:t>b.“备份投标文件”应当密封包装，并在包装上标注投标项目名称、投标单位名称并加盖公章。没有密封包装或者逾期邮寄送达至上述邮寄地点的“备份投标文件”将不予接收；</w:t>
            </w:r>
          </w:p>
          <w:p w14:paraId="5C206041">
            <w:pPr>
              <w:spacing w:line="500" w:lineRule="exact"/>
              <w:ind w:firstLine="420"/>
              <w:rPr>
                <w:rFonts w:hint="eastAsia" w:ascii="微软雅黑" w:hAnsi="微软雅黑" w:cs="微软雅黑"/>
                <w:color w:val="auto"/>
                <w:szCs w:val="21"/>
              </w:rPr>
            </w:pPr>
            <w:r>
              <w:rPr>
                <w:rFonts w:hint="eastAsia" w:ascii="微软雅黑" w:hAnsi="微软雅黑" w:cs="微软雅黑"/>
                <w:bCs/>
                <w:color w:val="auto"/>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73934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CBA2444">
            <w:pPr>
              <w:spacing w:line="500" w:lineRule="exact"/>
              <w:ind w:firstLine="0" w:firstLineChars="0"/>
              <w:jc w:val="both"/>
              <w:rPr>
                <w:rFonts w:hint="eastAsia" w:ascii="微软雅黑" w:hAnsi="微软雅黑" w:cs="微软雅黑"/>
                <w:color w:val="auto"/>
                <w:szCs w:val="21"/>
              </w:rPr>
            </w:pPr>
            <w:r>
              <w:rPr>
                <w:rFonts w:hint="eastAsia" w:ascii="微软雅黑" w:hAnsi="微软雅黑" w:cs="微软雅黑"/>
                <w:color w:val="auto"/>
                <w:szCs w:val="21"/>
              </w:rPr>
              <w:t>15</w:t>
            </w:r>
          </w:p>
        </w:tc>
        <w:tc>
          <w:tcPr>
            <w:tcW w:w="8652" w:type="dxa"/>
            <w:tcBorders>
              <w:top w:val="single" w:color="auto" w:sz="4" w:space="0"/>
              <w:left w:val="single" w:color="auto" w:sz="4" w:space="0"/>
              <w:bottom w:val="single" w:color="auto" w:sz="4" w:space="0"/>
              <w:right w:val="single" w:color="auto" w:sz="4" w:space="0"/>
            </w:tcBorders>
            <w:vAlign w:val="center"/>
          </w:tcPr>
          <w:p w14:paraId="7C0E10FA">
            <w:pPr>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电子加密投标文件的解密和异常情况处理：</w:t>
            </w:r>
          </w:p>
          <w:p w14:paraId="42AE4393">
            <w:pPr>
              <w:spacing w:line="500" w:lineRule="exact"/>
              <w:ind w:firstLine="420"/>
              <w:rPr>
                <w:rFonts w:hint="eastAsia" w:ascii="微软雅黑" w:hAnsi="微软雅黑" w:cs="微软雅黑"/>
                <w:color w:val="auto"/>
                <w:szCs w:val="21"/>
              </w:rPr>
            </w:pPr>
            <w:r>
              <w:rPr>
                <w:rFonts w:hint="eastAsia" w:ascii="微软雅黑" w:hAnsi="微软雅黑" w:cs="微软雅黑"/>
                <w:color w:val="auto"/>
                <w:szCs w:val="21"/>
              </w:rPr>
              <w:t>（1）开标后，采购组织机构将向各投标供应商发出“电子加密投标文件”的解密通知，各投标供应商代表应当在接到解密通知后30分钟内自行完成“电子加密投标文件”的在线解密。</w:t>
            </w:r>
          </w:p>
          <w:p w14:paraId="326348E0">
            <w:pPr>
              <w:spacing w:line="500" w:lineRule="exact"/>
              <w:ind w:firstLine="420"/>
              <w:rPr>
                <w:rFonts w:hint="eastAsia" w:ascii="微软雅黑" w:hAnsi="微软雅黑" w:cs="微软雅黑"/>
                <w:color w:val="auto"/>
                <w:szCs w:val="21"/>
              </w:rPr>
            </w:pPr>
            <w:r>
              <w:rPr>
                <w:rFonts w:hint="eastAsia" w:ascii="微软雅黑" w:hAnsi="微软雅黑" w:cs="微软雅黑"/>
                <w:color w:val="auto"/>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5EF977D">
            <w:pPr>
              <w:spacing w:line="500" w:lineRule="exact"/>
              <w:ind w:firstLine="420"/>
              <w:rPr>
                <w:rFonts w:hint="eastAsia" w:ascii="微软雅黑" w:hAnsi="微软雅黑" w:cs="微软雅黑"/>
                <w:color w:val="auto"/>
                <w:szCs w:val="21"/>
              </w:rPr>
            </w:pPr>
            <w:r>
              <w:rPr>
                <w:rFonts w:hint="eastAsia" w:ascii="微软雅黑" w:hAnsi="微软雅黑" w:cs="微软雅黑"/>
                <w:color w:val="auto"/>
                <w:szCs w:val="21"/>
              </w:rPr>
              <w:t>（3）投标截止时间前，投标供应商仅递交了“备份投标文件”而未将电子加密投标文件上传至“政府采购云平台”的，投标无效。</w:t>
            </w:r>
          </w:p>
        </w:tc>
      </w:tr>
      <w:tr w14:paraId="6DFA3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55551D3">
            <w:pPr>
              <w:snapToGrid w:val="0"/>
              <w:spacing w:line="500" w:lineRule="exact"/>
              <w:ind w:firstLine="0" w:firstLineChars="0"/>
              <w:jc w:val="both"/>
              <w:rPr>
                <w:rFonts w:hint="eastAsia" w:ascii="微软雅黑" w:hAnsi="微软雅黑" w:cs="微软雅黑"/>
                <w:color w:val="auto"/>
                <w:szCs w:val="21"/>
              </w:rPr>
            </w:pPr>
            <w:r>
              <w:rPr>
                <w:rFonts w:hint="eastAsia" w:ascii="微软雅黑" w:hAnsi="微软雅黑" w:cs="微软雅黑"/>
                <w:color w:val="auto"/>
                <w:szCs w:val="21"/>
              </w:rPr>
              <w:t>16</w:t>
            </w:r>
          </w:p>
        </w:tc>
        <w:tc>
          <w:tcPr>
            <w:tcW w:w="8652" w:type="dxa"/>
            <w:tcBorders>
              <w:top w:val="single" w:color="auto" w:sz="4" w:space="0"/>
              <w:left w:val="single" w:color="auto" w:sz="4" w:space="0"/>
              <w:bottom w:val="single" w:color="auto" w:sz="4" w:space="0"/>
              <w:right w:val="single" w:color="auto" w:sz="4" w:space="0"/>
            </w:tcBorders>
            <w:vAlign w:val="center"/>
          </w:tcPr>
          <w:p w14:paraId="6530EF61">
            <w:pPr>
              <w:snapToGrid w:val="0"/>
              <w:spacing w:line="500" w:lineRule="exact"/>
              <w:ind w:firstLine="0" w:firstLineChars="0"/>
              <w:rPr>
                <w:rFonts w:hint="eastAsia" w:ascii="微软雅黑" w:hAnsi="微软雅黑" w:cs="Arial"/>
                <w:color w:val="auto"/>
                <w:szCs w:val="21"/>
                <w:u w:val="single"/>
                <w:shd w:val="clear" w:color="auto" w:fill="FFFF00"/>
              </w:rPr>
            </w:pPr>
            <w:r>
              <w:rPr>
                <w:rFonts w:hint="eastAsia" w:ascii="微软雅黑" w:hAnsi="微软雅黑" w:cs="微软雅黑"/>
                <w:color w:val="auto"/>
                <w:szCs w:val="21"/>
              </w:rPr>
              <w:t>投标截止时间及地点：</w:t>
            </w:r>
            <w:r>
              <w:rPr>
                <w:rStyle w:val="117"/>
                <w:rFonts w:hint="eastAsia" w:ascii="微软雅黑" w:hAnsi="微软雅黑" w:eastAsia="宋体" w:cs="Arial"/>
                <w:color w:val="auto"/>
                <w:szCs w:val="21"/>
                <w:u w:val="single"/>
              </w:rPr>
              <w:t> 2024年</w:t>
            </w:r>
            <w:r>
              <w:rPr>
                <w:rStyle w:val="117"/>
                <w:rFonts w:hint="eastAsia" w:ascii="微软雅黑" w:hAnsi="微软雅黑" w:eastAsia="宋体" w:cs="Arial"/>
                <w:color w:val="auto"/>
                <w:szCs w:val="21"/>
                <w:u w:val="single"/>
                <w:lang w:eastAsia="zh-CN"/>
              </w:rPr>
              <w:t>10月11日14时00分</w:t>
            </w:r>
          </w:p>
          <w:p w14:paraId="215C5374">
            <w:pPr>
              <w:snapToGrid w:val="0"/>
              <w:spacing w:line="500" w:lineRule="exact"/>
              <w:ind w:firstLine="2205" w:firstLineChars="1050"/>
              <w:rPr>
                <w:rFonts w:hint="eastAsia" w:ascii="微软雅黑" w:hAnsi="微软雅黑" w:cs="微软雅黑"/>
                <w:color w:val="auto"/>
                <w:szCs w:val="21"/>
              </w:rPr>
            </w:pPr>
            <w:r>
              <w:rPr>
                <w:rStyle w:val="117"/>
                <w:rFonts w:hint="eastAsia" w:ascii="微软雅黑" w:hAnsi="微软雅黑" w:cs="Arial"/>
                <w:color w:val="auto"/>
                <w:szCs w:val="21"/>
                <w:u w:val="single"/>
              </w:rPr>
              <w:t>政采云”平台电子投标</w:t>
            </w:r>
          </w:p>
        </w:tc>
      </w:tr>
      <w:tr w14:paraId="17E59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3E5EBB8">
            <w:pPr>
              <w:snapToGrid w:val="0"/>
              <w:spacing w:line="500" w:lineRule="exact"/>
              <w:ind w:firstLine="0" w:firstLineChars="0"/>
              <w:jc w:val="both"/>
              <w:rPr>
                <w:rFonts w:hint="eastAsia" w:ascii="微软雅黑" w:hAnsi="微软雅黑" w:cs="微软雅黑"/>
                <w:color w:val="auto"/>
                <w:szCs w:val="21"/>
              </w:rPr>
            </w:pPr>
            <w:r>
              <w:rPr>
                <w:rFonts w:hint="eastAsia" w:ascii="微软雅黑" w:hAnsi="微软雅黑" w:cs="微软雅黑"/>
                <w:color w:val="auto"/>
                <w:szCs w:val="21"/>
              </w:rPr>
              <w:t>17</w:t>
            </w:r>
          </w:p>
        </w:tc>
        <w:tc>
          <w:tcPr>
            <w:tcW w:w="8652" w:type="dxa"/>
            <w:tcBorders>
              <w:top w:val="single" w:color="auto" w:sz="4" w:space="0"/>
              <w:left w:val="single" w:color="auto" w:sz="4" w:space="0"/>
              <w:bottom w:val="single" w:color="auto" w:sz="4" w:space="0"/>
              <w:right w:val="single" w:color="auto" w:sz="4" w:space="0"/>
            </w:tcBorders>
            <w:vAlign w:val="center"/>
          </w:tcPr>
          <w:p w14:paraId="1690B98E">
            <w:pPr>
              <w:snapToGrid w:val="0"/>
              <w:spacing w:line="500" w:lineRule="exact"/>
              <w:ind w:firstLine="0" w:firstLineChars="0"/>
              <w:rPr>
                <w:rFonts w:hint="eastAsia" w:ascii="微软雅黑" w:hAnsi="微软雅黑" w:cs="Arial"/>
                <w:color w:val="auto"/>
                <w:szCs w:val="21"/>
                <w:u w:val="single"/>
              </w:rPr>
            </w:pPr>
            <w:r>
              <w:rPr>
                <w:rFonts w:hint="eastAsia" w:ascii="微软雅黑" w:hAnsi="微软雅黑" w:cs="微软雅黑"/>
                <w:color w:val="auto"/>
                <w:szCs w:val="21"/>
              </w:rPr>
              <w:t>开标时间及地点：</w:t>
            </w:r>
            <w:r>
              <w:rPr>
                <w:rStyle w:val="117"/>
                <w:rFonts w:hint="eastAsia" w:ascii="微软雅黑" w:hAnsi="微软雅黑" w:eastAsia="宋体" w:cs="Arial"/>
                <w:color w:val="auto"/>
                <w:szCs w:val="21"/>
                <w:u w:val="single"/>
              </w:rPr>
              <w:t>2024年</w:t>
            </w:r>
            <w:r>
              <w:rPr>
                <w:rStyle w:val="117"/>
                <w:rFonts w:hint="eastAsia" w:ascii="微软雅黑" w:hAnsi="微软雅黑" w:eastAsia="宋体" w:cs="Arial"/>
                <w:color w:val="auto"/>
                <w:szCs w:val="21"/>
                <w:u w:val="single"/>
                <w:lang w:eastAsia="zh-CN"/>
              </w:rPr>
              <w:t>10月11日14时00分</w:t>
            </w:r>
          </w:p>
          <w:p w14:paraId="492B298B">
            <w:pPr>
              <w:snapToGrid w:val="0"/>
              <w:spacing w:line="500" w:lineRule="exact"/>
              <w:ind w:firstLine="1738" w:firstLineChars="828"/>
              <w:rPr>
                <w:rFonts w:hint="eastAsia" w:ascii="微软雅黑" w:hAnsi="微软雅黑"/>
                <w:color w:val="auto"/>
                <w:szCs w:val="21"/>
              </w:rPr>
            </w:pPr>
            <w:r>
              <w:rPr>
                <w:rStyle w:val="117"/>
                <w:rFonts w:hint="eastAsia" w:ascii="微软雅黑" w:hAnsi="微软雅黑" w:cs="Arial"/>
                <w:color w:val="auto"/>
                <w:szCs w:val="21"/>
                <w:u w:val="single"/>
              </w:rPr>
              <w:t>嘉兴市由拳路南湖大道口华隆广场1号楼1306室，供应商无需到开标现场，但须准时在线参加，直至评审结束。</w:t>
            </w:r>
          </w:p>
        </w:tc>
      </w:tr>
      <w:tr w14:paraId="0643C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D3B1CF2">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18</w:t>
            </w:r>
          </w:p>
        </w:tc>
        <w:tc>
          <w:tcPr>
            <w:tcW w:w="8652" w:type="dxa"/>
            <w:tcBorders>
              <w:top w:val="single" w:color="auto" w:sz="4" w:space="0"/>
              <w:left w:val="single" w:color="auto" w:sz="4" w:space="0"/>
              <w:bottom w:val="single" w:color="auto" w:sz="4" w:space="0"/>
              <w:right w:val="single" w:color="auto" w:sz="4" w:space="0"/>
            </w:tcBorders>
            <w:vAlign w:val="center"/>
          </w:tcPr>
          <w:p w14:paraId="3FD26A46">
            <w:pPr>
              <w:autoSpaceDE w:val="0"/>
              <w:autoSpaceDN w:val="0"/>
              <w:snapToGrid w:val="0"/>
              <w:spacing w:line="500" w:lineRule="exact"/>
              <w:ind w:firstLine="0" w:firstLineChars="0"/>
              <w:textAlignment w:val="bottom"/>
              <w:rPr>
                <w:rFonts w:hint="eastAsia" w:ascii="微软雅黑" w:hAnsi="微软雅黑" w:cs="微软雅黑"/>
                <w:b/>
                <w:color w:val="auto"/>
                <w:szCs w:val="21"/>
              </w:rPr>
            </w:pPr>
            <w:r>
              <w:rPr>
                <w:rFonts w:hint="eastAsia" w:ascii="微软雅黑" w:hAnsi="微软雅黑" w:cs="微软雅黑"/>
                <w:color w:val="auto"/>
                <w:szCs w:val="21"/>
              </w:rPr>
              <w:t>投标费用：</w:t>
            </w:r>
            <w:r>
              <w:rPr>
                <w:rFonts w:hint="eastAsia" w:ascii="微软雅黑" w:hAnsi="微软雅黑"/>
                <w:color w:val="auto"/>
                <w:szCs w:val="21"/>
              </w:rPr>
              <w:t>中标单位支付招标代理服务费（收费标准详见招标文件）</w:t>
            </w:r>
          </w:p>
        </w:tc>
      </w:tr>
      <w:tr w14:paraId="43FC4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1C276F4">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19</w:t>
            </w:r>
          </w:p>
        </w:tc>
        <w:tc>
          <w:tcPr>
            <w:tcW w:w="8652" w:type="dxa"/>
            <w:tcBorders>
              <w:top w:val="single" w:color="auto" w:sz="4" w:space="0"/>
              <w:left w:val="single" w:color="auto" w:sz="4" w:space="0"/>
              <w:bottom w:val="single" w:color="auto" w:sz="4" w:space="0"/>
              <w:right w:val="single" w:color="auto" w:sz="4" w:space="0"/>
            </w:tcBorders>
            <w:vAlign w:val="center"/>
          </w:tcPr>
          <w:p w14:paraId="4C5A6C5F">
            <w:pPr>
              <w:autoSpaceDE w:val="0"/>
              <w:autoSpaceDN w:val="0"/>
              <w:snapToGrid w:val="0"/>
              <w:spacing w:line="500" w:lineRule="exact"/>
              <w:ind w:firstLine="0" w:firstLineChars="0"/>
              <w:textAlignment w:val="bottom"/>
              <w:rPr>
                <w:rFonts w:hint="eastAsia" w:ascii="微软雅黑" w:hAnsi="微软雅黑" w:cs="微软雅黑"/>
                <w:color w:val="auto"/>
                <w:szCs w:val="21"/>
              </w:rPr>
            </w:pPr>
            <w:r>
              <w:rPr>
                <w:rFonts w:hint="eastAsia" w:ascii="微软雅黑" w:hAnsi="微软雅黑" w:cs="微软雅黑"/>
                <w:color w:val="auto"/>
                <w:szCs w:val="21"/>
              </w:rPr>
              <w:t>签订合同时间：</w:t>
            </w:r>
            <w:r>
              <w:rPr>
                <w:rFonts w:hint="eastAsia" w:ascii="微软雅黑" w:hAnsi="微软雅黑"/>
                <w:color w:val="auto"/>
                <w:szCs w:val="21"/>
              </w:rPr>
              <w:t>中标公示发出之日起30日内</w:t>
            </w:r>
            <w:r>
              <w:rPr>
                <w:rFonts w:hint="eastAsia" w:ascii="微软雅黑" w:hAnsi="微软雅黑" w:cs="微软雅黑"/>
                <w:color w:val="auto"/>
                <w:szCs w:val="21"/>
              </w:rPr>
              <w:t>。</w:t>
            </w:r>
          </w:p>
        </w:tc>
      </w:tr>
      <w:tr w14:paraId="0B9E9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0C525D1">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20</w:t>
            </w:r>
          </w:p>
        </w:tc>
        <w:tc>
          <w:tcPr>
            <w:tcW w:w="8652" w:type="dxa"/>
            <w:tcBorders>
              <w:top w:val="single" w:color="auto" w:sz="4" w:space="0"/>
              <w:left w:val="single" w:color="auto" w:sz="4" w:space="0"/>
              <w:bottom w:val="single" w:color="auto" w:sz="4" w:space="0"/>
              <w:right w:val="single" w:color="auto" w:sz="4" w:space="0"/>
            </w:tcBorders>
            <w:vAlign w:val="center"/>
          </w:tcPr>
          <w:p w14:paraId="6648A2E8">
            <w:pPr>
              <w:autoSpaceDE w:val="0"/>
              <w:autoSpaceDN w:val="0"/>
              <w:snapToGrid w:val="0"/>
              <w:spacing w:line="500" w:lineRule="exact"/>
              <w:ind w:firstLine="0" w:firstLineChars="0"/>
              <w:textAlignment w:val="bottom"/>
              <w:rPr>
                <w:rFonts w:hint="eastAsia" w:ascii="微软雅黑" w:hAnsi="微软雅黑" w:cs="微软雅黑"/>
                <w:color w:val="auto"/>
                <w:szCs w:val="21"/>
              </w:rPr>
            </w:pPr>
            <w:r>
              <w:rPr>
                <w:rFonts w:hint="eastAsia" w:ascii="微软雅黑" w:hAnsi="微软雅黑"/>
                <w:color w:val="auto"/>
                <w:szCs w:val="21"/>
              </w:rPr>
              <w:t>履约保证金的收取及退还：无。</w:t>
            </w:r>
          </w:p>
        </w:tc>
      </w:tr>
      <w:tr w14:paraId="52B42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D5E41CC">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21</w:t>
            </w:r>
          </w:p>
        </w:tc>
        <w:tc>
          <w:tcPr>
            <w:tcW w:w="8652" w:type="dxa"/>
            <w:tcBorders>
              <w:top w:val="single" w:color="auto" w:sz="4" w:space="0"/>
              <w:left w:val="single" w:color="auto" w:sz="4" w:space="0"/>
              <w:bottom w:val="single" w:color="auto" w:sz="4" w:space="0"/>
              <w:right w:val="single" w:color="auto" w:sz="4" w:space="0"/>
            </w:tcBorders>
            <w:vAlign w:val="center"/>
          </w:tcPr>
          <w:p w14:paraId="040F1C0F">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投标文件有效期：</w:t>
            </w:r>
            <w:r>
              <w:rPr>
                <w:rFonts w:hint="eastAsia" w:ascii="微软雅黑" w:hAnsi="微软雅黑" w:cs="微软雅黑"/>
                <w:color w:val="auto"/>
                <w:szCs w:val="21"/>
                <w:u w:val="single"/>
              </w:rPr>
              <w:t>60</w:t>
            </w:r>
            <w:r>
              <w:rPr>
                <w:rFonts w:hint="eastAsia" w:ascii="微软雅黑" w:hAnsi="微软雅黑" w:cs="微软雅黑"/>
                <w:color w:val="auto"/>
                <w:szCs w:val="21"/>
              </w:rPr>
              <w:t>天</w:t>
            </w:r>
          </w:p>
        </w:tc>
      </w:tr>
      <w:tr w14:paraId="0FE05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3AE74C9">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22</w:t>
            </w:r>
          </w:p>
        </w:tc>
        <w:tc>
          <w:tcPr>
            <w:tcW w:w="8652" w:type="dxa"/>
            <w:tcBorders>
              <w:top w:val="single" w:color="auto" w:sz="4" w:space="0"/>
              <w:left w:val="single" w:color="auto" w:sz="4" w:space="0"/>
              <w:bottom w:val="single" w:color="auto" w:sz="4" w:space="0"/>
              <w:right w:val="single" w:color="auto" w:sz="4" w:space="0"/>
            </w:tcBorders>
            <w:vAlign w:val="center"/>
          </w:tcPr>
          <w:p w14:paraId="36C3240D">
            <w:pPr>
              <w:spacing w:line="500" w:lineRule="exact"/>
              <w:ind w:firstLine="0" w:firstLineChars="0"/>
              <w:rPr>
                <w:rFonts w:hint="eastAsia" w:ascii="微软雅黑" w:hAnsi="微软雅黑" w:cs="微软雅黑"/>
                <w:color w:val="auto"/>
                <w:kern w:val="0"/>
                <w:szCs w:val="21"/>
              </w:rPr>
            </w:pPr>
            <w:r>
              <w:rPr>
                <w:rFonts w:hint="eastAsia" w:ascii="微软雅黑" w:hAnsi="微软雅黑" w:cs="微软雅黑"/>
                <w:color w:val="auto"/>
                <w:kern w:val="0"/>
                <w:szCs w:val="21"/>
              </w:rPr>
              <w:t>网上注册：</w:t>
            </w:r>
          </w:p>
          <w:p w14:paraId="774AE92D">
            <w:pPr>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kern w:val="0"/>
                <w:szCs w:val="21"/>
              </w:rPr>
              <w:t>本项目不接受现场报名，须注册后进行网上报名。在浙江政府采购网进行供应商注册后完成报名；（详情请见第一章公告报名及招标文件的获取）</w:t>
            </w:r>
          </w:p>
        </w:tc>
      </w:tr>
      <w:tr w14:paraId="6756B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C7ABF70">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23</w:t>
            </w:r>
          </w:p>
        </w:tc>
        <w:tc>
          <w:tcPr>
            <w:tcW w:w="8652" w:type="dxa"/>
            <w:tcBorders>
              <w:top w:val="single" w:color="auto" w:sz="4" w:space="0"/>
              <w:left w:val="single" w:color="auto" w:sz="4" w:space="0"/>
              <w:bottom w:val="single" w:color="auto" w:sz="4" w:space="0"/>
              <w:right w:val="single" w:color="auto" w:sz="4" w:space="0"/>
            </w:tcBorders>
            <w:vAlign w:val="center"/>
          </w:tcPr>
          <w:p w14:paraId="7C0F0599">
            <w:pPr>
              <w:spacing w:line="500" w:lineRule="exact"/>
              <w:ind w:firstLine="0" w:firstLineChars="0"/>
              <w:rPr>
                <w:rFonts w:hint="eastAsia" w:ascii="微软雅黑" w:hAnsi="微软雅黑" w:cs="微软雅黑"/>
                <w:color w:val="auto"/>
                <w:kern w:val="0"/>
                <w:szCs w:val="21"/>
              </w:rPr>
            </w:pPr>
            <w:r>
              <w:rPr>
                <w:rFonts w:hint="eastAsia" w:ascii="微软雅黑" w:hAnsi="微软雅黑" w:cs="微软雅黑"/>
                <w:color w:val="auto"/>
                <w:kern w:val="0"/>
                <w:szCs w:val="21"/>
              </w:rPr>
              <w:t>本项目采购标的所属行业为：其他未列明行业，</w:t>
            </w:r>
            <w:r>
              <w:rPr>
                <w:rFonts w:hint="eastAsia"/>
                <w:b/>
                <w:bCs/>
                <w:color w:val="auto"/>
                <w:spacing w:val="-4"/>
                <w:szCs w:val="21"/>
              </w:rPr>
              <w:t>本项目专门面向中小企业采购。</w:t>
            </w:r>
          </w:p>
        </w:tc>
      </w:tr>
      <w:tr w14:paraId="05186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5B3F8D7">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24</w:t>
            </w:r>
          </w:p>
        </w:tc>
        <w:tc>
          <w:tcPr>
            <w:tcW w:w="8652" w:type="dxa"/>
            <w:tcBorders>
              <w:top w:val="single" w:color="auto" w:sz="4" w:space="0"/>
              <w:left w:val="single" w:color="auto" w:sz="4" w:space="0"/>
              <w:bottom w:val="single" w:color="auto" w:sz="4" w:space="0"/>
              <w:right w:val="single" w:color="auto" w:sz="4" w:space="0"/>
            </w:tcBorders>
            <w:vAlign w:val="center"/>
          </w:tcPr>
          <w:p w14:paraId="645DFF4F">
            <w:pPr>
              <w:snapToGrid w:val="0"/>
              <w:spacing w:line="500" w:lineRule="exact"/>
              <w:ind w:firstLine="0" w:firstLineChars="0"/>
              <w:rPr>
                <w:rFonts w:hint="eastAsia" w:ascii="微软雅黑" w:hAnsi="微软雅黑" w:cs="微软雅黑"/>
                <w:color w:val="auto"/>
                <w:szCs w:val="21"/>
              </w:rPr>
            </w:pPr>
            <w:r>
              <w:rPr>
                <w:rFonts w:hint="eastAsia" w:ascii="微软雅黑" w:hAnsi="微软雅黑" w:cs="微软雅黑"/>
                <w:color w:val="auto"/>
                <w:szCs w:val="21"/>
              </w:rPr>
              <w:t>解释：本招标文件的解释权属于招标采购单位。</w:t>
            </w:r>
          </w:p>
        </w:tc>
      </w:tr>
    </w:tbl>
    <w:p w14:paraId="13C7CA19">
      <w:pPr>
        <w:pStyle w:val="2"/>
        <w:spacing w:line="500" w:lineRule="exact"/>
        <w:ind w:firstLine="420"/>
        <w:rPr>
          <w:rFonts w:hint="eastAsia" w:ascii="微软雅黑" w:hAnsi="微软雅黑"/>
          <w:color w:val="auto"/>
          <w:szCs w:val="21"/>
        </w:rPr>
      </w:pPr>
      <w:bookmarkStart w:id="19" w:name="_Toc177870536"/>
      <w:bookmarkStart w:id="20" w:name="_Toc493511580"/>
      <w:r>
        <w:rPr>
          <w:rFonts w:hint="eastAsia" w:ascii="微软雅黑" w:hAnsi="微软雅黑"/>
          <w:color w:val="auto"/>
          <w:szCs w:val="21"/>
        </w:rPr>
        <w:t>一、总  则</w:t>
      </w:r>
      <w:bookmarkEnd w:id="19"/>
      <w:bookmarkEnd w:id="20"/>
    </w:p>
    <w:p w14:paraId="72A0D9F3">
      <w:pPr>
        <w:pStyle w:val="4"/>
        <w:spacing w:line="500" w:lineRule="exact"/>
        <w:ind w:firstLine="420"/>
        <w:rPr>
          <w:rFonts w:hint="eastAsia" w:ascii="微软雅黑" w:hAnsi="微软雅黑"/>
          <w:color w:val="auto"/>
          <w:szCs w:val="21"/>
        </w:rPr>
      </w:pPr>
      <w:bookmarkStart w:id="21" w:name="_Toc177825120"/>
      <w:bookmarkStart w:id="22" w:name="_Toc177870537"/>
      <w:bookmarkStart w:id="23" w:name="_Toc427915759"/>
      <w:bookmarkStart w:id="24" w:name="_Toc177824872"/>
      <w:bookmarkStart w:id="25" w:name="_Toc177824939"/>
      <w:bookmarkStart w:id="26" w:name="_Toc493511581"/>
      <w:r>
        <w:rPr>
          <w:rFonts w:hint="eastAsia" w:ascii="微软雅黑" w:hAnsi="微软雅黑"/>
          <w:color w:val="auto"/>
          <w:szCs w:val="21"/>
        </w:rPr>
        <w:t>1、 适用范围</w:t>
      </w:r>
      <w:bookmarkEnd w:id="21"/>
      <w:bookmarkEnd w:id="22"/>
      <w:bookmarkEnd w:id="23"/>
      <w:bookmarkEnd w:id="24"/>
      <w:bookmarkEnd w:id="25"/>
      <w:bookmarkEnd w:id="26"/>
    </w:p>
    <w:p w14:paraId="1FD63A50">
      <w:pPr>
        <w:pStyle w:val="19"/>
        <w:snapToGrid w:val="0"/>
        <w:spacing w:line="500" w:lineRule="exact"/>
        <w:ind w:firstLine="420"/>
        <w:rPr>
          <w:rFonts w:hint="eastAsia" w:ascii="微软雅黑" w:hAnsi="微软雅黑"/>
          <w:color w:val="auto"/>
          <w:spacing w:val="0"/>
          <w:sz w:val="21"/>
          <w:szCs w:val="21"/>
        </w:rPr>
      </w:pPr>
      <w:bookmarkStart w:id="27" w:name="_Toc493511582"/>
      <w:r>
        <w:rPr>
          <w:rFonts w:hint="eastAsia" w:ascii="微软雅黑" w:hAnsi="微软雅黑"/>
          <w:color w:val="auto"/>
          <w:spacing w:val="0"/>
          <w:sz w:val="21"/>
          <w:szCs w:val="21"/>
        </w:rPr>
        <w:t>1.1、本招标文件适用于本次所述项目的招标。</w:t>
      </w:r>
      <w:bookmarkEnd w:id="27"/>
      <w:bookmarkStart w:id="28" w:name="_Toc427915760"/>
      <w:bookmarkStart w:id="29" w:name="_Toc177825121"/>
      <w:bookmarkStart w:id="30" w:name="_Toc177870538"/>
      <w:bookmarkStart w:id="31" w:name="_Toc177824940"/>
      <w:bookmarkStart w:id="32" w:name="_Toc177824873"/>
    </w:p>
    <w:p w14:paraId="7887CC6D">
      <w:pPr>
        <w:pStyle w:val="4"/>
        <w:spacing w:line="500" w:lineRule="exact"/>
        <w:ind w:firstLine="420"/>
        <w:rPr>
          <w:rFonts w:hint="eastAsia" w:ascii="微软雅黑" w:hAnsi="微软雅黑"/>
          <w:color w:val="auto"/>
          <w:szCs w:val="21"/>
        </w:rPr>
      </w:pPr>
      <w:bookmarkStart w:id="33" w:name="_Toc493511583"/>
      <w:r>
        <w:rPr>
          <w:rFonts w:hint="eastAsia" w:ascii="微软雅黑" w:hAnsi="微软雅黑"/>
          <w:color w:val="auto"/>
          <w:szCs w:val="21"/>
        </w:rPr>
        <w:t>2、定义</w:t>
      </w:r>
      <w:bookmarkEnd w:id="28"/>
      <w:bookmarkEnd w:id="29"/>
      <w:bookmarkEnd w:id="30"/>
      <w:bookmarkEnd w:id="31"/>
      <w:bookmarkEnd w:id="32"/>
      <w:bookmarkEnd w:id="33"/>
    </w:p>
    <w:p w14:paraId="0CBA68BD">
      <w:pPr>
        <w:pStyle w:val="19"/>
        <w:snapToGrid w:val="0"/>
        <w:spacing w:line="500" w:lineRule="exact"/>
        <w:ind w:firstLine="420"/>
        <w:rPr>
          <w:rFonts w:hint="eastAsia" w:ascii="微软雅黑" w:hAnsi="微软雅黑"/>
          <w:color w:val="auto"/>
          <w:spacing w:val="0"/>
          <w:sz w:val="21"/>
          <w:szCs w:val="21"/>
        </w:rPr>
      </w:pPr>
      <w:bookmarkStart w:id="34" w:name="_Toc493511584"/>
      <w:r>
        <w:rPr>
          <w:rFonts w:hint="eastAsia" w:ascii="微软雅黑" w:hAnsi="微软雅黑"/>
          <w:color w:val="auto"/>
          <w:spacing w:val="0"/>
          <w:sz w:val="21"/>
          <w:szCs w:val="21"/>
        </w:rPr>
        <w:t>2.1、“招标人”系指组织本次招标的代理机构或采购人。</w:t>
      </w:r>
      <w:bookmarkEnd w:id="34"/>
    </w:p>
    <w:p w14:paraId="6650C6F1">
      <w:pPr>
        <w:pStyle w:val="19"/>
        <w:snapToGrid w:val="0"/>
        <w:spacing w:line="500" w:lineRule="exact"/>
        <w:ind w:firstLine="420"/>
        <w:rPr>
          <w:rFonts w:hint="eastAsia" w:ascii="微软雅黑" w:hAnsi="微软雅黑"/>
          <w:color w:val="auto"/>
          <w:spacing w:val="0"/>
          <w:sz w:val="21"/>
          <w:szCs w:val="21"/>
        </w:rPr>
      </w:pPr>
      <w:bookmarkStart w:id="35" w:name="_Toc493511585"/>
      <w:r>
        <w:rPr>
          <w:rFonts w:hint="eastAsia" w:ascii="微软雅黑" w:hAnsi="微软雅黑"/>
          <w:color w:val="auto"/>
          <w:spacing w:val="0"/>
          <w:sz w:val="21"/>
          <w:szCs w:val="21"/>
        </w:rPr>
        <w:t>2.2、“投标人”系指向招标方提交投标文件的供应商。</w:t>
      </w:r>
      <w:bookmarkEnd w:id="35"/>
    </w:p>
    <w:p w14:paraId="43ECF2CD">
      <w:pPr>
        <w:pStyle w:val="19"/>
        <w:snapToGrid w:val="0"/>
        <w:spacing w:line="500" w:lineRule="exact"/>
        <w:ind w:firstLine="420"/>
        <w:rPr>
          <w:rFonts w:hint="eastAsia" w:ascii="微软雅黑" w:hAnsi="微软雅黑"/>
          <w:color w:val="auto"/>
          <w:spacing w:val="0"/>
          <w:sz w:val="21"/>
          <w:szCs w:val="21"/>
        </w:rPr>
      </w:pPr>
      <w:bookmarkStart w:id="36" w:name="_Toc493511586"/>
      <w:r>
        <w:rPr>
          <w:rFonts w:hint="eastAsia" w:ascii="微软雅黑" w:hAnsi="微软雅黑"/>
          <w:color w:val="auto"/>
          <w:spacing w:val="0"/>
          <w:sz w:val="21"/>
          <w:szCs w:val="21"/>
        </w:rPr>
        <w:t>2.3、“产品”系指供方按招标文件规定，须向采购人提供的一切设备、保险、税金、备品备件、工具、手册及其它有关技术资料和材料。</w:t>
      </w:r>
      <w:bookmarkEnd w:id="36"/>
    </w:p>
    <w:p w14:paraId="742B87D9">
      <w:pPr>
        <w:pStyle w:val="19"/>
        <w:snapToGrid w:val="0"/>
        <w:spacing w:line="500" w:lineRule="exact"/>
        <w:ind w:firstLine="420"/>
        <w:rPr>
          <w:rFonts w:hint="eastAsia" w:ascii="微软雅黑" w:hAnsi="微软雅黑"/>
          <w:color w:val="auto"/>
          <w:spacing w:val="0"/>
          <w:sz w:val="21"/>
          <w:szCs w:val="21"/>
        </w:rPr>
      </w:pPr>
      <w:bookmarkStart w:id="37" w:name="_Toc493511587"/>
      <w:r>
        <w:rPr>
          <w:rFonts w:hint="eastAsia" w:ascii="微软雅黑" w:hAnsi="微软雅黑"/>
          <w:color w:val="auto"/>
          <w:spacing w:val="0"/>
          <w:sz w:val="21"/>
          <w:szCs w:val="21"/>
        </w:rPr>
        <w:t>2.4、“服务”系指招标文件规定投标人须承担的安装、调试、技术协助、校准、培训、技术指导以及其他类似的义务。</w:t>
      </w:r>
      <w:bookmarkEnd w:id="37"/>
    </w:p>
    <w:p w14:paraId="450786D1">
      <w:pPr>
        <w:pStyle w:val="19"/>
        <w:snapToGrid w:val="0"/>
        <w:spacing w:line="500" w:lineRule="exact"/>
        <w:ind w:firstLine="420"/>
        <w:rPr>
          <w:rFonts w:hint="eastAsia" w:ascii="微软雅黑" w:hAnsi="微软雅黑"/>
          <w:color w:val="auto"/>
          <w:spacing w:val="0"/>
          <w:sz w:val="21"/>
          <w:szCs w:val="21"/>
        </w:rPr>
      </w:pPr>
      <w:bookmarkStart w:id="38" w:name="_Toc493511588"/>
      <w:r>
        <w:rPr>
          <w:rFonts w:hint="eastAsia" w:ascii="微软雅黑" w:hAnsi="微软雅黑"/>
          <w:color w:val="auto"/>
          <w:spacing w:val="0"/>
          <w:sz w:val="21"/>
          <w:szCs w:val="21"/>
        </w:rPr>
        <w:t>2.5、“项目”系指投标人按招标文件规定向采购人提供的产品和服务。</w:t>
      </w:r>
      <w:bookmarkEnd w:id="38"/>
    </w:p>
    <w:p w14:paraId="4CCBEAD9">
      <w:pPr>
        <w:pStyle w:val="19"/>
        <w:snapToGrid w:val="0"/>
        <w:spacing w:line="500" w:lineRule="exact"/>
        <w:ind w:firstLine="420"/>
        <w:rPr>
          <w:rFonts w:hint="eastAsia" w:ascii="微软雅黑" w:hAnsi="微软雅黑"/>
          <w:color w:val="auto"/>
          <w:spacing w:val="0"/>
          <w:sz w:val="21"/>
          <w:szCs w:val="21"/>
        </w:rPr>
      </w:pPr>
      <w:bookmarkStart w:id="39" w:name="_Toc493511589"/>
      <w:r>
        <w:rPr>
          <w:rFonts w:hint="eastAsia" w:ascii="微软雅黑" w:hAnsi="微软雅黑"/>
          <w:color w:val="auto"/>
          <w:spacing w:val="0"/>
          <w:sz w:val="21"/>
          <w:szCs w:val="21"/>
        </w:rPr>
        <w:t>2.6、“书面形式”包括信函、传真、电报、电子文档等。</w:t>
      </w:r>
      <w:bookmarkEnd w:id="39"/>
    </w:p>
    <w:p w14:paraId="45FD6863">
      <w:pPr>
        <w:pStyle w:val="19"/>
        <w:snapToGrid w:val="0"/>
        <w:spacing w:line="500" w:lineRule="exact"/>
        <w:ind w:firstLine="420"/>
        <w:rPr>
          <w:rFonts w:hint="eastAsia" w:ascii="微软雅黑" w:hAnsi="微软雅黑"/>
          <w:color w:val="auto"/>
          <w:spacing w:val="0"/>
          <w:sz w:val="21"/>
          <w:szCs w:val="21"/>
        </w:rPr>
      </w:pPr>
      <w:bookmarkStart w:id="40" w:name="_Toc493511590"/>
      <w:r>
        <w:rPr>
          <w:rFonts w:hint="eastAsia" w:ascii="微软雅黑" w:hAnsi="微软雅黑"/>
          <w:color w:val="auto"/>
          <w:spacing w:val="0"/>
          <w:sz w:val="21"/>
          <w:szCs w:val="21"/>
        </w:rPr>
        <w:t>2.7、“▲”系指实质性要求条款。</w:t>
      </w:r>
      <w:bookmarkEnd w:id="40"/>
      <w:bookmarkStart w:id="41" w:name="_Toc427915761"/>
      <w:bookmarkStart w:id="42" w:name="_Toc177870539"/>
    </w:p>
    <w:p w14:paraId="259A8AD6">
      <w:pPr>
        <w:pStyle w:val="4"/>
        <w:spacing w:line="500" w:lineRule="exact"/>
        <w:ind w:firstLine="420"/>
        <w:rPr>
          <w:rFonts w:hint="eastAsia" w:ascii="微软雅黑" w:hAnsi="微软雅黑"/>
          <w:color w:val="auto"/>
          <w:szCs w:val="21"/>
        </w:rPr>
      </w:pPr>
      <w:bookmarkStart w:id="43" w:name="_Toc493511591"/>
      <w:r>
        <w:rPr>
          <w:rFonts w:hint="eastAsia" w:ascii="微软雅黑" w:hAnsi="微软雅黑"/>
          <w:color w:val="auto"/>
          <w:szCs w:val="21"/>
        </w:rPr>
        <w:t>3、招标方式</w:t>
      </w:r>
      <w:bookmarkEnd w:id="41"/>
      <w:bookmarkEnd w:id="42"/>
      <w:bookmarkEnd w:id="43"/>
    </w:p>
    <w:p w14:paraId="34CD0AA9">
      <w:pPr>
        <w:pStyle w:val="19"/>
        <w:snapToGrid w:val="0"/>
        <w:spacing w:line="500" w:lineRule="exact"/>
        <w:ind w:firstLine="420"/>
        <w:rPr>
          <w:rFonts w:hint="eastAsia" w:ascii="微软雅黑" w:hAnsi="微软雅黑"/>
          <w:color w:val="auto"/>
          <w:spacing w:val="0"/>
          <w:sz w:val="21"/>
          <w:szCs w:val="21"/>
        </w:rPr>
      </w:pPr>
      <w:bookmarkStart w:id="44" w:name="_Toc493511592"/>
      <w:r>
        <w:rPr>
          <w:rFonts w:hint="eastAsia" w:ascii="微软雅黑" w:hAnsi="微软雅黑"/>
          <w:color w:val="auto"/>
          <w:spacing w:val="0"/>
          <w:sz w:val="21"/>
          <w:szCs w:val="21"/>
        </w:rPr>
        <w:t>3.1、本次招标采用公开招标方式进行。</w:t>
      </w:r>
      <w:bookmarkEnd w:id="44"/>
    </w:p>
    <w:p w14:paraId="391EC3D8">
      <w:pPr>
        <w:pStyle w:val="19"/>
        <w:snapToGrid w:val="0"/>
        <w:spacing w:line="500" w:lineRule="exact"/>
        <w:ind w:firstLine="420"/>
        <w:rPr>
          <w:rFonts w:hint="eastAsia" w:ascii="微软雅黑" w:hAnsi="微软雅黑"/>
          <w:color w:val="auto"/>
          <w:spacing w:val="0"/>
          <w:sz w:val="21"/>
          <w:szCs w:val="21"/>
        </w:rPr>
      </w:pPr>
      <w:bookmarkStart w:id="45" w:name="_Toc493511593"/>
      <w:r>
        <w:rPr>
          <w:rFonts w:hint="eastAsia" w:ascii="微软雅黑" w:hAnsi="微软雅黑"/>
          <w:color w:val="auto"/>
          <w:spacing w:val="0"/>
          <w:sz w:val="21"/>
          <w:szCs w:val="21"/>
        </w:rPr>
        <w:t>3.2、本次招标设定上限价为项目预算金额。</w:t>
      </w:r>
      <w:bookmarkEnd w:id="45"/>
      <w:bookmarkStart w:id="46" w:name="_Toc177870540"/>
      <w:bookmarkStart w:id="47" w:name="_Toc427915762"/>
      <w:bookmarkStart w:id="48" w:name="_Toc177825122"/>
      <w:bookmarkStart w:id="49" w:name="_Toc177824941"/>
      <w:bookmarkStart w:id="50" w:name="_Toc177824874"/>
    </w:p>
    <w:p w14:paraId="6C4C1620">
      <w:pPr>
        <w:pStyle w:val="4"/>
        <w:spacing w:line="500" w:lineRule="exact"/>
        <w:ind w:firstLine="420"/>
        <w:rPr>
          <w:rFonts w:hint="eastAsia" w:ascii="微软雅黑" w:hAnsi="微软雅黑"/>
          <w:color w:val="auto"/>
          <w:szCs w:val="21"/>
        </w:rPr>
      </w:pPr>
      <w:bookmarkStart w:id="51" w:name="_Toc493511594"/>
      <w:r>
        <w:rPr>
          <w:rFonts w:hint="eastAsia" w:ascii="微软雅黑" w:hAnsi="微软雅黑"/>
          <w:color w:val="auto"/>
          <w:szCs w:val="21"/>
        </w:rPr>
        <w:t>4、投标委托</w:t>
      </w:r>
      <w:bookmarkEnd w:id="46"/>
      <w:bookmarkEnd w:id="47"/>
      <w:bookmarkEnd w:id="48"/>
      <w:bookmarkEnd w:id="49"/>
      <w:bookmarkEnd w:id="50"/>
      <w:bookmarkEnd w:id="51"/>
    </w:p>
    <w:p w14:paraId="3DF9AF9A">
      <w:pPr>
        <w:pStyle w:val="19"/>
        <w:snapToGrid w:val="0"/>
        <w:spacing w:line="500" w:lineRule="exact"/>
        <w:ind w:firstLine="420"/>
        <w:rPr>
          <w:rFonts w:hint="eastAsia" w:ascii="微软雅黑" w:hAnsi="微软雅黑"/>
          <w:color w:val="auto"/>
          <w:spacing w:val="0"/>
          <w:sz w:val="21"/>
          <w:szCs w:val="21"/>
        </w:rPr>
      </w:pPr>
      <w:bookmarkStart w:id="52" w:name="_Toc493511595"/>
      <w:r>
        <w:rPr>
          <w:rFonts w:hint="eastAsia" w:ascii="微软雅黑" w:hAnsi="微软雅黑"/>
          <w:color w:val="auto"/>
          <w:spacing w:val="0"/>
          <w:sz w:val="21"/>
          <w:szCs w:val="21"/>
        </w:rPr>
        <w:t>投标人代表须携带居民身份证。如投标人代表不是法定代表人，须有法定代表人出具的授权委托书。（正本用原件，副本可用复印件，格式见第六部分）。</w:t>
      </w:r>
      <w:bookmarkEnd w:id="52"/>
      <w:bookmarkStart w:id="53" w:name="_Toc427915763"/>
      <w:bookmarkStart w:id="54" w:name="_Toc177870541"/>
      <w:bookmarkStart w:id="55" w:name="_Toc177825123"/>
      <w:bookmarkStart w:id="56" w:name="_Toc177824875"/>
      <w:bookmarkStart w:id="57" w:name="_Toc177824942"/>
    </w:p>
    <w:p w14:paraId="2ED28907">
      <w:pPr>
        <w:pStyle w:val="4"/>
        <w:spacing w:line="500" w:lineRule="exact"/>
        <w:ind w:firstLine="420"/>
        <w:rPr>
          <w:rFonts w:hint="eastAsia" w:ascii="微软雅黑" w:hAnsi="微软雅黑"/>
          <w:color w:val="auto"/>
          <w:szCs w:val="21"/>
        </w:rPr>
      </w:pPr>
      <w:bookmarkStart w:id="58" w:name="_Toc493511596"/>
      <w:r>
        <w:rPr>
          <w:rFonts w:hint="eastAsia" w:ascii="微软雅黑" w:hAnsi="微软雅黑"/>
          <w:color w:val="auto"/>
          <w:szCs w:val="21"/>
        </w:rPr>
        <w:t>5、投标费用</w:t>
      </w:r>
      <w:bookmarkEnd w:id="53"/>
      <w:bookmarkEnd w:id="54"/>
      <w:bookmarkEnd w:id="55"/>
      <w:bookmarkEnd w:id="56"/>
      <w:bookmarkEnd w:id="57"/>
      <w:bookmarkEnd w:id="58"/>
    </w:p>
    <w:p w14:paraId="5DDFA277">
      <w:pPr>
        <w:pStyle w:val="19"/>
        <w:snapToGrid w:val="0"/>
        <w:spacing w:line="500" w:lineRule="exact"/>
        <w:ind w:firstLine="420"/>
        <w:rPr>
          <w:rFonts w:hint="eastAsia" w:ascii="微软雅黑" w:hAnsi="微软雅黑"/>
          <w:color w:val="auto"/>
          <w:spacing w:val="0"/>
          <w:sz w:val="21"/>
          <w:szCs w:val="21"/>
        </w:rPr>
      </w:pPr>
      <w:bookmarkStart w:id="59" w:name="_Toc493511597"/>
      <w:r>
        <w:rPr>
          <w:rFonts w:hint="eastAsia" w:ascii="微软雅黑" w:hAnsi="微软雅黑"/>
          <w:color w:val="auto"/>
          <w:spacing w:val="0"/>
          <w:sz w:val="21"/>
          <w:szCs w:val="21"/>
        </w:rPr>
        <w:t>不论投标结果如何，投标人均应自行承担所有与投标有关的全部费用。</w:t>
      </w:r>
      <w:bookmarkEnd w:id="59"/>
    </w:p>
    <w:p w14:paraId="67688FA9">
      <w:pPr>
        <w:pStyle w:val="4"/>
        <w:spacing w:line="500" w:lineRule="exact"/>
        <w:ind w:firstLine="420"/>
        <w:rPr>
          <w:rFonts w:hint="eastAsia" w:ascii="微软雅黑" w:hAnsi="微软雅黑"/>
          <w:color w:val="auto"/>
          <w:szCs w:val="21"/>
        </w:rPr>
      </w:pPr>
      <w:bookmarkStart w:id="60" w:name="_Toc493511598"/>
      <w:r>
        <w:rPr>
          <w:rFonts w:hint="eastAsia" w:ascii="微软雅黑" w:hAnsi="微软雅黑"/>
          <w:color w:val="auto"/>
          <w:szCs w:val="21"/>
        </w:rPr>
        <w:t>6、联合体投标</w:t>
      </w:r>
      <w:bookmarkEnd w:id="60"/>
    </w:p>
    <w:p w14:paraId="315C3DD5">
      <w:pPr>
        <w:pStyle w:val="19"/>
        <w:snapToGrid w:val="0"/>
        <w:spacing w:line="500" w:lineRule="exact"/>
        <w:ind w:firstLine="420"/>
        <w:rPr>
          <w:rFonts w:hint="eastAsia" w:ascii="微软雅黑" w:hAnsi="微软雅黑"/>
          <w:b/>
          <w:bCs/>
          <w:color w:val="auto"/>
          <w:spacing w:val="0"/>
          <w:sz w:val="21"/>
          <w:szCs w:val="21"/>
        </w:rPr>
      </w:pPr>
      <w:bookmarkStart w:id="61" w:name="_Toc493511599"/>
      <w:r>
        <w:rPr>
          <w:rFonts w:hint="eastAsia" w:ascii="微软雅黑" w:hAnsi="微软雅黑"/>
          <w:b/>
          <w:bCs/>
          <w:color w:val="auto"/>
          <w:spacing w:val="0"/>
          <w:sz w:val="21"/>
          <w:szCs w:val="21"/>
        </w:rPr>
        <w:t>本项目接受联合体投标。</w:t>
      </w:r>
      <w:bookmarkEnd w:id="61"/>
      <w:bookmarkStart w:id="62" w:name="_Toc177870544"/>
    </w:p>
    <w:p w14:paraId="3ABCDC63">
      <w:pPr>
        <w:pStyle w:val="4"/>
        <w:spacing w:line="500" w:lineRule="exact"/>
        <w:ind w:firstLine="420"/>
        <w:rPr>
          <w:rFonts w:hint="eastAsia" w:ascii="微软雅黑" w:hAnsi="微软雅黑"/>
          <w:color w:val="auto"/>
          <w:szCs w:val="21"/>
        </w:rPr>
      </w:pPr>
      <w:r>
        <w:rPr>
          <w:rFonts w:hint="eastAsia" w:ascii="微软雅黑" w:hAnsi="微软雅黑"/>
          <w:color w:val="auto"/>
          <w:szCs w:val="21"/>
        </w:rPr>
        <w:t>7、转包与分包</w:t>
      </w:r>
    </w:p>
    <w:p w14:paraId="7A5F8ACB">
      <w:pPr>
        <w:pStyle w:val="19"/>
        <w:snapToGrid w:val="0"/>
        <w:spacing w:line="500" w:lineRule="exact"/>
        <w:ind w:firstLine="420"/>
        <w:rPr>
          <w:rFonts w:hint="eastAsia" w:ascii="微软雅黑" w:hAnsi="微软雅黑"/>
          <w:color w:val="auto"/>
          <w:spacing w:val="0"/>
          <w:sz w:val="21"/>
          <w:szCs w:val="21"/>
        </w:rPr>
      </w:pPr>
      <w:r>
        <w:rPr>
          <w:rFonts w:hint="eastAsia" w:ascii="微软雅黑" w:hAnsi="微软雅黑"/>
          <w:color w:val="auto"/>
          <w:spacing w:val="0"/>
          <w:sz w:val="21"/>
          <w:szCs w:val="21"/>
        </w:rPr>
        <w:t>7.1、本项目不允许转包；</w:t>
      </w:r>
    </w:p>
    <w:p w14:paraId="3E5C7CDD">
      <w:pPr>
        <w:pStyle w:val="19"/>
        <w:snapToGrid w:val="0"/>
        <w:spacing w:line="500" w:lineRule="exact"/>
        <w:ind w:firstLine="420"/>
        <w:rPr>
          <w:rFonts w:hint="eastAsia" w:ascii="微软雅黑" w:hAnsi="微软雅黑"/>
          <w:color w:val="auto"/>
          <w:spacing w:val="0"/>
          <w:sz w:val="21"/>
          <w:szCs w:val="21"/>
        </w:rPr>
      </w:pPr>
      <w:r>
        <w:rPr>
          <w:rFonts w:hint="eastAsia" w:ascii="微软雅黑" w:hAnsi="微软雅黑"/>
          <w:color w:val="auto"/>
          <w:spacing w:val="0"/>
          <w:sz w:val="21"/>
          <w:szCs w:val="21"/>
        </w:rPr>
        <w:t>7.2、本项目不允许分包。</w:t>
      </w:r>
      <w:bookmarkStart w:id="63" w:name="_Toc430786267"/>
      <w:bookmarkStart w:id="64" w:name="_Toc177870542"/>
    </w:p>
    <w:p w14:paraId="7D2F1282">
      <w:pPr>
        <w:pStyle w:val="4"/>
        <w:spacing w:line="500" w:lineRule="exact"/>
        <w:ind w:firstLine="420"/>
        <w:rPr>
          <w:rFonts w:hint="eastAsia" w:ascii="微软雅黑" w:hAnsi="微软雅黑"/>
          <w:color w:val="auto"/>
          <w:szCs w:val="21"/>
        </w:rPr>
      </w:pPr>
      <w:r>
        <w:rPr>
          <w:rFonts w:hint="eastAsia" w:ascii="微软雅黑" w:hAnsi="微软雅黑"/>
          <w:color w:val="auto"/>
          <w:szCs w:val="21"/>
        </w:rPr>
        <w:t>8、特别说明：</w:t>
      </w:r>
      <w:bookmarkEnd w:id="63"/>
      <w:bookmarkEnd w:id="64"/>
    </w:p>
    <w:p w14:paraId="11E5F878">
      <w:pPr>
        <w:pStyle w:val="19"/>
        <w:snapToGrid w:val="0"/>
        <w:spacing w:line="500" w:lineRule="exact"/>
        <w:ind w:firstLine="420"/>
        <w:rPr>
          <w:rFonts w:hint="eastAsia" w:ascii="微软雅黑" w:hAnsi="微软雅黑"/>
          <w:color w:val="auto"/>
          <w:spacing w:val="0"/>
          <w:sz w:val="21"/>
          <w:szCs w:val="21"/>
        </w:rPr>
      </w:pPr>
      <w:bookmarkStart w:id="65" w:name="_Toc177870543"/>
      <w:bookmarkStart w:id="66" w:name="_Toc495603533"/>
      <w:bookmarkStart w:id="67" w:name="_Toc430786268"/>
      <w:r>
        <w:rPr>
          <w:rFonts w:hint="eastAsia" w:ascii="微软雅黑" w:hAnsi="微软雅黑"/>
          <w:color w:val="auto"/>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E79D528">
      <w:pPr>
        <w:pStyle w:val="19"/>
        <w:snapToGrid w:val="0"/>
        <w:spacing w:line="500" w:lineRule="exact"/>
        <w:ind w:firstLine="420"/>
        <w:rPr>
          <w:rFonts w:hint="eastAsia" w:ascii="微软雅黑" w:hAnsi="微软雅黑"/>
          <w:color w:val="auto"/>
          <w:spacing w:val="0"/>
          <w:sz w:val="21"/>
          <w:szCs w:val="21"/>
        </w:rPr>
      </w:pPr>
      <w:r>
        <w:rPr>
          <w:rFonts w:hint="eastAsia" w:ascii="微软雅黑" w:hAnsi="微软雅黑"/>
          <w:color w:val="auto"/>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F336E5">
      <w:pPr>
        <w:pStyle w:val="19"/>
        <w:snapToGrid w:val="0"/>
        <w:spacing w:line="500" w:lineRule="exact"/>
        <w:ind w:firstLine="420"/>
        <w:rPr>
          <w:rFonts w:hint="eastAsia" w:ascii="微软雅黑" w:hAnsi="微软雅黑"/>
          <w:color w:val="auto"/>
          <w:spacing w:val="0"/>
          <w:sz w:val="21"/>
          <w:szCs w:val="21"/>
        </w:rPr>
      </w:pPr>
      <w:r>
        <w:rPr>
          <w:rFonts w:hint="eastAsia" w:ascii="微软雅黑" w:hAnsi="微软雅黑"/>
          <w:color w:val="auto"/>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14:paraId="278DE774">
      <w:pPr>
        <w:pStyle w:val="4"/>
        <w:spacing w:line="500" w:lineRule="exact"/>
        <w:ind w:firstLine="420"/>
        <w:rPr>
          <w:rFonts w:hint="eastAsia" w:ascii="微软雅黑" w:hAnsi="微软雅黑"/>
          <w:color w:val="auto"/>
          <w:szCs w:val="21"/>
        </w:rPr>
      </w:pPr>
      <w:r>
        <w:rPr>
          <w:rFonts w:hint="eastAsia" w:ascii="微软雅黑" w:hAnsi="微软雅黑"/>
          <w:color w:val="auto"/>
          <w:szCs w:val="21"/>
        </w:rPr>
        <w:t>9.质疑</w:t>
      </w:r>
      <w:bookmarkEnd w:id="65"/>
      <w:bookmarkEnd w:id="66"/>
      <w:bookmarkEnd w:id="67"/>
    </w:p>
    <w:p w14:paraId="09F51513">
      <w:pPr>
        <w:pStyle w:val="26"/>
        <w:spacing w:line="500" w:lineRule="exact"/>
        <w:ind w:firstLine="412" w:firstLineChars="196"/>
        <w:outlineLvl w:val="1"/>
        <w:rPr>
          <w:rFonts w:hint="eastAsia" w:ascii="微软雅黑" w:hAnsi="微软雅黑"/>
          <w:b/>
          <w:color w:val="auto"/>
          <w:szCs w:val="21"/>
        </w:rPr>
      </w:pPr>
      <w:bookmarkStart w:id="68" w:name="_Toc495603534"/>
      <w:r>
        <w:rPr>
          <w:rFonts w:hint="eastAsia" w:ascii="微软雅黑" w:hAnsi="微软雅黑"/>
          <w:b/>
          <w:color w:val="auto"/>
          <w:szCs w:val="21"/>
        </w:rPr>
        <w:t>9.</w:t>
      </w:r>
      <w:r>
        <w:rPr>
          <w:rFonts w:ascii="微软雅黑" w:hAnsi="微软雅黑"/>
          <w:b/>
          <w:color w:val="auto"/>
          <w:szCs w:val="21"/>
        </w:rPr>
        <w:t>1</w:t>
      </w:r>
      <w:r>
        <w:rPr>
          <w:rFonts w:hint="eastAsia" w:ascii="微软雅黑" w:hAnsi="微软雅黑"/>
          <w:b/>
          <w:color w:val="auto"/>
          <w:szCs w:val="21"/>
        </w:rPr>
        <w:t>.</w:t>
      </w:r>
      <w:r>
        <w:rPr>
          <w:rFonts w:ascii="微软雅黑" w:hAnsi="微软雅黑"/>
          <w:b/>
          <w:color w:val="auto"/>
          <w:szCs w:val="21"/>
        </w:rPr>
        <w:t>投标人认为招标文件、招标过程</w:t>
      </w:r>
      <w:r>
        <w:rPr>
          <w:rFonts w:hint="eastAsia" w:ascii="微软雅黑" w:hAnsi="微软雅黑"/>
          <w:b/>
          <w:color w:val="auto"/>
          <w:szCs w:val="21"/>
        </w:rPr>
        <w:t>或</w:t>
      </w:r>
      <w:r>
        <w:rPr>
          <w:rFonts w:ascii="微软雅黑" w:hAnsi="微软雅黑"/>
          <w:b/>
          <w:color w:val="auto"/>
          <w:szCs w:val="21"/>
        </w:rPr>
        <w:t>中标结果使自己的合法权益受到损害的，应当在知道或者应知其权益受到损害之日起七个工作日内，以书面形式向采购人、</w:t>
      </w:r>
      <w:r>
        <w:rPr>
          <w:rFonts w:hint="eastAsia" w:ascii="微软雅黑" w:hAnsi="微软雅黑"/>
          <w:b/>
          <w:color w:val="auto"/>
          <w:szCs w:val="21"/>
        </w:rPr>
        <w:t>代理机构</w:t>
      </w:r>
      <w:r>
        <w:rPr>
          <w:rFonts w:ascii="微软雅黑" w:hAnsi="微软雅黑"/>
          <w:b/>
          <w:color w:val="auto"/>
          <w:szCs w:val="21"/>
        </w:rPr>
        <w:t>提出质疑。投标人对招标采购单位的质疑答复不满意或者招标采购单位未在规定时间内作出答复的，可以在答复期满后十五个工作日内向同级采购监管部门投诉。</w:t>
      </w:r>
      <w:bookmarkEnd w:id="68"/>
      <w:bookmarkStart w:id="69" w:name="_Toc495603535"/>
    </w:p>
    <w:p w14:paraId="1A363BC4">
      <w:pPr>
        <w:pStyle w:val="26"/>
        <w:spacing w:line="500" w:lineRule="exact"/>
        <w:ind w:firstLine="412" w:firstLineChars="196"/>
        <w:outlineLvl w:val="1"/>
        <w:rPr>
          <w:rFonts w:hint="eastAsia" w:ascii="微软雅黑" w:hAnsi="微软雅黑"/>
          <w:b/>
          <w:color w:val="auto"/>
          <w:szCs w:val="21"/>
        </w:rPr>
      </w:pPr>
      <w:r>
        <w:rPr>
          <w:rFonts w:hint="eastAsia" w:ascii="微软雅黑" w:hAnsi="微软雅黑"/>
          <w:b/>
          <w:color w:val="auto"/>
          <w:szCs w:val="21"/>
        </w:rPr>
        <w:t>9.</w:t>
      </w:r>
      <w:r>
        <w:rPr>
          <w:rFonts w:ascii="微软雅黑" w:hAnsi="微软雅黑"/>
          <w:b/>
          <w:color w:val="auto"/>
          <w:szCs w:val="21"/>
        </w:rPr>
        <w:t>2</w:t>
      </w:r>
      <w:r>
        <w:rPr>
          <w:rFonts w:hint="eastAsia" w:ascii="微软雅黑" w:hAnsi="微软雅黑"/>
          <w:b/>
          <w:color w:val="auto"/>
          <w:szCs w:val="21"/>
        </w:rPr>
        <w:t>.</w:t>
      </w:r>
      <w:r>
        <w:rPr>
          <w:rFonts w:ascii="微软雅黑" w:hAnsi="微软雅黑"/>
          <w:b/>
          <w:color w:val="auto"/>
          <w:szCs w:val="21"/>
        </w:rPr>
        <w:t>质疑、投诉应当采用书面形式，质疑书、投诉书均应明确阐述招标文件、招标过程</w:t>
      </w:r>
      <w:r>
        <w:rPr>
          <w:rFonts w:hint="eastAsia" w:ascii="微软雅黑" w:hAnsi="微软雅黑"/>
          <w:b/>
          <w:color w:val="auto"/>
          <w:szCs w:val="21"/>
        </w:rPr>
        <w:t>或</w:t>
      </w:r>
      <w:r>
        <w:rPr>
          <w:rFonts w:ascii="微软雅黑" w:hAnsi="微软雅黑"/>
          <w:b/>
          <w:color w:val="auto"/>
          <w:szCs w:val="21"/>
        </w:rPr>
        <w:t>中标结果中使自己合法权益受到损害的实质性内容，提供相关事实、依据和证据及其来源或线索，便于有关单位调查、答复和处理</w:t>
      </w:r>
      <w:r>
        <w:rPr>
          <w:rFonts w:hint="eastAsia" w:ascii="微软雅黑" w:hAnsi="微软雅黑"/>
          <w:b/>
          <w:color w:val="auto"/>
          <w:szCs w:val="21"/>
        </w:rPr>
        <w:t>。</w:t>
      </w:r>
      <w:bookmarkEnd w:id="69"/>
    </w:p>
    <w:p w14:paraId="2D9F9B15">
      <w:pPr>
        <w:pStyle w:val="2"/>
        <w:spacing w:line="500" w:lineRule="exact"/>
        <w:ind w:firstLine="420"/>
        <w:rPr>
          <w:rFonts w:hint="eastAsia" w:ascii="微软雅黑" w:hAnsi="微软雅黑"/>
          <w:color w:val="auto"/>
          <w:szCs w:val="21"/>
        </w:rPr>
      </w:pPr>
      <w:bookmarkStart w:id="70" w:name="_Toc493511613"/>
      <w:r>
        <w:rPr>
          <w:rFonts w:hint="eastAsia" w:ascii="微软雅黑" w:hAnsi="微软雅黑"/>
          <w:color w:val="auto"/>
          <w:szCs w:val="21"/>
        </w:rPr>
        <w:t>二 、招标文件</w:t>
      </w:r>
      <w:bookmarkEnd w:id="62"/>
      <w:bookmarkEnd w:id="70"/>
    </w:p>
    <w:p w14:paraId="5F0D360A">
      <w:pPr>
        <w:pStyle w:val="4"/>
        <w:spacing w:line="500" w:lineRule="exact"/>
        <w:ind w:firstLine="420"/>
        <w:rPr>
          <w:rFonts w:hint="eastAsia" w:ascii="微软雅黑" w:hAnsi="微软雅黑"/>
          <w:color w:val="auto"/>
          <w:szCs w:val="21"/>
        </w:rPr>
      </w:pPr>
      <w:bookmarkStart w:id="71" w:name="_Toc493511614"/>
      <w:r>
        <w:rPr>
          <w:rFonts w:hint="eastAsia" w:ascii="微软雅黑" w:hAnsi="微软雅黑"/>
          <w:color w:val="auto"/>
          <w:szCs w:val="21"/>
        </w:rPr>
        <w:t>1、招标文件的构成</w:t>
      </w:r>
      <w:bookmarkEnd w:id="71"/>
    </w:p>
    <w:p w14:paraId="18DF0D6E">
      <w:pPr>
        <w:pStyle w:val="19"/>
        <w:snapToGrid w:val="0"/>
        <w:spacing w:line="500" w:lineRule="exact"/>
        <w:ind w:firstLine="420"/>
        <w:rPr>
          <w:rFonts w:hint="eastAsia" w:ascii="微软雅黑" w:hAnsi="微软雅黑"/>
          <w:color w:val="auto"/>
          <w:spacing w:val="0"/>
          <w:sz w:val="21"/>
          <w:szCs w:val="21"/>
        </w:rPr>
      </w:pPr>
      <w:bookmarkStart w:id="72" w:name="_Toc493511615"/>
      <w:r>
        <w:rPr>
          <w:rFonts w:hint="eastAsia" w:ascii="微软雅黑" w:hAnsi="微软雅黑"/>
          <w:color w:val="auto"/>
          <w:spacing w:val="0"/>
          <w:sz w:val="21"/>
          <w:szCs w:val="21"/>
        </w:rPr>
        <w:t>1.1、公开招标采购公告</w:t>
      </w:r>
      <w:bookmarkEnd w:id="72"/>
    </w:p>
    <w:p w14:paraId="4012E8BD">
      <w:pPr>
        <w:pStyle w:val="19"/>
        <w:snapToGrid w:val="0"/>
        <w:spacing w:line="500" w:lineRule="exact"/>
        <w:ind w:firstLine="420"/>
        <w:rPr>
          <w:rFonts w:hint="eastAsia" w:ascii="微软雅黑" w:hAnsi="微软雅黑"/>
          <w:color w:val="auto"/>
          <w:spacing w:val="0"/>
          <w:sz w:val="21"/>
          <w:szCs w:val="21"/>
        </w:rPr>
      </w:pPr>
      <w:bookmarkStart w:id="73" w:name="_Toc493511616"/>
      <w:r>
        <w:rPr>
          <w:rFonts w:hint="eastAsia" w:ascii="微软雅黑" w:hAnsi="微软雅黑"/>
          <w:color w:val="auto"/>
          <w:spacing w:val="0"/>
          <w:sz w:val="21"/>
          <w:szCs w:val="21"/>
        </w:rPr>
        <w:t>1.2、招标项目要求</w:t>
      </w:r>
      <w:bookmarkEnd w:id="73"/>
    </w:p>
    <w:p w14:paraId="307761D8">
      <w:pPr>
        <w:pStyle w:val="19"/>
        <w:snapToGrid w:val="0"/>
        <w:spacing w:line="500" w:lineRule="exact"/>
        <w:ind w:firstLine="420"/>
        <w:rPr>
          <w:rFonts w:hint="eastAsia" w:ascii="微软雅黑" w:hAnsi="微软雅黑"/>
          <w:color w:val="auto"/>
          <w:spacing w:val="0"/>
          <w:sz w:val="21"/>
          <w:szCs w:val="21"/>
        </w:rPr>
      </w:pPr>
      <w:bookmarkStart w:id="74" w:name="_Toc493511617"/>
      <w:r>
        <w:rPr>
          <w:rFonts w:hint="eastAsia" w:ascii="微软雅黑" w:hAnsi="微软雅黑"/>
          <w:color w:val="auto"/>
          <w:spacing w:val="0"/>
          <w:sz w:val="21"/>
          <w:szCs w:val="21"/>
        </w:rPr>
        <w:t>1.3、投标人须知</w:t>
      </w:r>
      <w:bookmarkEnd w:id="74"/>
    </w:p>
    <w:p w14:paraId="6EF1645F">
      <w:pPr>
        <w:pStyle w:val="19"/>
        <w:snapToGrid w:val="0"/>
        <w:spacing w:line="500" w:lineRule="exact"/>
        <w:ind w:firstLine="420"/>
        <w:rPr>
          <w:rFonts w:hint="eastAsia" w:ascii="微软雅黑" w:hAnsi="微软雅黑"/>
          <w:color w:val="auto"/>
          <w:spacing w:val="0"/>
          <w:sz w:val="21"/>
          <w:szCs w:val="21"/>
        </w:rPr>
      </w:pPr>
      <w:bookmarkStart w:id="75" w:name="_Toc493511618"/>
      <w:r>
        <w:rPr>
          <w:rFonts w:hint="eastAsia" w:ascii="微软雅黑" w:hAnsi="微软雅黑"/>
          <w:color w:val="auto"/>
          <w:spacing w:val="0"/>
          <w:sz w:val="21"/>
          <w:szCs w:val="21"/>
        </w:rPr>
        <w:t>1.4、评标办法</w:t>
      </w:r>
      <w:bookmarkEnd w:id="75"/>
    </w:p>
    <w:p w14:paraId="3DA48699">
      <w:pPr>
        <w:pStyle w:val="19"/>
        <w:snapToGrid w:val="0"/>
        <w:spacing w:line="500" w:lineRule="exact"/>
        <w:ind w:firstLine="420"/>
        <w:rPr>
          <w:rFonts w:hint="eastAsia" w:ascii="微软雅黑" w:hAnsi="微软雅黑"/>
          <w:color w:val="auto"/>
          <w:spacing w:val="0"/>
          <w:sz w:val="21"/>
          <w:szCs w:val="21"/>
        </w:rPr>
      </w:pPr>
      <w:bookmarkStart w:id="76" w:name="_Toc493511619"/>
      <w:r>
        <w:rPr>
          <w:rFonts w:hint="eastAsia" w:ascii="微软雅黑" w:hAnsi="微软雅黑"/>
          <w:color w:val="auto"/>
          <w:spacing w:val="0"/>
          <w:sz w:val="21"/>
          <w:szCs w:val="21"/>
        </w:rPr>
        <w:t>1.5、政府采购合同</w:t>
      </w:r>
      <w:bookmarkEnd w:id="76"/>
    </w:p>
    <w:p w14:paraId="6BCC7F9C">
      <w:pPr>
        <w:pStyle w:val="19"/>
        <w:snapToGrid w:val="0"/>
        <w:spacing w:line="500" w:lineRule="exact"/>
        <w:ind w:firstLine="420"/>
        <w:rPr>
          <w:rFonts w:hint="eastAsia" w:ascii="微软雅黑" w:hAnsi="微软雅黑"/>
          <w:color w:val="auto"/>
          <w:spacing w:val="0"/>
          <w:sz w:val="21"/>
          <w:szCs w:val="21"/>
        </w:rPr>
      </w:pPr>
      <w:bookmarkStart w:id="77" w:name="_Toc493511620"/>
      <w:r>
        <w:rPr>
          <w:rFonts w:hint="eastAsia" w:ascii="微软雅黑" w:hAnsi="微软雅黑"/>
          <w:color w:val="auto"/>
          <w:spacing w:val="0"/>
          <w:sz w:val="21"/>
          <w:szCs w:val="21"/>
        </w:rPr>
        <w:t>1.6、投标文件相关文件格式</w:t>
      </w:r>
      <w:bookmarkEnd w:id="77"/>
      <w:bookmarkStart w:id="78" w:name="_Toc482363722"/>
    </w:p>
    <w:p w14:paraId="1F487052">
      <w:pPr>
        <w:pStyle w:val="19"/>
        <w:snapToGrid w:val="0"/>
        <w:spacing w:line="500" w:lineRule="exact"/>
        <w:ind w:firstLine="420"/>
        <w:rPr>
          <w:rFonts w:hint="eastAsia" w:ascii="微软雅黑" w:hAnsi="微软雅黑"/>
          <w:color w:val="auto"/>
          <w:spacing w:val="0"/>
          <w:sz w:val="21"/>
          <w:szCs w:val="21"/>
        </w:rPr>
      </w:pPr>
      <w:bookmarkStart w:id="79" w:name="_Toc493511621"/>
      <w:r>
        <w:rPr>
          <w:rFonts w:hint="eastAsia" w:ascii="微软雅黑" w:hAnsi="微软雅黑"/>
          <w:color w:val="auto"/>
          <w:spacing w:val="0"/>
          <w:sz w:val="21"/>
          <w:szCs w:val="21"/>
        </w:rPr>
        <w:t>1.7、本项目招标文件的澄清、答复、修改、补充的内容（所有内容将以电子文档形式上传于浙江政府采购网网站（</w:t>
      </w:r>
      <w:r>
        <w:rPr>
          <w:rFonts w:ascii="微软雅黑" w:hAnsi="微软雅黑"/>
          <w:color w:val="auto"/>
          <w:spacing w:val="0"/>
          <w:sz w:val="21"/>
          <w:szCs w:val="21"/>
        </w:rPr>
        <w:t>https://zfcg.czt.zj.gov.cn/</w:t>
      </w:r>
      <w:r>
        <w:rPr>
          <w:rFonts w:hint="eastAsia" w:ascii="微软雅黑" w:hAnsi="微软雅黑"/>
          <w:color w:val="auto"/>
          <w:spacing w:val="0"/>
          <w:sz w:val="21"/>
          <w:szCs w:val="21"/>
        </w:rPr>
        <w:t>）。澄清、答复、修改、补充的内容均作为招标文件的组成部分，具有约束作用。投标人必须自行下载。）</w:t>
      </w:r>
      <w:bookmarkEnd w:id="78"/>
      <w:bookmarkEnd w:id="79"/>
    </w:p>
    <w:p w14:paraId="3909BBF4">
      <w:pPr>
        <w:pStyle w:val="4"/>
        <w:spacing w:line="500" w:lineRule="exact"/>
        <w:ind w:firstLine="420"/>
        <w:rPr>
          <w:rFonts w:hint="eastAsia" w:ascii="微软雅黑" w:hAnsi="微软雅黑"/>
          <w:color w:val="auto"/>
          <w:szCs w:val="21"/>
        </w:rPr>
      </w:pPr>
      <w:bookmarkStart w:id="80" w:name="_Toc493511622"/>
      <w:r>
        <w:rPr>
          <w:rFonts w:hint="eastAsia" w:ascii="微软雅黑" w:hAnsi="微软雅黑"/>
          <w:color w:val="auto"/>
          <w:szCs w:val="21"/>
        </w:rPr>
        <w:t>2、存在的风险</w:t>
      </w:r>
      <w:bookmarkEnd w:id="80"/>
    </w:p>
    <w:p w14:paraId="457C4207">
      <w:pPr>
        <w:spacing w:line="500" w:lineRule="exact"/>
        <w:ind w:firstLine="420"/>
        <w:rPr>
          <w:rFonts w:hint="eastAsia" w:ascii="微软雅黑" w:hAnsi="微软雅黑"/>
          <w:color w:val="auto"/>
          <w:szCs w:val="21"/>
        </w:rPr>
      </w:pPr>
      <w:bookmarkStart w:id="81" w:name="_Toc493511623"/>
      <w:r>
        <w:rPr>
          <w:rFonts w:hint="eastAsia" w:ascii="微软雅黑" w:hAnsi="微软雅黑"/>
          <w:color w:val="auto"/>
          <w:szCs w:val="21"/>
        </w:rPr>
        <w:t>投标人没有按照招标文件要求提供全部资料，或者投标人没有对招标文件在各方面作出实质性响应是投标人的风险，并可能导致其投标无效。</w:t>
      </w:r>
      <w:bookmarkEnd w:id="81"/>
    </w:p>
    <w:p w14:paraId="4AFDDDD6">
      <w:pPr>
        <w:pStyle w:val="4"/>
        <w:spacing w:line="500" w:lineRule="exact"/>
        <w:ind w:firstLine="420"/>
        <w:rPr>
          <w:rFonts w:hint="eastAsia" w:ascii="微软雅黑" w:hAnsi="微软雅黑"/>
          <w:color w:val="auto"/>
          <w:szCs w:val="21"/>
        </w:rPr>
      </w:pPr>
      <w:bookmarkStart w:id="82" w:name="_Toc493511624"/>
      <w:r>
        <w:rPr>
          <w:rFonts w:hint="eastAsia" w:ascii="微软雅黑" w:hAnsi="微软雅黑"/>
          <w:color w:val="auto"/>
          <w:szCs w:val="21"/>
        </w:rPr>
        <w:t>3、招标文件的澄清与修改</w:t>
      </w:r>
      <w:bookmarkEnd w:id="82"/>
    </w:p>
    <w:p w14:paraId="083425AD">
      <w:pPr>
        <w:snapToGrid w:val="0"/>
        <w:spacing w:line="500" w:lineRule="exact"/>
        <w:ind w:firstLine="420"/>
        <w:outlineLvl w:val="1"/>
        <w:rPr>
          <w:rFonts w:hint="eastAsia" w:ascii="微软雅黑" w:hAnsi="微软雅黑"/>
          <w:color w:val="auto"/>
          <w:szCs w:val="21"/>
        </w:rPr>
      </w:pPr>
      <w:bookmarkStart w:id="83" w:name="_Toc493511625"/>
      <w:r>
        <w:rPr>
          <w:rFonts w:hint="eastAsia" w:ascii="微软雅黑" w:hAnsi="微软雅黑"/>
          <w:color w:val="auto"/>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83"/>
    </w:p>
    <w:p w14:paraId="53960389">
      <w:pPr>
        <w:snapToGrid w:val="0"/>
        <w:spacing w:line="500" w:lineRule="exact"/>
        <w:ind w:firstLine="420"/>
        <w:outlineLvl w:val="1"/>
        <w:rPr>
          <w:rFonts w:hint="eastAsia" w:ascii="微软雅黑" w:hAnsi="微软雅黑"/>
          <w:color w:val="auto"/>
          <w:szCs w:val="21"/>
        </w:rPr>
      </w:pPr>
      <w:bookmarkStart w:id="84" w:name="_Toc493511626"/>
      <w:r>
        <w:rPr>
          <w:rFonts w:hint="eastAsia" w:ascii="微软雅黑" w:hAnsi="微软雅黑"/>
          <w:color w:val="auto"/>
          <w:szCs w:val="21"/>
        </w:rPr>
        <w:t>3.2、采购代理机构必须以书面形式答复所有购买招标文件的投标人（答复中不包含问题的来源）要求澄清的问题，同时认定其他澄清方式为无效。</w:t>
      </w:r>
      <w:bookmarkEnd w:id="84"/>
    </w:p>
    <w:p w14:paraId="3D12869F">
      <w:pPr>
        <w:snapToGrid w:val="0"/>
        <w:spacing w:line="500" w:lineRule="exact"/>
        <w:ind w:firstLine="420"/>
        <w:outlineLvl w:val="1"/>
        <w:rPr>
          <w:rFonts w:hint="eastAsia" w:ascii="微软雅黑" w:hAnsi="微软雅黑"/>
          <w:color w:val="auto"/>
          <w:szCs w:val="21"/>
        </w:rPr>
      </w:pPr>
      <w:bookmarkStart w:id="85" w:name="_Toc493511627"/>
      <w:r>
        <w:rPr>
          <w:rFonts w:hint="eastAsia" w:ascii="微软雅黑" w:hAnsi="微软雅黑"/>
          <w:color w:val="auto"/>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5"/>
    </w:p>
    <w:p w14:paraId="0AC3522A">
      <w:pPr>
        <w:snapToGrid w:val="0"/>
        <w:spacing w:line="500" w:lineRule="exact"/>
        <w:ind w:firstLine="420"/>
        <w:outlineLvl w:val="1"/>
        <w:rPr>
          <w:rFonts w:hint="eastAsia" w:ascii="微软雅黑" w:hAnsi="微软雅黑"/>
          <w:color w:val="auto"/>
          <w:szCs w:val="21"/>
        </w:rPr>
      </w:pPr>
      <w:bookmarkStart w:id="86" w:name="_Toc493511628"/>
      <w:r>
        <w:rPr>
          <w:rFonts w:hint="eastAsia" w:ascii="微软雅黑" w:hAnsi="微软雅黑"/>
          <w:color w:val="auto"/>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6"/>
    </w:p>
    <w:p w14:paraId="0233C4EB">
      <w:pPr>
        <w:snapToGrid w:val="0"/>
        <w:spacing w:line="500" w:lineRule="exact"/>
        <w:ind w:firstLine="420"/>
        <w:outlineLvl w:val="1"/>
        <w:rPr>
          <w:rFonts w:hint="eastAsia" w:ascii="微软雅黑" w:hAnsi="微软雅黑"/>
          <w:color w:val="auto"/>
          <w:szCs w:val="21"/>
        </w:rPr>
      </w:pPr>
      <w:bookmarkStart w:id="87" w:name="_Toc493511629"/>
      <w:r>
        <w:rPr>
          <w:rFonts w:hint="eastAsia" w:ascii="微软雅黑" w:hAnsi="微软雅黑"/>
          <w:color w:val="auto"/>
          <w:szCs w:val="21"/>
        </w:rPr>
        <w:t>3.5、招标文件的澄清或者修改都应该通过本代理机构以法定形式发布，采购人非通过本机构，不得擅自澄清或者修改招标文件。</w:t>
      </w:r>
      <w:bookmarkEnd w:id="87"/>
    </w:p>
    <w:p w14:paraId="17160C91">
      <w:pPr>
        <w:pStyle w:val="2"/>
        <w:spacing w:line="500" w:lineRule="exact"/>
        <w:ind w:firstLine="420"/>
        <w:rPr>
          <w:rFonts w:hint="eastAsia" w:ascii="微软雅黑" w:hAnsi="微软雅黑"/>
          <w:color w:val="auto"/>
          <w:szCs w:val="21"/>
        </w:rPr>
      </w:pPr>
      <w:bookmarkStart w:id="88" w:name="_Toc493511630"/>
      <w:bookmarkStart w:id="89" w:name="_Toc177870545"/>
      <w:r>
        <w:rPr>
          <w:rFonts w:hint="eastAsia" w:ascii="微软雅黑" w:hAnsi="微软雅黑"/>
          <w:color w:val="auto"/>
          <w:szCs w:val="21"/>
        </w:rPr>
        <w:t>三、 投标文件的编制</w:t>
      </w:r>
      <w:bookmarkEnd w:id="88"/>
      <w:bookmarkEnd w:id="89"/>
    </w:p>
    <w:p w14:paraId="43ECDC10">
      <w:pPr>
        <w:spacing w:line="500" w:lineRule="exact"/>
        <w:ind w:firstLine="420"/>
        <w:rPr>
          <w:rFonts w:hint="eastAsia" w:ascii="微软雅黑" w:hAnsi="微软雅黑"/>
          <w:color w:val="auto"/>
          <w:szCs w:val="21"/>
        </w:rPr>
      </w:pPr>
      <w:bookmarkStart w:id="90" w:name="_Toc33535356"/>
      <w:bookmarkStart w:id="91" w:name="_Toc493511643"/>
      <w:bookmarkStart w:id="92" w:name="_Toc177824877"/>
      <w:bookmarkStart w:id="93" w:name="_Toc177824944"/>
      <w:bookmarkStart w:id="94" w:name="_Toc177825125"/>
      <w:bookmarkStart w:id="95" w:name="_Toc177870547"/>
      <w:r>
        <w:rPr>
          <w:rFonts w:hint="eastAsia" w:ascii="微软雅黑" w:hAnsi="微软雅黑"/>
          <w:color w:val="auto"/>
          <w:szCs w:val="21"/>
        </w:rPr>
        <w:t>本项目所涉投标文件格式请详见第六章，未给出的格式请自拟。资信商务及技术文件中不得出现报价，否则投标文件将被视为无效。</w:t>
      </w:r>
      <w:bookmarkEnd w:id="90"/>
    </w:p>
    <w:p w14:paraId="70C323EE">
      <w:pPr>
        <w:pStyle w:val="26"/>
        <w:snapToGrid w:val="0"/>
        <w:spacing w:line="500" w:lineRule="exact"/>
        <w:ind w:firstLine="412" w:firstLineChars="196"/>
        <w:outlineLvl w:val="1"/>
        <w:rPr>
          <w:rFonts w:hint="eastAsia" w:ascii="微软雅黑" w:hAnsi="微软雅黑" w:cs="宋体"/>
          <w:b/>
          <w:color w:val="auto"/>
          <w:szCs w:val="21"/>
        </w:rPr>
      </w:pPr>
      <w:bookmarkStart w:id="96" w:name="_Toc33535357"/>
      <w:r>
        <w:rPr>
          <w:rFonts w:hint="eastAsia" w:ascii="微软雅黑" w:hAnsi="微软雅黑" w:cs="宋体"/>
          <w:b/>
          <w:color w:val="auto"/>
          <w:szCs w:val="21"/>
        </w:rPr>
        <w:t>总体要求：</w:t>
      </w:r>
      <w:bookmarkEnd w:id="96"/>
    </w:p>
    <w:p w14:paraId="094664AA">
      <w:pPr>
        <w:spacing w:line="500" w:lineRule="exact"/>
        <w:ind w:firstLine="420"/>
        <w:rPr>
          <w:rFonts w:hint="eastAsia" w:ascii="微软雅黑" w:hAnsi="微软雅黑"/>
          <w:color w:val="auto"/>
          <w:szCs w:val="21"/>
        </w:rPr>
      </w:pPr>
      <w:r>
        <w:rPr>
          <w:rFonts w:hint="eastAsia" w:ascii="微软雅黑" w:hAnsi="微软雅黑"/>
          <w:color w:val="auto"/>
          <w:szCs w:val="21"/>
        </w:rPr>
        <w:t>1、供应商</w:t>
      </w:r>
      <w:r>
        <w:rPr>
          <w:rFonts w:ascii="微软雅黑" w:hAnsi="微软雅黑"/>
          <w:color w:val="auto"/>
          <w:szCs w:val="21"/>
        </w:rPr>
        <w:t xml:space="preserve">应仔细阅读招标文件的所有内容，按本文件的要求提供投标文件，并保证所提供的全部资料的真实性，以使其投标文件对招标文件作出实质性响应，否则，投标文件可能视为无效投标文件。 </w:t>
      </w:r>
    </w:p>
    <w:p w14:paraId="6C908354">
      <w:pPr>
        <w:spacing w:line="500" w:lineRule="exact"/>
        <w:ind w:firstLine="420"/>
        <w:rPr>
          <w:rFonts w:hint="eastAsia" w:ascii="微软雅黑" w:hAnsi="微软雅黑"/>
          <w:color w:val="auto"/>
          <w:szCs w:val="21"/>
        </w:rPr>
      </w:pPr>
      <w:r>
        <w:rPr>
          <w:rFonts w:hint="eastAsia" w:ascii="微软雅黑" w:hAnsi="微软雅黑"/>
          <w:color w:val="auto"/>
          <w:szCs w:val="21"/>
        </w:rPr>
        <w:t>2、投标文件及供应商与采购有关的来往通知，函件和文件均应使用中文。</w:t>
      </w:r>
    </w:p>
    <w:p w14:paraId="7F0B28D8">
      <w:pPr>
        <w:spacing w:line="500" w:lineRule="exact"/>
        <w:ind w:firstLine="420"/>
        <w:rPr>
          <w:rFonts w:hint="eastAsia" w:ascii="微软雅黑" w:hAnsi="微软雅黑"/>
          <w:color w:val="auto"/>
          <w:szCs w:val="21"/>
        </w:rPr>
      </w:pPr>
      <w:r>
        <w:rPr>
          <w:rFonts w:hint="eastAsia" w:ascii="微软雅黑" w:hAnsi="微软雅黑"/>
          <w:color w:val="auto"/>
          <w:szCs w:val="21"/>
        </w:rPr>
        <w:t>3、供应商应按本文件中提供的文件格式、内容和要求制作投标文件。</w:t>
      </w:r>
    </w:p>
    <w:p w14:paraId="6A2AE612">
      <w:pPr>
        <w:spacing w:line="500" w:lineRule="exact"/>
        <w:ind w:firstLine="420"/>
        <w:rPr>
          <w:rFonts w:hint="eastAsia" w:ascii="微软雅黑" w:hAnsi="微软雅黑" w:cs="宋体"/>
          <w:bCs/>
          <w:color w:val="auto"/>
          <w:szCs w:val="21"/>
        </w:rPr>
      </w:pPr>
      <w:r>
        <w:rPr>
          <w:rFonts w:hint="eastAsia" w:ascii="微软雅黑" w:hAnsi="微软雅黑"/>
          <w:b/>
          <w:color w:val="auto"/>
          <w:szCs w:val="21"/>
        </w:rPr>
        <w:t>4、投标文件的效力：投标文件的启用，按先后顺位分别为电子投标文件、电子</w:t>
      </w:r>
      <w:r>
        <w:rPr>
          <w:rFonts w:hint="eastAsia" w:ascii="微软雅黑" w:hAnsi="微软雅黑" w:cs="宋体"/>
          <w:bCs/>
          <w:color w:val="auto"/>
          <w:szCs w:val="21"/>
        </w:rPr>
        <w:t>备份投标文件</w:t>
      </w:r>
      <w:r>
        <w:rPr>
          <w:rFonts w:hint="eastAsia" w:ascii="微软雅黑" w:hAnsi="微软雅黑"/>
          <w:b/>
          <w:color w:val="auto"/>
          <w:szCs w:val="21"/>
        </w:rPr>
        <w:t>。</w:t>
      </w:r>
      <w:r>
        <w:rPr>
          <w:rFonts w:hint="eastAsia" w:ascii="微软雅黑" w:hAnsi="微软雅黑" w:cs="宋体"/>
          <w:bCs/>
          <w:color w:val="auto"/>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AC92745">
      <w:pPr>
        <w:pStyle w:val="2"/>
        <w:spacing w:line="500" w:lineRule="exact"/>
        <w:ind w:firstLine="420"/>
        <w:rPr>
          <w:rFonts w:hint="eastAsia" w:ascii="微软雅黑" w:hAnsi="微软雅黑"/>
          <w:color w:val="auto"/>
          <w:szCs w:val="21"/>
        </w:rPr>
      </w:pPr>
      <w:bookmarkStart w:id="97" w:name="_Toc14695"/>
      <w:bookmarkStart w:id="98" w:name="_Toc406402944"/>
      <w:bookmarkStart w:id="99" w:name="_Toc20691"/>
      <w:bookmarkStart w:id="100" w:name="_Toc406402988"/>
      <w:bookmarkStart w:id="101" w:name="_Toc33535358"/>
      <w:r>
        <w:rPr>
          <w:rFonts w:hint="eastAsia" w:ascii="微软雅黑" w:hAnsi="微软雅黑"/>
          <w:color w:val="auto"/>
          <w:szCs w:val="21"/>
        </w:rPr>
        <w:t>（一）投标文件的组成</w:t>
      </w:r>
      <w:bookmarkEnd w:id="97"/>
      <w:bookmarkEnd w:id="98"/>
      <w:bookmarkEnd w:id="99"/>
      <w:bookmarkEnd w:id="100"/>
      <w:bookmarkEnd w:id="101"/>
    </w:p>
    <w:p w14:paraId="61F436AA">
      <w:pPr>
        <w:snapToGrid w:val="0"/>
        <w:spacing w:line="500" w:lineRule="exact"/>
        <w:ind w:firstLine="420"/>
        <w:rPr>
          <w:rFonts w:hint="eastAsia" w:ascii="微软雅黑" w:hAnsi="微软雅黑"/>
          <w:b/>
          <w:color w:val="auto"/>
          <w:szCs w:val="21"/>
        </w:rPr>
      </w:pPr>
      <w:r>
        <w:rPr>
          <w:rFonts w:hint="eastAsia" w:ascii="微软雅黑" w:hAnsi="微软雅黑"/>
          <w:b/>
          <w:color w:val="auto"/>
          <w:szCs w:val="21"/>
        </w:rPr>
        <w:t>包括电子投标文件和电子</w:t>
      </w:r>
      <w:r>
        <w:rPr>
          <w:rFonts w:hint="eastAsia" w:ascii="微软雅黑" w:hAnsi="微软雅黑" w:cs="宋体"/>
          <w:bCs/>
          <w:color w:val="auto"/>
          <w:szCs w:val="21"/>
        </w:rPr>
        <w:t>备份投标文件（选送）</w:t>
      </w:r>
      <w:r>
        <w:rPr>
          <w:rFonts w:hint="eastAsia" w:ascii="微软雅黑" w:hAnsi="微软雅黑"/>
          <w:b/>
          <w:color w:val="auto"/>
          <w:szCs w:val="21"/>
        </w:rPr>
        <w:t>，均由资格响应文件、商务技术文件及投标报价文件三部份组成。其中电子投标文件中所须加盖公章部分均采用CA签章。</w:t>
      </w:r>
    </w:p>
    <w:p w14:paraId="70E2053A">
      <w:pPr>
        <w:pStyle w:val="4"/>
        <w:numPr>
          <w:ilvl w:val="0"/>
          <w:numId w:val="7"/>
        </w:numPr>
        <w:spacing w:line="500" w:lineRule="exact"/>
        <w:ind w:left="0" w:firstLine="420"/>
        <w:rPr>
          <w:rFonts w:hint="eastAsia" w:ascii="微软雅黑" w:hAnsi="微软雅黑"/>
          <w:b/>
          <w:bCs w:val="0"/>
          <w:color w:val="auto"/>
          <w:szCs w:val="21"/>
        </w:rPr>
      </w:pPr>
      <w:r>
        <w:rPr>
          <w:rFonts w:hint="eastAsia" w:ascii="微软雅黑" w:hAnsi="微软雅黑"/>
          <w:b/>
          <w:bCs w:val="0"/>
          <w:color w:val="auto"/>
          <w:szCs w:val="21"/>
        </w:rPr>
        <w:t>资格响应文件：</w:t>
      </w:r>
    </w:p>
    <w:p w14:paraId="29EF6A5F">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具有独立承担民事责任的能力（供应商营业执照副本复印件）；</w:t>
      </w:r>
    </w:p>
    <w:p w14:paraId="60D0925B">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具有良好的商业信誉和健全的财务会计制度【供应商最近一年中任意一个月的财务报表或上年度财务报告（截止本项目投标截止日前2个月内新注册的单位为则不需提供）】；</w:t>
      </w:r>
    </w:p>
    <w:p w14:paraId="3C8B90B7">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具有履行合同所必需的设备和专业技术能力的承诺函（格式见附件）；</w:t>
      </w:r>
    </w:p>
    <w:p w14:paraId="513B8649">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有依法缴纳税收和社会保障资金的良好记录【（供应商最近一年中任意一个月的完税证明或纳税证明或银行缴税付款凭证等）（截止本项目投标截止日前2个月内新注册的单位为则不需提供）】；</w:t>
      </w:r>
    </w:p>
    <w:p w14:paraId="739B7522">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参加政府采购活动前三年，在经营活动中没有重大违法记录（承诺函（格式见附件））；</w:t>
      </w:r>
    </w:p>
    <w:p w14:paraId="2DE998A8">
      <w:pPr>
        <w:numPr>
          <w:ilvl w:val="1"/>
          <w:numId w:val="7"/>
        </w:numPr>
        <w:tabs>
          <w:tab w:val="left" w:pos="142"/>
        </w:tabs>
        <w:spacing w:line="500" w:lineRule="exact"/>
        <w:ind w:left="0" w:firstLine="420"/>
        <w:rPr>
          <w:rFonts w:hint="eastAsia" w:ascii="微软雅黑" w:hAnsi="微软雅黑"/>
          <w:color w:val="auto"/>
          <w:szCs w:val="21"/>
        </w:rPr>
      </w:pPr>
      <w:r>
        <w:rPr>
          <w:rFonts w:hint="eastAsia" w:ascii="微软雅黑" w:hAnsi="微软雅黑"/>
          <w:color w:val="auto"/>
          <w:szCs w:val="21"/>
        </w:rPr>
        <w:t>提供自招标公告发布之日起至投标截止日内任意时间的“信用中国”网站（</w:t>
      </w:r>
      <w:r>
        <w:rPr>
          <w:rFonts w:ascii="微软雅黑" w:hAnsi="微软雅黑"/>
          <w:color w:val="auto"/>
          <w:szCs w:val="21"/>
        </w:rPr>
        <w:t>https://www.creditchina.gov.cn/</w:t>
      </w:r>
      <w:r>
        <w:rPr>
          <w:rFonts w:hint="eastAsia" w:ascii="微软雅黑" w:hAnsi="微软雅黑"/>
          <w:color w:val="auto"/>
          <w:szCs w:val="21"/>
        </w:rPr>
        <w:t>）（未被信用中国网站</w:t>
      </w:r>
      <w:r>
        <w:rPr>
          <w:color w:val="auto"/>
        </w:rPr>
        <w:fldChar w:fldCharType="begin"/>
      </w:r>
      <w:r>
        <w:rPr>
          <w:color w:val="auto"/>
        </w:rPr>
        <w:instrText xml:space="preserve"> HYPERLINK \t "_blank" </w:instrText>
      </w:r>
      <w:r>
        <w:rPr>
          <w:color w:val="auto"/>
        </w:rPr>
        <w:fldChar w:fldCharType="separate"/>
      </w:r>
      <w:r>
        <w:rPr>
          <w:rStyle w:val="65"/>
          <w:rFonts w:hint="eastAsia" w:ascii="微软雅黑" w:hAnsi="微软雅黑"/>
          <w:color w:val="auto"/>
          <w:szCs w:val="21"/>
          <w:shd w:val="pct10" w:color="auto" w:fill="FFFFFF"/>
        </w:rPr>
        <w:t>列入失信被执行人、重大税收违法案件当事人名单</w:t>
      </w:r>
      <w:r>
        <w:rPr>
          <w:rStyle w:val="65"/>
          <w:rFonts w:hint="eastAsia" w:ascii="微软雅黑" w:hAnsi="微软雅黑"/>
          <w:color w:val="auto"/>
          <w:szCs w:val="21"/>
          <w:shd w:val="pct10" w:color="auto" w:fill="FFFFFF"/>
        </w:rPr>
        <w:fldChar w:fldCharType="end"/>
      </w:r>
      <w:r>
        <w:rPr>
          <w:rFonts w:ascii="微软雅黑" w:hAnsi="微软雅黑"/>
          <w:color w:val="auto"/>
          <w:szCs w:val="21"/>
        </w:rPr>
        <w:t>的</w:t>
      </w:r>
      <w:r>
        <w:rPr>
          <w:rFonts w:hint="eastAsia" w:ascii="微软雅黑" w:hAnsi="微软雅黑"/>
          <w:color w:val="auto"/>
          <w:szCs w:val="21"/>
        </w:rPr>
        <w:t>查询网页截图</w:t>
      </w:r>
      <w:r>
        <w:rPr>
          <w:rFonts w:ascii="微软雅黑" w:hAnsi="微软雅黑"/>
          <w:color w:val="auto"/>
          <w:szCs w:val="21"/>
        </w:rPr>
        <w:t>）</w:t>
      </w:r>
      <w:r>
        <w:rPr>
          <w:rFonts w:hint="eastAsia" w:ascii="微软雅黑" w:hAnsi="微软雅黑"/>
          <w:color w:val="auto"/>
          <w:szCs w:val="21"/>
        </w:rPr>
        <w:t>、中国政府采购网（</w:t>
      </w:r>
      <w:r>
        <w:rPr>
          <w:rFonts w:ascii="微软雅黑" w:hAnsi="微软雅黑"/>
          <w:color w:val="auto"/>
          <w:szCs w:val="21"/>
        </w:rPr>
        <w:t>http://www.ccgp.gov.cn/</w:t>
      </w:r>
      <w:r>
        <w:rPr>
          <w:rFonts w:hint="eastAsia" w:ascii="微软雅黑" w:hAnsi="微软雅黑"/>
          <w:color w:val="auto"/>
          <w:szCs w:val="21"/>
        </w:rPr>
        <w:t>）（未被中国政府采购网</w:t>
      </w:r>
      <w:r>
        <w:rPr>
          <w:color w:val="auto"/>
        </w:rPr>
        <w:fldChar w:fldCharType="begin"/>
      </w:r>
      <w:r>
        <w:rPr>
          <w:color w:val="auto"/>
        </w:rPr>
        <w:instrText xml:space="preserve"> HYPERLINK \t "_blank" </w:instrText>
      </w:r>
      <w:r>
        <w:rPr>
          <w:color w:val="auto"/>
        </w:rPr>
        <w:fldChar w:fldCharType="separate"/>
      </w:r>
      <w:r>
        <w:rPr>
          <w:rStyle w:val="65"/>
          <w:rFonts w:hint="eastAsia" w:ascii="微软雅黑" w:hAnsi="微软雅黑"/>
          <w:color w:val="auto"/>
          <w:szCs w:val="21"/>
          <w:shd w:val="pct10" w:color="auto" w:fill="FFFFFF"/>
        </w:rPr>
        <w:t>列入政府采购严重违法失信行为记录名单</w:t>
      </w:r>
      <w:r>
        <w:rPr>
          <w:rStyle w:val="65"/>
          <w:rFonts w:hint="eastAsia" w:ascii="微软雅黑" w:hAnsi="微软雅黑"/>
          <w:color w:val="auto"/>
          <w:szCs w:val="21"/>
          <w:shd w:val="pct10" w:color="auto" w:fill="FFFFFF"/>
        </w:rPr>
        <w:fldChar w:fldCharType="end"/>
      </w:r>
      <w:r>
        <w:rPr>
          <w:rFonts w:ascii="微软雅黑" w:hAnsi="微软雅黑"/>
          <w:color w:val="auto"/>
          <w:szCs w:val="21"/>
        </w:rPr>
        <w:t>的</w:t>
      </w:r>
      <w:r>
        <w:rPr>
          <w:rFonts w:hint="eastAsia" w:ascii="微软雅黑" w:hAnsi="微软雅黑"/>
          <w:color w:val="auto"/>
          <w:szCs w:val="21"/>
        </w:rPr>
        <w:t>查询网页截图）（以开标当日采购单位或由采购单位委托的评标委员会核实的查询结果为准）；</w:t>
      </w:r>
    </w:p>
    <w:p w14:paraId="75922FE2">
      <w:pPr>
        <w:numPr>
          <w:ilvl w:val="1"/>
          <w:numId w:val="7"/>
        </w:numPr>
        <w:spacing w:line="500" w:lineRule="exact"/>
        <w:ind w:left="0" w:firstLine="420"/>
        <w:rPr>
          <w:color w:val="auto"/>
        </w:rPr>
      </w:pPr>
      <w:r>
        <w:rPr>
          <w:rFonts w:ascii="微软雅黑" w:hAnsi="微软雅黑"/>
          <w:color w:val="auto"/>
          <w:szCs w:val="21"/>
        </w:rPr>
        <w:t>法定代表人授权委托书</w:t>
      </w:r>
      <w:r>
        <w:rPr>
          <w:rFonts w:hint="eastAsia" w:ascii="微软雅黑" w:hAnsi="微软雅黑"/>
          <w:color w:val="auto"/>
          <w:szCs w:val="21"/>
        </w:rPr>
        <w:t>；</w:t>
      </w:r>
    </w:p>
    <w:p w14:paraId="0443DC8D">
      <w:pPr>
        <w:numPr>
          <w:ilvl w:val="1"/>
          <w:numId w:val="7"/>
        </w:numPr>
        <w:spacing w:line="500" w:lineRule="exact"/>
        <w:ind w:left="0" w:firstLine="420"/>
        <w:rPr>
          <w:rFonts w:hint="eastAsia" w:ascii="微软雅黑" w:hAnsi="微软雅黑"/>
          <w:color w:val="auto"/>
          <w:szCs w:val="21"/>
        </w:rPr>
      </w:pPr>
      <w:r>
        <w:rPr>
          <w:rFonts w:ascii="微软雅黑" w:hAnsi="微软雅黑"/>
          <w:color w:val="auto"/>
          <w:szCs w:val="21"/>
        </w:rPr>
        <w:t>投标人特定资格要求（证明材料）</w:t>
      </w:r>
      <w:r>
        <w:rPr>
          <w:rFonts w:hint="eastAsia" w:ascii="微软雅黑" w:hAnsi="微软雅黑"/>
          <w:color w:val="auto"/>
          <w:szCs w:val="21"/>
        </w:rPr>
        <w:t>；</w:t>
      </w:r>
    </w:p>
    <w:p w14:paraId="3A70D2FB">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中小企业声明函、残疾人福利性单位声明函及其他符合政策性条件的承诺函或证明材料</w:t>
      </w:r>
      <w:r>
        <w:rPr>
          <w:rFonts w:ascii="微软雅黑" w:hAnsi="微软雅黑"/>
          <w:color w:val="auto"/>
          <w:szCs w:val="21"/>
        </w:rPr>
        <w:t>。</w:t>
      </w:r>
    </w:p>
    <w:p w14:paraId="155AC526">
      <w:pPr>
        <w:pStyle w:val="4"/>
        <w:numPr>
          <w:ilvl w:val="0"/>
          <w:numId w:val="7"/>
        </w:numPr>
        <w:spacing w:line="500" w:lineRule="exact"/>
        <w:ind w:left="0" w:firstLine="420"/>
        <w:rPr>
          <w:rFonts w:hint="eastAsia" w:ascii="微软雅黑" w:hAnsi="微软雅黑"/>
          <w:b/>
          <w:bCs w:val="0"/>
          <w:color w:val="auto"/>
          <w:szCs w:val="21"/>
        </w:rPr>
      </w:pPr>
      <w:r>
        <w:rPr>
          <w:rFonts w:hint="eastAsia" w:ascii="微软雅黑" w:hAnsi="微软雅黑"/>
          <w:b/>
          <w:bCs w:val="0"/>
          <w:color w:val="auto"/>
          <w:szCs w:val="21"/>
        </w:rPr>
        <w:t>商务技术文件</w:t>
      </w:r>
    </w:p>
    <w:p w14:paraId="5649EDBD">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法定代表人资格证明文件；</w:t>
      </w:r>
    </w:p>
    <w:p w14:paraId="6D324892">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法定代表人授权委托书；</w:t>
      </w:r>
    </w:p>
    <w:p w14:paraId="3D16EBDF">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类似案例成功的业绩（合同复印件）；</w:t>
      </w:r>
    </w:p>
    <w:p w14:paraId="336393F8">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与本项目实施相关的供应商各类资质证书、认证证书、许可证等（如信誉荣誉等提供复印件）；</w:t>
      </w:r>
    </w:p>
    <w:p w14:paraId="0E304F4A">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供应商情况介绍；</w:t>
      </w:r>
    </w:p>
    <w:p w14:paraId="6E5E7437">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商务响应表；</w:t>
      </w:r>
    </w:p>
    <w:p w14:paraId="389D53DF">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对项目的认识和理解：</w:t>
      </w:r>
    </w:p>
    <w:p w14:paraId="06A76F73">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项目的重点、难点分析；</w:t>
      </w:r>
    </w:p>
    <w:p w14:paraId="606B55A8">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针对本项目服务的保密措施</w:t>
      </w:r>
    </w:p>
    <w:p w14:paraId="10C207CB">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针对本项目服务的技术方案</w:t>
      </w:r>
    </w:p>
    <w:p w14:paraId="7EB1B096">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针对本项目服务的保证措施；</w:t>
      </w:r>
    </w:p>
    <w:p w14:paraId="01D07364">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针对本项目的项目进度安排；</w:t>
      </w:r>
    </w:p>
    <w:p w14:paraId="34E77169">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技术偏离表；</w:t>
      </w:r>
    </w:p>
    <w:p w14:paraId="2DF697D3">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保证本项目有效实施的组织方案及人力资源安排；</w:t>
      </w:r>
    </w:p>
    <w:p w14:paraId="682B397D">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投标人需要说明的其他文件和说明（格式自拟）；</w:t>
      </w:r>
    </w:p>
    <w:p w14:paraId="5D496752">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未尽事宜请各供应商按评分细则制作。</w:t>
      </w:r>
    </w:p>
    <w:p w14:paraId="640D98BE">
      <w:pPr>
        <w:pStyle w:val="4"/>
        <w:numPr>
          <w:ilvl w:val="0"/>
          <w:numId w:val="7"/>
        </w:numPr>
        <w:spacing w:line="500" w:lineRule="exact"/>
        <w:ind w:left="0" w:firstLine="420"/>
        <w:rPr>
          <w:rFonts w:hint="eastAsia" w:ascii="微软雅黑" w:hAnsi="微软雅黑"/>
          <w:b/>
          <w:bCs w:val="0"/>
          <w:color w:val="auto"/>
          <w:szCs w:val="21"/>
        </w:rPr>
      </w:pPr>
      <w:r>
        <w:rPr>
          <w:rFonts w:hint="eastAsia" w:ascii="微软雅黑" w:hAnsi="微软雅黑"/>
          <w:b/>
          <w:bCs w:val="0"/>
          <w:color w:val="auto"/>
          <w:szCs w:val="21"/>
        </w:rPr>
        <w:t>投标报价文件：</w:t>
      </w:r>
    </w:p>
    <w:p w14:paraId="78A996B3">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 xml:space="preserve">投标函； </w:t>
      </w:r>
    </w:p>
    <w:p w14:paraId="1D073D87">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开标一览表；</w:t>
      </w:r>
    </w:p>
    <w:p w14:paraId="39D0181E">
      <w:pPr>
        <w:numPr>
          <w:ilvl w:val="1"/>
          <w:numId w:val="7"/>
        </w:numPr>
        <w:spacing w:line="500" w:lineRule="exact"/>
        <w:ind w:left="0" w:firstLine="420"/>
        <w:rPr>
          <w:rFonts w:hint="eastAsia" w:ascii="微软雅黑" w:hAnsi="微软雅黑"/>
          <w:color w:val="auto"/>
          <w:szCs w:val="21"/>
        </w:rPr>
      </w:pPr>
      <w:r>
        <w:rPr>
          <w:rFonts w:hint="eastAsia" w:ascii="微软雅黑" w:hAnsi="微软雅黑"/>
          <w:color w:val="auto"/>
          <w:szCs w:val="21"/>
        </w:rPr>
        <w:t>供应商针对报价需要说明的其他文件和说明。</w:t>
      </w:r>
    </w:p>
    <w:bookmarkEnd w:id="91"/>
    <w:p w14:paraId="7F3A19F3">
      <w:pPr>
        <w:spacing w:line="500" w:lineRule="exact"/>
        <w:ind w:firstLine="420"/>
        <w:rPr>
          <w:rFonts w:hint="eastAsia" w:ascii="微软雅黑" w:hAnsi="微软雅黑"/>
          <w:color w:val="auto"/>
          <w:szCs w:val="21"/>
        </w:rPr>
      </w:pPr>
      <w:bookmarkStart w:id="102" w:name="_Toc493511656"/>
      <w:r>
        <w:rPr>
          <w:rFonts w:hint="eastAsia" w:ascii="微软雅黑" w:hAnsi="微软雅黑"/>
          <w:color w:val="auto"/>
          <w:szCs w:val="21"/>
        </w:rPr>
        <w:t>▲</w:t>
      </w:r>
      <w:r>
        <w:rPr>
          <w:rFonts w:ascii="微软雅黑" w:hAnsi="微软雅黑"/>
          <w:color w:val="auto"/>
          <w:szCs w:val="21"/>
        </w:rPr>
        <w:t>注：法定代表人授权委托书、投标声明书、投标函、开标一览表必须由法定代表人</w:t>
      </w:r>
      <w:r>
        <w:rPr>
          <w:rFonts w:hint="eastAsia" w:ascii="微软雅黑" w:hAnsi="微软雅黑"/>
          <w:color w:val="auto"/>
          <w:szCs w:val="21"/>
        </w:rPr>
        <w:t>或负责人或授权代表</w:t>
      </w:r>
      <w:r>
        <w:rPr>
          <w:rFonts w:ascii="微软雅黑" w:hAnsi="微软雅黑"/>
          <w:color w:val="auto"/>
          <w:szCs w:val="21"/>
        </w:rPr>
        <w:t>签名并加盖单位公章。</w:t>
      </w:r>
      <w:bookmarkEnd w:id="102"/>
    </w:p>
    <w:bookmarkEnd w:id="92"/>
    <w:bookmarkEnd w:id="93"/>
    <w:bookmarkEnd w:id="94"/>
    <w:bookmarkEnd w:id="95"/>
    <w:p w14:paraId="7302846C">
      <w:pPr>
        <w:pStyle w:val="2"/>
        <w:spacing w:line="500" w:lineRule="exact"/>
        <w:ind w:firstLine="420"/>
        <w:rPr>
          <w:rFonts w:hint="eastAsia" w:ascii="微软雅黑" w:hAnsi="微软雅黑"/>
          <w:color w:val="auto"/>
          <w:szCs w:val="21"/>
        </w:rPr>
      </w:pPr>
      <w:bookmarkStart w:id="103" w:name="_Toc406402990"/>
      <w:bookmarkStart w:id="104" w:name="_Toc23059"/>
      <w:bookmarkStart w:id="105" w:name="_Toc406402946"/>
      <w:bookmarkStart w:id="106" w:name="_Toc402963117"/>
      <w:bookmarkStart w:id="107" w:name="_Toc385854100"/>
      <w:bookmarkStart w:id="108" w:name="_Toc33535360"/>
      <w:bookmarkStart w:id="109" w:name="_Toc402963084"/>
      <w:bookmarkStart w:id="110" w:name="_Toc385854146"/>
      <w:bookmarkStart w:id="111" w:name="_Toc21503"/>
      <w:bookmarkStart w:id="112" w:name="_Toc493511751"/>
      <w:r>
        <w:rPr>
          <w:rFonts w:hint="eastAsia" w:ascii="微软雅黑" w:hAnsi="微软雅黑"/>
          <w:color w:val="auto"/>
          <w:szCs w:val="21"/>
        </w:rPr>
        <w:t>（二）投标文件的语言及计量</w:t>
      </w:r>
      <w:bookmarkEnd w:id="103"/>
      <w:bookmarkEnd w:id="104"/>
      <w:bookmarkEnd w:id="105"/>
      <w:bookmarkEnd w:id="106"/>
      <w:bookmarkEnd w:id="107"/>
      <w:bookmarkEnd w:id="108"/>
      <w:bookmarkEnd w:id="109"/>
      <w:bookmarkEnd w:id="110"/>
      <w:bookmarkEnd w:id="111"/>
    </w:p>
    <w:p w14:paraId="429F1AE5">
      <w:pPr>
        <w:snapToGrid w:val="0"/>
        <w:spacing w:line="500" w:lineRule="exact"/>
        <w:ind w:firstLine="420"/>
        <w:rPr>
          <w:rFonts w:hint="eastAsia" w:ascii="微软雅黑" w:hAnsi="微软雅黑"/>
          <w:color w:val="auto"/>
          <w:szCs w:val="21"/>
        </w:rPr>
      </w:pPr>
      <w:r>
        <w:rPr>
          <w:rFonts w:ascii="微软雅黑" w:hAnsi="微软雅黑"/>
          <w:color w:val="auto"/>
          <w:szCs w:val="21"/>
        </w:rPr>
        <w:t>1</w:t>
      </w:r>
      <w:r>
        <w:rPr>
          <w:rFonts w:hint="eastAsia" w:ascii="微软雅黑" w:hAnsi="微软雅黑"/>
          <w:color w:val="auto"/>
          <w:szCs w:val="21"/>
        </w:rPr>
        <w:t>、</w:t>
      </w:r>
      <w:r>
        <w:rPr>
          <w:rFonts w:ascii="微软雅黑" w:hAnsi="微软雅黑"/>
          <w:color w:val="auto"/>
          <w:szCs w:val="21"/>
        </w:rPr>
        <w:t>投标文件以及投标方与招标方就有关投标事宜的所有来往函电，均应以中文汉语书写。除签名、盖章、专用名称等特殊情形外，以中文汉语以外的文字表述的投标文件视同未提供。</w:t>
      </w:r>
    </w:p>
    <w:p w14:paraId="6CD7A02D">
      <w:pPr>
        <w:snapToGrid w:val="0"/>
        <w:spacing w:line="500" w:lineRule="exact"/>
        <w:ind w:firstLine="420"/>
        <w:rPr>
          <w:rFonts w:hint="eastAsia" w:ascii="微软雅黑" w:hAnsi="微软雅黑"/>
          <w:color w:val="auto"/>
          <w:szCs w:val="21"/>
        </w:rPr>
      </w:pPr>
      <w:r>
        <w:rPr>
          <w:rFonts w:ascii="微软雅黑" w:hAnsi="微软雅黑"/>
          <w:color w:val="auto"/>
          <w:szCs w:val="21"/>
        </w:rPr>
        <w:t>2</w:t>
      </w:r>
      <w:r>
        <w:rPr>
          <w:rFonts w:hint="eastAsia" w:ascii="微软雅黑" w:hAnsi="微软雅黑"/>
          <w:color w:val="auto"/>
          <w:szCs w:val="21"/>
        </w:rPr>
        <w:t>、</w:t>
      </w:r>
      <w:r>
        <w:rPr>
          <w:rFonts w:ascii="微软雅黑" w:hAnsi="微软雅黑"/>
          <w:color w:val="auto"/>
          <w:szCs w:val="21"/>
        </w:rPr>
        <w:t>投标计量单位，招标文件已有明确规定的，使用招标文件规定的计量单位；招标文件没有规定的，应采用中华人民共和国法定计量单位（货币单位：人民币元），否则视同未响应。</w:t>
      </w:r>
    </w:p>
    <w:p w14:paraId="2728C826">
      <w:pPr>
        <w:pStyle w:val="2"/>
        <w:spacing w:line="500" w:lineRule="exact"/>
        <w:ind w:firstLine="420"/>
        <w:rPr>
          <w:rFonts w:hint="eastAsia" w:ascii="微软雅黑" w:hAnsi="微软雅黑"/>
          <w:color w:val="auto"/>
          <w:szCs w:val="21"/>
        </w:rPr>
      </w:pPr>
      <w:bookmarkStart w:id="113" w:name="_Toc406402947"/>
      <w:bookmarkStart w:id="114" w:name="_Toc33535361"/>
      <w:bookmarkStart w:id="115" w:name="_Toc402963118"/>
      <w:bookmarkStart w:id="116" w:name="_Toc406402991"/>
      <w:bookmarkStart w:id="117" w:name="_Toc385854101"/>
      <w:bookmarkStart w:id="118" w:name="_Toc402963085"/>
      <w:bookmarkStart w:id="119" w:name="_Toc20950"/>
      <w:bookmarkStart w:id="120" w:name="_Toc1380"/>
      <w:bookmarkStart w:id="121" w:name="_Toc385854147"/>
      <w:r>
        <w:rPr>
          <w:rFonts w:hint="eastAsia" w:ascii="微软雅黑" w:hAnsi="微软雅黑"/>
          <w:color w:val="auto"/>
          <w:szCs w:val="21"/>
        </w:rPr>
        <w:t>（三）投标报价</w:t>
      </w:r>
      <w:bookmarkEnd w:id="113"/>
      <w:bookmarkEnd w:id="114"/>
      <w:bookmarkEnd w:id="115"/>
      <w:bookmarkEnd w:id="116"/>
      <w:bookmarkEnd w:id="117"/>
      <w:bookmarkEnd w:id="118"/>
      <w:bookmarkEnd w:id="119"/>
      <w:bookmarkEnd w:id="120"/>
      <w:bookmarkEnd w:id="121"/>
    </w:p>
    <w:p w14:paraId="62931F90">
      <w:pPr>
        <w:pStyle w:val="26"/>
        <w:snapToGrid w:val="0"/>
        <w:spacing w:line="500" w:lineRule="exact"/>
        <w:ind w:firstLine="420"/>
        <w:rPr>
          <w:rFonts w:hint="eastAsia" w:ascii="微软雅黑" w:hAnsi="微软雅黑"/>
          <w:color w:val="auto"/>
          <w:szCs w:val="21"/>
        </w:rPr>
      </w:pPr>
      <w:r>
        <w:rPr>
          <w:rFonts w:ascii="微软雅黑" w:hAnsi="微软雅黑"/>
          <w:color w:val="auto"/>
          <w:szCs w:val="21"/>
        </w:rPr>
        <w:t>1</w:t>
      </w:r>
      <w:r>
        <w:rPr>
          <w:rFonts w:hint="eastAsia" w:ascii="微软雅黑" w:hAnsi="微软雅黑"/>
          <w:color w:val="auto"/>
          <w:szCs w:val="21"/>
        </w:rPr>
        <w:t>、</w:t>
      </w:r>
      <w:r>
        <w:rPr>
          <w:rFonts w:ascii="微软雅黑" w:hAnsi="微软雅黑"/>
          <w:color w:val="auto"/>
          <w:szCs w:val="21"/>
        </w:rPr>
        <w:t>投标报价应按招标文件中相关附表格式填写。</w:t>
      </w:r>
    </w:p>
    <w:p w14:paraId="412EB546">
      <w:pPr>
        <w:pStyle w:val="26"/>
        <w:snapToGrid w:val="0"/>
        <w:spacing w:line="500" w:lineRule="exact"/>
        <w:ind w:firstLine="420"/>
        <w:rPr>
          <w:rFonts w:hint="eastAsia" w:ascii="微软雅黑" w:hAnsi="微软雅黑"/>
          <w:color w:val="auto"/>
          <w:szCs w:val="21"/>
        </w:rPr>
      </w:pPr>
      <w:r>
        <w:rPr>
          <w:rFonts w:hint="eastAsia" w:ascii="微软雅黑" w:hAnsi="微软雅黑"/>
          <w:color w:val="auto"/>
          <w:szCs w:val="21"/>
        </w:rPr>
        <w:t>2、报价应包括提供保安服务所需的一切人员工资、奖金、各种加班费、夜餐费、各种社会保险（基本养老保险、基本医疗保险、工伤保险、失业保险）、食宿与交通、高温补偿费、设备及工具、器材、消耗材料、服装、安全、仓储、运输、维修、管理费用、税费、利润等完成合同所需的一切本身和不可或缺的所有工作开支、政策性文件规定及合同包含的所有风险、责任等各项全部费用并承担一切风险责任。</w:t>
      </w:r>
    </w:p>
    <w:p w14:paraId="37ED0FBA">
      <w:pPr>
        <w:pStyle w:val="26"/>
        <w:snapToGrid w:val="0"/>
        <w:spacing w:line="500" w:lineRule="exact"/>
        <w:ind w:firstLine="420"/>
        <w:rPr>
          <w:rFonts w:hint="eastAsia" w:ascii="微软雅黑" w:hAnsi="微软雅黑"/>
          <w:color w:val="auto"/>
          <w:szCs w:val="21"/>
        </w:rPr>
      </w:pPr>
      <w:r>
        <w:rPr>
          <w:rFonts w:ascii="微软雅黑" w:hAnsi="微软雅黑"/>
          <w:color w:val="auto"/>
          <w:szCs w:val="21"/>
        </w:rPr>
        <w:t>3</w:t>
      </w:r>
      <w:r>
        <w:rPr>
          <w:rFonts w:hint="eastAsia" w:ascii="微软雅黑" w:hAnsi="微软雅黑"/>
          <w:color w:val="auto"/>
          <w:szCs w:val="21"/>
        </w:rPr>
        <w:t>、</w:t>
      </w:r>
      <w:r>
        <w:rPr>
          <w:rFonts w:ascii="微软雅黑" w:hAnsi="微软雅黑"/>
          <w:color w:val="auto"/>
          <w:szCs w:val="21"/>
        </w:rPr>
        <w:t>投标文件只允许有一个报价，有选择的</w:t>
      </w:r>
      <w:r>
        <w:rPr>
          <w:rFonts w:hint="eastAsia" w:ascii="微软雅黑" w:hAnsi="微软雅黑"/>
          <w:color w:val="auto"/>
          <w:szCs w:val="21"/>
        </w:rPr>
        <w:t>或有条件的</w:t>
      </w:r>
      <w:r>
        <w:rPr>
          <w:rFonts w:ascii="微软雅黑" w:hAnsi="微软雅黑"/>
          <w:color w:val="auto"/>
          <w:szCs w:val="21"/>
        </w:rPr>
        <w:t>报价将不予接受。</w:t>
      </w:r>
    </w:p>
    <w:p w14:paraId="1C812F7C">
      <w:pPr>
        <w:pStyle w:val="2"/>
        <w:spacing w:line="500" w:lineRule="exact"/>
        <w:ind w:firstLine="420"/>
        <w:rPr>
          <w:rFonts w:hint="eastAsia" w:ascii="微软雅黑" w:hAnsi="微软雅黑"/>
          <w:color w:val="auto"/>
          <w:szCs w:val="21"/>
        </w:rPr>
      </w:pPr>
      <w:r>
        <w:rPr>
          <w:rFonts w:hint="eastAsia" w:ascii="微软雅黑" w:hAnsi="微软雅黑"/>
          <w:color w:val="auto"/>
          <w:szCs w:val="21"/>
        </w:rPr>
        <w:t>（四）投标文件的有效期</w:t>
      </w:r>
    </w:p>
    <w:p w14:paraId="23076484">
      <w:pPr>
        <w:spacing w:line="500" w:lineRule="exact"/>
        <w:ind w:firstLine="420"/>
        <w:rPr>
          <w:rFonts w:hint="eastAsia" w:ascii="微软雅黑" w:hAnsi="微软雅黑"/>
          <w:color w:val="auto"/>
          <w:szCs w:val="21"/>
        </w:rPr>
      </w:pPr>
      <w:r>
        <w:rPr>
          <w:rFonts w:ascii="微软雅黑" w:hAnsi="微软雅黑"/>
          <w:color w:val="auto"/>
          <w:szCs w:val="21"/>
        </w:rPr>
        <w:t>1</w:t>
      </w:r>
      <w:r>
        <w:rPr>
          <w:rFonts w:hint="eastAsia" w:ascii="微软雅黑" w:hAnsi="微软雅黑"/>
          <w:color w:val="auto"/>
          <w:szCs w:val="21"/>
        </w:rPr>
        <w:t>、</w:t>
      </w:r>
      <w:r>
        <w:rPr>
          <w:rFonts w:ascii="微软雅黑" w:hAnsi="微软雅黑"/>
          <w:color w:val="auto"/>
          <w:szCs w:val="21"/>
        </w:rPr>
        <w:t>自投标截止日起</w:t>
      </w:r>
      <w:r>
        <w:rPr>
          <w:rFonts w:hint="eastAsia" w:ascii="微软雅黑" w:hAnsi="微软雅黑"/>
          <w:color w:val="auto"/>
          <w:szCs w:val="21"/>
        </w:rPr>
        <w:t>60</w:t>
      </w:r>
      <w:r>
        <w:rPr>
          <w:rFonts w:ascii="微软雅黑" w:hAnsi="微软雅黑"/>
          <w:color w:val="auto"/>
          <w:szCs w:val="21"/>
        </w:rPr>
        <w:t>天投标</w:t>
      </w:r>
      <w:r>
        <w:rPr>
          <w:rFonts w:hint="eastAsia" w:ascii="微软雅黑" w:hAnsi="微软雅黑"/>
          <w:color w:val="auto"/>
          <w:szCs w:val="21"/>
        </w:rPr>
        <w:t>文件</w:t>
      </w:r>
      <w:r>
        <w:rPr>
          <w:rFonts w:ascii="微软雅黑" w:hAnsi="微软雅黑"/>
          <w:color w:val="auto"/>
          <w:szCs w:val="21"/>
        </w:rPr>
        <w:t>应保持有效。有效期</w:t>
      </w:r>
      <w:r>
        <w:rPr>
          <w:rFonts w:hint="eastAsia" w:ascii="微软雅黑" w:hAnsi="微软雅黑"/>
          <w:color w:val="auto"/>
          <w:szCs w:val="21"/>
        </w:rPr>
        <w:t>不足</w:t>
      </w:r>
      <w:r>
        <w:rPr>
          <w:rFonts w:ascii="微软雅黑" w:hAnsi="微软雅黑"/>
          <w:color w:val="auto"/>
          <w:szCs w:val="21"/>
        </w:rPr>
        <w:t>的投标</w:t>
      </w:r>
      <w:r>
        <w:rPr>
          <w:rFonts w:hint="eastAsia" w:ascii="微软雅黑" w:hAnsi="微软雅黑"/>
          <w:color w:val="auto"/>
          <w:szCs w:val="21"/>
        </w:rPr>
        <w:t>文件</w:t>
      </w:r>
      <w:r>
        <w:rPr>
          <w:rFonts w:ascii="微软雅黑" w:hAnsi="微软雅黑"/>
          <w:color w:val="auto"/>
          <w:szCs w:val="21"/>
        </w:rPr>
        <w:t>将被拒绝。</w:t>
      </w:r>
    </w:p>
    <w:p w14:paraId="6DA7E5D4">
      <w:pPr>
        <w:spacing w:line="500" w:lineRule="exact"/>
        <w:ind w:firstLine="420"/>
        <w:rPr>
          <w:rFonts w:hint="eastAsia" w:ascii="微软雅黑" w:hAnsi="微软雅黑"/>
          <w:color w:val="auto"/>
          <w:szCs w:val="21"/>
        </w:rPr>
      </w:pPr>
      <w:r>
        <w:rPr>
          <w:rFonts w:ascii="微软雅黑" w:hAnsi="微软雅黑"/>
          <w:color w:val="auto"/>
          <w:szCs w:val="21"/>
        </w:rPr>
        <w:t>2</w:t>
      </w:r>
      <w:r>
        <w:rPr>
          <w:rFonts w:hint="eastAsia" w:ascii="微软雅黑" w:hAnsi="微软雅黑"/>
          <w:color w:val="auto"/>
          <w:szCs w:val="21"/>
        </w:rPr>
        <w:t>、</w:t>
      </w:r>
      <w:r>
        <w:rPr>
          <w:rFonts w:ascii="微软雅黑" w:hAnsi="微软雅黑"/>
          <w:color w:val="auto"/>
          <w:szCs w:val="21"/>
        </w:rPr>
        <w:t>在特殊情况下，</w:t>
      </w:r>
      <w:r>
        <w:rPr>
          <w:rFonts w:hint="eastAsia" w:ascii="微软雅黑" w:hAnsi="微软雅黑"/>
          <w:color w:val="auto"/>
          <w:szCs w:val="21"/>
        </w:rPr>
        <w:t>采购人</w:t>
      </w:r>
      <w:r>
        <w:rPr>
          <w:rFonts w:ascii="微软雅黑" w:hAnsi="微软雅黑"/>
          <w:color w:val="auto"/>
          <w:szCs w:val="21"/>
        </w:rPr>
        <w:t>可与供应商协商延长投标书的有效期，这种要求和答复均以书面形式进行。</w:t>
      </w:r>
    </w:p>
    <w:p w14:paraId="5D28F9F7">
      <w:pPr>
        <w:spacing w:line="500" w:lineRule="exact"/>
        <w:ind w:firstLine="420"/>
        <w:rPr>
          <w:rFonts w:hint="eastAsia" w:ascii="微软雅黑" w:hAnsi="微软雅黑"/>
          <w:color w:val="auto"/>
          <w:szCs w:val="21"/>
        </w:rPr>
      </w:pPr>
      <w:bookmarkStart w:id="122" w:name="_Toc406402992"/>
      <w:bookmarkStart w:id="123" w:name="_Toc33535362"/>
      <w:bookmarkStart w:id="124" w:name="_Toc385854102"/>
      <w:bookmarkStart w:id="125" w:name="_Toc30697"/>
      <w:bookmarkStart w:id="126" w:name="_Toc385854148"/>
      <w:bookmarkStart w:id="127" w:name="_Toc402963119"/>
      <w:bookmarkStart w:id="128" w:name="_Toc406402948"/>
      <w:bookmarkStart w:id="129" w:name="_Toc21413"/>
      <w:bookmarkStart w:id="130" w:name="_Toc402963086"/>
      <w:r>
        <w:rPr>
          <w:rFonts w:ascii="微软雅黑" w:hAnsi="微软雅黑"/>
          <w:color w:val="auto"/>
          <w:szCs w:val="21"/>
        </w:rPr>
        <w:t>3</w:t>
      </w:r>
      <w:r>
        <w:rPr>
          <w:rFonts w:hint="eastAsia" w:ascii="微软雅黑" w:hAnsi="微软雅黑"/>
          <w:color w:val="auto"/>
          <w:szCs w:val="21"/>
        </w:rPr>
        <w:t>、</w:t>
      </w:r>
      <w:r>
        <w:rPr>
          <w:rFonts w:ascii="微软雅黑" w:hAnsi="微软雅黑"/>
          <w:color w:val="auto"/>
          <w:szCs w:val="21"/>
        </w:rPr>
        <w:t>供应商可拒绝接受延期要求。同意延长有效期的供应商不能修改投标文件。</w:t>
      </w:r>
      <w:bookmarkEnd w:id="122"/>
      <w:bookmarkEnd w:id="123"/>
      <w:bookmarkEnd w:id="124"/>
      <w:bookmarkEnd w:id="125"/>
      <w:bookmarkEnd w:id="126"/>
      <w:bookmarkEnd w:id="127"/>
      <w:bookmarkEnd w:id="128"/>
      <w:bookmarkEnd w:id="129"/>
      <w:bookmarkEnd w:id="130"/>
    </w:p>
    <w:p w14:paraId="080A4DA1">
      <w:pPr>
        <w:spacing w:line="500" w:lineRule="exact"/>
        <w:ind w:firstLine="420"/>
        <w:rPr>
          <w:rFonts w:hint="eastAsia" w:ascii="微软雅黑" w:hAnsi="微软雅黑"/>
          <w:color w:val="auto"/>
          <w:szCs w:val="21"/>
        </w:rPr>
      </w:pPr>
      <w:bookmarkStart w:id="131" w:name="_Toc33535363"/>
      <w:bookmarkStart w:id="132" w:name="_Toc406402993"/>
      <w:bookmarkStart w:id="133" w:name="_Toc19854"/>
      <w:bookmarkStart w:id="134" w:name="_Toc402963087"/>
      <w:bookmarkStart w:id="135" w:name="_Toc385854149"/>
      <w:bookmarkStart w:id="136" w:name="_Toc402963120"/>
      <w:bookmarkStart w:id="137" w:name="_Toc385854103"/>
      <w:bookmarkStart w:id="138" w:name="_Toc18438"/>
      <w:bookmarkStart w:id="139" w:name="_Toc406402949"/>
      <w:r>
        <w:rPr>
          <w:rFonts w:ascii="微软雅黑" w:hAnsi="微软雅黑"/>
          <w:color w:val="auto"/>
          <w:szCs w:val="21"/>
        </w:rPr>
        <w:t>4</w:t>
      </w:r>
      <w:r>
        <w:rPr>
          <w:rFonts w:hint="eastAsia" w:ascii="微软雅黑" w:hAnsi="微软雅黑"/>
          <w:color w:val="auto"/>
          <w:szCs w:val="21"/>
        </w:rPr>
        <w:t>、</w:t>
      </w:r>
      <w:r>
        <w:rPr>
          <w:rFonts w:ascii="微软雅黑" w:hAnsi="微软雅黑"/>
          <w:color w:val="auto"/>
          <w:szCs w:val="21"/>
        </w:rPr>
        <w:t>中标人的投标文件自开标之日起至合同履行完毕止均应保持有效。</w:t>
      </w:r>
      <w:bookmarkEnd w:id="131"/>
      <w:bookmarkEnd w:id="132"/>
      <w:bookmarkEnd w:id="133"/>
      <w:bookmarkEnd w:id="134"/>
      <w:bookmarkEnd w:id="135"/>
      <w:bookmarkEnd w:id="136"/>
      <w:bookmarkEnd w:id="137"/>
      <w:bookmarkEnd w:id="138"/>
      <w:bookmarkEnd w:id="139"/>
    </w:p>
    <w:p w14:paraId="0E50C540">
      <w:pPr>
        <w:pStyle w:val="2"/>
        <w:spacing w:line="500" w:lineRule="exact"/>
        <w:ind w:firstLine="420"/>
        <w:rPr>
          <w:rFonts w:hint="eastAsia" w:ascii="微软雅黑" w:hAnsi="微软雅黑"/>
          <w:color w:val="auto"/>
          <w:szCs w:val="21"/>
        </w:rPr>
      </w:pPr>
      <w:bookmarkStart w:id="140" w:name="_Toc25907"/>
      <w:bookmarkStart w:id="141" w:name="_Toc402963122"/>
      <w:bookmarkStart w:id="142" w:name="_Toc33535364"/>
      <w:bookmarkStart w:id="143" w:name="_Toc385854151"/>
      <w:bookmarkStart w:id="144" w:name="_Toc402963089"/>
      <w:bookmarkStart w:id="145" w:name="_Toc406402951"/>
      <w:bookmarkStart w:id="146" w:name="_Toc31272"/>
      <w:bookmarkStart w:id="147" w:name="_Toc385854105"/>
      <w:bookmarkStart w:id="148" w:name="_Toc406402995"/>
      <w:r>
        <w:rPr>
          <w:rFonts w:hint="eastAsia" w:ascii="微软雅黑" w:hAnsi="微软雅黑"/>
          <w:color w:val="auto"/>
          <w:szCs w:val="21"/>
        </w:rPr>
        <w:t>（五）投标文件的签署和份数</w:t>
      </w:r>
      <w:bookmarkEnd w:id="140"/>
      <w:bookmarkEnd w:id="141"/>
      <w:bookmarkEnd w:id="142"/>
      <w:bookmarkEnd w:id="143"/>
      <w:bookmarkEnd w:id="144"/>
      <w:bookmarkEnd w:id="145"/>
      <w:bookmarkEnd w:id="146"/>
      <w:bookmarkEnd w:id="147"/>
      <w:bookmarkEnd w:id="148"/>
    </w:p>
    <w:p w14:paraId="4BABDEB9">
      <w:pPr>
        <w:spacing w:line="500" w:lineRule="exact"/>
        <w:ind w:firstLine="420"/>
        <w:rPr>
          <w:rFonts w:hint="eastAsia" w:ascii="微软雅黑" w:hAnsi="微软雅黑"/>
          <w:b/>
          <w:bCs/>
          <w:color w:val="auto"/>
          <w:szCs w:val="21"/>
        </w:rPr>
      </w:pPr>
      <w:bookmarkStart w:id="149" w:name="_Toc28641"/>
      <w:bookmarkStart w:id="150" w:name="_Toc17398"/>
      <w:r>
        <w:rPr>
          <w:rFonts w:hint="eastAsia" w:ascii="微软雅黑" w:hAnsi="微软雅黑"/>
          <w:b/>
          <w:bCs/>
          <w:color w:val="auto"/>
          <w:szCs w:val="21"/>
        </w:rPr>
        <w:t>投标文件的形式：☑电子投标文件（包括“电子加密投标文件”和“备份投标文件”，在投标文件编制完成后同时生成）；</w:t>
      </w:r>
      <w:bookmarkEnd w:id="149"/>
      <w:bookmarkEnd w:id="150"/>
    </w:p>
    <w:p w14:paraId="1B8C3B12">
      <w:pPr>
        <w:spacing w:line="500" w:lineRule="exact"/>
        <w:ind w:firstLine="420"/>
        <w:rPr>
          <w:rFonts w:hint="eastAsia" w:ascii="微软雅黑" w:hAnsi="微软雅黑"/>
          <w:b/>
          <w:bCs/>
          <w:color w:val="auto"/>
          <w:szCs w:val="21"/>
        </w:rPr>
      </w:pPr>
      <w:bookmarkStart w:id="151" w:name="_Toc31882"/>
      <w:bookmarkStart w:id="152" w:name="_Toc10314"/>
      <w:r>
        <w:rPr>
          <w:rFonts w:hint="eastAsia" w:ascii="微软雅黑" w:hAnsi="微软雅黑"/>
          <w:b/>
          <w:bCs/>
          <w:color w:val="auto"/>
          <w:szCs w:val="21"/>
        </w:rPr>
        <w:t>（1）“电子加密投标文件”是指通过“政采云电子交易客户端”完成投标文件编制后生成并加密的数据电文形式的投标文件。</w:t>
      </w:r>
      <w:bookmarkEnd w:id="151"/>
      <w:bookmarkEnd w:id="152"/>
    </w:p>
    <w:p w14:paraId="6DC2EF89">
      <w:pPr>
        <w:spacing w:line="500" w:lineRule="exact"/>
        <w:ind w:firstLine="420"/>
        <w:rPr>
          <w:rFonts w:hint="eastAsia" w:ascii="微软雅黑" w:hAnsi="微软雅黑"/>
          <w:b/>
          <w:bCs/>
          <w:color w:val="auto"/>
          <w:szCs w:val="21"/>
        </w:rPr>
      </w:pPr>
      <w:bookmarkStart w:id="153" w:name="_Toc5763"/>
      <w:bookmarkStart w:id="154" w:name="_Toc25699"/>
      <w:r>
        <w:rPr>
          <w:rFonts w:hint="eastAsia" w:ascii="微软雅黑" w:hAnsi="微软雅黑"/>
          <w:b/>
          <w:bCs/>
          <w:color w:val="auto"/>
          <w:szCs w:val="21"/>
        </w:rPr>
        <w:t>（2）“备份投标文件”是指与“电子加密投标文件”同时生成的数据电文形式的电子文件（备份标书），其他方式编制的备份投标文件视为无效备份投标文件。</w:t>
      </w:r>
      <w:bookmarkEnd w:id="153"/>
      <w:bookmarkEnd w:id="154"/>
    </w:p>
    <w:p w14:paraId="6A6C5E57">
      <w:pPr>
        <w:spacing w:line="500" w:lineRule="exact"/>
        <w:ind w:firstLine="420"/>
        <w:rPr>
          <w:rFonts w:hint="eastAsia" w:ascii="微软雅黑" w:hAnsi="微软雅黑"/>
          <w:b/>
          <w:bCs/>
          <w:color w:val="auto"/>
          <w:szCs w:val="21"/>
        </w:rPr>
      </w:pPr>
      <w:bookmarkStart w:id="155" w:name="_Toc29702"/>
      <w:bookmarkStart w:id="156" w:name="_Toc11368"/>
      <w:r>
        <w:rPr>
          <w:rFonts w:hint="eastAsia" w:ascii="微软雅黑" w:hAnsi="微软雅黑"/>
          <w:b/>
          <w:bCs/>
          <w:color w:val="auto"/>
          <w:szCs w:val="21"/>
        </w:rPr>
        <w:t>（六）</w:t>
      </w:r>
      <w:bookmarkStart w:id="157" w:name="_Toc33535368"/>
      <w:r>
        <w:rPr>
          <w:rFonts w:hint="eastAsia" w:ascii="微软雅黑" w:hAnsi="微软雅黑"/>
          <w:b/>
          <w:bCs/>
          <w:color w:val="auto"/>
          <w:szCs w:val="21"/>
        </w:rPr>
        <w:t>投标文件的上传和递交：</w:t>
      </w:r>
      <w:bookmarkEnd w:id="155"/>
      <w:bookmarkEnd w:id="156"/>
    </w:p>
    <w:p w14:paraId="5A6C2E4F">
      <w:pPr>
        <w:spacing w:line="500" w:lineRule="exact"/>
        <w:ind w:firstLine="420"/>
        <w:rPr>
          <w:rFonts w:hint="eastAsia" w:ascii="微软雅黑" w:hAnsi="微软雅黑"/>
          <w:b/>
          <w:bCs/>
          <w:color w:val="auto"/>
          <w:szCs w:val="21"/>
        </w:rPr>
      </w:pPr>
      <w:bookmarkStart w:id="158" w:name="_Toc15300"/>
      <w:bookmarkStart w:id="159" w:name="_Toc5177"/>
      <w:r>
        <w:rPr>
          <w:rFonts w:hint="eastAsia" w:ascii="微软雅黑" w:hAnsi="微软雅黑"/>
          <w:b/>
          <w:bCs/>
          <w:color w:val="auto"/>
          <w:szCs w:val="21"/>
        </w:rPr>
        <w:t>（1）“电子加密投标文件”的上传、递交：</w:t>
      </w:r>
      <w:bookmarkEnd w:id="158"/>
      <w:bookmarkEnd w:id="159"/>
    </w:p>
    <w:p w14:paraId="03396C76">
      <w:pPr>
        <w:spacing w:line="500" w:lineRule="exact"/>
        <w:ind w:firstLine="420"/>
        <w:rPr>
          <w:rFonts w:hint="eastAsia" w:ascii="微软雅黑" w:hAnsi="微软雅黑"/>
          <w:b/>
          <w:bCs/>
          <w:color w:val="auto"/>
          <w:szCs w:val="21"/>
        </w:rPr>
      </w:pPr>
      <w:bookmarkStart w:id="160" w:name="_Toc8569"/>
      <w:bookmarkStart w:id="161" w:name="_Toc31046"/>
      <w:r>
        <w:rPr>
          <w:rFonts w:ascii="微软雅黑" w:hAnsi="微软雅黑"/>
          <w:b/>
          <w:bCs/>
          <w:color w:val="auto"/>
          <w:szCs w:val="21"/>
        </w:rPr>
        <w:t>A</w:t>
      </w:r>
      <w:r>
        <w:rPr>
          <w:rFonts w:hint="eastAsia" w:ascii="微软雅黑" w:hAnsi="微软雅黑"/>
          <w:b/>
          <w:bCs/>
          <w:color w:val="auto"/>
          <w:szCs w:val="21"/>
        </w:rPr>
        <w:t>、投标供应商应在投标截止时间前将“电子加密投标文件”成功上传递交至“政府采购云平台”，否则投标无效。</w:t>
      </w:r>
      <w:bookmarkEnd w:id="160"/>
      <w:bookmarkEnd w:id="161"/>
    </w:p>
    <w:p w14:paraId="4D02A396">
      <w:pPr>
        <w:spacing w:line="500" w:lineRule="exact"/>
        <w:ind w:firstLine="420"/>
        <w:rPr>
          <w:rFonts w:hint="eastAsia" w:ascii="微软雅黑" w:hAnsi="微软雅黑"/>
          <w:b/>
          <w:bCs/>
          <w:color w:val="auto"/>
          <w:szCs w:val="21"/>
        </w:rPr>
      </w:pPr>
      <w:bookmarkStart w:id="162" w:name="_Toc10253"/>
      <w:bookmarkStart w:id="163" w:name="_Toc22650"/>
      <w:r>
        <w:rPr>
          <w:rFonts w:ascii="微软雅黑" w:hAnsi="微软雅黑"/>
          <w:b/>
          <w:bCs/>
          <w:color w:val="auto"/>
          <w:szCs w:val="21"/>
        </w:rPr>
        <w:t>B</w:t>
      </w:r>
      <w:r>
        <w:rPr>
          <w:rFonts w:hint="eastAsia" w:ascii="微软雅黑" w:hAnsi="微软雅黑"/>
          <w:b/>
          <w:bCs/>
          <w:color w:val="auto"/>
          <w:szCs w:val="21"/>
        </w:rPr>
        <w:t>、“电子加密投标文件”成功上传递交后，供应商可自行打印投标文件接收回执。</w:t>
      </w:r>
      <w:bookmarkEnd w:id="162"/>
      <w:bookmarkEnd w:id="163"/>
    </w:p>
    <w:p w14:paraId="794A9E96">
      <w:pPr>
        <w:spacing w:line="500" w:lineRule="exact"/>
        <w:ind w:firstLine="420"/>
        <w:rPr>
          <w:rFonts w:hint="eastAsia" w:ascii="微软雅黑" w:hAnsi="微软雅黑"/>
          <w:b/>
          <w:bCs/>
          <w:color w:val="auto"/>
          <w:szCs w:val="21"/>
        </w:rPr>
      </w:pPr>
      <w:bookmarkStart w:id="164" w:name="_Toc12771"/>
      <w:bookmarkStart w:id="165" w:name="_Toc21513"/>
      <w:r>
        <w:rPr>
          <w:rFonts w:hint="eastAsia" w:ascii="微软雅黑" w:hAnsi="微软雅黑"/>
          <w:b/>
          <w:bCs/>
          <w:color w:val="auto"/>
          <w:szCs w:val="21"/>
        </w:rPr>
        <w:t>（2）“备份投标文件”的密封包装、递交：</w:t>
      </w:r>
      <w:bookmarkEnd w:id="164"/>
      <w:bookmarkEnd w:id="165"/>
    </w:p>
    <w:p w14:paraId="3EB2E351">
      <w:pPr>
        <w:spacing w:line="500" w:lineRule="exact"/>
        <w:ind w:firstLine="420"/>
        <w:rPr>
          <w:rFonts w:hint="eastAsia" w:ascii="微软雅黑" w:hAnsi="微软雅黑"/>
          <w:b/>
          <w:bCs/>
          <w:color w:val="auto"/>
          <w:szCs w:val="21"/>
        </w:rPr>
      </w:pPr>
      <w:bookmarkStart w:id="166" w:name="_Toc28895"/>
      <w:bookmarkStart w:id="167" w:name="_Toc17936"/>
      <w:r>
        <w:rPr>
          <w:rFonts w:ascii="微软雅黑" w:hAnsi="微软雅黑"/>
          <w:b/>
          <w:bCs/>
          <w:color w:val="auto"/>
          <w:szCs w:val="21"/>
        </w:rPr>
        <w:t>A</w:t>
      </w:r>
      <w:r>
        <w:rPr>
          <w:rFonts w:hint="eastAsia" w:ascii="微软雅黑" w:hAnsi="微软雅黑"/>
          <w:b/>
          <w:bCs/>
          <w:color w:val="auto"/>
          <w:szCs w:val="21"/>
        </w:rPr>
        <w:t>、投标供应商在“政府采购云平台”完成“电子加密投标文件”的上传递交后，还可以（邮寄形式）在投标截止时间前递交以介质（U盘）存储的 “备份投标文件”（一份）；</w:t>
      </w:r>
      <w:bookmarkEnd w:id="166"/>
      <w:bookmarkEnd w:id="167"/>
    </w:p>
    <w:p w14:paraId="6FC779F5">
      <w:pPr>
        <w:spacing w:line="500" w:lineRule="exact"/>
        <w:ind w:firstLine="420"/>
        <w:rPr>
          <w:rFonts w:hint="eastAsia" w:ascii="微软雅黑" w:hAnsi="微软雅黑"/>
          <w:b/>
          <w:bCs/>
          <w:color w:val="auto"/>
          <w:szCs w:val="21"/>
        </w:rPr>
      </w:pPr>
      <w:bookmarkStart w:id="168" w:name="_Toc22575"/>
      <w:bookmarkStart w:id="169" w:name="_Toc22526"/>
      <w:r>
        <w:rPr>
          <w:rFonts w:ascii="微软雅黑" w:hAnsi="微软雅黑"/>
          <w:b/>
          <w:bCs/>
          <w:color w:val="auto"/>
          <w:szCs w:val="21"/>
        </w:rPr>
        <w:t>B</w:t>
      </w:r>
      <w:r>
        <w:rPr>
          <w:rFonts w:hint="eastAsia" w:ascii="微软雅黑" w:hAnsi="微软雅黑"/>
          <w:b/>
          <w:bCs/>
          <w:color w:val="auto"/>
          <w:szCs w:val="21"/>
        </w:rPr>
        <w:t>、“备份投标文件”应当密封包装，并在包装上标注投标项目名称、投标单位名称并加盖公章。没有密封包装或者逾期邮寄送达至邮寄接收地点的“备份投标文件”将不予接收；</w:t>
      </w:r>
      <w:bookmarkEnd w:id="168"/>
      <w:bookmarkEnd w:id="169"/>
    </w:p>
    <w:p w14:paraId="529E9C8C">
      <w:pPr>
        <w:spacing w:line="500" w:lineRule="exact"/>
        <w:ind w:firstLine="420"/>
        <w:rPr>
          <w:rFonts w:hint="eastAsia" w:ascii="微软雅黑" w:hAnsi="微软雅黑"/>
          <w:b/>
          <w:bCs/>
          <w:color w:val="auto"/>
          <w:szCs w:val="21"/>
        </w:rPr>
      </w:pPr>
      <w:bookmarkStart w:id="170" w:name="_Toc26558"/>
      <w:bookmarkStart w:id="171" w:name="_Toc18491"/>
      <w:r>
        <w:rPr>
          <w:rFonts w:ascii="微软雅黑" w:hAnsi="微软雅黑"/>
          <w:b/>
          <w:bCs/>
          <w:color w:val="auto"/>
          <w:szCs w:val="21"/>
        </w:rPr>
        <w:t>C</w:t>
      </w:r>
      <w:r>
        <w:rPr>
          <w:rFonts w:hint="eastAsia" w:ascii="微软雅黑" w:hAnsi="微软雅黑"/>
          <w:b/>
          <w:bCs/>
          <w:color w:val="auto"/>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70"/>
      <w:bookmarkEnd w:id="171"/>
    </w:p>
    <w:p w14:paraId="29E87A1B">
      <w:pPr>
        <w:pStyle w:val="2"/>
        <w:spacing w:line="500" w:lineRule="exact"/>
        <w:ind w:firstLine="420"/>
        <w:rPr>
          <w:rFonts w:hint="eastAsia" w:ascii="微软雅黑" w:hAnsi="微软雅黑"/>
          <w:color w:val="auto"/>
          <w:szCs w:val="21"/>
        </w:rPr>
      </w:pPr>
      <w:bookmarkStart w:id="172" w:name="_Toc5394"/>
      <w:bookmarkStart w:id="173" w:name="_Toc10192"/>
      <w:r>
        <w:rPr>
          <w:rFonts w:hint="eastAsia" w:ascii="微软雅黑" w:hAnsi="微软雅黑"/>
          <w:color w:val="auto"/>
          <w:szCs w:val="21"/>
        </w:rPr>
        <w:t>（七）投标无效的情形</w:t>
      </w:r>
      <w:bookmarkEnd w:id="157"/>
      <w:bookmarkEnd w:id="172"/>
      <w:bookmarkEnd w:id="173"/>
    </w:p>
    <w:p w14:paraId="56A13014">
      <w:pPr>
        <w:spacing w:line="500" w:lineRule="exact"/>
        <w:ind w:firstLine="420"/>
        <w:rPr>
          <w:rFonts w:hint="eastAsia" w:ascii="微软雅黑" w:hAnsi="微软雅黑"/>
          <w:color w:val="auto"/>
          <w:szCs w:val="21"/>
        </w:rPr>
      </w:pPr>
      <w:bookmarkStart w:id="174" w:name="_Toc21715"/>
      <w:bookmarkStart w:id="175" w:name="_Toc12237"/>
      <w:r>
        <w:rPr>
          <w:rFonts w:hint="eastAsia" w:ascii="微软雅黑" w:hAnsi="微软雅黑"/>
          <w:color w:val="auto"/>
          <w:szCs w:val="21"/>
        </w:rPr>
        <w:t>根据《政府采购货物和服务招标投标管理办法》有下列情形之一的，视为供应商串通投标，其投标无效：</w:t>
      </w:r>
      <w:bookmarkEnd w:id="174"/>
      <w:bookmarkEnd w:id="175"/>
    </w:p>
    <w:p w14:paraId="00BE5A0B">
      <w:pPr>
        <w:spacing w:line="500" w:lineRule="exact"/>
        <w:ind w:firstLine="420"/>
        <w:rPr>
          <w:rFonts w:hint="eastAsia" w:ascii="微软雅黑" w:hAnsi="微软雅黑"/>
          <w:color w:val="auto"/>
          <w:szCs w:val="21"/>
        </w:rPr>
      </w:pPr>
      <w:bookmarkStart w:id="176" w:name="_Toc3625"/>
      <w:bookmarkStart w:id="177" w:name="_Toc6580"/>
      <w:r>
        <w:rPr>
          <w:rFonts w:hint="eastAsia" w:ascii="微软雅黑" w:hAnsi="微软雅黑"/>
          <w:color w:val="auto"/>
          <w:szCs w:val="21"/>
        </w:rPr>
        <w:t>(一)不同供应商的投标文件由同一单位或者个人编制;</w:t>
      </w:r>
      <w:bookmarkEnd w:id="176"/>
      <w:bookmarkEnd w:id="177"/>
    </w:p>
    <w:p w14:paraId="21910541">
      <w:pPr>
        <w:spacing w:line="500" w:lineRule="exact"/>
        <w:ind w:firstLine="420"/>
        <w:rPr>
          <w:rFonts w:hint="eastAsia" w:ascii="微软雅黑" w:hAnsi="微软雅黑"/>
          <w:color w:val="auto"/>
          <w:szCs w:val="21"/>
        </w:rPr>
      </w:pPr>
      <w:r>
        <w:rPr>
          <w:rFonts w:hint="eastAsia" w:ascii="微软雅黑" w:hAnsi="微软雅黑"/>
          <w:color w:val="auto"/>
          <w:szCs w:val="21"/>
        </w:rPr>
        <w:t>(二)不同供应商委托同一单位或者个人办理投标事宜;</w:t>
      </w:r>
    </w:p>
    <w:p w14:paraId="53835D5D">
      <w:pPr>
        <w:spacing w:line="500" w:lineRule="exact"/>
        <w:ind w:firstLine="420"/>
        <w:rPr>
          <w:rFonts w:hint="eastAsia" w:ascii="微软雅黑" w:hAnsi="微软雅黑"/>
          <w:color w:val="auto"/>
          <w:szCs w:val="21"/>
        </w:rPr>
      </w:pPr>
      <w:r>
        <w:rPr>
          <w:rFonts w:hint="eastAsia" w:ascii="微软雅黑" w:hAnsi="微软雅黑"/>
          <w:color w:val="auto"/>
          <w:szCs w:val="21"/>
        </w:rPr>
        <w:t>(三)不同供应商的投标文件载明的项目管理成员或者联系人员为同一人;</w:t>
      </w:r>
    </w:p>
    <w:p w14:paraId="71A19A74">
      <w:pPr>
        <w:spacing w:line="500" w:lineRule="exact"/>
        <w:ind w:firstLine="420"/>
        <w:rPr>
          <w:rFonts w:hint="eastAsia" w:ascii="微软雅黑" w:hAnsi="微软雅黑"/>
          <w:color w:val="auto"/>
          <w:szCs w:val="21"/>
        </w:rPr>
      </w:pPr>
      <w:r>
        <w:rPr>
          <w:rFonts w:hint="eastAsia" w:ascii="微软雅黑" w:hAnsi="微软雅黑"/>
          <w:color w:val="auto"/>
          <w:szCs w:val="21"/>
        </w:rPr>
        <w:t>(四)不同供应商的投标文件异常一致或者投标报价呈规律性差异;</w:t>
      </w:r>
    </w:p>
    <w:p w14:paraId="5FAF383E">
      <w:pPr>
        <w:spacing w:line="500" w:lineRule="exact"/>
        <w:ind w:firstLine="420"/>
        <w:rPr>
          <w:rFonts w:hint="eastAsia" w:ascii="微软雅黑" w:hAnsi="微软雅黑"/>
          <w:color w:val="auto"/>
          <w:szCs w:val="21"/>
        </w:rPr>
      </w:pPr>
      <w:r>
        <w:rPr>
          <w:rFonts w:hint="eastAsia" w:ascii="微软雅黑" w:hAnsi="微软雅黑"/>
          <w:color w:val="auto"/>
          <w:szCs w:val="21"/>
        </w:rPr>
        <w:t>(五)不同供应商的投标文件相互混装;</w:t>
      </w:r>
    </w:p>
    <w:p w14:paraId="600D9623">
      <w:pPr>
        <w:spacing w:line="500" w:lineRule="exact"/>
        <w:ind w:firstLine="420"/>
        <w:rPr>
          <w:rFonts w:hint="eastAsia" w:ascii="微软雅黑" w:hAnsi="微软雅黑"/>
          <w:color w:val="auto"/>
          <w:szCs w:val="21"/>
        </w:rPr>
      </w:pPr>
      <w:r>
        <w:rPr>
          <w:rFonts w:hint="eastAsia" w:ascii="微软雅黑" w:hAnsi="微软雅黑"/>
          <w:color w:val="auto"/>
          <w:szCs w:val="21"/>
        </w:rPr>
        <w:t>实质上没有响应招标文件要求的投标将被视为无效投标。</w:t>
      </w:r>
    </w:p>
    <w:p w14:paraId="0445A0F9">
      <w:pPr>
        <w:snapToGrid w:val="0"/>
        <w:spacing w:line="500" w:lineRule="exact"/>
        <w:ind w:firstLine="412" w:firstLineChars="196"/>
        <w:rPr>
          <w:rFonts w:hint="eastAsia" w:ascii="微软雅黑" w:hAnsi="微软雅黑"/>
          <w:b/>
          <w:bCs/>
          <w:color w:val="auto"/>
          <w:szCs w:val="21"/>
        </w:rPr>
      </w:pPr>
      <w:r>
        <w:rPr>
          <w:rFonts w:hint="eastAsia" w:ascii="微软雅黑" w:hAnsi="微软雅黑"/>
          <w:b/>
          <w:bCs/>
          <w:color w:val="auto"/>
          <w:szCs w:val="21"/>
        </w:rPr>
        <w:t>1、</w:t>
      </w:r>
      <w:r>
        <w:rPr>
          <w:rFonts w:ascii="微软雅黑" w:hAnsi="微软雅黑"/>
          <w:b/>
          <w:bCs/>
          <w:color w:val="auto"/>
          <w:szCs w:val="21"/>
        </w:rPr>
        <w:t>电子投标文件解密失败的，且未在规定时间内提交备份投标文件的</w:t>
      </w:r>
      <w:r>
        <w:rPr>
          <w:rFonts w:hint="eastAsia" w:ascii="微软雅黑" w:hAnsi="微软雅黑"/>
          <w:b/>
          <w:bCs/>
          <w:color w:val="auto"/>
          <w:szCs w:val="21"/>
        </w:rPr>
        <w:t>。</w:t>
      </w:r>
    </w:p>
    <w:p w14:paraId="7E3D2547">
      <w:pPr>
        <w:snapToGrid w:val="0"/>
        <w:spacing w:line="500" w:lineRule="exact"/>
        <w:ind w:firstLine="412" w:firstLineChars="196"/>
        <w:rPr>
          <w:rFonts w:hint="eastAsia" w:ascii="微软雅黑" w:hAnsi="微软雅黑"/>
          <w:b/>
          <w:bCs/>
          <w:color w:val="auto"/>
          <w:szCs w:val="21"/>
        </w:rPr>
      </w:pPr>
      <w:r>
        <w:rPr>
          <w:rFonts w:ascii="微软雅黑" w:hAnsi="微软雅黑"/>
          <w:b/>
          <w:bCs/>
          <w:color w:val="auto"/>
          <w:szCs w:val="21"/>
        </w:rPr>
        <w:t>2</w:t>
      </w:r>
      <w:r>
        <w:rPr>
          <w:rFonts w:hint="eastAsia" w:ascii="微软雅黑" w:hAnsi="微软雅黑"/>
          <w:b/>
          <w:bCs/>
          <w:color w:val="auto"/>
          <w:szCs w:val="21"/>
        </w:rPr>
        <w:t>、没有通过资格审查的，</w:t>
      </w:r>
      <w:r>
        <w:rPr>
          <w:rFonts w:ascii="微软雅黑" w:hAnsi="微软雅黑"/>
          <w:b/>
          <w:bCs/>
          <w:color w:val="auto"/>
          <w:szCs w:val="21"/>
        </w:rPr>
        <w:t>投标文件将被视为无效。</w:t>
      </w:r>
    </w:p>
    <w:p w14:paraId="0ACC172C">
      <w:pPr>
        <w:snapToGrid w:val="0"/>
        <w:spacing w:line="500" w:lineRule="exact"/>
        <w:ind w:firstLine="412" w:firstLineChars="196"/>
        <w:rPr>
          <w:rFonts w:hint="eastAsia" w:ascii="微软雅黑" w:hAnsi="微软雅黑"/>
          <w:b/>
          <w:bCs/>
          <w:color w:val="auto"/>
          <w:szCs w:val="21"/>
        </w:rPr>
      </w:pPr>
      <w:r>
        <w:rPr>
          <w:rFonts w:ascii="微软雅黑" w:hAnsi="微软雅黑"/>
          <w:b/>
          <w:bCs/>
          <w:color w:val="auto"/>
          <w:szCs w:val="21"/>
        </w:rPr>
        <w:t>3</w:t>
      </w:r>
      <w:r>
        <w:rPr>
          <w:rFonts w:hint="eastAsia" w:ascii="微软雅黑" w:hAnsi="微软雅黑"/>
          <w:b/>
          <w:bCs/>
          <w:color w:val="auto"/>
          <w:szCs w:val="21"/>
        </w:rPr>
        <w:t>、</w:t>
      </w:r>
      <w:r>
        <w:rPr>
          <w:rFonts w:ascii="微软雅黑" w:hAnsi="微软雅黑"/>
          <w:b/>
          <w:bCs/>
          <w:color w:val="auto"/>
          <w:szCs w:val="21"/>
        </w:rPr>
        <w:t>在符合性审查和商务评审时，如发现下列情形之一的，投标文件将被视为无效：</w:t>
      </w:r>
    </w:p>
    <w:p w14:paraId="52A1A88F">
      <w:pPr>
        <w:snapToGrid w:val="0"/>
        <w:spacing w:line="500" w:lineRule="exact"/>
        <w:ind w:firstLine="411" w:firstLineChars="196"/>
        <w:rPr>
          <w:rFonts w:hint="eastAsia" w:ascii="微软雅黑" w:hAnsi="微软雅黑"/>
          <w:color w:val="auto"/>
          <w:szCs w:val="21"/>
        </w:rPr>
      </w:pPr>
      <w:r>
        <w:rPr>
          <w:rFonts w:hint="eastAsia" w:ascii="微软雅黑" w:hAnsi="微软雅黑"/>
          <w:bCs/>
          <w:color w:val="auto"/>
          <w:szCs w:val="21"/>
        </w:rPr>
        <w:t>（1）</w:t>
      </w:r>
      <w:r>
        <w:rPr>
          <w:rFonts w:ascii="微软雅黑" w:hAnsi="微软雅黑"/>
          <w:color w:val="auto"/>
          <w:szCs w:val="21"/>
        </w:rPr>
        <w:t>电子投标文件未按规定要求提供电子签章的</w:t>
      </w:r>
      <w:r>
        <w:rPr>
          <w:rFonts w:hint="eastAsia" w:ascii="微软雅黑" w:hAnsi="微软雅黑"/>
          <w:color w:val="auto"/>
          <w:szCs w:val="21"/>
        </w:rPr>
        <w:t>；</w:t>
      </w:r>
    </w:p>
    <w:p w14:paraId="1ECC4AEC">
      <w:pPr>
        <w:snapToGrid w:val="0"/>
        <w:spacing w:line="500" w:lineRule="exact"/>
        <w:ind w:firstLine="411" w:firstLineChars="196"/>
        <w:rPr>
          <w:rFonts w:hint="eastAsia" w:ascii="微软雅黑" w:hAnsi="微软雅黑"/>
          <w:color w:val="auto"/>
          <w:szCs w:val="21"/>
        </w:rPr>
      </w:pPr>
      <w:r>
        <w:rPr>
          <w:rFonts w:hint="eastAsia" w:ascii="微软雅黑" w:hAnsi="微软雅黑"/>
          <w:color w:val="auto"/>
          <w:szCs w:val="21"/>
        </w:rPr>
        <w:t>（2</w:t>
      </w:r>
      <w:r>
        <w:rPr>
          <w:rFonts w:ascii="微软雅黑" w:hAnsi="微软雅黑"/>
          <w:color w:val="auto"/>
          <w:szCs w:val="21"/>
        </w:rPr>
        <w:t>）</w:t>
      </w:r>
      <w:r>
        <w:rPr>
          <w:rFonts w:hint="eastAsia" w:ascii="微软雅黑" w:hAnsi="微软雅黑"/>
          <w:color w:val="auto"/>
          <w:szCs w:val="21"/>
        </w:rPr>
        <w:t>在资信商务技术文件中出现报价的；</w:t>
      </w:r>
    </w:p>
    <w:p w14:paraId="1E62F277">
      <w:pPr>
        <w:snapToGrid w:val="0"/>
        <w:spacing w:line="500" w:lineRule="exact"/>
        <w:ind w:firstLine="411" w:firstLineChars="196"/>
        <w:rPr>
          <w:rFonts w:hint="eastAsia" w:ascii="微软雅黑" w:hAnsi="微软雅黑"/>
          <w:color w:val="auto"/>
          <w:szCs w:val="21"/>
        </w:rPr>
      </w:pPr>
      <w:r>
        <w:rPr>
          <w:rFonts w:hint="eastAsia" w:ascii="微软雅黑" w:hAnsi="微软雅黑"/>
          <w:color w:val="auto"/>
          <w:szCs w:val="21"/>
        </w:rPr>
        <w:t>（3</w:t>
      </w:r>
      <w:r>
        <w:rPr>
          <w:rFonts w:ascii="微软雅黑" w:hAnsi="微软雅黑"/>
          <w:color w:val="auto"/>
          <w:szCs w:val="21"/>
        </w:rPr>
        <w:t>）资格证明文件不全的，或者不符合招标文件标明的资格要求的</w:t>
      </w:r>
      <w:r>
        <w:rPr>
          <w:rFonts w:hint="eastAsia" w:ascii="微软雅黑" w:hAnsi="微软雅黑"/>
          <w:color w:val="auto"/>
          <w:szCs w:val="21"/>
        </w:rPr>
        <w:t>；</w:t>
      </w:r>
    </w:p>
    <w:p w14:paraId="54FC7195">
      <w:pPr>
        <w:snapToGrid w:val="0"/>
        <w:spacing w:line="500" w:lineRule="exact"/>
        <w:ind w:firstLine="411" w:firstLineChars="196"/>
        <w:rPr>
          <w:rFonts w:hint="eastAsia" w:ascii="微软雅黑" w:hAnsi="微软雅黑"/>
          <w:bCs/>
          <w:color w:val="auto"/>
          <w:kern w:val="0"/>
          <w:szCs w:val="21"/>
        </w:rPr>
      </w:pPr>
      <w:r>
        <w:rPr>
          <w:rFonts w:hint="eastAsia" w:ascii="微软雅黑" w:hAnsi="微软雅黑"/>
          <w:color w:val="auto"/>
          <w:szCs w:val="21"/>
        </w:rPr>
        <w:t>（4</w:t>
      </w:r>
      <w:r>
        <w:rPr>
          <w:rFonts w:ascii="微软雅黑" w:hAnsi="微软雅黑"/>
          <w:color w:val="auto"/>
          <w:szCs w:val="21"/>
        </w:rPr>
        <w:t>）投标文件无法定代表人签字</w:t>
      </w:r>
      <w:r>
        <w:rPr>
          <w:rFonts w:hint="eastAsia" w:ascii="微软雅黑" w:hAnsi="微软雅黑"/>
          <w:color w:val="auto"/>
          <w:szCs w:val="21"/>
        </w:rPr>
        <w:t>（或盖章）</w:t>
      </w:r>
      <w:r>
        <w:rPr>
          <w:rFonts w:ascii="微软雅黑" w:hAnsi="微软雅黑"/>
          <w:color w:val="auto"/>
          <w:szCs w:val="21"/>
        </w:rPr>
        <w:t>,或未</w:t>
      </w:r>
      <w:r>
        <w:rPr>
          <w:rFonts w:hint="eastAsia" w:ascii="微软雅黑" w:hAnsi="微软雅黑"/>
          <w:bCs/>
          <w:color w:val="auto"/>
          <w:kern w:val="0"/>
          <w:szCs w:val="21"/>
        </w:rPr>
        <w:t>提供法定代表人授权委托书、投标声明书或者填写项目不齐全的；</w:t>
      </w:r>
    </w:p>
    <w:p w14:paraId="739E3D5D">
      <w:pPr>
        <w:snapToGrid w:val="0"/>
        <w:spacing w:line="500" w:lineRule="exact"/>
        <w:ind w:firstLine="411" w:firstLineChars="196"/>
        <w:rPr>
          <w:rFonts w:hint="eastAsia" w:ascii="微软雅黑" w:hAnsi="微软雅黑"/>
          <w:color w:val="auto"/>
          <w:szCs w:val="21"/>
        </w:rPr>
      </w:pPr>
      <w:r>
        <w:rPr>
          <w:rFonts w:ascii="微软雅黑" w:hAnsi="微软雅黑"/>
          <w:color w:val="auto"/>
          <w:szCs w:val="21"/>
        </w:rPr>
        <w:t>（</w:t>
      </w:r>
      <w:r>
        <w:rPr>
          <w:rFonts w:hint="eastAsia" w:ascii="微软雅黑" w:hAnsi="微软雅黑"/>
          <w:snapToGrid w:val="0"/>
          <w:color w:val="auto"/>
          <w:szCs w:val="21"/>
        </w:rPr>
        <w:t>5</w:t>
      </w:r>
      <w:r>
        <w:rPr>
          <w:rFonts w:ascii="微软雅黑" w:hAnsi="微软雅黑"/>
          <w:snapToGrid w:val="0"/>
          <w:color w:val="auto"/>
          <w:szCs w:val="21"/>
        </w:rPr>
        <w:t>）</w:t>
      </w:r>
      <w:r>
        <w:rPr>
          <w:rFonts w:ascii="微软雅黑" w:hAnsi="微软雅黑"/>
          <w:color w:val="auto"/>
          <w:szCs w:val="21"/>
        </w:rPr>
        <w:t>投标文件格式不规范、项目不齐全或者内容虚假的；</w:t>
      </w:r>
    </w:p>
    <w:p w14:paraId="18A509A1">
      <w:pPr>
        <w:snapToGrid w:val="0"/>
        <w:spacing w:line="500" w:lineRule="exact"/>
        <w:ind w:firstLine="411" w:firstLineChars="196"/>
        <w:rPr>
          <w:rFonts w:hint="eastAsia" w:ascii="微软雅黑" w:hAnsi="微软雅黑"/>
          <w:color w:val="auto"/>
          <w:szCs w:val="21"/>
        </w:rPr>
      </w:pPr>
      <w:r>
        <w:rPr>
          <w:rFonts w:ascii="微软雅黑" w:hAnsi="微软雅黑"/>
          <w:color w:val="auto"/>
          <w:szCs w:val="21"/>
        </w:rPr>
        <w:t>（</w:t>
      </w:r>
      <w:r>
        <w:rPr>
          <w:rFonts w:hint="eastAsia" w:ascii="微软雅黑" w:hAnsi="微软雅黑"/>
          <w:color w:val="auto"/>
          <w:szCs w:val="21"/>
        </w:rPr>
        <w:t>6</w:t>
      </w:r>
      <w:r>
        <w:rPr>
          <w:rFonts w:ascii="微软雅黑" w:hAnsi="微软雅黑"/>
          <w:color w:val="auto"/>
          <w:szCs w:val="21"/>
        </w:rPr>
        <w:t>）投标文件的实质性内容未使用中文表述、意思表述不明确、前后矛盾或者使用计量单位不符合招标文件要求的（经评标委员会认定</w:t>
      </w:r>
      <w:r>
        <w:rPr>
          <w:rFonts w:hint="eastAsia" w:ascii="微软雅黑" w:hAnsi="微软雅黑"/>
          <w:color w:val="auto"/>
          <w:szCs w:val="21"/>
        </w:rPr>
        <w:t>并</w:t>
      </w:r>
      <w:r>
        <w:rPr>
          <w:rFonts w:ascii="微软雅黑" w:hAnsi="微软雅黑"/>
          <w:color w:val="auto"/>
          <w:szCs w:val="21"/>
        </w:rPr>
        <w:t>允许其当场更正的笔误除外）</w:t>
      </w:r>
      <w:r>
        <w:rPr>
          <w:rFonts w:hint="eastAsia" w:ascii="微软雅黑" w:hAnsi="微软雅黑"/>
          <w:color w:val="auto"/>
          <w:szCs w:val="21"/>
        </w:rPr>
        <w:t>；</w:t>
      </w:r>
    </w:p>
    <w:p w14:paraId="0E6F2E3F">
      <w:pPr>
        <w:snapToGrid w:val="0"/>
        <w:spacing w:line="500" w:lineRule="exact"/>
        <w:ind w:firstLine="411" w:firstLineChars="196"/>
        <w:rPr>
          <w:rFonts w:hint="eastAsia" w:ascii="微软雅黑" w:hAnsi="微软雅黑"/>
          <w:snapToGrid w:val="0"/>
          <w:color w:val="auto"/>
          <w:szCs w:val="21"/>
        </w:rPr>
      </w:pPr>
      <w:r>
        <w:rPr>
          <w:rFonts w:ascii="微软雅黑" w:hAnsi="微软雅黑"/>
          <w:color w:val="auto"/>
          <w:szCs w:val="21"/>
        </w:rPr>
        <w:t>（</w:t>
      </w:r>
      <w:r>
        <w:rPr>
          <w:rFonts w:hint="eastAsia" w:ascii="微软雅黑" w:hAnsi="微软雅黑"/>
          <w:snapToGrid w:val="0"/>
          <w:color w:val="auto"/>
          <w:szCs w:val="21"/>
        </w:rPr>
        <w:t>7</w:t>
      </w:r>
      <w:r>
        <w:rPr>
          <w:rFonts w:ascii="微软雅黑" w:hAnsi="微软雅黑"/>
          <w:snapToGrid w:val="0"/>
          <w:color w:val="auto"/>
          <w:szCs w:val="21"/>
        </w:rPr>
        <w:t>）投标有效期、交货时间、质保期等商务条款不能满足招标文件要求的；</w:t>
      </w:r>
    </w:p>
    <w:p w14:paraId="5A4DE8AC">
      <w:pPr>
        <w:snapToGrid w:val="0"/>
        <w:spacing w:line="500" w:lineRule="exact"/>
        <w:ind w:firstLine="411" w:firstLineChars="196"/>
        <w:rPr>
          <w:rFonts w:hint="eastAsia" w:ascii="微软雅黑" w:hAnsi="微软雅黑"/>
          <w:color w:val="auto"/>
          <w:szCs w:val="21"/>
        </w:rPr>
      </w:pPr>
      <w:r>
        <w:rPr>
          <w:rFonts w:ascii="微软雅黑" w:hAnsi="微软雅黑"/>
          <w:color w:val="auto"/>
          <w:szCs w:val="21"/>
        </w:rPr>
        <w:t>（</w:t>
      </w:r>
      <w:r>
        <w:rPr>
          <w:rFonts w:hint="eastAsia" w:ascii="微软雅黑" w:hAnsi="微软雅黑"/>
          <w:color w:val="auto"/>
          <w:szCs w:val="21"/>
        </w:rPr>
        <w:t>8</w:t>
      </w:r>
      <w:r>
        <w:rPr>
          <w:rFonts w:ascii="微软雅黑" w:hAnsi="微软雅黑"/>
          <w:color w:val="auto"/>
          <w:szCs w:val="21"/>
        </w:rPr>
        <w:t>）</w:t>
      </w:r>
      <w:r>
        <w:rPr>
          <w:rFonts w:hint="eastAsia" w:ascii="微软雅黑" w:hAnsi="微软雅黑"/>
          <w:color w:val="auto"/>
          <w:szCs w:val="21"/>
        </w:rPr>
        <w:t>未实质性</w:t>
      </w:r>
      <w:r>
        <w:rPr>
          <w:rFonts w:ascii="微软雅黑" w:hAnsi="微软雅黑"/>
          <w:color w:val="auto"/>
          <w:szCs w:val="21"/>
        </w:rPr>
        <w:t>响应招标文件要求或者投标文件有招标方不能接受的附加条件的</w:t>
      </w:r>
      <w:r>
        <w:rPr>
          <w:rFonts w:hint="eastAsia" w:ascii="微软雅黑" w:hAnsi="微软雅黑"/>
          <w:color w:val="auto"/>
          <w:szCs w:val="21"/>
        </w:rPr>
        <w:t>；</w:t>
      </w:r>
    </w:p>
    <w:p w14:paraId="79E3FAC1">
      <w:pPr>
        <w:snapToGrid w:val="0"/>
        <w:spacing w:line="500" w:lineRule="exact"/>
        <w:ind w:firstLine="411" w:firstLineChars="196"/>
        <w:rPr>
          <w:rFonts w:hint="eastAsia" w:ascii="微软雅黑" w:hAnsi="微软雅黑"/>
          <w:color w:val="auto"/>
          <w:szCs w:val="21"/>
        </w:rPr>
      </w:pPr>
      <w:r>
        <w:rPr>
          <w:rFonts w:hint="eastAsia" w:ascii="微软雅黑" w:hAnsi="微软雅黑"/>
          <w:color w:val="auto"/>
          <w:szCs w:val="21"/>
        </w:rPr>
        <w:t>（9）不符合本招标文件中的实质性要求条款。</w:t>
      </w:r>
    </w:p>
    <w:p w14:paraId="3A17AA03">
      <w:pPr>
        <w:snapToGrid w:val="0"/>
        <w:spacing w:line="500" w:lineRule="exact"/>
        <w:ind w:firstLine="412" w:firstLineChars="196"/>
        <w:rPr>
          <w:rFonts w:hint="eastAsia" w:ascii="微软雅黑" w:hAnsi="微软雅黑"/>
          <w:b/>
          <w:bCs/>
          <w:color w:val="auto"/>
          <w:szCs w:val="21"/>
        </w:rPr>
      </w:pPr>
      <w:r>
        <w:rPr>
          <w:rFonts w:hint="eastAsia" w:ascii="微软雅黑" w:hAnsi="微软雅黑"/>
          <w:b/>
          <w:bCs/>
          <w:color w:val="auto"/>
          <w:szCs w:val="21"/>
        </w:rPr>
        <w:t>4、</w:t>
      </w:r>
      <w:r>
        <w:rPr>
          <w:rFonts w:ascii="微软雅黑" w:hAnsi="微软雅黑"/>
          <w:b/>
          <w:bCs/>
          <w:color w:val="auto"/>
          <w:szCs w:val="21"/>
        </w:rPr>
        <w:t>在技术评审时，如发现下列情形之一的，投标文件将被视为无效：</w:t>
      </w:r>
    </w:p>
    <w:p w14:paraId="38E1FE25">
      <w:pPr>
        <w:snapToGrid w:val="0"/>
        <w:spacing w:line="500" w:lineRule="exact"/>
        <w:ind w:firstLine="411" w:firstLineChars="196"/>
        <w:rPr>
          <w:rFonts w:hint="eastAsia" w:ascii="微软雅黑" w:hAnsi="微软雅黑"/>
          <w:color w:val="auto"/>
          <w:szCs w:val="21"/>
        </w:rPr>
      </w:pPr>
      <w:r>
        <w:rPr>
          <w:rFonts w:ascii="微软雅黑" w:hAnsi="微软雅黑"/>
          <w:color w:val="auto"/>
          <w:szCs w:val="21"/>
        </w:rPr>
        <w:t>（1）未提供或未如实提供投标货物的技术参数，或者投标文件标明的响应或偏离与事实不符或虚假投标的；</w:t>
      </w:r>
    </w:p>
    <w:p w14:paraId="50DFAF1A">
      <w:pPr>
        <w:snapToGrid w:val="0"/>
        <w:spacing w:line="500" w:lineRule="exact"/>
        <w:ind w:firstLine="411" w:firstLineChars="196"/>
        <w:rPr>
          <w:rFonts w:hint="eastAsia" w:ascii="微软雅黑" w:hAnsi="微软雅黑"/>
          <w:color w:val="auto"/>
          <w:szCs w:val="21"/>
        </w:rPr>
      </w:pPr>
      <w:r>
        <w:rPr>
          <w:rFonts w:ascii="微软雅黑" w:hAnsi="微软雅黑"/>
          <w:color w:val="auto"/>
          <w:szCs w:val="21"/>
        </w:rPr>
        <w:t>（2）</w:t>
      </w:r>
      <w:r>
        <w:rPr>
          <w:rFonts w:ascii="微软雅黑" w:hAnsi="微软雅黑"/>
          <w:snapToGrid w:val="0"/>
          <w:color w:val="auto"/>
          <w:szCs w:val="21"/>
        </w:rPr>
        <w:t>明显不符合招标文件</w:t>
      </w:r>
      <w:r>
        <w:rPr>
          <w:rFonts w:hint="eastAsia" w:ascii="微软雅黑" w:hAnsi="微软雅黑"/>
          <w:snapToGrid w:val="0"/>
          <w:color w:val="auto"/>
          <w:szCs w:val="21"/>
        </w:rPr>
        <w:t>要求</w:t>
      </w:r>
      <w:r>
        <w:rPr>
          <w:rFonts w:ascii="微软雅黑" w:hAnsi="微软雅黑"/>
          <w:snapToGrid w:val="0"/>
          <w:color w:val="auto"/>
          <w:szCs w:val="21"/>
        </w:rPr>
        <w:t>的规格型号、质量标准，或者</w:t>
      </w:r>
      <w:r>
        <w:rPr>
          <w:rFonts w:hint="eastAsia" w:ascii="微软雅黑" w:hAnsi="微软雅黑"/>
          <w:snapToGrid w:val="0"/>
          <w:color w:val="auto"/>
          <w:szCs w:val="21"/>
        </w:rPr>
        <w:t>与</w:t>
      </w:r>
      <w:r>
        <w:rPr>
          <w:rFonts w:ascii="微软雅黑" w:hAnsi="微软雅黑"/>
          <w:color w:val="auto"/>
          <w:szCs w:val="21"/>
        </w:rPr>
        <w:t>招标文件中标“▲”的技术指标、主要功能项目发生实质性偏离的；</w:t>
      </w:r>
    </w:p>
    <w:p w14:paraId="304D543C">
      <w:pPr>
        <w:pStyle w:val="19"/>
        <w:snapToGrid w:val="0"/>
        <w:spacing w:line="500" w:lineRule="exact"/>
        <w:ind w:firstLine="395" w:firstLineChars="196"/>
        <w:rPr>
          <w:rFonts w:hint="eastAsia" w:ascii="微软雅黑" w:hAnsi="微软雅黑"/>
          <w:color w:val="auto"/>
          <w:sz w:val="21"/>
          <w:szCs w:val="21"/>
        </w:rPr>
      </w:pPr>
      <w:r>
        <w:rPr>
          <w:rFonts w:ascii="微软雅黑" w:hAnsi="微软雅黑"/>
          <w:snapToGrid w:val="0"/>
          <w:color w:val="auto"/>
          <w:sz w:val="21"/>
          <w:szCs w:val="21"/>
        </w:rPr>
        <w:t>（</w:t>
      </w:r>
      <w:r>
        <w:rPr>
          <w:rFonts w:hint="eastAsia" w:ascii="微软雅黑" w:hAnsi="微软雅黑"/>
          <w:snapToGrid w:val="0"/>
          <w:color w:val="auto"/>
          <w:sz w:val="21"/>
          <w:szCs w:val="21"/>
        </w:rPr>
        <w:t>3</w:t>
      </w:r>
      <w:r>
        <w:rPr>
          <w:rFonts w:ascii="微软雅黑" w:hAnsi="微软雅黑"/>
          <w:snapToGrid w:val="0"/>
          <w:color w:val="auto"/>
          <w:sz w:val="21"/>
          <w:szCs w:val="21"/>
        </w:rPr>
        <w:t>）</w:t>
      </w:r>
      <w:r>
        <w:rPr>
          <w:rFonts w:ascii="微软雅黑" w:hAnsi="微软雅黑"/>
          <w:color w:val="auto"/>
          <w:sz w:val="21"/>
          <w:szCs w:val="21"/>
        </w:rPr>
        <w:t>投标技术方案不明确，存在一个或一个以上备选（替代）投标方案的；</w:t>
      </w:r>
    </w:p>
    <w:p w14:paraId="21A548D5">
      <w:pPr>
        <w:pStyle w:val="19"/>
        <w:snapToGrid w:val="0"/>
        <w:spacing w:line="500" w:lineRule="exact"/>
        <w:ind w:firstLine="396" w:firstLineChars="196"/>
        <w:rPr>
          <w:rFonts w:hint="eastAsia" w:ascii="微软雅黑" w:hAnsi="微软雅黑"/>
          <w:b/>
          <w:bCs/>
          <w:color w:val="auto"/>
          <w:sz w:val="21"/>
          <w:szCs w:val="21"/>
        </w:rPr>
      </w:pPr>
      <w:r>
        <w:rPr>
          <w:rFonts w:hint="eastAsia" w:ascii="微软雅黑" w:hAnsi="微软雅黑"/>
          <w:b/>
          <w:bCs/>
          <w:color w:val="auto"/>
          <w:sz w:val="21"/>
          <w:szCs w:val="21"/>
        </w:rPr>
        <w:t>5、</w:t>
      </w:r>
      <w:r>
        <w:rPr>
          <w:rFonts w:ascii="微软雅黑" w:hAnsi="微软雅黑"/>
          <w:b/>
          <w:bCs/>
          <w:color w:val="auto"/>
          <w:sz w:val="21"/>
          <w:szCs w:val="21"/>
        </w:rPr>
        <w:t>在报价评审时，如发现下列情形之一的，投标文件将被视为无效：</w:t>
      </w:r>
    </w:p>
    <w:p w14:paraId="5CE7CE59">
      <w:pPr>
        <w:pStyle w:val="19"/>
        <w:snapToGrid w:val="0"/>
        <w:spacing w:line="500" w:lineRule="exact"/>
        <w:ind w:firstLine="395" w:firstLineChars="196"/>
        <w:rPr>
          <w:rFonts w:hint="eastAsia" w:ascii="微软雅黑" w:hAnsi="微软雅黑"/>
          <w:color w:val="auto"/>
          <w:sz w:val="21"/>
          <w:szCs w:val="21"/>
        </w:rPr>
      </w:pPr>
      <w:r>
        <w:rPr>
          <w:rFonts w:ascii="微软雅黑" w:hAnsi="微软雅黑"/>
          <w:color w:val="auto"/>
          <w:sz w:val="21"/>
          <w:szCs w:val="21"/>
        </w:rPr>
        <w:t>（1）未采用人民币报价或者未按照招标文件标明的币种报价的；</w:t>
      </w:r>
    </w:p>
    <w:p w14:paraId="43E4044C">
      <w:pPr>
        <w:pStyle w:val="19"/>
        <w:snapToGrid w:val="0"/>
        <w:spacing w:line="500" w:lineRule="exact"/>
        <w:ind w:firstLine="395" w:firstLineChars="196"/>
        <w:rPr>
          <w:rFonts w:hint="eastAsia" w:ascii="微软雅黑" w:hAnsi="微软雅黑"/>
          <w:color w:val="auto"/>
          <w:sz w:val="21"/>
          <w:szCs w:val="21"/>
        </w:rPr>
      </w:pPr>
      <w:r>
        <w:rPr>
          <w:rFonts w:ascii="微软雅黑" w:hAnsi="微软雅黑"/>
          <w:color w:val="auto"/>
          <w:sz w:val="21"/>
          <w:szCs w:val="21"/>
        </w:rPr>
        <w:t>（2）报价超出最高限价</w:t>
      </w:r>
      <w:r>
        <w:rPr>
          <w:rFonts w:hint="eastAsia" w:ascii="微软雅黑" w:hAnsi="微软雅黑"/>
          <w:color w:val="auto"/>
          <w:sz w:val="21"/>
          <w:szCs w:val="21"/>
        </w:rPr>
        <w:t>；</w:t>
      </w:r>
    </w:p>
    <w:p w14:paraId="1D85BAE4">
      <w:pPr>
        <w:pStyle w:val="19"/>
        <w:snapToGrid w:val="0"/>
        <w:spacing w:line="500" w:lineRule="exact"/>
        <w:ind w:firstLine="395" w:firstLineChars="196"/>
        <w:rPr>
          <w:rFonts w:hint="eastAsia" w:ascii="微软雅黑" w:hAnsi="微软雅黑"/>
          <w:color w:val="auto"/>
          <w:sz w:val="21"/>
          <w:szCs w:val="21"/>
        </w:rPr>
      </w:pPr>
      <w:r>
        <w:rPr>
          <w:rFonts w:hint="eastAsia" w:ascii="微软雅黑" w:hAnsi="微软雅黑"/>
          <w:color w:val="auto"/>
          <w:sz w:val="21"/>
          <w:szCs w:val="21"/>
        </w:rPr>
        <w:t xml:space="preserve">（3）投标报价具有选择性，或者开标价格与投标文件承诺的优惠（折扣）价格不一致的。                                                                                            </w:t>
      </w:r>
    </w:p>
    <w:p w14:paraId="2E5F8A28">
      <w:pPr>
        <w:pStyle w:val="19"/>
        <w:snapToGrid w:val="0"/>
        <w:spacing w:line="500" w:lineRule="exact"/>
        <w:ind w:firstLine="396" w:firstLineChars="196"/>
        <w:rPr>
          <w:rFonts w:hint="eastAsia" w:ascii="微软雅黑" w:hAnsi="微软雅黑"/>
          <w:b/>
          <w:snapToGrid w:val="0"/>
          <w:color w:val="auto"/>
          <w:sz w:val="21"/>
          <w:szCs w:val="21"/>
        </w:rPr>
      </w:pPr>
      <w:r>
        <w:rPr>
          <w:rFonts w:hint="eastAsia" w:ascii="微软雅黑" w:hAnsi="微软雅黑"/>
          <w:b/>
          <w:color w:val="auto"/>
          <w:sz w:val="21"/>
          <w:szCs w:val="21"/>
        </w:rPr>
        <w:t>6、</w:t>
      </w:r>
      <w:r>
        <w:rPr>
          <w:rFonts w:ascii="微软雅黑" w:hAnsi="微软雅黑"/>
          <w:b/>
          <w:color w:val="auto"/>
          <w:sz w:val="21"/>
          <w:szCs w:val="21"/>
        </w:rPr>
        <w:t>被拒绝的投标文件为无效。</w:t>
      </w:r>
    </w:p>
    <w:p w14:paraId="2243E564">
      <w:pPr>
        <w:pStyle w:val="2"/>
        <w:spacing w:line="500" w:lineRule="exact"/>
        <w:ind w:firstLine="420"/>
        <w:rPr>
          <w:rFonts w:hint="eastAsia" w:ascii="微软雅黑" w:hAnsi="微软雅黑"/>
          <w:color w:val="auto"/>
          <w:szCs w:val="21"/>
        </w:rPr>
      </w:pPr>
      <w:bookmarkStart w:id="178" w:name="_Toc33535369"/>
      <w:r>
        <w:rPr>
          <w:rFonts w:hint="eastAsia" w:ascii="微软雅黑" w:hAnsi="微软雅黑"/>
          <w:color w:val="auto"/>
          <w:szCs w:val="21"/>
        </w:rPr>
        <w:t>四、开标</w:t>
      </w:r>
      <w:bookmarkEnd w:id="178"/>
    </w:p>
    <w:p w14:paraId="21C40466">
      <w:pPr>
        <w:spacing w:line="500" w:lineRule="exact"/>
        <w:ind w:firstLine="420"/>
        <w:rPr>
          <w:rFonts w:hint="eastAsia" w:ascii="微软雅黑" w:hAnsi="微软雅黑"/>
          <w:b/>
          <w:bCs/>
          <w:color w:val="auto"/>
          <w:szCs w:val="21"/>
        </w:rPr>
      </w:pPr>
      <w:r>
        <w:rPr>
          <w:rFonts w:hint="eastAsia" w:ascii="微软雅黑" w:hAnsi="微软雅黑"/>
          <w:b/>
          <w:bCs/>
          <w:color w:val="auto"/>
          <w:szCs w:val="21"/>
        </w:rPr>
        <w:t>（一）开标准备</w:t>
      </w:r>
    </w:p>
    <w:p w14:paraId="77E97313">
      <w:pPr>
        <w:pStyle w:val="26"/>
        <w:snapToGrid w:val="0"/>
        <w:spacing w:line="500" w:lineRule="exact"/>
        <w:ind w:firstLine="411" w:firstLineChars="196"/>
        <w:rPr>
          <w:rFonts w:hint="eastAsia" w:ascii="微软雅黑" w:hAnsi="微软雅黑"/>
          <w:bCs/>
          <w:color w:val="auto"/>
          <w:szCs w:val="21"/>
        </w:rPr>
      </w:pPr>
      <w:r>
        <w:rPr>
          <w:rFonts w:hint="eastAsia" w:ascii="微软雅黑" w:hAnsi="微软雅黑"/>
          <w:bCs/>
          <w:color w:val="auto"/>
          <w:szCs w:val="21"/>
        </w:rPr>
        <w:t>1、开标的准备工作由采购组织机构负责落实；</w:t>
      </w:r>
    </w:p>
    <w:p w14:paraId="51F09EAE">
      <w:pPr>
        <w:pStyle w:val="26"/>
        <w:snapToGrid w:val="0"/>
        <w:spacing w:line="500" w:lineRule="exact"/>
        <w:ind w:firstLine="411" w:firstLineChars="196"/>
        <w:rPr>
          <w:rFonts w:hint="eastAsia" w:ascii="微软雅黑" w:hAnsi="微软雅黑"/>
          <w:bCs/>
          <w:color w:val="auto"/>
          <w:szCs w:val="21"/>
        </w:rPr>
      </w:pPr>
      <w:r>
        <w:rPr>
          <w:rFonts w:hint="eastAsia" w:ascii="微软雅黑" w:hAnsi="微软雅黑"/>
          <w:bCs/>
          <w:color w:val="auto"/>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7045FF1">
      <w:pPr>
        <w:pStyle w:val="26"/>
        <w:snapToGrid w:val="0"/>
        <w:spacing w:line="500" w:lineRule="exact"/>
        <w:ind w:firstLine="412" w:firstLineChars="196"/>
        <w:rPr>
          <w:rFonts w:hint="eastAsia" w:ascii="微软雅黑" w:hAnsi="微软雅黑"/>
          <w:b/>
          <w:color w:val="auto"/>
          <w:szCs w:val="21"/>
        </w:rPr>
      </w:pPr>
      <w:r>
        <w:rPr>
          <w:rFonts w:hint="eastAsia" w:ascii="微软雅黑" w:hAnsi="微软雅黑"/>
          <w:b/>
          <w:color w:val="auto"/>
          <w:szCs w:val="21"/>
        </w:rPr>
        <w:t>（二） 采购人或者采购代理机构职责</w:t>
      </w:r>
    </w:p>
    <w:p w14:paraId="1DE15527">
      <w:pPr>
        <w:pStyle w:val="26"/>
        <w:snapToGrid w:val="0"/>
        <w:spacing w:line="500" w:lineRule="exact"/>
        <w:ind w:firstLine="411" w:firstLineChars="196"/>
        <w:rPr>
          <w:rFonts w:hint="eastAsia" w:ascii="微软雅黑" w:hAnsi="微软雅黑"/>
          <w:bCs/>
          <w:color w:val="auto"/>
          <w:szCs w:val="21"/>
        </w:rPr>
      </w:pPr>
      <w:r>
        <w:rPr>
          <w:rFonts w:hint="eastAsia" w:ascii="微软雅黑" w:hAnsi="微软雅黑"/>
          <w:bCs/>
          <w:color w:val="auto"/>
          <w:szCs w:val="21"/>
        </w:rPr>
        <w:t>采购人或者采购代理机构负责组织评标工作，并履行下列职责：</w:t>
      </w:r>
    </w:p>
    <w:p w14:paraId="688C8046">
      <w:pPr>
        <w:pStyle w:val="26"/>
        <w:snapToGrid w:val="0"/>
        <w:spacing w:line="500" w:lineRule="exact"/>
        <w:ind w:firstLine="420"/>
        <w:rPr>
          <w:rFonts w:hint="eastAsia" w:ascii="微软雅黑" w:hAnsi="微软雅黑"/>
          <w:bCs/>
          <w:color w:val="auto"/>
          <w:szCs w:val="21"/>
        </w:rPr>
      </w:pPr>
      <w:r>
        <w:rPr>
          <w:rFonts w:hint="eastAsia" w:ascii="微软雅黑" w:hAnsi="微软雅黑"/>
          <w:bCs/>
          <w:color w:val="auto"/>
          <w:szCs w:val="21"/>
        </w:rPr>
        <w:t>1、核对评审专家身份和采购人代表授权函，对评审专家在政府采购活动中的职责履行情况予以记录，并及时将有关违法违规行为向财政部门报告;</w:t>
      </w:r>
    </w:p>
    <w:p w14:paraId="7121E5BA">
      <w:pPr>
        <w:pStyle w:val="26"/>
        <w:snapToGrid w:val="0"/>
        <w:spacing w:line="500" w:lineRule="exact"/>
        <w:ind w:firstLine="420"/>
        <w:rPr>
          <w:rFonts w:hint="eastAsia" w:ascii="微软雅黑" w:hAnsi="微软雅黑"/>
          <w:bCs/>
          <w:color w:val="auto"/>
          <w:szCs w:val="21"/>
        </w:rPr>
      </w:pPr>
      <w:r>
        <w:rPr>
          <w:rFonts w:hint="eastAsia" w:ascii="微软雅黑" w:hAnsi="微软雅黑"/>
          <w:bCs/>
          <w:color w:val="auto"/>
          <w:szCs w:val="21"/>
        </w:rPr>
        <w:t>2、宣布评标纪律;</w:t>
      </w:r>
    </w:p>
    <w:p w14:paraId="3C770AC7">
      <w:pPr>
        <w:pStyle w:val="26"/>
        <w:snapToGrid w:val="0"/>
        <w:spacing w:line="500" w:lineRule="exact"/>
        <w:ind w:firstLine="420"/>
        <w:rPr>
          <w:rFonts w:hint="eastAsia" w:ascii="微软雅黑" w:hAnsi="微软雅黑"/>
          <w:bCs/>
          <w:color w:val="auto"/>
          <w:szCs w:val="21"/>
        </w:rPr>
      </w:pPr>
      <w:r>
        <w:rPr>
          <w:rFonts w:hint="eastAsia" w:ascii="微软雅黑" w:hAnsi="微软雅黑"/>
          <w:bCs/>
          <w:color w:val="auto"/>
          <w:szCs w:val="21"/>
        </w:rPr>
        <w:t>3、公布供应商名单，告知评审专家应当回避的情形;</w:t>
      </w:r>
    </w:p>
    <w:p w14:paraId="3DE55806">
      <w:pPr>
        <w:pStyle w:val="26"/>
        <w:snapToGrid w:val="0"/>
        <w:spacing w:line="500" w:lineRule="exact"/>
        <w:ind w:firstLine="420"/>
        <w:rPr>
          <w:rFonts w:hint="eastAsia" w:ascii="微软雅黑" w:hAnsi="微软雅黑"/>
          <w:bCs/>
          <w:color w:val="auto"/>
          <w:szCs w:val="21"/>
        </w:rPr>
      </w:pPr>
      <w:r>
        <w:rPr>
          <w:rFonts w:hint="eastAsia" w:ascii="微软雅黑" w:hAnsi="微软雅黑"/>
          <w:bCs/>
          <w:color w:val="auto"/>
          <w:szCs w:val="21"/>
        </w:rPr>
        <w:t>4、组织评标委员会推选评标组长，采购人代表不得担任组长;</w:t>
      </w:r>
    </w:p>
    <w:p w14:paraId="226EAEF4">
      <w:pPr>
        <w:pStyle w:val="26"/>
        <w:snapToGrid w:val="0"/>
        <w:spacing w:line="500" w:lineRule="exact"/>
        <w:ind w:firstLine="420"/>
        <w:rPr>
          <w:rFonts w:hint="eastAsia" w:ascii="微软雅黑" w:hAnsi="微软雅黑"/>
          <w:bCs/>
          <w:color w:val="auto"/>
          <w:szCs w:val="21"/>
        </w:rPr>
      </w:pPr>
      <w:r>
        <w:rPr>
          <w:rFonts w:hint="eastAsia" w:ascii="微软雅黑" w:hAnsi="微软雅黑"/>
          <w:bCs/>
          <w:color w:val="auto"/>
          <w:szCs w:val="21"/>
        </w:rPr>
        <w:t>5、在评标期间采取必要的通讯管理措施，保证评标活动不受外界干扰;</w:t>
      </w:r>
    </w:p>
    <w:p w14:paraId="0B3A9924">
      <w:pPr>
        <w:pStyle w:val="26"/>
        <w:snapToGrid w:val="0"/>
        <w:spacing w:line="500" w:lineRule="exact"/>
        <w:ind w:firstLine="420"/>
        <w:rPr>
          <w:rFonts w:hint="eastAsia" w:ascii="微软雅黑" w:hAnsi="微软雅黑"/>
          <w:bCs/>
          <w:color w:val="auto"/>
          <w:szCs w:val="21"/>
        </w:rPr>
      </w:pPr>
      <w:r>
        <w:rPr>
          <w:rFonts w:hint="eastAsia" w:ascii="微软雅黑" w:hAnsi="微软雅黑"/>
          <w:bCs/>
          <w:color w:val="auto"/>
          <w:szCs w:val="21"/>
        </w:rPr>
        <w:t>6、根据评标委员会的要求介绍政府采购相关政策法规、招标文件;</w:t>
      </w:r>
    </w:p>
    <w:p w14:paraId="6211AD07">
      <w:pPr>
        <w:pStyle w:val="26"/>
        <w:snapToGrid w:val="0"/>
        <w:spacing w:line="500" w:lineRule="exact"/>
        <w:ind w:firstLine="420"/>
        <w:rPr>
          <w:rFonts w:hint="eastAsia" w:ascii="微软雅黑" w:hAnsi="微软雅黑"/>
          <w:bCs/>
          <w:color w:val="auto"/>
          <w:szCs w:val="21"/>
        </w:rPr>
      </w:pPr>
      <w:r>
        <w:rPr>
          <w:rFonts w:hint="eastAsia" w:ascii="微软雅黑" w:hAnsi="微软雅黑"/>
          <w:bCs/>
          <w:color w:val="auto"/>
          <w:szCs w:val="21"/>
        </w:rPr>
        <w:t>7、维护评标秩序，监督评标委员会依照招标文件规定的评标程序、方法和标准进行独立评审，及时制止和纠正采购人代表、评审专家的倾向性言论或者违法违规行为;</w:t>
      </w:r>
    </w:p>
    <w:p w14:paraId="5B27D329">
      <w:pPr>
        <w:pStyle w:val="26"/>
        <w:snapToGrid w:val="0"/>
        <w:spacing w:line="500" w:lineRule="exact"/>
        <w:ind w:firstLine="420"/>
        <w:rPr>
          <w:rFonts w:hint="eastAsia" w:ascii="微软雅黑" w:hAnsi="微软雅黑"/>
          <w:bCs/>
          <w:color w:val="auto"/>
          <w:szCs w:val="21"/>
        </w:rPr>
      </w:pPr>
      <w:r>
        <w:rPr>
          <w:rFonts w:hint="eastAsia" w:ascii="微软雅黑" w:hAnsi="微软雅黑"/>
          <w:bCs/>
          <w:color w:val="auto"/>
          <w:szCs w:val="21"/>
        </w:rPr>
        <w:t>8、核对评标结果，根据《政府采购货物和服务招标投标管理办法》，如有第六十四条规定情形的，要求评标委员会复核或者书面说明理由，评标委员会拒绝的，应予记录并向本级财政部门报告;</w:t>
      </w:r>
    </w:p>
    <w:p w14:paraId="21DCC222">
      <w:pPr>
        <w:pStyle w:val="26"/>
        <w:snapToGrid w:val="0"/>
        <w:spacing w:line="500" w:lineRule="exact"/>
        <w:ind w:firstLine="420"/>
        <w:rPr>
          <w:rFonts w:hint="eastAsia" w:ascii="微软雅黑" w:hAnsi="微软雅黑"/>
          <w:bCs/>
          <w:color w:val="auto"/>
          <w:szCs w:val="21"/>
        </w:rPr>
      </w:pPr>
      <w:r>
        <w:rPr>
          <w:rFonts w:hint="eastAsia" w:ascii="微软雅黑" w:hAnsi="微软雅黑"/>
          <w:bCs/>
          <w:color w:val="auto"/>
          <w:szCs w:val="21"/>
        </w:rPr>
        <w:t>9、评审工作完成后，按照规定向评审专家支付劳务报酬和异地评审差旅费，不得向评审专家以外的其他人员支付评审劳务报酬;</w:t>
      </w:r>
    </w:p>
    <w:p w14:paraId="2D105DF5">
      <w:pPr>
        <w:pStyle w:val="26"/>
        <w:snapToGrid w:val="0"/>
        <w:spacing w:line="500" w:lineRule="exact"/>
        <w:ind w:firstLine="420"/>
        <w:rPr>
          <w:rFonts w:hint="eastAsia" w:ascii="微软雅黑" w:hAnsi="微软雅黑"/>
          <w:bCs/>
          <w:color w:val="auto"/>
          <w:szCs w:val="21"/>
        </w:rPr>
      </w:pPr>
      <w:r>
        <w:rPr>
          <w:rFonts w:hint="eastAsia" w:ascii="微软雅黑" w:hAnsi="微软雅黑"/>
          <w:bCs/>
          <w:color w:val="auto"/>
          <w:szCs w:val="21"/>
        </w:rPr>
        <w:t>10、处理与评标有关的其他事项。</w:t>
      </w:r>
    </w:p>
    <w:p w14:paraId="67F13E0B">
      <w:pPr>
        <w:pStyle w:val="26"/>
        <w:snapToGrid w:val="0"/>
        <w:spacing w:line="500" w:lineRule="exact"/>
        <w:ind w:firstLine="420"/>
        <w:rPr>
          <w:rFonts w:hint="eastAsia" w:ascii="微软雅黑" w:hAnsi="微软雅黑" w:cs="宋体"/>
          <w:b/>
          <w:color w:val="auto"/>
          <w:szCs w:val="21"/>
          <w:shd w:val="pct10" w:color="auto" w:fill="FFFFFF"/>
        </w:rPr>
      </w:pPr>
      <w:r>
        <w:rPr>
          <w:rFonts w:ascii="微软雅黑" w:hAnsi="微软雅黑"/>
          <w:b/>
          <w:color w:val="auto"/>
          <w:szCs w:val="21"/>
          <w:shd w:val="pct10" w:color="auto" w:fill="FFFFFF"/>
        </w:rPr>
        <w:t>（</w:t>
      </w:r>
      <w:r>
        <w:rPr>
          <w:rFonts w:hint="eastAsia" w:ascii="微软雅黑" w:hAnsi="微软雅黑"/>
          <w:b/>
          <w:color w:val="auto"/>
          <w:szCs w:val="21"/>
          <w:shd w:val="pct10" w:color="auto" w:fill="FFFFFF"/>
        </w:rPr>
        <w:t>三</w:t>
      </w:r>
      <w:r>
        <w:rPr>
          <w:rFonts w:ascii="微软雅黑" w:hAnsi="微软雅黑"/>
          <w:b/>
          <w:color w:val="auto"/>
          <w:szCs w:val="21"/>
          <w:shd w:val="pct10" w:color="auto" w:fill="FFFFFF"/>
        </w:rPr>
        <w:t>）</w:t>
      </w:r>
      <w:r>
        <w:rPr>
          <w:rFonts w:hint="eastAsia" w:ascii="微软雅黑" w:hAnsi="微软雅黑" w:cs="宋体"/>
          <w:b/>
          <w:color w:val="auto"/>
          <w:szCs w:val="21"/>
          <w:shd w:val="pct10" w:color="auto" w:fill="FFFFFF"/>
        </w:rPr>
        <w:t>开标流程（两阶段）</w:t>
      </w:r>
    </w:p>
    <w:p w14:paraId="2CE6151F">
      <w:pPr>
        <w:pStyle w:val="19"/>
        <w:snapToGrid w:val="0"/>
        <w:spacing w:line="500" w:lineRule="exact"/>
        <w:ind w:firstLine="396" w:firstLineChars="196"/>
        <w:rPr>
          <w:rFonts w:hint="eastAsia" w:ascii="微软雅黑" w:hAnsi="微软雅黑"/>
          <w:b/>
          <w:color w:val="auto"/>
          <w:sz w:val="21"/>
          <w:szCs w:val="21"/>
        </w:rPr>
      </w:pPr>
      <w:r>
        <w:rPr>
          <w:rFonts w:hint="eastAsia" w:ascii="微软雅黑" w:hAnsi="微软雅黑"/>
          <w:b/>
          <w:color w:val="auto"/>
          <w:sz w:val="21"/>
          <w:szCs w:val="21"/>
        </w:rPr>
        <w:t>1、开标第一阶段</w:t>
      </w:r>
    </w:p>
    <w:p w14:paraId="11C51A09">
      <w:pPr>
        <w:spacing w:line="500" w:lineRule="exact"/>
        <w:ind w:firstLine="371" w:firstLineChars="177"/>
        <w:rPr>
          <w:rFonts w:hint="eastAsia" w:ascii="微软雅黑" w:hAnsi="微软雅黑" w:cs="宋体"/>
          <w:color w:val="auto"/>
          <w:kern w:val="0"/>
          <w:szCs w:val="21"/>
          <w:shd w:val="pct10" w:color="auto" w:fill="FFFFFF"/>
        </w:rPr>
      </w:pPr>
      <w:r>
        <w:rPr>
          <w:rFonts w:hint="eastAsia" w:ascii="微软雅黑" w:hAnsi="微软雅黑" w:cs="宋体"/>
          <w:color w:val="auto"/>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1848198">
      <w:pPr>
        <w:spacing w:line="500" w:lineRule="exact"/>
        <w:ind w:firstLine="371" w:firstLineChars="177"/>
        <w:rPr>
          <w:rFonts w:hint="eastAsia" w:ascii="微软雅黑" w:hAnsi="微软雅黑" w:cs="宋体"/>
          <w:b/>
          <w:color w:val="auto"/>
          <w:kern w:val="0"/>
          <w:szCs w:val="21"/>
          <w:shd w:val="pct10" w:color="auto" w:fill="FFFFFF"/>
        </w:rPr>
      </w:pPr>
      <w:r>
        <w:rPr>
          <w:rFonts w:hint="eastAsia" w:ascii="微软雅黑" w:hAnsi="微软雅黑" w:cs="宋体"/>
          <w:color w:val="auto"/>
          <w:kern w:val="0"/>
          <w:szCs w:val="21"/>
          <w:shd w:val="pct10" w:color="auto" w:fill="FFFFFF"/>
        </w:rPr>
        <w:t>（2）投标文件解密，解密成功后，各供应商将政府采购活动现场确认声明书传给代理公司；</w:t>
      </w:r>
      <w:r>
        <w:rPr>
          <w:rFonts w:hint="eastAsia" w:ascii="微软雅黑" w:hAnsi="微软雅黑" w:cs="宋体"/>
          <w:b/>
          <w:color w:val="auto"/>
          <w:kern w:val="0"/>
          <w:szCs w:val="21"/>
          <w:shd w:val="pct10" w:color="auto" w:fill="FFFFFF"/>
        </w:rPr>
        <w:t>（请各投标单位在投标截止时间前注册完成钉钉联系方式）</w:t>
      </w:r>
    </w:p>
    <w:p w14:paraId="636C7224">
      <w:pPr>
        <w:spacing w:line="500" w:lineRule="exact"/>
        <w:ind w:firstLine="371" w:firstLineChars="177"/>
        <w:rPr>
          <w:rFonts w:hint="eastAsia" w:ascii="微软雅黑" w:hAnsi="微软雅黑" w:cs="宋体"/>
          <w:color w:val="auto"/>
          <w:kern w:val="0"/>
          <w:szCs w:val="21"/>
          <w:shd w:val="pct10" w:color="auto" w:fill="FFFFFF"/>
        </w:rPr>
      </w:pPr>
      <w:r>
        <w:rPr>
          <w:rFonts w:hint="eastAsia" w:ascii="微软雅黑" w:hAnsi="微软雅黑" w:cs="宋体"/>
          <w:color w:val="auto"/>
          <w:kern w:val="0"/>
          <w:szCs w:val="21"/>
          <w:shd w:val="pct10" w:color="auto" w:fill="FFFFFF"/>
        </w:rPr>
        <w:t>（3）开启投标文件，进入资格审查；</w:t>
      </w:r>
    </w:p>
    <w:p w14:paraId="5263CBAF">
      <w:pPr>
        <w:spacing w:line="500" w:lineRule="exact"/>
        <w:ind w:firstLine="371" w:firstLineChars="177"/>
        <w:rPr>
          <w:rFonts w:hint="eastAsia" w:ascii="微软雅黑" w:hAnsi="微软雅黑" w:cs="宋体"/>
          <w:color w:val="auto"/>
          <w:kern w:val="0"/>
          <w:szCs w:val="21"/>
          <w:shd w:val="pct10" w:color="auto" w:fill="FFFFFF"/>
        </w:rPr>
      </w:pPr>
      <w:r>
        <w:rPr>
          <w:rFonts w:hint="eastAsia" w:ascii="微软雅黑" w:hAnsi="微软雅黑" w:cs="宋体"/>
          <w:color w:val="auto"/>
          <w:kern w:val="0"/>
          <w:szCs w:val="21"/>
          <w:shd w:val="pct10" w:color="auto" w:fill="FFFFFF"/>
        </w:rPr>
        <w:t>（4）开启资格审查通过的投标供应商的商务技术文件进入符合性审查、商务技术评审；</w:t>
      </w:r>
    </w:p>
    <w:p w14:paraId="5989D509">
      <w:pPr>
        <w:spacing w:line="500" w:lineRule="exact"/>
        <w:ind w:firstLine="371" w:firstLineChars="177"/>
        <w:rPr>
          <w:rFonts w:hint="eastAsia" w:ascii="微软雅黑" w:hAnsi="微软雅黑" w:cs="宋体"/>
          <w:color w:val="auto"/>
          <w:kern w:val="0"/>
          <w:szCs w:val="21"/>
          <w:shd w:val="pct10" w:color="auto" w:fill="FFFFFF"/>
        </w:rPr>
      </w:pPr>
      <w:r>
        <w:rPr>
          <w:rFonts w:hint="eastAsia" w:ascii="微软雅黑" w:hAnsi="微软雅黑" w:cs="宋体"/>
          <w:color w:val="auto"/>
          <w:kern w:val="0"/>
          <w:szCs w:val="21"/>
          <w:shd w:val="pct10" w:color="auto" w:fill="FFFFFF"/>
        </w:rPr>
        <w:t>（5）第一阶段开标结束。</w:t>
      </w:r>
    </w:p>
    <w:p w14:paraId="17BE99A8">
      <w:pPr>
        <w:spacing w:line="500" w:lineRule="exact"/>
        <w:ind w:firstLine="372" w:firstLineChars="177"/>
        <w:rPr>
          <w:rFonts w:hint="eastAsia" w:ascii="微软雅黑" w:hAnsi="微软雅黑" w:cs="宋体"/>
          <w:b/>
          <w:color w:val="auto"/>
          <w:kern w:val="0"/>
          <w:szCs w:val="21"/>
          <w:shd w:val="pct10" w:color="auto" w:fill="FFFFFF"/>
        </w:rPr>
      </w:pPr>
      <w:r>
        <w:rPr>
          <w:rFonts w:hint="eastAsia" w:ascii="微软雅黑" w:hAnsi="微软雅黑" w:cs="宋体"/>
          <w:b/>
          <w:color w:val="auto"/>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6197E47">
      <w:pPr>
        <w:spacing w:line="500" w:lineRule="exact"/>
        <w:ind w:firstLine="372" w:firstLineChars="177"/>
        <w:rPr>
          <w:rFonts w:hint="eastAsia" w:ascii="微软雅黑" w:hAnsi="微软雅黑" w:cs="宋体"/>
          <w:b/>
          <w:color w:val="auto"/>
          <w:kern w:val="0"/>
          <w:szCs w:val="21"/>
          <w:shd w:val="pct10" w:color="auto" w:fill="FFFFFF"/>
        </w:rPr>
      </w:pPr>
      <w:r>
        <w:rPr>
          <w:rFonts w:hint="eastAsia" w:ascii="微软雅黑" w:hAnsi="微软雅黑" w:cs="宋体"/>
          <w:b/>
          <w:color w:val="auto"/>
          <w:kern w:val="0"/>
          <w:szCs w:val="21"/>
          <w:shd w:val="pct10" w:color="auto" w:fill="FFFFFF"/>
        </w:rPr>
        <w:t>2、开标大会第二阶段</w:t>
      </w:r>
    </w:p>
    <w:p w14:paraId="1B0E1EC5">
      <w:pPr>
        <w:spacing w:line="500" w:lineRule="exact"/>
        <w:ind w:firstLine="371" w:firstLineChars="177"/>
        <w:rPr>
          <w:rFonts w:hint="eastAsia" w:ascii="微软雅黑" w:hAnsi="微软雅黑" w:cs="宋体"/>
          <w:color w:val="auto"/>
          <w:kern w:val="0"/>
          <w:szCs w:val="21"/>
          <w:shd w:val="pct10" w:color="auto" w:fill="FFFFFF"/>
        </w:rPr>
      </w:pPr>
      <w:r>
        <w:rPr>
          <w:rFonts w:hint="eastAsia" w:ascii="微软雅黑" w:hAnsi="微软雅黑" w:cs="宋体"/>
          <w:color w:val="auto"/>
          <w:kern w:val="0"/>
          <w:szCs w:val="21"/>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07BF2F28">
      <w:pPr>
        <w:spacing w:line="500" w:lineRule="exact"/>
        <w:ind w:firstLine="371" w:firstLineChars="177"/>
        <w:rPr>
          <w:rFonts w:hint="eastAsia" w:ascii="微软雅黑" w:hAnsi="微软雅黑" w:cs="宋体"/>
          <w:color w:val="auto"/>
          <w:kern w:val="0"/>
          <w:szCs w:val="21"/>
          <w:shd w:val="pct10" w:color="auto" w:fill="FFFFFF"/>
        </w:rPr>
      </w:pPr>
      <w:r>
        <w:rPr>
          <w:rFonts w:hint="eastAsia" w:ascii="微软雅黑" w:hAnsi="微软雅黑" w:cs="宋体"/>
          <w:color w:val="auto"/>
          <w:kern w:val="0"/>
          <w:szCs w:val="21"/>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4C80BEDD">
      <w:pPr>
        <w:spacing w:line="500" w:lineRule="exact"/>
        <w:ind w:firstLine="371" w:firstLineChars="177"/>
        <w:rPr>
          <w:rFonts w:hint="eastAsia" w:ascii="微软雅黑" w:hAnsi="微软雅黑" w:cs="宋体"/>
          <w:color w:val="auto"/>
          <w:kern w:val="0"/>
          <w:szCs w:val="21"/>
          <w:shd w:val="pct10" w:color="auto" w:fill="FFFFFF"/>
        </w:rPr>
      </w:pPr>
      <w:r>
        <w:rPr>
          <w:rFonts w:hint="eastAsia" w:ascii="微软雅黑" w:hAnsi="微软雅黑" w:cs="宋体"/>
          <w:color w:val="auto"/>
          <w:kern w:val="0"/>
          <w:szCs w:val="21"/>
          <w:shd w:val="pct10" w:color="auto" w:fill="FFFFFF"/>
        </w:rPr>
        <w:t>（3）评审结束后，通过政采云方式公布中标（成交）候选供应商名单，及采购人最终确定中标或成交供应商名单的时间和公告方式等。</w:t>
      </w:r>
    </w:p>
    <w:p w14:paraId="0226FA02">
      <w:pPr>
        <w:spacing w:line="500" w:lineRule="exact"/>
        <w:ind w:firstLine="371" w:firstLineChars="177"/>
        <w:rPr>
          <w:rFonts w:hint="eastAsia" w:ascii="微软雅黑" w:hAnsi="微软雅黑" w:cs="宋体"/>
          <w:color w:val="auto"/>
          <w:kern w:val="0"/>
          <w:szCs w:val="21"/>
          <w:shd w:val="pct10" w:color="auto" w:fill="FFFFFF"/>
        </w:rPr>
      </w:pPr>
      <w:r>
        <w:rPr>
          <w:rFonts w:hint="eastAsia" w:ascii="微软雅黑" w:hAnsi="微软雅黑" w:cs="宋体"/>
          <w:color w:val="auto"/>
          <w:kern w:val="0"/>
          <w:szCs w:val="21"/>
          <w:shd w:val="pct10" w:color="auto" w:fill="FFFFFF"/>
        </w:rPr>
        <w:t>特别说明：如遇“政府采购云平台”电子化开标或评审程序调整的，按调整后程序执行。</w:t>
      </w:r>
    </w:p>
    <w:p w14:paraId="2C51CA69">
      <w:pPr>
        <w:spacing w:line="500" w:lineRule="exact"/>
        <w:ind w:firstLine="372" w:firstLineChars="177"/>
        <w:rPr>
          <w:rFonts w:hint="eastAsia" w:ascii="微软雅黑" w:hAnsi="微软雅黑" w:cs="宋体"/>
          <w:b/>
          <w:color w:val="auto"/>
          <w:kern w:val="0"/>
          <w:szCs w:val="21"/>
          <w:shd w:val="pct10" w:color="auto" w:fill="FFFFFF"/>
        </w:rPr>
      </w:pPr>
      <w:bookmarkStart w:id="179" w:name="_Toc33194393"/>
      <w:bookmarkStart w:id="180" w:name="_Toc24550037"/>
      <w:r>
        <w:rPr>
          <w:rFonts w:hint="eastAsia" w:ascii="微软雅黑" w:hAnsi="微软雅黑" w:cs="宋体"/>
          <w:b/>
          <w:color w:val="auto"/>
          <w:kern w:val="0"/>
          <w:szCs w:val="21"/>
          <w:shd w:val="pct10" w:color="auto" w:fill="FFFFFF"/>
        </w:rPr>
        <w:t>（四）投标供应商资格审查</w:t>
      </w:r>
      <w:bookmarkEnd w:id="179"/>
      <w:bookmarkEnd w:id="180"/>
    </w:p>
    <w:p w14:paraId="58CEF403">
      <w:pPr>
        <w:spacing w:line="500" w:lineRule="exact"/>
        <w:ind w:firstLine="371" w:firstLineChars="177"/>
        <w:rPr>
          <w:rFonts w:hint="eastAsia" w:ascii="微软雅黑" w:hAnsi="微软雅黑" w:cs="宋体"/>
          <w:color w:val="auto"/>
          <w:kern w:val="0"/>
          <w:szCs w:val="21"/>
          <w:shd w:val="pct10" w:color="auto" w:fill="FFFFFF"/>
        </w:rPr>
      </w:pPr>
      <w:r>
        <w:rPr>
          <w:rFonts w:hint="eastAsia" w:ascii="微软雅黑" w:hAnsi="微软雅黑" w:cs="宋体"/>
          <w:color w:val="auto"/>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6740E14">
      <w:pPr>
        <w:spacing w:line="500" w:lineRule="exact"/>
        <w:ind w:firstLine="371" w:firstLineChars="177"/>
        <w:rPr>
          <w:rFonts w:hint="eastAsia" w:ascii="微软雅黑" w:hAnsi="微软雅黑" w:cs="宋体"/>
          <w:color w:val="auto"/>
          <w:kern w:val="0"/>
          <w:szCs w:val="21"/>
          <w:shd w:val="pct10" w:color="auto" w:fill="FFFFFF"/>
        </w:rPr>
      </w:pPr>
      <w:r>
        <w:rPr>
          <w:rFonts w:hint="eastAsia" w:ascii="微软雅黑" w:hAnsi="微软雅黑" w:cs="宋体"/>
          <w:color w:val="auto"/>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7D4CD9D2">
      <w:pPr>
        <w:spacing w:line="500" w:lineRule="exact"/>
        <w:ind w:firstLine="371" w:firstLineChars="177"/>
        <w:rPr>
          <w:rFonts w:hint="eastAsia" w:ascii="微软雅黑" w:hAnsi="微软雅黑" w:cs="宋体"/>
          <w:color w:val="auto"/>
          <w:kern w:val="0"/>
          <w:szCs w:val="21"/>
          <w:shd w:val="pct10" w:color="auto" w:fill="FFFFFF"/>
        </w:rPr>
      </w:pPr>
      <w:r>
        <w:rPr>
          <w:rFonts w:hint="eastAsia" w:ascii="微软雅黑" w:hAnsi="微软雅黑" w:cs="宋体"/>
          <w:color w:val="auto"/>
          <w:kern w:val="0"/>
          <w:szCs w:val="21"/>
          <w:shd w:val="pct10" w:color="auto" w:fill="FFFFFF"/>
        </w:rPr>
        <w:t>3、单位负责人为同一人或者存在直接控股、管理关系的不同供应商参加同一合同项下的政府采购活动的，相关投标供应商均作资格无效处理。</w:t>
      </w:r>
    </w:p>
    <w:p w14:paraId="084D5536">
      <w:pPr>
        <w:pStyle w:val="2"/>
        <w:spacing w:line="500" w:lineRule="exact"/>
        <w:ind w:firstLine="420"/>
        <w:rPr>
          <w:rFonts w:hint="eastAsia" w:ascii="微软雅黑" w:hAnsi="微软雅黑"/>
          <w:color w:val="auto"/>
          <w:szCs w:val="21"/>
        </w:rPr>
      </w:pPr>
      <w:bookmarkStart w:id="181" w:name="_Toc33535370"/>
      <w:r>
        <w:rPr>
          <w:rFonts w:hint="eastAsia" w:ascii="微软雅黑" w:hAnsi="微软雅黑"/>
          <w:color w:val="auto"/>
          <w:szCs w:val="21"/>
        </w:rPr>
        <w:t>五、评标</w:t>
      </w:r>
      <w:bookmarkEnd w:id="181"/>
    </w:p>
    <w:p w14:paraId="19CABF47">
      <w:pPr>
        <w:pStyle w:val="26"/>
        <w:snapToGrid w:val="0"/>
        <w:spacing w:line="500" w:lineRule="exact"/>
        <w:ind w:left="689" w:leftChars="228" w:hanging="210" w:hangingChars="100"/>
        <w:rPr>
          <w:rFonts w:hint="eastAsia" w:ascii="微软雅黑" w:hAnsi="微软雅黑"/>
          <w:b/>
          <w:color w:val="auto"/>
          <w:szCs w:val="21"/>
        </w:rPr>
      </w:pPr>
      <w:r>
        <w:rPr>
          <w:rFonts w:ascii="微软雅黑" w:hAnsi="微软雅黑"/>
          <w:b/>
          <w:color w:val="auto"/>
          <w:szCs w:val="21"/>
        </w:rPr>
        <w:t>（一）组建评标委员会</w:t>
      </w:r>
    </w:p>
    <w:p w14:paraId="1218C549">
      <w:pPr>
        <w:pStyle w:val="26"/>
        <w:snapToGrid w:val="0"/>
        <w:spacing w:line="500" w:lineRule="exact"/>
        <w:ind w:firstLine="420"/>
        <w:rPr>
          <w:rFonts w:hint="eastAsia" w:ascii="微软雅黑" w:hAnsi="微软雅黑"/>
          <w:color w:val="auto"/>
          <w:szCs w:val="21"/>
        </w:rPr>
      </w:pPr>
      <w:r>
        <w:rPr>
          <w:rFonts w:hint="eastAsia" w:ascii="微软雅黑" w:hAnsi="微软雅黑" w:cs="宋体"/>
          <w:color w:val="auto"/>
          <w:kern w:val="0"/>
          <w:szCs w:val="21"/>
        </w:rPr>
        <w:t>评标委员会由采购人代表和评审专家组成，</w:t>
      </w:r>
      <w:r>
        <w:rPr>
          <w:rFonts w:ascii="微软雅黑" w:hAnsi="微软雅黑"/>
          <w:color w:val="auto"/>
          <w:szCs w:val="21"/>
        </w:rPr>
        <w:t>政府采购评审专家</w:t>
      </w:r>
      <w:r>
        <w:rPr>
          <w:rFonts w:hint="eastAsia" w:ascii="微软雅黑" w:hAnsi="微软雅黑"/>
          <w:color w:val="auto"/>
          <w:szCs w:val="21"/>
          <w:u w:val="single"/>
        </w:rPr>
        <w:t>4</w:t>
      </w:r>
      <w:r>
        <w:rPr>
          <w:rFonts w:ascii="微软雅黑" w:hAnsi="微软雅黑"/>
          <w:color w:val="auto"/>
          <w:szCs w:val="21"/>
        </w:rPr>
        <w:t>人和采购人代表</w:t>
      </w:r>
      <w:r>
        <w:rPr>
          <w:rFonts w:hint="eastAsia" w:ascii="微软雅黑" w:hAnsi="微软雅黑"/>
          <w:color w:val="auto"/>
          <w:szCs w:val="21"/>
          <w:u w:val="single"/>
        </w:rPr>
        <w:t>1</w:t>
      </w:r>
      <w:r>
        <w:rPr>
          <w:rFonts w:ascii="微软雅黑" w:hAnsi="微软雅黑"/>
          <w:color w:val="auto"/>
          <w:szCs w:val="21"/>
        </w:rPr>
        <w:t>人,共</w:t>
      </w:r>
      <w:r>
        <w:rPr>
          <w:rFonts w:hint="eastAsia" w:ascii="微软雅黑" w:hAnsi="微软雅黑"/>
          <w:color w:val="auto"/>
          <w:szCs w:val="21"/>
          <w:u w:val="single"/>
        </w:rPr>
        <w:t>5</w:t>
      </w:r>
      <w:r>
        <w:rPr>
          <w:rFonts w:ascii="微软雅黑" w:hAnsi="微软雅黑"/>
          <w:color w:val="auto"/>
          <w:szCs w:val="21"/>
        </w:rPr>
        <w:t>人组成。</w:t>
      </w:r>
    </w:p>
    <w:p w14:paraId="5B5547BA">
      <w:pPr>
        <w:widowControl/>
        <w:shd w:val="clear" w:color="auto" w:fill="FFFFFF"/>
        <w:spacing w:line="500" w:lineRule="exact"/>
        <w:ind w:firstLine="420"/>
        <w:rPr>
          <w:rFonts w:hint="eastAsia" w:ascii="微软雅黑" w:hAnsi="微软雅黑" w:cs="宋体"/>
          <w:color w:val="auto"/>
          <w:kern w:val="0"/>
          <w:szCs w:val="21"/>
        </w:rPr>
      </w:pPr>
      <w:r>
        <w:rPr>
          <w:rFonts w:hint="eastAsia" w:ascii="微软雅黑" w:hAnsi="微软雅黑" w:cs="宋体"/>
          <w:color w:val="auto"/>
          <w:kern w:val="0"/>
          <w:szCs w:val="21"/>
        </w:rPr>
        <w:t>评标委员会负责具体评标事务，并独立履行下列职责：</w:t>
      </w:r>
    </w:p>
    <w:p w14:paraId="71AD8BF9">
      <w:pPr>
        <w:widowControl/>
        <w:shd w:val="clear" w:color="auto" w:fill="FFFFFF"/>
        <w:spacing w:line="500" w:lineRule="exact"/>
        <w:ind w:firstLine="420"/>
        <w:rPr>
          <w:rFonts w:hint="eastAsia" w:ascii="微软雅黑" w:hAnsi="微软雅黑" w:cs="宋体"/>
          <w:color w:val="auto"/>
          <w:kern w:val="0"/>
          <w:szCs w:val="21"/>
        </w:rPr>
      </w:pPr>
      <w:r>
        <w:rPr>
          <w:rFonts w:hint="eastAsia" w:ascii="微软雅黑" w:hAnsi="微软雅黑" w:cs="宋体"/>
          <w:color w:val="auto"/>
          <w:kern w:val="0"/>
          <w:szCs w:val="21"/>
        </w:rPr>
        <w:t>1、审查、评价投标文件是否符合招标文件的商务、技术等实质性要求;</w:t>
      </w:r>
    </w:p>
    <w:p w14:paraId="29DFD4C2">
      <w:pPr>
        <w:widowControl/>
        <w:shd w:val="clear" w:color="auto" w:fill="FFFFFF"/>
        <w:spacing w:line="500" w:lineRule="exact"/>
        <w:ind w:firstLine="420"/>
        <w:rPr>
          <w:rFonts w:hint="eastAsia" w:ascii="微软雅黑" w:hAnsi="微软雅黑" w:cs="宋体"/>
          <w:color w:val="auto"/>
          <w:kern w:val="0"/>
          <w:szCs w:val="21"/>
        </w:rPr>
      </w:pPr>
      <w:r>
        <w:rPr>
          <w:rFonts w:hint="eastAsia" w:ascii="微软雅黑" w:hAnsi="微软雅黑" w:cs="宋体"/>
          <w:color w:val="auto"/>
          <w:kern w:val="0"/>
          <w:szCs w:val="21"/>
        </w:rPr>
        <w:t>2、要求供应商对投标文件有关事项作出澄清或者说明;</w:t>
      </w:r>
    </w:p>
    <w:p w14:paraId="0AF1CF5A">
      <w:pPr>
        <w:widowControl/>
        <w:shd w:val="clear" w:color="auto" w:fill="FFFFFF"/>
        <w:spacing w:line="500" w:lineRule="exact"/>
        <w:ind w:firstLine="420"/>
        <w:rPr>
          <w:rFonts w:hint="eastAsia" w:ascii="微软雅黑" w:hAnsi="微软雅黑" w:cs="宋体"/>
          <w:color w:val="auto"/>
          <w:kern w:val="0"/>
          <w:szCs w:val="21"/>
        </w:rPr>
      </w:pPr>
      <w:r>
        <w:rPr>
          <w:rFonts w:hint="eastAsia" w:ascii="微软雅黑" w:hAnsi="微软雅黑" w:cs="宋体"/>
          <w:color w:val="auto"/>
          <w:kern w:val="0"/>
          <w:szCs w:val="21"/>
        </w:rPr>
        <w:t>3、对投标文件进行比较和评价;</w:t>
      </w:r>
    </w:p>
    <w:p w14:paraId="79AC5DFF">
      <w:pPr>
        <w:widowControl/>
        <w:shd w:val="clear" w:color="auto" w:fill="FFFFFF"/>
        <w:spacing w:line="500" w:lineRule="exact"/>
        <w:ind w:firstLine="420"/>
        <w:rPr>
          <w:rFonts w:hint="eastAsia" w:ascii="微软雅黑" w:hAnsi="微软雅黑" w:cs="宋体"/>
          <w:color w:val="auto"/>
          <w:kern w:val="0"/>
          <w:szCs w:val="21"/>
        </w:rPr>
      </w:pPr>
      <w:r>
        <w:rPr>
          <w:rFonts w:hint="eastAsia" w:ascii="微软雅黑" w:hAnsi="微软雅黑" w:cs="宋体"/>
          <w:color w:val="auto"/>
          <w:kern w:val="0"/>
          <w:szCs w:val="21"/>
        </w:rPr>
        <w:t>4、确定中标候选人名单，以及根据采购人委托直接确定中标人;</w:t>
      </w:r>
    </w:p>
    <w:p w14:paraId="649F0994">
      <w:pPr>
        <w:widowControl/>
        <w:shd w:val="clear" w:color="auto" w:fill="FFFFFF"/>
        <w:spacing w:line="500" w:lineRule="exact"/>
        <w:ind w:firstLine="420"/>
        <w:rPr>
          <w:rFonts w:hint="eastAsia" w:ascii="微软雅黑" w:hAnsi="微软雅黑" w:cs="宋体"/>
          <w:color w:val="auto"/>
          <w:kern w:val="0"/>
          <w:szCs w:val="21"/>
        </w:rPr>
      </w:pPr>
      <w:r>
        <w:rPr>
          <w:rFonts w:hint="eastAsia" w:ascii="微软雅黑" w:hAnsi="微软雅黑" w:cs="宋体"/>
          <w:color w:val="auto"/>
          <w:kern w:val="0"/>
          <w:szCs w:val="21"/>
        </w:rPr>
        <w:t>5、向采购人、采购代理机构或者有关部门报告评标中发现的违法行为。</w:t>
      </w:r>
    </w:p>
    <w:p w14:paraId="443F5C0A">
      <w:pPr>
        <w:widowControl/>
        <w:shd w:val="clear" w:color="auto" w:fill="FFFFFF"/>
        <w:spacing w:line="500" w:lineRule="exact"/>
        <w:ind w:firstLine="420"/>
        <w:rPr>
          <w:rFonts w:hint="eastAsia" w:ascii="微软雅黑" w:hAnsi="微软雅黑" w:cs="宋体"/>
          <w:b/>
          <w:color w:val="auto"/>
          <w:kern w:val="0"/>
          <w:szCs w:val="21"/>
        </w:rPr>
      </w:pPr>
      <w:r>
        <w:rPr>
          <w:rFonts w:hint="eastAsia" w:ascii="微软雅黑" w:hAnsi="微软雅黑" w:cs="宋体"/>
          <w:b/>
          <w:color w:val="auto"/>
          <w:kern w:val="0"/>
          <w:szCs w:val="21"/>
        </w:rPr>
        <w:t>除采购人代表、评标现场组织人员外，采购人的其他工作人员以及与评标工作无关的人员不得进入评标现场。</w:t>
      </w:r>
    </w:p>
    <w:p w14:paraId="4DBACD57">
      <w:pPr>
        <w:pStyle w:val="26"/>
        <w:snapToGrid w:val="0"/>
        <w:spacing w:line="500" w:lineRule="exact"/>
        <w:ind w:left="689" w:leftChars="228" w:hanging="210" w:hangingChars="100"/>
        <w:rPr>
          <w:rFonts w:hint="eastAsia" w:ascii="微软雅黑" w:hAnsi="微软雅黑"/>
          <w:b/>
          <w:color w:val="auto"/>
          <w:szCs w:val="21"/>
        </w:rPr>
      </w:pPr>
      <w:r>
        <w:rPr>
          <w:rFonts w:ascii="微软雅黑" w:hAnsi="微软雅黑"/>
          <w:b/>
          <w:color w:val="auto"/>
          <w:szCs w:val="21"/>
        </w:rPr>
        <w:t>（二）评标的方式</w:t>
      </w:r>
    </w:p>
    <w:p w14:paraId="1264570E">
      <w:pPr>
        <w:pStyle w:val="26"/>
        <w:snapToGrid w:val="0"/>
        <w:spacing w:line="500" w:lineRule="exact"/>
        <w:ind w:left="689" w:leftChars="228" w:hanging="210" w:hangingChars="100"/>
        <w:rPr>
          <w:rFonts w:hint="eastAsia" w:ascii="微软雅黑" w:hAnsi="微软雅黑"/>
          <w:color w:val="auto"/>
          <w:szCs w:val="21"/>
        </w:rPr>
      </w:pPr>
      <w:r>
        <w:rPr>
          <w:rFonts w:ascii="微软雅黑" w:hAnsi="微软雅黑"/>
          <w:color w:val="auto"/>
          <w:szCs w:val="21"/>
        </w:rPr>
        <w:t>本项目采用不公开方式评标，评标的依据为招标文件和投标文件。</w:t>
      </w:r>
    </w:p>
    <w:p w14:paraId="2E6C5C66">
      <w:pPr>
        <w:pStyle w:val="26"/>
        <w:snapToGrid w:val="0"/>
        <w:spacing w:line="500" w:lineRule="exact"/>
        <w:ind w:left="689" w:leftChars="228" w:hanging="210" w:hangingChars="100"/>
        <w:rPr>
          <w:rFonts w:hint="eastAsia" w:ascii="微软雅黑" w:hAnsi="微软雅黑"/>
          <w:b/>
          <w:bCs/>
          <w:color w:val="auto"/>
          <w:szCs w:val="21"/>
        </w:rPr>
      </w:pPr>
      <w:r>
        <w:rPr>
          <w:rFonts w:ascii="微软雅黑" w:hAnsi="微软雅黑"/>
          <w:b/>
          <w:color w:val="auto"/>
          <w:szCs w:val="21"/>
        </w:rPr>
        <w:t>（三）</w:t>
      </w:r>
      <w:r>
        <w:rPr>
          <w:rFonts w:ascii="微软雅黑" w:hAnsi="微软雅黑"/>
          <w:b/>
          <w:bCs/>
          <w:color w:val="auto"/>
          <w:szCs w:val="21"/>
        </w:rPr>
        <w:t>评标程序</w:t>
      </w:r>
    </w:p>
    <w:p w14:paraId="0E218442">
      <w:pPr>
        <w:pStyle w:val="26"/>
        <w:snapToGrid w:val="0"/>
        <w:spacing w:line="500" w:lineRule="exact"/>
        <w:ind w:firstLine="420"/>
        <w:rPr>
          <w:rFonts w:hint="eastAsia" w:ascii="微软雅黑" w:hAnsi="微软雅黑"/>
          <w:bCs/>
          <w:color w:val="auto"/>
          <w:szCs w:val="21"/>
        </w:rPr>
      </w:pPr>
      <w:r>
        <w:rPr>
          <w:rFonts w:hint="eastAsia" w:ascii="微软雅黑" w:hAnsi="微软雅黑"/>
          <w:bCs/>
          <w:color w:val="auto"/>
          <w:szCs w:val="21"/>
        </w:rPr>
        <w:t>采购人可以在评标前说明项目背景和采购需求，说明内容不得含有歧视性、倾向性意见，不得超出招标文件所述范围。说明应当提交书面材料，并随采购文件一并存档。</w:t>
      </w:r>
    </w:p>
    <w:p w14:paraId="36DB8B3A">
      <w:pPr>
        <w:snapToGrid w:val="0"/>
        <w:spacing w:line="500" w:lineRule="exact"/>
        <w:ind w:firstLine="412" w:firstLineChars="196"/>
        <w:rPr>
          <w:rFonts w:hint="eastAsia" w:ascii="微软雅黑" w:hAnsi="微软雅黑"/>
          <w:b/>
          <w:bCs/>
          <w:color w:val="auto"/>
          <w:szCs w:val="21"/>
        </w:rPr>
      </w:pPr>
      <w:r>
        <w:rPr>
          <w:rFonts w:ascii="微软雅黑" w:hAnsi="微软雅黑"/>
          <w:b/>
          <w:bCs/>
          <w:color w:val="auto"/>
          <w:szCs w:val="21"/>
        </w:rPr>
        <w:t>1</w:t>
      </w:r>
      <w:r>
        <w:rPr>
          <w:rFonts w:hint="eastAsia" w:ascii="微软雅黑" w:hAnsi="微软雅黑"/>
          <w:b/>
          <w:bCs/>
          <w:color w:val="auto"/>
          <w:szCs w:val="21"/>
        </w:rPr>
        <w:t>、</w:t>
      </w:r>
      <w:r>
        <w:rPr>
          <w:rFonts w:ascii="微软雅黑" w:hAnsi="微软雅黑"/>
          <w:b/>
          <w:bCs/>
          <w:color w:val="auto"/>
          <w:szCs w:val="21"/>
        </w:rPr>
        <w:t>形式审查</w:t>
      </w:r>
    </w:p>
    <w:p w14:paraId="1F791334">
      <w:pPr>
        <w:snapToGrid w:val="0"/>
        <w:spacing w:line="500" w:lineRule="exact"/>
        <w:ind w:firstLine="420"/>
        <w:rPr>
          <w:rFonts w:hint="eastAsia" w:ascii="微软雅黑" w:hAnsi="微软雅黑"/>
          <w:bCs/>
          <w:color w:val="auto"/>
          <w:szCs w:val="21"/>
        </w:rPr>
      </w:pPr>
      <w:r>
        <w:rPr>
          <w:rFonts w:ascii="微软雅黑" w:hAnsi="微软雅黑"/>
          <w:bCs/>
          <w:color w:val="auto"/>
          <w:szCs w:val="21"/>
        </w:rPr>
        <w:t>形式审查</w:t>
      </w:r>
      <w:r>
        <w:rPr>
          <w:rFonts w:hint="eastAsia" w:ascii="微软雅黑" w:hAnsi="微软雅黑"/>
          <w:bCs/>
          <w:color w:val="auto"/>
          <w:szCs w:val="21"/>
        </w:rPr>
        <w:t>包括资格审查（除符合性审查以外的关于供应商资格条件等内容）和符合性审查，即对供应商的资格</w:t>
      </w:r>
      <w:r>
        <w:rPr>
          <w:rFonts w:ascii="微软雅黑" w:hAnsi="微软雅黑"/>
          <w:bCs/>
          <w:color w:val="auto"/>
          <w:szCs w:val="21"/>
        </w:rPr>
        <w:t>和投标文件的完整性、合法性等进行审查。</w:t>
      </w:r>
      <w:r>
        <w:rPr>
          <w:rFonts w:hint="eastAsia" w:ascii="微软雅黑" w:hAnsi="微软雅黑"/>
          <w:bCs/>
          <w:color w:val="auto"/>
          <w:szCs w:val="21"/>
        </w:rPr>
        <w:t>投标文件形式审查未通过的供应商，其投标文件将不再评审。</w:t>
      </w:r>
    </w:p>
    <w:p w14:paraId="02E27149">
      <w:pPr>
        <w:snapToGrid w:val="0"/>
        <w:spacing w:line="500" w:lineRule="exact"/>
        <w:ind w:firstLine="412" w:firstLineChars="196"/>
        <w:rPr>
          <w:rFonts w:hint="eastAsia" w:ascii="微软雅黑" w:hAnsi="微软雅黑"/>
          <w:b/>
          <w:bCs/>
          <w:color w:val="auto"/>
          <w:szCs w:val="21"/>
        </w:rPr>
      </w:pPr>
      <w:r>
        <w:rPr>
          <w:rFonts w:ascii="微软雅黑" w:hAnsi="微软雅黑"/>
          <w:b/>
          <w:bCs/>
          <w:color w:val="auto"/>
          <w:szCs w:val="21"/>
        </w:rPr>
        <w:t>2</w:t>
      </w:r>
      <w:r>
        <w:rPr>
          <w:rFonts w:hint="eastAsia" w:ascii="微软雅黑" w:hAnsi="微软雅黑"/>
          <w:b/>
          <w:bCs/>
          <w:color w:val="auto"/>
          <w:szCs w:val="21"/>
        </w:rPr>
        <w:t>、</w:t>
      </w:r>
      <w:r>
        <w:rPr>
          <w:rFonts w:ascii="微软雅黑" w:hAnsi="微软雅黑"/>
          <w:b/>
          <w:bCs/>
          <w:color w:val="auto"/>
          <w:szCs w:val="21"/>
        </w:rPr>
        <w:t>实质审查与比较</w:t>
      </w:r>
    </w:p>
    <w:p w14:paraId="4420A442">
      <w:pPr>
        <w:snapToGrid w:val="0"/>
        <w:spacing w:line="500" w:lineRule="exact"/>
        <w:ind w:firstLine="420"/>
        <w:rPr>
          <w:rFonts w:hint="eastAsia" w:ascii="微软雅黑" w:hAnsi="微软雅黑"/>
          <w:color w:val="auto"/>
          <w:szCs w:val="21"/>
        </w:rPr>
      </w:pPr>
      <w:r>
        <w:rPr>
          <w:rFonts w:hint="eastAsia" w:ascii="微软雅黑" w:hAnsi="微软雅黑"/>
          <w:color w:val="auto"/>
          <w:szCs w:val="21"/>
        </w:rPr>
        <w:t>（</w:t>
      </w:r>
      <w:r>
        <w:rPr>
          <w:rFonts w:ascii="微软雅黑" w:hAnsi="微软雅黑"/>
          <w:color w:val="auto"/>
          <w:szCs w:val="21"/>
        </w:rPr>
        <w:t>1）评标委员会审查投标文件的实质性内容是否符合招标文件的实质性要求。</w:t>
      </w:r>
    </w:p>
    <w:p w14:paraId="334A4E4C">
      <w:pPr>
        <w:snapToGrid w:val="0"/>
        <w:spacing w:line="500" w:lineRule="exact"/>
        <w:ind w:firstLine="420"/>
        <w:rPr>
          <w:rFonts w:hint="eastAsia" w:ascii="微软雅黑" w:hAnsi="微软雅黑"/>
          <w:color w:val="auto"/>
          <w:szCs w:val="21"/>
        </w:rPr>
      </w:pPr>
      <w:r>
        <w:rPr>
          <w:rFonts w:hint="eastAsia" w:ascii="微软雅黑" w:hAnsi="微软雅黑"/>
          <w:color w:val="auto"/>
          <w:szCs w:val="21"/>
        </w:rPr>
        <w:t>（</w:t>
      </w:r>
      <w:r>
        <w:rPr>
          <w:rFonts w:ascii="微软雅黑" w:hAnsi="微软雅黑"/>
          <w:color w:val="auto"/>
          <w:szCs w:val="21"/>
        </w:rPr>
        <w:t>2）评标委员会将根据供应商的投标文件进行审查、核对,如有疑问,将对供应商进行询标,供应商要向评标委员会澄清有关问题,并最终以书面形式进行答复。</w:t>
      </w:r>
    </w:p>
    <w:p w14:paraId="44AA8DAE">
      <w:pPr>
        <w:snapToGrid w:val="0"/>
        <w:spacing w:line="500" w:lineRule="exact"/>
        <w:ind w:firstLine="420"/>
        <w:rPr>
          <w:rFonts w:hint="eastAsia" w:ascii="微软雅黑" w:hAnsi="微软雅黑"/>
          <w:color w:val="auto"/>
          <w:szCs w:val="21"/>
        </w:rPr>
      </w:pPr>
      <w:r>
        <w:rPr>
          <w:rFonts w:ascii="微软雅黑" w:hAnsi="微软雅黑"/>
          <w:color w:val="auto"/>
          <w:szCs w:val="21"/>
        </w:rPr>
        <w:t>询标</w:t>
      </w:r>
      <w:r>
        <w:rPr>
          <w:rFonts w:hint="eastAsia" w:ascii="微软雅黑" w:hAnsi="微软雅黑"/>
          <w:color w:val="auto"/>
          <w:szCs w:val="21"/>
        </w:rPr>
        <w:t>时，供应商代表未到场或者拒绝澄清或者澄清的内容改变了投标文件的实质性内容的，评标委员会有权对该投标文件作出不利于供应商的评判。</w:t>
      </w:r>
    </w:p>
    <w:p w14:paraId="5E0A1E68">
      <w:pPr>
        <w:snapToGrid w:val="0"/>
        <w:spacing w:line="500" w:lineRule="exact"/>
        <w:ind w:firstLine="420"/>
        <w:rPr>
          <w:rFonts w:hint="eastAsia" w:ascii="微软雅黑" w:hAnsi="微软雅黑"/>
          <w:color w:val="auto"/>
          <w:szCs w:val="21"/>
        </w:rPr>
      </w:pPr>
      <w:r>
        <w:rPr>
          <w:rFonts w:hint="eastAsia" w:ascii="微软雅黑" w:hAnsi="微软雅黑"/>
          <w:color w:val="auto"/>
          <w:szCs w:val="21"/>
        </w:rPr>
        <w:t>（</w:t>
      </w:r>
      <w:r>
        <w:rPr>
          <w:rFonts w:ascii="微软雅黑" w:hAnsi="微软雅黑"/>
          <w:color w:val="auto"/>
          <w:szCs w:val="21"/>
        </w:rPr>
        <w:t>3）各供应商的</w:t>
      </w:r>
      <w:r>
        <w:rPr>
          <w:rFonts w:hint="eastAsia" w:ascii="微软雅黑" w:hAnsi="微软雅黑"/>
          <w:color w:val="auto"/>
          <w:szCs w:val="21"/>
        </w:rPr>
        <w:t>资信商务及技术分按照评标委员会成员的独立评分结果汇后的算术平均分计算</w:t>
      </w:r>
      <w:r>
        <w:rPr>
          <w:rFonts w:ascii="微软雅黑" w:hAnsi="微软雅黑"/>
          <w:color w:val="auto"/>
          <w:szCs w:val="21"/>
        </w:rPr>
        <w:t>。</w:t>
      </w:r>
    </w:p>
    <w:p w14:paraId="453D5F96">
      <w:pPr>
        <w:snapToGrid w:val="0"/>
        <w:spacing w:line="500" w:lineRule="exact"/>
        <w:ind w:firstLine="420"/>
        <w:rPr>
          <w:rFonts w:hint="eastAsia" w:ascii="微软雅黑" w:hAnsi="微软雅黑"/>
          <w:color w:val="auto"/>
          <w:szCs w:val="21"/>
        </w:rPr>
      </w:pPr>
      <w:r>
        <w:rPr>
          <w:rFonts w:hint="eastAsia" w:ascii="微软雅黑" w:hAnsi="微软雅黑"/>
          <w:color w:val="auto"/>
          <w:szCs w:val="21"/>
        </w:rPr>
        <w:t>（</w:t>
      </w:r>
      <w:r>
        <w:rPr>
          <w:rFonts w:ascii="微软雅黑" w:hAnsi="微软雅黑"/>
          <w:color w:val="auto"/>
          <w:szCs w:val="21"/>
        </w:rPr>
        <w:t>4）</w:t>
      </w:r>
      <w:r>
        <w:rPr>
          <w:rFonts w:hint="eastAsia" w:ascii="微软雅黑" w:hAnsi="微软雅黑"/>
          <w:color w:val="auto"/>
          <w:szCs w:val="21"/>
        </w:rPr>
        <w:t>采购代理机构工作人员协助</w:t>
      </w:r>
      <w:r>
        <w:rPr>
          <w:rFonts w:ascii="微软雅黑" w:hAnsi="微软雅黑"/>
          <w:color w:val="auto"/>
          <w:szCs w:val="21"/>
        </w:rPr>
        <w:t>评标委员会根据</w:t>
      </w:r>
      <w:r>
        <w:rPr>
          <w:rFonts w:hint="eastAsia" w:ascii="微软雅黑" w:hAnsi="微软雅黑"/>
          <w:color w:val="auto"/>
          <w:szCs w:val="21"/>
        </w:rPr>
        <w:t>本项目的评分标准操作政府采购业务系统，由系统</w:t>
      </w:r>
      <w:r>
        <w:rPr>
          <w:rFonts w:ascii="微软雅黑" w:hAnsi="微软雅黑"/>
          <w:color w:val="auto"/>
          <w:szCs w:val="21"/>
        </w:rPr>
        <w:t>计算各供应商的商务报价得分</w:t>
      </w:r>
      <w:r>
        <w:rPr>
          <w:rFonts w:hint="eastAsia" w:ascii="微软雅黑" w:hAnsi="微软雅黑"/>
          <w:color w:val="auto"/>
          <w:szCs w:val="21"/>
        </w:rPr>
        <w:t>。</w:t>
      </w:r>
    </w:p>
    <w:p w14:paraId="5E88D53B">
      <w:pPr>
        <w:snapToGrid w:val="0"/>
        <w:spacing w:line="500" w:lineRule="exact"/>
        <w:ind w:firstLine="420"/>
        <w:rPr>
          <w:rFonts w:hint="eastAsia" w:ascii="微软雅黑" w:hAnsi="微软雅黑"/>
          <w:color w:val="auto"/>
          <w:szCs w:val="21"/>
        </w:rPr>
      </w:pPr>
      <w:r>
        <w:rPr>
          <w:rFonts w:hint="eastAsia" w:ascii="微软雅黑" w:hAnsi="微软雅黑"/>
          <w:color w:val="auto"/>
          <w:szCs w:val="21"/>
        </w:rPr>
        <w:t>（</w:t>
      </w:r>
      <w:r>
        <w:rPr>
          <w:rFonts w:ascii="微软雅黑" w:hAnsi="微软雅黑"/>
          <w:color w:val="auto"/>
          <w:szCs w:val="21"/>
        </w:rPr>
        <w:t>5）评标委员会完成评标后,评委对各部分得分汇总,</w:t>
      </w:r>
      <w:r>
        <w:rPr>
          <w:rFonts w:hint="eastAsia" w:ascii="微软雅黑" w:hAnsi="微软雅黑"/>
          <w:color w:val="auto"/>
          <w:szCs w:val="21"/>
        </w:rPr>
        <w:t>计算</w:t>
      </w:r>
      <w:r>
        <w:rPr>
          <w:rFonts w:ascii="微软雅黑" w:hAnsi="微软雅黑"/>
          <w:color w:val="auto"/>
          <w:szCs w:val="21"/>
        </w:rPr>
        <w:t>出本项目</w:t>
      </w:r>
      <w:r>
        <w:rPr>
          <w:rFonts w:hint="eastAsia" w:ascii="微软雅黑" w:hAnsi="微软雅黑"/>
          <w:color w:val="auto"/>
          <w:szCs w:val="21"/>
        </w:rPr>
        <w:t>最终得分、性价比、评标价等</w:t>
      </w:r>
      <w:r>
        <w:rPr>
          <w:rFonts w:ascii="微软雅黑" w:hAnsi="微软雅黑"/>
          <w:color w:val="auto"/>
          <w:szCs w:val="21"/>
        </w:rPr>
        <w:t>。评标委员会按评标原则推荐中标候选人同时起草评标报告。</w:t>
      </w:r>
    </w:p>
    <w:p w14:paraId="42692D2C">
      <w:pPr>
        <w:snapToGrid w:val="0"/>
        <w:spacing w:line="500" w:lineRule="exact"/>
        <w:ind w:firstLine="420"/>
        <w:rPr>
          <w:rFonts w:hint="eastAsia" w:ascii="微软雅黑" w:hAnsi="微软雅黑"/>
          <w:b/>
          <w:color w:val="auto"/>
          <w:szCs w:val="21"/>
        </w:rPr>
      </w:pPr>
      <w:r>
        <w:rPr>
          <w:rFonts w:hint="eastAsia" w:ascii="微软雅黑" w:hAnsi="微软雅黑"/>
          <w:b/>
          <w:color w:val="auto"/>
          <w:szCs w:val="21"/>
        </w:rPr>
        <w:t>（四）澄清问题的形式</w:t>
      </w:r>
    </w:p>
    <w:p w14:paraId="57F6CAAC">
      <w:pPr>
        <w:snapToGrid w:val="0"/>
        <w:spacing w:line="500" w:lineRule="exact"/>
        <w:ind w:firstLine="420"/>
        <w:rPr>
          <w:rFonts w:hint="eastAsia" w:ascii="微软雅黑" w:hAnsi="微软雅黑" w:cs="宋体"/>
          <w:color w:val="auto"/>
          <w:kern w:val="0"/>
          <w:szCs w:val="21"/>
        </w:rPr>
      </w:pPr>
      <w:r>
        <w:rPr>
          <w:rFonts w:hint="eastAsia" w:ascii="微软雅黑" w:hAnsi="微软雅黑"/>
          <w:color w:val="auto"/>
          <w:szCs w:val="21"/>
        </w:rPr>
        <w:t>（1</w:t>
      </w:r>
      <w:r>
        <w:rPr>
          <w:rFonts w:ascii="微软雅黑" w:hAnsi="微软雅黑"/>
          <w:color w:val="auto"/>
          <w:szCs w:val="21"/>
        </w:rPr>
        <w:t>）</w:t>
      </w:r>
      <w:r>
        <w:rPr>
          <w:rFonts w:hint="eastAsia" w:ascii="微软雅黑" w:hAnsi="微软雅黑" w:cs="宋体"/>
          <w:color w:val="auto"/>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31CA1296">
      <w:pPr>
        <w:snapToGrid w:val="0"/>
        <w:spacing w:line="500" w:lineRule="exact"/>
        <w:ind w:firstLine="420"/>
        <w:rPr>
          <w:rFonts w:hint="eastAsia" w:ascii="微软雅黑" w:hAnsi="微软雅黑" w:cs="宋体"/>
          <w:color w:val="auto"/>
          <w:kern w:val="0"/>
          <w:szCs w:val="21"/>
        </w:rPr>
      </w:pPr>
      <w:r>
        <w:rPr>
          <w:rFonts w:hint="eastAsia" w:ascii="微软雅黑" w:hAnsi="微软雅黑"/>
          <w:color w:val="auto"/>
          <w:szCs w:val="21"/>
        </w:rPr>
        <w:t>（2</w:t>
      </w:r>
      <w:r>
        <w:rPr>
          <w:rFonts w:ascii="微软雅黑" w:hAnsi="微软雅黑"/>
          <w:color w:val="auto"/>
          <w:szCs w:val="21"/>
        </w:rPr>
        <w:t>）</w:t>
      </w:r>
      <w:r>
        <w:rPr>
          <w:rFonts w:hint="eastAsia" w:ascii="微软雅黑" w:hAnsi="微软雅黑" w:cs="宋体"/>
          <w:color w:val="auto"/>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037BFC3">
      <w:pPr>
        <w:pStyle w:val="26"/>
        <w:snapToGrid w:val="0"/>
        <w:spacing w:line="500" w:lineRule="exact"/>
        <w:ind w:left="689" w:leftChars="228" w:hanging="210" w:hangingChars="100"/>
        <w:rPr>
          <w:rFonts w:hint="eastAsia" w:ascii="微软雅黑" w:hAnsi="微软雅黑"/>
          <w:b/>
          <w:color w:val="auto"/>
          <w:szCs w:val="21"/>
        </w:rPr>
      </w:pPr>
      <w:r>
        <w:rPr>
          <w:rFonts w:ascii="微软雅黑" w:hAnsi="微软雅黑"/>
          <w:b/>
          <w:color w:val="auto"/>
          <w:szCs w:val="21"/>
        </w:rPr>
        <w:t>（五）错误修正</w:t>
      </w:r>
    </w:p>
    <w:p w14:paraId="65C46950">
      <w:pPr>
        <w:pStyle w:val="26"/>
        <w:snapToGrid w:val="0"/>
        <w:spacing w:line="500" w:lineRule="exact"/>
        <w:ind w:left="689" w:leftChars="228" w:hanging="210" w:hangingChars="100"/>
        <w:rPr>
          <w:rFonts w:hint="eastAsia" w:ascii="微软雅黑" w:hAnsi="微软雅黑"/>
          <w:color w:val="auto"/>
          <w:szCs w:val="21"/>
        </w:rPr>
      </w:pPr>
      <w:r>
        <w:rPr>
          <w:rFonts w:ascii="微软雅黑" w:hAnsi="微软雅黑"/>
          <w:color w:val="auto"/>
          <w:szCs w:val="21"/>
        </w:rPr>
        <w:t>投标文件如果出现计算或表达上的错误，修正错误的原则如下：</w:t>
      </w:r>
    </w:p>
    <w:p w14:paraId="3B091B39">
      <w:pPr>
        <w:pStyle w:val="26"/>
        <w:snapToGrid w:val="0"/>
        <w:spacing w:line="500" w:lineRule="exact"/>
        <w:ind w:firstLine="420"/>
        <w:rPr>
          <w:rFonts w:hint="eastAsia" w:ascii="微软雅黑" w:hAnsi="微软雅黑"/>
          <w:color w:val="auto"/>
          <w:szCs w:val="21"/>
        </w:rPr>
      </w:pPr>
      <w:r>
        <w:rPr>
          <w:rFonts w:hint="eastAsia" w:ascii="微软雅黑" w:hAnsi="微软雅黑"/>
          <w:color w:val="auto"/>
          <w:szCs w:val="21"/>
        </w:rPr>
        <w:t>1、</w:t>
      </w:r>
      <w:r>
        <w:rPr>
          <w:rFonts w:ascii="微软雅黑" w:hAnsi="微软雅黑"/>
          <w:color w:val="auto"/>
          <w:szCs w:val="21"/>
        </w:rPr>
        <w:t>投标文件的大写金额和小写金额不一致的，以大写金额为准；</w:t>
      </w:r>
    </w:p>
    <w:p w14:paraId="67662888">
      <w:pPr>
        <w:pStyle w:val="26"/>
        <w:snapToGrid w:val="0"/>
        <w:spacing w:line="500" w:lineRule="exact"/>
        <w:ind w:firstLine="420"/>
        <w:rPr>
          <w:rFonts w:hint="eastAsia" w:ascii="微软雅黑" w:hAnsi="微软雅黑"/>
          <w:color w:val="auto"/>
          <w:szCs w:val="21"/>
        </w:rPr>
      </w:pPr>
      <w:r>
        <w:rPr>
          <w:rFonts w:hint="eastAsia" w:ascii="微软雅黑" w:hAnsi="微软雅黑"/>
          <w:color w:val="auto"/>
          <w:szCs w:val="21"/>
        </w:rPr>
        <w:t>2、</w:t>
      </w:r>
      <w:r>
        <w:rPr>
          <w:rFonts w:ascii="微软雅黑" w:hAnsi="微软雅黑"/>
          <w:color w:val="auto"/>
          <w:szCs w:val="21"/>
        </w:rPr>
        <w:t>总价金额与按单价汇总金额不一致的，以单价金额计算结果为准；</w:t>
      </w:r>
    </w:p>
    <w:p w14:paraId="552DC68B">
      <w:pPr>
        <w:pStyle w:val="26"/>
        <w:snapToGrid w:val="0"/>
        <w:spacing w:line="500" w:lineRule="exact"/>
        <w:ind w:firstLine="420"/>
        <w:rPr>
          <w:rFonts w:hint="eastAsia" w:ascii="微软雅黑" w:hAnsi="微软雅黑"/>
          <w:color w:val="auto"/>
          <w:szCs w:val="21"/>
        </w:rPr>
      </w:pPr>
      <w:r>
        <w:rPr>
          <w:rFonts w:hint="eastAsia" w:ascii="微软雅黑" w:hAnsi="微软雅黑"/>
          <w:color w:val="auto"/>
          <w:szCs w:val="21"/>
        </w:rPr>
        <w:t>3、</w:t>
      </w:r>
      <w:r>
        <w:rPr>
          <w:rFonts w:ascii="微软雅黑" w:hAnsi="微软雅黑"/>
          <w:color w:val="auto"/>
          <w:szCs w:val="21"/>
        </w:rPr>
        <w:t>对不同文字文本投标文件的解释发生异议的，以中文文本为准。</w:t>
      </w:r>
    </w:p>
    <w:p w14:paraId="582693DE">
      <w:pPr>
        <w:pStyle w:val="26"/>
        <w:tabs>
          <w:tab w:val="left" w:pos="630"/>
        </w:tabs>
        <w:snapToGrid w:val="0"/>
        <w:spacing w:line="500" w:lineRule="exact"/>
        <w:ind w:firstLine="412" w:firstLineChars="196"/>
        <w:rPr>
          <w:rFonts w:hint="eastAsia" w:ascii="微软雅黑" w:hAnsi="微软雅黑"/>
          <w:b/>
          <w:color w:val="auto"/>
          <w:szCs w:val="21"/>
        </w:rPr>
      </w:pPr>
      <w:r>
        <w:rPr>
          <w:rFonts w:ascii="微软雅黑" w:hAnsi="微软雅黑"/>
          <w:b/>
          <w:color w:val="auto"/>
          <w:szCs w:val="21"/>
        </w:rPr>
        <w:t>（六）评标原则和评标办法</w:t>
      </w:r>
    </w:p>
    <w:p w14:paraId="5B038F87">
      <w:pPr>
        <w:pStyle w:val="26"/>
        <w:snapToGrid w:val="0"/>
        <w:spacing w:line="500" w:lineRule="exact"/>
        <w:ind w:firstLine="420"/>
        <w:rPr>
          <w:rFonts w:hint="eastAsia" w:ascii="微软雅黑" w:hAnsi="微软雅黑"/>
          <w:color w:val="auto"/>
          <w:szCs w:val="21"/>
        </w:rPr>
      </w:pPr>
      <w:r>
        <w:rPr>
          <w:rFonts w:ascii="微软雅黑" w:hAnsi="微软雅黑"/>
          <w:color w:val="auto"/>
          <w:szCs w:val="21"/>
        </w:rPr>
        <w:t>1</w:t>
      </w:r>
      <w:r>
        <w:rPr>
          <w:rFonts w:hint="eastAsia" w:ascii="微软雅黑" w:hAnsi="微软雅黑"/>
          <w:color w:val="auto"/>
          <w:szCs w:val="21"/>
        </w:rPr>
        <w:t>、</w:t>
      </w:r>
      <w:r>
        <w:rPr>
          <w:rFonts w:ascii="微软雅黑" w:hAnsi="微软雅黑"/>
          <w:color w:val="auto"/>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32A60CC1">
      <w:pPr>
        <w:pStyle w:val="26"/>
        <w:snapToGrid w:val="0"/>
        <w:spacing w:line="500" w:lineRule="exact"/>
        <w:ind w:firstLine="420"/>
        <w:rPr>
          <w:rFonts w:hint="eastAsia" w:ascii="微软雅黑" w:hAnsi="微软雅黑"/>
          <w:color w:val="auto"/>
          <w:szCs w:val="21"/>
        </w:rPr>
      </w:pPr>
      <w:r>
        <w:rPr>
          <w:rFonts w:ascii="微软雅黑" w:hAnsi="微软雅黑"/>
          <w:color w:val="auto"/>
          <w:szCs w:val="21"/>
        </w:rPr>
        <w:t>2</w:t>
      </w:r>
      <w:r>
        <w:rPr>
          <w:rFonts w:hint="eastAsia" w:ascii="微软雅黑" w:hAnsi="微软雅黑"/>
          <w:color w:val="auto"/>
          <w:szCs w:val="21"/>
        </w:rPr>
        <w:t>、</w:t>
      </w:r>
      <w:r>
        <w:rPr>
          <w:rFonts w:ascii="微软雅黑" w:hAnsi="微软雅黑"/>
          <w:color w:val="auto"/>
          <w:szCs w:val="21"/>
        </w:rPr>
        <w:t>评标办法。本项目评标办法是</w:t>
      </w:r>
      <w:r>
        <w:rPr>
          <w:rFonts w:hint="eastAsia" w:ascii="微软雅黑" w:hAnsi="微软雅黑"/>
          <w:color w:val="auto"/>
          <w:szCs w:val="21"/>
        </w:rPr>
        <w:t>综合评标法</w:t>
      </w:r>
      <w:r>
        <w:rPr>
          <w:rFonts w:ascii="微软雅黑" w:hAnsi="微软雅黑"/>
          <w:color w:val="auto"/>
          <w:szCs w:val="21"/>
        </w:rPr>
        <w:t xml:space="preserve"> ，具体评标内容及评分标准等详见《第四章：评标办法及评分标准》。</w:t>
      </w:r>
    </w:p>
    <w:p w14:paraId="2744125E">
      <w:pPr>
        <w:pStyle w:val="26"/>
        <w:snapToGrid w:val="0"/>
        <w:spacing w:line="500" w:lineRule="exact"/>
        <w:ind w:firstLine="412" w:firstLineChars="196"/>
        <w:rPr>
          <w:rFonts w:hint="eastAsia" w:ascii="微软雅黑" w:hAnsi="微软雅黑"/>
          <w:b/>
          <w:color w:val="auto"/>
          <w:szCs w:val="21"/>
        </w:rPr>
      </w:pPr>
      <w:r>
        <w:rPr>
          <w:rFonts w:ascii="微软雅黑" w:hAnsi="微软雅黑"/>
          <w:b/>
          <w:color w:val="auto"/>
          <w:szCs w:val="21"/>
        </w:rPr>
        <w:t>（七）评标过程的监控</w:t>
      </w:r>
    </w:p>
    <w:p w14:paraId="79817A36">
      <w:pPr>
        <w:pStyle w:val="26"/>
        <w:snapToGrid w:val="0"/>
        <w:spacing w:line="500" w:lineRule="exact"/>
        <w:ind w:firstLine="420"/>
        <w:rPr>
          <w:rFonts w:hint="eastAsia" w:ascii="微软雅黑" w:hAnsi="微软雅黑"/>
          <w:color w:val="auto"/>
          <w:szCs w:val="21"/>
        </w:rPr>
      </w:pPr>
      <w:r>
        <w:rPr>
          <w:rFonts w:ascii="微软雅黑" w:hAnsi="微软雅黑"/>
          <w:color w:val="auto"/>
          <w:szCs w:val="21"/>
        </w:rPr>
        <w:t>本项目评标过程实行全程录音、录像监控</w:t>
      </w:r>
      <w:r>
        <w:rPr>
          <w:rFonts w:hint="eastAsia" w:ascii="微软雅黑" w:hAnsi="微软雅黑"/>
          <w:color w:val="auto"/>
          <w:szCs w:val="21"/>
        </w:rPr>
        <w:t>。</w:t>
      </w:r>
      <w:r>
        <w:rPr>
          <w:rFonts w:ascii="微软雅黑" w:hAnsi="微软雅黑"/>
          <w:color w:val="auto"/>
          <w:szCs w:val="21"/>
        </w:rPr>
        <w:t>供应商在评标过程中所进行的</w:t>
      </w:r>
      <w:r>
        <w:rPr>
          <w:rFonts w:hint="eastAsia" w:ascii="微软雅黑" w:hAnsi="微软雅黑"/>
          <w:color w:val="auto"/>
          <w:szCs w:val="21"/>
        </w:rPr>
        <w:t>试</w:t>
      </w:r>
      <w:r>
        <w:rPr>
          <w:rFonts w:ascii="微软雅黑" w:hAnsi="微软雅黑"/>
          <w:color w:val="auto"/>
          <w:szCs w:val="21"/>
        </w:rPr>
        <w:t>图影响评标结果的不公正活动，可能导致其投标被拒绝。</w:t>
      </w:r>
    </w:p>
    <w:p w14:paraId="773A5031">
      <w:pPr>
        <w:pStyle w:val="2"/>
        <w:spacing w:line="500" w:lineRule="exact"/>
        <w:ind w:firstLine="420"/>
        <w:rPr>
          <w:rFonts w:hint="eastAsia" w:ascii="微软雅黑" w:hAnsi="微软雅黑"/>
          <w:color w:val="auto"/>
          <w:szCs w:val="21"/>
        </w:rPr>
      </w:pPr>
      <w:bookmarkStart w:id="182" w:name="_Toc33535371"/>
      <w:r>
        <w:rPr>
          <w:rFonts w:hint="eastAsia" w:ascii="微软雅黑" w:hAnsi="微软雅黑"/>
          <w:color w:val="auto"/>
          <w:szCs w:val="21"/>
        </w:rPr>
        <w:t>六、定标</w:t>
      </w:r>
      <w:bookmarkEnd w:id="182"/>
    </w:p>
    <w:p w14:paraId="13235B45">
      <w:pPr>
        <w:pStyle w:val="26"/>
        <w:snapToGrid w:val="0"/>
        <w:spacing w:line="500" w:lineRule="exact"/>
        <w:ind w:firstLine="412" w:firstLineChars="196"/>
        <w:rPr>
          <w:rFonts w:hint="eastAsia" w:ascii="微软雅黑" w:hAnsi="微软雅黑"/>
          <w:b/>
          <w:bCs/>
          <w:color w:val="auto"/>
          <w:szCs w:val="21"/>
        </w:rPr>
      </w:pPr>
      <w:r>
        <w:rPr>
          <w:rFonts w:hint="eastAsia" w:ascii="微软雅黑" w:hAnsi="微软雅黑"/>
          <w:b/>
          <w:bCs/>
          <w:color w:val="auto"/>
          <w:szCs w:val="21"/>
        </w:rPr>
        <w:t>（一）确定中标人。</w:t>
      </w:r>
    </w:p>
    <w:p w14:paraId="4E711618">
      <w:pPr>
        <w:snapToGrid w:val="0"/>
        <w:spacing w:line="500" w:lineRule="exact"/>
        <w:ind w:firstLine="420"/>
        <w:rPr>
          <w:rFonts w:hint="eastAsia" w:ascii="微软雅黑" w:hAnsi="微软雅黑"/>
          <w:color w:val="auto"/>
          <w:szCs w:val="21"/>
        </w:rPr>
      </w:pPr>
      <w:r>
        <w:rPr>
          <w:rFonts w:ascii="微软雅黑" w:hAnsi="微软雅黑"/>
          <w:color w:val="auto"/>
          <w:szCs w:val="21"/>
        </w:rPr>
        <w:t>1</w:t>
      </w:r>
      <w:r>
        <w:rPr>
          <w:rFonts w:hint="eastAsia" w:ascii="微软雅黑" w:hAnsi="微软雅黑"/>
          <w:color w:val="auto"/>
          <w:szCs w:val="21"/>
        </w:rPr>
        <w:t>、采购代理机构</w:t>
      </w:r>
      <w:r>
        <w:rPr>
          <w:rFonts w:ascii="微软雅黑" w:hAnsi="微软雅黑"/>
          <w:color w:val="auto"/>
          <w:szCs w:val="21"/>
        </w:rPr>
        <w:t>在评标结束后2个工作日内将评标报告交采购人确认，同时在发布招标公告的网站上对评标结果进行</w:t>
      </w:r>
      <w:r>
        <w:rPr>
          <w:rFonts w:hint="eastAsia" w:ascii="微软雅黑" w:hAnsi="微软雅黑"/>
          <w:color w:val="auto"/>
          <w:szCs w:val="21"/>
        </w:rPr>
        <w:t>公告</w:t>
      </w:r>
      <w:r>
        <w:rPr>
          <w:rFonts w:ascii="微软雅黑" w:hAnsi="微软雅黑"/>
          <w:color w:val="auto"/>
          <w:szCs w:val="21"/>
        </w:rPr>
        <w:t>。</w:t>
      </w:r>
    </w:p>
    <w:p w14:paraId="6369811D">
      <w:pPr>
        <w:snapToGrid w:val="0"/>
        <w:spacing w:line="500" w:lineRule="exact"/>
        <w:ind w:firstLine="420"/>
        <w:rPr>
          <w:rFonts w:hint="eastAsia" w:ascii="微软雅黑" w:hAnsi="微软雅黑"/>
          <w:color w:val="auto"/>
          <w:szCs w:val="21"/>
        </w:rPr>
      </w:pPr>
      <w:r>
        <w:rPr>
          <w:rFonts w:ascii="微软雅黑" w:hAnsi="微软雅黑"/>
          <w:color w:val="auto"/>
          <w:szCs w:val="21"/>
        </w:rPr>
        <w:t>2</w:t>
      </w:r>
      <w:r>
        <w:rPr>
          <w:rFonts w:hint="eastAsia" w:ascii="微软雅黑" w:hAnsi="微软雅黑"/>
          <w:color w:val="auto"/>
          <w:szCs w:val="21"/>
        </w:rPr>
        <w:t>、</w:t>
      </w:r>
      <w:r>
        <w:rPr>
          <w:rFonts w:ascii="微软雅黑" w:hAnsi="微软雅黑"/>
          <w:color w:val="auto"/>
          <w:szCs w:val="21"/>
        </w:rPr>
        <w:t>供应商对评标结果无异议的，采购人应在收到评标报告后5个工作日内对评标结果进行确认。如有供应商对评标结果提出质疑的，采购人可在质疑处理完毕后确定中标人。</w:t>
      </w:r>
    </w:p>
    <w:p w14:paraId="618B330A">
      <w:pPr>
        <w:snapToGrid w:val="0"/>
        <w:spacing w:line="500" w:lineRule="exact"/>
        <w:ind w:firstLine="420"/>
        <w:rPr>
          <w:rFonts w:hint="eastAsia" w:ascii="微软雅黑" w:hAnsi="微软雅黑"/>
          <w:color w:val="auto"/>
          <w:szCs w:val="21"/>
        </w:rPr>
      </w:pPr>
      <w:r>
        <w:rPr>
          <w:rFonts w:hint="eastAsia" w:ascii="微软雅黑" w:hAnsi="微软雅黑"/>
          <w:color w:val="auto"/>
          <w:szCs w:val="21"/>
        </w:rPr>
        <w:t>3. 在公告中标结果的同时，采购代理机构向中标人发出中标通知书。</w:t>
      </w:r>
    </w:p>
    <w:p w14:paraId="3431E9FD">
      <w:pPr>
        <w:pStyle w:val="2"/>
        <w:spacing w:line="500" w:lineRule="exact"/>
        <w:ind w:firstLine="420"/>
        <w:rPr>
          <w:rFonts w:hint="eastAsia" w:ascii="微软雅黑" w:hAnsi="微软雅黑"/>
          <w:color w:val="auto"/>
          <w:szCs w:val="21"/>
        </w:rPr>
      </w:pPr>
      <w:bookmarkStart w:id="183" w:name="_Toc33535372"/>
      <w:r>
        <w:rPr>
          <w:rFonts w:hint="eastAsia" w:ascii="微软雅黑" w:hAnsi="微软雅黑"/>
          <w:color w:val="auto"/>
          <w:szCs w:val="21"/>
        </w:rPr>
        <w:t>七、合同授予</w:t>
      </w:r>
      <w:bookmarkEnd w:id="183"/>
    </w:p>
    <w:p w14:paraId="79EA6334">
      <w:pPr>
        <w:spacing w:line="500" w:lineRule="exact"/>
        <w:ind w:firstLine="420"/>
        <w:rPr>
          <w:rFonts w:hint="eastAsia" w:ascii="微软雅黑" w:hAnsi="微软雅黑"/>
          <w:color w:val="auto"/>
          <w:szCs w:val="21"/>
        </w:rPr>
      </w:pPr>
      <w:r>
        <w:rPr>
          <w:rFonts w:hint="eastAsia" w:ascii="微软雅黑" w:hAnsi="微软雅黑"/>
          <w:color w:val="auto"/>
          <w:szCs w:val="21"/>
        </w:rPr>
        <w:t>（一）签订合同</w:t>
      </w:r>
    </w:p>
    <w:p w14:paraId="2FECA8FE">
      <w:pPr>
        <w:spacing w:line="500" w:lineRule="exact"/>
        <w:ind w:firstLine="420"/>
        <w:rPr>
          <w:rFonts w:hint="eastAsia" w:ascii="微软雅黑" w:hAnsi="微软雅黑"/>
          <w:color w:val="auto"/>
          <w:szCs w:val="21"/>
        </w:rPr>
      </w:pPr>
      <w:r>
        <w:rPr>
          <w:rFonts w:hint="eastAsia" w:ascii="微软雅黑" w:hAnsi="微软雅黑"/>
          <w:color w:val="auto"/>
          <w:szCs w:val="21"/>
        </w:rPr>
        <w:t>采购人与</w:t>
      </w:r>
      <w:r>
        <w:rPr>
          <w:rFonts w:ascii="微软雅黑" w:hAnsi="微软雅黑"/>
          <w:color w:val="auto"/>
          <w:szCs w:val="21"/>
        </w:rPr>
        <w:t>中标人应</w:t>
      </w:r>
      <w:r>
        <w:rPr>
          <w:rFonts w:hint="eastAsia" w:ascii="微软雅黑" w:hAnsi="微软雅黑"/>
          <w:color w:val="auto"/>
          <w:szCs w:val="21"/>
        </w:rPr>
        <w:t>当在中标公示发出之日起30日内签订政府采购合同。同时，采购机构对合同内容进行审查，如发现与采购结果和投标承诺内容不一致的，将予以纠正。</w:t>
      </w:r>
    </w:p>
    <w:p w14:paraId="251BEFB7">
      <w:pPr>
        <w:spacing w:line="500" w:lineRule="exact"/>
        <w:ind w:firstLine="420"/>
        <w:rPr>
          <w:rFonts w:hint="eastAsia" w:ascii="微软雅黑" w:hAnsi="微软雅黑"/>
          <w:color w:val="auto"/>
          <w:szCs w:val="21"/>
        </w:rPr>
      </w:pPr>
      <w:r>
        <w:rPr>
          <w:rFonts w:ascii="微软雅黑" w:hAnsi="微软雅黑"/>
          <w:color w:val="auto"/>
          <w:szCs w:val="21"/>
        </w:rPr>
        <w:t>中标人拖延、拒签合同的,将被取消中标资格</w:t>
      </w:r>
      <w:r>
        <w:rPr>
          <w:rFonts w:hint="eastAsia" w:ascii="微软雅黑" w:hAnsi="微软雅黑"/>
          <w:color w:val="auto"/>
          <w:szCs w:val="21"/>
        </w:rPr>
        <w:t>，并报监督管理部门</w:t>
      </w:r>
      <w:r>
        <w:rPr>
          <w:rFonts w:ascii="微软雅黑" w:hAnsi="微软雅黑"/>
          <w:color w:val="auto"/>
          <w:szCs w:val="21"/>
        </w:rPr>
        <w:t>。</w:t>
      </w:r>
    </w:p>
    <w:p w14:paraId="3BC81859">
      <w:pPr>
        <w:spacing w:line="500" w:lineRule="exact"/>
        <w:ind w:firstLine="420"/>
        <w:rPr>
          <w:rFonts w:hint="eastAsia" w:ascii="微软雅黑" w:hAnsi="微软雅黑"/>
          <w:color w:val="auto"/>
          <w:szCs w:val="21"/>
        </w:rPr>
      </w:pPr>
      <w:r>
        <w:rPr>
          <w:rFonts w:ascii="微软雅黑" w:hAnsi="微软雅黑"/>
          <w:color w:val="auto"/>
          <w:szCs w:val="21"/>
        </w:rPr>
        <w:t>（二）履约保证金：按前附表执行。</w:t>
      </w:r>
    </w:p>
    <w:p w14:paraId="065AD225">
      <w:pPr>
        <w:pStyle w:val="2"/>
        <w:spacing w:line="500" w:lineRule="exact"/>
        <w:ind w:firstLine="420"/>
        <w:rPr>
          <w:rFonts w:hint="eastAsia" w:ascii="微软雅黑" w:hAnsi="微软雅黑"/>
          <w:color w:val="auto"/>
          <w:szCs w:val="21"/>
        </w:rPr>
      </w:pPr>
      <w:r>
        <w:rPr>
          <w:rFonts w:hint="eastAsia" w:ascii="微软雅黑" w:hAnsi="微软雅黑"/>
          <w:color w:val="auto"/>
          <w:szCs w:val="21"/>
        </w:rPr>
        <w:t>八、招标代理费</w:t>
      </w:r>
      <w:bookmarkEnd w:id="112"/>
    </w:p>
    <w:p w14:paraId="653C97AD">
      <w:pPr>
        <w:rPr>
          <w:rFonts w:hint="eastAsia" w:ascii="宋体" w:hAnsi="宋体"/>
          <w:color w:val="auto"/>
        </w:rPr>
      </w:pPr>
      <w:r>
        <w:rPr>
          <w:rFonts w:hAnsi="宋体"/>
          <w:color w:val="auto"/>
          <w:sz w:val="24"/>
        </w:rPr>
        <w:t>1</w:t>
      </w:r>
      <w:r>
        <w:rPr>
          <w:rFonts w:hint="eastAsia" w:hAnsi="宋体"/>
          <w:color w:val="auto"/>
          <w:sz w:val="24"/>
        </w:rPr>
        <w:t>、</w:t>
      </w:r>
      <w:r>
        <w:rPr>
          <w:rFonts w:hint="eastAsia" w:ascii="宋体" w:hAnsi="宋体"/>
          <w:color w:val="auto"/>
        </w:rPr>
        <w:t>根据</w:t>
      </w:r>
      <w:r>
        <w:rPr>
          <w:rFonts w:ascii="宋体" w:hAnsi="宋体" w:cs="宋体"/>
          <w:color w:val="auto"/>
          <w:szCs w:val="21"/>
        </w:rPr>
        <w:t>《招标代理服务收费管理暂行办法》（计价格[2002]1980号）</w:t>
      </w:r>
      <w:r>
        <w:rPr>
          <w:rFonts w:hint="eastAsia" w:ascii="宋体" w:hAnsi="宋体"/>
          <w:color w:val="auto"/>
        </w:rPr>
        <w:t>规定，招标代理机构向中标人收取招标代理服务费。</w:t>
      </w:r>
    </w:p>
    <w:p w14:paraId="6093B790">
      <w:pPr>
        <w:ind w:firstLine="420"/>
        <w:rPr>
          <w:rFonts w:hint="eastAsia" w:ascii="宋体" w:hAnsi="宋体"/>
          <w:color w:val="auto"/>
        </w:rPr>
      </w:pPr>
      <w:r>
        <w:rPr>
          <w:rFonts w:hint="eastAsia" w:ascii="宋体" w:hAnsi="宋体"/>
          <w:color w:val="auto"/>
        </w:rPr>
        <w:t>2</w:t>
      </w:r>
      <w:r>
        <w:rPr>
          <w:rFonts w:hint="eastAsia" w:hAnsi="宋体"/>
          <w:color w:val="auto"/>
          <w:sz w:val="24"/>
        </w:rPr>
        <w:t>、</w:t>
      </w:r>
      <w:r>
        <w:rPr>
          <w:rFonts w:hint="eastAsia" w:ascii="宋体" w:hAnsi="宋体"/>
          <w:color w:val="auto"/>
        </w:rPr>
        <w:t>中标人应在收取《中标通知书》时向采购代理机构交纳招标代理服务费，服务费的收费标准</w:t>
      </w:r>
      <w:r>
        <w:rPr>
          <w:rFonts w:ascii="宋体" w:hAnsi="宋体" w:cs="宋体"/>
          <w:color w:val="auto"/>
          <w:szCs w:val="21"/>
        </w:rPr>
        <w:t>计价格[2002]1980号</w:t>
      </w:r>
      <w:r>
        <w:rPr>
          <w:rFonts w:hint="eastAsia" w:ascii="宋体" w:hAnsi="宋体"/>
          <w:color w:val="auto"/>
        </w:rPr>
        <w:t>文规定计算</w:t>
      </w:r>
    </w:p>
    <w:p w14:paraId="1DF608D9">
      <w:pPr>
        <w:pStyle w:val="50"/>
        <w:ind w:firstLine="344"/>
        <w:rPr>
          <w:color w:val="auto"/>
        </w:rPr>
      </w:pPr>
    </w:p>
    <w:tbl>
      <w:tblPr>
        <w:tblStyle w:val="5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70"/>
        <w:gridCol w:w="2970"/>
      </w:tblGrid>
      <w:tr w14:paraId="7C5EC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2970" w:type="dxa"/>
            <w:tcBorders>
              <w:top w:val="double" w:color="auto" w:sz="4" w:space="0"/>
              <w:left w:val="double" w:color="auto" w:sz="4" w:space="0"/>
              <w:bottom w:val="single" w:color="auto" w:sz="6" w:space="0"/>
              <w:right w:val="single" w:color="auto" w:sz="6" w:space="0"/>
            </w:tcBorders>
            <w:shd w:val="clear" w:color="auto" w:fill="D9D9D9"/>
            <w:vAlign w:val="center"/>
          </w:tcPr>
          <w:p w14:paraId="02BE3824">
            <w:pPr>
              <w:ind w:firstLine="420"/>
              <w:jc w:val="center"/>
              <w:rPr>
                <w:rFonts w:hint="eastAsia" w:ascii="宋体" w:hAnsi="宋体"/>
                <w:b/>
                <w:color w:val="auto"/>
              </w:rPr>
            </w:pPr>
            <w:r>
              <w:rPr>
                <w:rFonts w:hint="eastAsia" w:ascii="宋体" w:hAnsi="宋体"/>
                <w:b/>
                <w:color w:val="auto"/>
              </w:rPr>
              <w:t>中标金额（万元）</w:t>
            </w:r>
          </w:p>
        </w:tc>
        <w:tc>
          <w:tcPr>
            <w:tcW w:w="2970" w:type="dxa"/>
            <w:tcBorders>
              <w:top w:val="double" w:color="auto" w:sz="4" w:space="0"/>
              <w:left w:val="single" w:color="auto" w:sz="6" w:space="0"/>
              <w:bottom w:val="single" w:color="auto" w:sz="6" w:space="0"/>
              <w:right w:val="double" w:color="auto" w:sz="4" w:space="0"/>
            </w:tcBorders>
            <w:shd w:val="clear" w:color="auto" w:fill="D9D9D9"/>
          </w:tcPr>
          <w:p w14:paraId="567C5F3F">
            <w:pPr>
              <w:ind w:firstLine="420"/>
              <w:jc w:val="center"/>
              <w:rPr>
                <w:rFonts w:hint="eastAsia" w:ascii="宋体" w:hAnsi="宋体"/>
                <w:b/>
                <w:color w:val="auto"/>
              </w:rPr>
            </w:pPr>
            <w:r>
              <w:rPr>
                <w:rFonts w:hint="eastAsia" w:ascii="宋体" w:hAnsi="宋体"/>
                <w:b/>
                <w:color w:val="auto"/>
              </w:rPr>
              <w:t>服务类招标收费费率</w:t>
            </w:r>
          </w:p>
        </w:tc>
      </w:tr>
      <w:tr w14:paraId="3946DA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5B0A4CA0">
            <w:pPr>
              <w:ind w:firstLine="420"/>
              <w:jc w:val="center"/>
              <w:rPr>
                <w:rFonts w:hint="eastAsia" w:ascii="宋体" w:hAnsi="宋体"/>
                <w:color w:val="auto"/>
              </w:rPr>
            </w:pPr>
            <w:r>
              <w:rPr>
                <w:rFonts w:hint="eastAsia" w:ascii="宋体" w:hAnsi="宋体"/>
                <w:color w:val="auto"/>
              </w:rPr>
              <w:t>100以下</w:t>
            </w:r>
          </w:p>
        </w:tc>
        <w:tc>
          <w:tcPr>
            <w:tcW w:w="2970" w:type="dxa"/>
            <w:tcBorders>
              <w:top w:val="single" w:color="auto" w:sz="6" w:space="0"/>
              <w:left w:val="single" w:color="auto" w:sz="6" w:space="0"/>
              <w:bottom w:val="single" w:color="auto" w:sz="6" w:space="0"/>
              <w:right w:val="double" w:color="auto" w:sz="4" w:space="0"/>
            </w:tcBorders>
            <w:vAlign w:val="center"/>
          </w:tcPr>
          <w:p w14:paraId="352A77E8">
            <w:pPr>
              <w:ind w:firstLine="420"/>
              <w:jc w:val="center"/>
              <w:rPr>
                <w:rFonts w:hint="eastAsia" w:ascii="宋体" w:hAnsi="宋体"/>
                <w:color w:val="auto"/>
              </w:rPr>
            </w:pPr>
            <w:r>
              <w:rPr>
                <w:rFonts w:hint="eastAsia" w:ascii="宋体" w:hAnsi="宋体"/>
                <w:color w:val="auto"/>
              </w:rPr>
              <w:t>1.5％</w:t>
            </w:r>
          </w:p>
        </w:tc>
      </w:tr>
      <w:tr w14:paraId="7BFF45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6E40A937">
            <w:pPr>
              <w:ind w:firstLine="420"/>
              <w:jc w:val="center"/>
              <w:rPr>
                <w:rFonts w:hint="eastAsia" w:ascii="宋体" w:hAnsi="宋体"/>
                <w:color w:val="auto"/>
              </w:rPr>
            </w:pPr>
            <w:r>
              <w:rPr>
                <w:rFonts w:hint="eastAsia" w:ascii="宋体" w:hAnsi="宋体"/>
                <w:color w:val="auto"/>
              </w:rPr>
              <w:t>100-500</w:t>
            </w:r>
          </w:p>
        </w:tc>
        <w:tc>
          <w:tcPr>
            <w:tcW w:w="2970" w:type="dxa"/>
            <w:tcBorders>
              <w:top w:val="single" w:color="auto" w:sz="6" w:space="0"/>
              <w:left w:val="single" w:color="auto" w:sz="6" w:space="0"/>
              <w:bottom w:val="single" w:color="auto" w:sz="6" w:space="0"/>
              <w:right w:val="double" w:color="auto" w:sz="4" w:space="0"/>
            </w:tcBorders>
            <w:vAlign w:val="center"/>
          </w:tcPr>
          <w:p w14:paraId="41A898EB">
            <w:pPr>
              <w:ind w:firstLine="420"/>
              <w:jc w:val="center"/>
              <w:rPr>
                <w:rFonts w:hint="eastAsia" w:ascii="宋体" w:hAnsi="宋体"/>
                <w:color w:val="auto"/>
              </w:rPr>
            </w:pPr>
            <w:r>
              <w:rPr>
                <w:rFonts w:hint="eastAsia" w:ascii="宋体" w:hAnsi="宋体"/>
                <w:color w:val="auto"/>
              </w:rPr>
              <w:t>0.8％</w:t>
            </w:r>
          </w:p>
        </w:tc>
      </w:tr>
      <w:tr w14:paraId="74948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2970" w:type="dxa"/>
            <w:tcBorders>
              <w:top w:val="single" w:color="auto" w:sz="6" w:space="0"/>
              <w:left w:val="double" w:color="auto" w:sz="4" w:space="0"/>
              <w:bottom w:val="single" w:color="auto" w:sz="6" w:space="0"/>
              <w:right w:val="single" w:color="auto" w:sz="6" w:space="0"/>
            </w:tcBorders>
          </w:tcPr>
          <w:p w14:paraId="0B1E7480">
            <w:pPr>
              <w:ind w:firstLine="420"/>
              <w:jc w:val="center"/>
              <w:rPr>
                <w:rFonts w:hint="eastAsia" w:ascii="宋体" w:hAnsi="宋体"/>
                <w:color w:val="auto"/>
              </w:rPr>
            </w:pPr>
            <w:r>
              <w:rPr>
                <w:rFonts w:hint="eastAsia" w:ascii="宋体" w:hAnsi="宋体"/>
                <w:color w:val="auto"/>
              </w:rPr>
              <w:t>500-1000</w:t>
            </w:r>
          </w:p>
        </w:tc>
        <w:tc>
          <w:tcPr>
            <w:tcW w:w="2970" w:type="dxa"/>
            <w:tcBorders>
              <w:top w:val="single" w:color="auto" w:sz="6" w:space="0"/>
              <w:left w:val="single" w:color="auto" w:sz="6" w:space="0"/>
              <w:bottom w:val="single" w:color="auto" w:sz="6" w:space="0"/>
              <w:right w:val="double" w:color="auto" w:sz="4" w:space="0"/>
            </w:tcBorders>
            <w:vAlign w:val="center"/>
          </w:tcPr>
          <w:p w14:paraId="2A680BAC">
            <w:pPr>
              <w:ind w:firstLine="420"/>
              <w:jc w:val="center"/>
              <w:rPr>
                <w:rFonts w:hint="eastAsia" w:ascii="宋体" w:hAnsi="宋体"/>
                <w:color w:val="auto"/>
              </w:rPr>
            </w:pPr>
            <w:r>
              <w:rPr>
                <w:rFonts w:hint="eastAsia" w:ascii="宋体" w:hAnsi="宋体"/>
                <w:color w:val="auto"/>
              </w:rPr>
              <w:t>0.45％</w:t>
            </w:r>
          </w:p>
        </w:tc>
      </w:tr>
      <w:tr w14:paraId="3DAB95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2970" w:type="dxa"/>
            <w:tcBorders>
              <w:top w:val="single" w:color="auto" w:sz="6" w:space="0"/>
              <w:left w:val="double" w:color="auto" w:sz="4" w:space="0"/>
              <w:bottom w:val="double" w:color="auto" w:sz="4" w:space="0"/>
              <w:right w:val="single" w:color="auto" w:sz="6" w:space="0"/>
            </w:tcBorders>
          </w:tcPr>
          <w:p w14:paraId="02583FDB">
            <w:pPr>
              <w:ind w:firstLine="420"/>
              <w:jc w:val="center"/>
              <w:rPr>
                <w:rFonts w:hint="eastAsia" w:ascii="宋体" w:hAnsi="宋体"/>
                <w:color w:val="auto"/>
              </w:rPr>
            </w:pPr>
            <w:r>
              <w:rPr>
                <w:rFonts w:hint="eastAsia" w:ascii="宋体" w:hAnsi="宋体"/>
                <w:color w:val="auto"/>
              </w:rPr>
              <w:t>1000-5000</w:t>
            </w:r>
          </w:p>
        </w:tc>
        <w:tc>
          <w:tcPr>
            <w:tcW w:w="2970" w:type="dxa"/>
            <w:tcBorders>
              <w:top w:val="single" w:color="auto" w:sz="6" w:space="0"/>
              <w:left w:val="single" w:color="auto" w:sz="6" w:space="0"/>
              <w:bottom w:val="double" w:color="auto" w:sz="4" w:space="0"/>
              <w:right w:val="double" w:color="auto" w:sz="4" w:space="0"/>
            </w:tcBorders>
            <w:vAlign w:val="center"/>
          </w:tcPr>
          <w:p w14:paraId="0E9678F9">
            <w:pPr>
              <w:ind w:firstLine="420"/>
              <w:jc w:val="center"/>
              <w:rPr>
                <w:rFonts w:hint="eastAsia" w:ascii="宋体" w:hAnsi="宋体"/>
                <w:color w:val="auto"/>
              </w:rPr>
            </w:pPr>
            <w:r>
              <w:rPr>
                <w:rFonts w:hint="eastAsia" w:ascii="宋体" w:hAnsi="宋体"/>
                <w:color w:val="auto"/>
              </w:rPr>
              <w:t>0.25％</w:t>
            </w:r>
          </w:p>
        </w:tc>
      </w:tr>
    </w:tbl>
    <w:p w14:paraId="7A9B733B">
      <w:pPr>
        <w:ind w:firstLine="420"/>
        <w:rPr>
          <w:rFonts w:hint="eastAsia" w:ascii="宋体" w:hAnsi="宋体"/>
          <w:color w:val="auto"/>
        </w:rPr>
      </w:pPr>
      <w:r>
        <w:rPr>
          <w:rFonts w:hint="eastAsia" w:ascii="宋体" w:hAnsi="宋体"/>
          <w:color w:val="auto"/>
        </w:rPr>
        <w:t>招标代理服务收费按差额定率累进法计算。</w:t>
      </w:r>
    </w:p>
    <w:p w14:paraId="38A091E6">
      <w:pPr>
        <w:ind w:firstLine="420"/>
        <w:rPr>
          <w:rFonts w:hint="eastAsia" w:ascii="宋体" w:hAnsi="宋体"/>
          <w:bCs/>
          <w:color w:val="auto"/>
          <w:u w:val="single"/>
          <w:lang w:val="zh-CN"/>
        </w:rPr>
      </w:pPr>
      <w:r>
        <w:rPr>
          <w:rFonts w:hint="eastAsia" w:ascii="宋体" w:hAnsi="宋体"/>
          <w:color w:val="auto"/>
        </w:rPr>
        <w:t>3</w:t>
      </w:r>
      <w:r>
        <w:rPr>
          <w:rFonts w:hint="eastAsia" w:hAnsi="宋体"/>
          <w:color w:val="auto"/>
          <w:sz w:val="24"/>
        </w:rPr>
        <w:t>、</w:t>
      </w:r>
      <w:r>
        <w:rPr>
          <w:rFonts w:hint="eastAsia" w:ascii="宋体" w:hAnsi="宋体"/>
          <w:color w:val="auto"/>
          <w:u w:val="single"/>
        </w:rPr>
        <w:t>本项目以服务类招标收费标准70%服务费，</w:t>
      </w:r>
      <w:r>
        <w:rPr>
          <w:rFonts w:hint="eastAsia" w:ascii="宋体" w:hAnsi="宋体"/>
          <w:bCs/>
          <w:color w:val="auto"/>
          <w:u w:val="single"/>
          <w:lang w:val="zh-CN"/>
        </w:rPr>
        <w:t>对于招标代理服务费不足</w:t>
      </w:r>
      <w:r>
        <w:rPr>
          <w:rFonts w:hint="eastAsia" w:ascii="宋体" w:hAnsi="宋体"/>
          <w:bCs/>
          <w:color w:val="auto"/>
          <w:u w:val="single"/>
        </w:rPr>
        <w:t>4000</w:t>
      </w:r>
      <w:r>
        <w:rPr>
          <w:rFonts w:hint="eastAsia" w:ascii="宋体" w:hAnsi="宋体"/>
          <w:bCs/>
          <w:color w:val="auto"/>
          <w:u w:val="single"/>
          <w:lang w:val="zh-CN"/>
        </w:rPr>
        <w:t>元的按</w:t>
      </w:r>
      <w:r>
        <w:rPr>
          <w:rFonts w:hint="eastAsia" w:ascii="宋体" w:hAnsi="宋体"/>
          <w:bCs/>
          <w:color w:val="auto"/>
          <w:u w:val="single"/>
        </w:rPr>
        <w:t>4000</w:t>
      </w:r>
      <w:r>
        <w:rPr>
          <w:rFonts w:hint="eastAsia" w:ascii="宋体" w:hAnsi="宋体"/>
          <w:bCs/>
          <w:color w:val="auto"/>
          <w:u w:val="single"/>
          <w:lang w:val="zh-CN"/>
        </w:rPr>
        <w:t>元计取招标代理服务费。</w:t>
      </w:r>
    </w:p>
    <w:p w14:paraId="0309FAF3">
      <w:pPr>
        <w:ind w:firstLine="420"/>
        <w:rPr>
          <w:rFonts w:hint="eastAsia" w:ascii="宋体" w:hAnsi="宋体"/>
          <w:color w:val="auto"/>
        </w:rPr>
      </w:pPr>
      <w:r>
        <w:rPr>
          <w:rFonts w:hint="eastAsia" w:ascii="宋体" w:hAnsi="宋体"/>
          <w:color w:val="auto"/>
        </w:rPr>
        <w:t>4</w:t>
      </w:r>
      <w:r>
        <w:rPr>
          <w:rFonts w:hint="eastAsia" w:hAnsi="宋体"/>
          <w:color w:val="auto"/>
          <w:sz w:val="24"/>
        </w:rPr>
        <w:t>、</w:t>
      </w:r>
      <w:r>
        <w:rPr>
          <w:rFonts w:hint="eastAsia" w:ascii="宋体" w:hAnsi="宋体"/>
          <w:color w:val="auto"/>
        </w:rPr>
        <w:t>代理费支付方式：一次性以银行划账、现金或支票的形式支付。</w:t>
      </w:r>
    </w:p>
    <w:p w14:paraId="30ED0050">
      <w:pPr>
        <w:ind w:firstLine="420"/>
        <w:rPr>
          <w:rFonts w:hint="eastAsia" w:ascii="宋体" w:hAnsi="宋体"/>
          <w:color w:val="auto"/>
        </w:rPr>
      </w:pPr>
      <w:r>
        <w:rPr>
          <w:rFonts w:hint="eastAsia" w:ascii="宋体" w:hAnsi="宋体"/>
          <w:color w:val="auto"/>
        </w:rPr>
        <w:t>5</w:t>
      </w:r>
      <w:r>
        <w:rPr>
          <w:rFonts w:hint="eastAsia" w:hAnsi="宋体"/>
          <w:color w:val="auto"/>
          <w:sz w:val="24"/>
        </w:rPr>
        <w:t>、</w:t>
      </w:r>
      <w:r>
        <w:rPr>
          <w:rFonts w:hint="eastAsia" w:ascii="宋体" w:hAnsi="宋体"/>
          <w:color w:val="auto"/>
        </w:rPr>
        <w:t>代理费以银行划账方式按下列要求提交：</w:t>
      </w:r>
    </w:p>
    <w:p w14:paraId="0F31D436">
      <w:pPr>
        <w:ind w:firstLine="840" w:firstLineChars="400"/>
        <w:rPr>
          <w:rFonts w:hint="eastAsia" w:ascii="宋体" w:hAnsi="宋体"/>
          <w:b/>
          <w:bCs/>
          <w:color w:val="auto"/>
        </w:rPr>
      </w:pPr>
      <w:r>
        <w:rPr>
          <w:rFonts w:hint="eastAsia" w:ascii="宋体" w:hAnsi="宋体"/>
          <w:b/>
          <w:bCs/>
          <w:color w:val="auto"/>
        </w:rPr>
        <w:t>公司名称：浙江中际工程项目管理有限公司嘉兴分公司</w:t>
      </w:r>
    </w:p>
    <w:p w14:paraId="05A6C941">
      <w:pPr>
        <w:ind w:firstLine="840" w:firstLineChars="400"/>
        <w:rPr>
          <w:rFonts w:hint="eastAsia" w:ascii="宋体" w:hAnsi="宋体"/>
          <w:b/>
          <w:bCs/>
          <w:color w:val="auto"/>
        </w:rPr>
      </w:pPr>
      <w:r>
        <w:rPr>
          <w:rFonts w:hint="eastAsia" w:ascii="宋体" w:hAnsi="宋体"/>
          <w:b/>
          <w:bCs/>
          <w:color w:val="auto"/>
        </w:rPr>
        <w:t>账号：802101201900031730</w:t>
      </w:r>
    </w:p>
    <w:p w14:paraId="6A83677A">
      <w:pPr>
        <w:ind w:firstLine="840" w:firstLineChars="400"/>
        <w:rPr>
          <w:rFonts w:hint="eastAsia" w:ascii="宋体" w:hAnsi="宋体"/>
          <w:b/>
          <w:bCs/>
          <w:color w:val="auto"/>
        </w:rPr>
      </w:pPr>
      <w:r>
        <w:rPr>
          <w:rFonts w:hint="eastAsia" w:ascii="宋体" w:hAnsi="宋体"/>
          <w:b/>
          <w:bCs/>
          <w:color w:val="auto"/>
        </w:rPr>
        <w:t>开户行：嘉兴银行秀洲支行</w:t>
      </w:r>
    </w:p>
    <w:p w14:paraId="4E259B3F">
      <w:pPr>
        <w:ind w:firstLine="420"/>
        <w:rPr>
          <w:rFonts w:hint="eastAsia" w:ascii="宋体" w:hAnsi="宋体"/>
          <w:color w:val="auto"/>
        </w:rPr>
      </w:pPr>
      <w:r>
        <w:rPr>
          <w:rFonts w:hint="eastAsia" w:ascii="宋体" w:hAnsi="宋体"/>
          <w:color w:val="auto"/>
        </w:rPr>
        <w:t>6、代理费支付时间：代理费必须在中标人领取《中标通知书》时一次性付清，如果中标人未能按时交纳服务费，采购代理机构/采购人保留追究其责任的权利。</w:t>
      </w:r>
    </w:p>
    <w:p w14:paraId="13C19742">
      <w:pPr>
        <w:ind w:firstLine="420"/>
        <w:rPr>
          <w:rFonts w:hint="eastAsia" w:ascii="宋体" w:hAnsi="宋体"/>
          <w:color w:val="auto"/>
        </w:rPr>
      </w:pPr>
      <w:r>
        <w:rPr>
          <w:rFonts w:hint="eastAsia" w:ascii="宋体" w:hAnsi="宋体"/>
          <w:color w:val="auto"/>
        </w:rPr>
        <w:t>7、服务费不在投标报价中单列。</w:t>
      </w:r>
    </w:p>
    <w:p w14:paraId="04D46A84">
      <w:pPr>
        <w:ind w:firstLine="420"/>
        <w:rPr>
          <w:rFonts w:hint="eastAsia" w:ascii="宋体" w:hAnsi="宋体"/>
          <w:color w:val="auto"/>
        </w:rPr>
      </w:pPr>
      <w:r>
        <w:rPr>
          <w:rFonts w:hint="eastAsia" w:ascii="宋体" w:hAnsi="宋体"/>
          <w:color w:val="auto"/>
        </w:rPr>
        <w:br w:type="page"/>
      </w:r>
    </w:p>
    <w:p w14:paraId="6406EB85">
      <w:pPr>
        <w:pStyle w:val="72"/>
        <w:ind w:firstLine="480"/>
        <w:rPr>
          <w:rFonts w:hint="eastAsia" w:ascii="宋体" w:hAnsi="宋体"/>
          <w:color w:val="auto"/>
        </w:rPr>
      </w:pPr>
    </w:p>
    <w:p w14:paraId="7886358A">
      <w:pPr>
        <w:pStyle w:val="3"/>
        <w:numPr>
          <w:ilvl w:val="0"/>
          <w:numId w:val="6"/>
        </w:numPr>
        <w:rPr>
          <w:rStyle w:val="73"/>
          <w:b/>
          <w:bCs/>
          <w:color w:val="auto"/>
        </w:rPr>
      </w:pPr>
      <w:bookmarkStart w:id="184" w:name="_Toc493511776"/>
      <w:bookmarkStart w:id="185" w:name="_Toc25435"/>
      <w:bookmarkStart w:id="186" w:name="_Toc177870559"/>
      <w:bookmarkStart w:id="187" w:name="_Toc170792807"/>
      <w:bookmarkStart w:id="188" w:name="_Toc417992896"/>
      <w:bookmarkStart w:id="189" w:name="_Toc416422800"/>
      <w:bookmarkStart w:id="190" w:name="_Toc493511826"/>
      <w:bookmarkStart w:id="191" w:name="_Toc170792802"/>
      <w:r>
        <w:rPr>
          <w:rStyle w:val="73"/>
          <w:rFonts w:hint="eastAsia"/>
          <w:b/>
          <w:bCs/>
          <w:color w:val="auto"/>
        </w:rPr>
        <w:t>评标办法及评分标准</w:t>
      </w:r>
      <w:bookmarkEnd w:id="184"/>
      <w:bookmarkEnd w:id="185"/>
    </w:p>
    <w:p w14:paraId="4FC0E25F">
      <w:pPr>
        <w:spacing w:line="600" w:lineRule="exact"/>
        <w:ind w:firstLine="420"/>
        <w:rPr>
          <w:rFonts w:hint="eastAsia" w:ascii="微软雅黑" w:hAnsi="微软雅黑"/>
          <w:color w:val="auto"/>
          <w:szCs w:val="21"/>
        </w:rPr>
      </w:pPr>
      <w:r>
        <w:rPr>
          <w:rFonts w:hint="eastAsia" w:ascii="微软雅黑" w:hAnsi="微软雅黑"/>
          <w:color w:val="auto"/>
          <w:szCs w:val="21"/>
        </w:rPr>
        <w:t>为公正、公平、科学地选择中标人，根据《中华人民共和国政府采购法》等有关法律法规的规定，并结合本项目的实际，制定本办法。</w:t>
      </w:r>
    </w:p>
    <w:bookmarkEnd w:id="186"/>
    <w:bookmarkEnd w:id="187"/>
    <w:p w14:paraId="35B93E70">
      <w:pPr>
        <w:spacing w:line="600" w:lineRule="exact"/>
        <w:ind w:firstLine="412" w:firstLineChars="196"/>
        <w:rPr>
          <w:rFonts w:hint="eastAsia" w:ascii="微软雅黑" w:hAnsi="微软雅黑"/>
          <w:b/>
          <w:color w:val="auto"/>
          <w:szCs w:val="21"/>
        </w:rPr>
      </w:pPr>
      <w:r>
        <w:rPr>
          <w:rFonts w:hint="eastAsia" w:ascii="微软雅黑" w:hAnsi="微软雅黑"/>
          <w:b/>
          <w:color w:val="auto"/>
          <w:szCs w:val="21"/>
        </w:rPr>
        <w:t>一、总则</w:t>
      </w:r>
    </w:p>
    <w:p w14:paraId="1E9D260E">
      <w:pPr>
        <w:spacing w:line="600" w:lineRule="exact"/>
        <w:ind w:firstLine="420"/>
        <w:rPr>
          <w:rFonts w:hint="eastAsia" w:ascii="微软雅黑" w:hAnsi="微软雅黑"/>
          <w:color w:val="auto"/>
          <w:szCs w:val="21"/>
        </w:rPr>
      </w:pPr>
      <w:r>
        <w:rPr>
          <w:rFonts w:hint="eastAsia" w:ascii="微软雅黑" w:hAnsi="微软雅黑"/>
          <w:color w:val="auto"/>
          <w:szCs w:val="21"/>
        </w:rPr>
        <w:t>本次评标采用综合评分法，总分为100分，其中价格分30分、技术\资信及其他70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0DC9B8FC">
      <w:pPr>
        <w:spacing w:line="600" w:lineRule="exact"/>
        <w:ind w:firstLine="420"/>
        <w:rPr>
          <w:rFonts w:hint="eastAsia" w:ascii="微软雅黑" w:hAnsi="微软雅黑"/>
          <w:color w:val="auto"/>
          <w:szCs w:val="21"/>
        </w:rPr>
      </w:pPr>
      <w:r>
        <w:rPr>
          <w:rFonts w:hint="eastAsia" w:ascii="微软雅黑" w:hAnsi="微软雅黑"/>
          <w:color w:val="auto"/>
          <w:szCs w:val="21"/>
        </w:rPr>
        <w:t>投标人评标综合得分=价格分+(技术分+商务分+资信分)</w:t>
      </w:r>
    </w:p>
    <w:p w14:paraId="0ECA637B">
      <w:pPr>
        <w:spacing w:line="600" w:lineRule="exact"/>
        <w:ind w:firstLine="420"/>
        <w:rPr>
          <w:rFonts w:hint="eastAsia" w:ascii="微软雅黑" w:hAnsi="微软雅黑"/>
          <w:b/>
          <w:color w:val="auto"/>
          <w:szCs w:val="21"/>
        </w:rPr>
      </w:pPr>
      <w:r>
        <w:rPr>
          <w:rFonts w:hint="eastAsia" w:ascii="微软雅黑" w:hAnsi="微软雅黑"/>
          <w:b/>
          <w:color w:val="auto"/>
          <w:szCs w:val="21"/>
        </w:rPr>
        <w:t>二、评标内容及标准</w:t>
      </w:r>
    </w:p>
    <w:p w14:paraId="0557278D">
      <w:pPr>
        <w:spacing w:line="600" w:lineRule="exact"/>
        <w:ind w:firstLine="420"/>
        <w:rPr>
          <w:bCs/>
          <w:color w:val="auto"/>
        </w:rPr>
      </w:pPr>
      <w:r>
        <w:rPr>
          <w:bCs/>
          <w:color w:val="auto"/>
        </w:rPr>
        <w:t>（一）价格分</w:t>
      </w:r>
      <w:r>
        <w:rPr>
          <w:rFonts w:hint="eastAsia"/>
          <w:bCs/>
          <w:color w:val="auto"/>
        </w:rPr>
        <w:t>：</w:t>
      </w:r>
    </w:p>
    <w:p w14:paraId="7B94F2BC">
      <w:pPr>
        <w:pStyle w:val="19"/>
        <w:numPr>
          <w:ilvl w:val="0"/>
          <w:numId w:val="8"/>
        </w:numPr>
        <w:spacing w:line="600" w:lineRule="exact"/>
        <w:ind w:left="0" w:firstLine="404"/>
        <w:rPr>
          <w:rFonts w:hint="eastAsia" w:ascii="微软雅黑" w:hAnsi="微软雅黑"/>
          <w:b/>
          <w:bCs/>
          <w:color w:val="auto"/>
          <w:sz w:val="21"/>
          <w:szCs w:val="21"/>
        </w:rPr>
      </w:pPr>
      <w:r>
        <w:rPr>
          <w:rFonts w:hint="eastAsia" w:ascii="微软雅黑" w:hAnsi="微软雅黑"/>
          <w:b/>
          <w:bCs/>
          <w:color w:val="auto"/>
          <w:sz w:val="21"/>
          <w:szCs w:val="21"/>
        </w:rPr>
        <w:t>价格分采用低价优先法计算，即满足招标文件要求且投标价格最低的投标报价为评标基准价，其他投标人的价格分按照下列公式计算：</w:t>
      </w:r>
    </w:p>
    <w:p w14:paraId="1C30FE13">
      <w:pPr>
        <w:pStyle w:val="19"/>
        <w:spacing w:line="600" w:lineRule="exact"/>
        <w:ind w:left="420" w:leftChars="200" w:firstLine="0" w:firstLineChars="0"/>
        <w:rPr>
          <w:rFonts w:hint="eastAsia" w:ascii="微软雅黑" w:hAnsi="微软雅黑"/>
          <w:b/>
          <w:bCs/>
          <w:color w:val="auto"/>
          <w:sz w:val="21"/>
          <w:szCs w:val="21"/>
        </w:rPr>
      </w:pPr>
      <w:r>
        <w:rPr>
          <w:rFonts w:hint="eastAsia" w:ascii="微软雅黑" w:hAnsi="微软雅黑"/>
          <w:b/>
          <w:bCs/>
          <w:color w:val="auto"/>
          <w:sz w:val="21"/>
          <w:szCs w:val="21"/>
        </w:rPr>
        <w:t>价格分=（评标基准价/投标报价）×30%×100</w:t>
      </w:r>
    </w:p>
    <w:p w14:paraId="1E8FE869">
      <w:pPr>
        <w:pStyle w:val="19"/>
        <w:numPr>
          <w:ilvl w:val="0"/>
          <w:numId w:val="8"/>
        </w:numPr>
        <w:spacing w:line="600" w:lineRule="exact"/>
        <w:ind w:left="0" w:firstLine="404"/>
        <w:rPr>
          <w:rFonts w:hint="eastAsia" w:ascii="微软雅黑" w:hAnsi="微软雅黑"/>
          <w:color w:val="auto"/>
          <w:sz w:val="21"/>
          <w:szCs w:val="21"/>
        </w:rPr>
      </w:pPr>
      <w:r>
        <w:rPr>
          <w:rFonts w:hint="eastAsia" w:ascii="微软雅黑" w:hAnsi="微软雅黑"/>
          <w:color w:val="auto"/>
          <w:sz w:val="21"/>
          <w:szCs w:val="21"/>
        </w:rPr>
        <w:t>投标人的投标报价超过采购人设定的最高限价，将作为无效标。</w:t>
      </w:r>
    </w:p>
    <w:p w14:paraId="11D3BEE4">
      <w:pPr>
        <w:pStyle w:val="19"/>
        <w:numPr>
          <w:ilvl w:val="0"/>
          <w:numId w:val="8"/>
        </w:numPr>
        <w:spacing w:line="600" w:lineRule="exact"/>
        <w:ind w:left="0" w:firstLine="404"/>
        <w:rPr>
          <w:rFonts w:hint="eastAsia" w:ascii="微软雅黑" w:hAnsi="微软雅黑"/>
          <w:color w:val="auto"/>
          <w:sz w:val="21"/>
          <w:szCs w:val="21"/>
        </w:rPr>
      </w:pPr>
      <w:r>
        <w:rPr>
          <w:rFonts w:hint="eastAsia" w:ascii="微软雅黑" w:hAnsi="微软雅黑"/>
          <w:color w:val="auto"/>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34EF3E5">
      <w:pPr>
        <w:pStyle w:val="26"/>
        <w:tabs>
          <w:tab w:val="left" w:pos="630"/>
        </w:tabs>
        <w:spacing w:line="600" w:lineRule="exact"/>
        <w:ind w:firstLine="420"/>
        <w:rPr>
          <w:rFonts w:hint="eastAsia" w:ascii="微软雅黑" w:hAnsi="微软雅黑" w:cs="Arial"/>
          <w:color w:val="auto"/>
          <w:szCs w:val="21"/>
        </w:rPr>
      </w:pPr>
      <w:r>
        <w:rPr>
          <w:rFonts w:hint="eastAsia" w:ascii="微软雅黑" w:hAnsi="微软雅黑" w:cs="Arial"/>
          <w:color w:val="auto"/>
          <w:szCs w:val="21"/>
        </w:rPr>
        <w:t>4.根据《政府采购促进中小企业发展管理办法》财库〔2020〕46号文件的规定，本项目专门面向中小企业预留采购份额的采购项目。</w:t>
      </w:r>
    </w:p>
    <w:p w14:paraId="06EF3B1D">
      <w:pPr>
        <w:pStyle w:val="49"/>
        <w:ind w:firstLine="420"/>
        <w:rPr>
          <w:rFonts w:hint="eastAsia" w:ascii="微软雅黑" w:hAnsi="微软雅黑" w:eastAsia="微软雅黑" w:cs="微软雅黑"/>
          <w:color w:val="auto"/>
          <w:sz w:val="21"/>
          <w:szCs w:val="21"/>
        </w:rPr>
      </w:pPr>
      <w:bookmarkStart w:id="192" w:name="_Toc24358"/>
      <w:r>
        <w:rPr>
          <w:rFonts w:hint="eastAsia" w:ascii="微软雅黑" w:hAnsi="微软雅黑" w:eastAsia="微软雅黑" w:cs="微软雅黑"/>
          <w:b/>
          <w:bCs w:val="0"/>
          <w:color w:val="auto"/>
          <w:sz w:val="21"/>
          <w:szCs w:val="21"/>
        </w:rPr>
        <w:t>（三）技术资信及商务分（满分70分)</w:t>
      </w:r>
    </w:p>
    <w:tbl>
      <w:tblPr>
        <w:tblStyle w:val="52"/>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59"/>
        <w:gridCol w:w="1481"/>
        <w:gridCol w:w="5366"/>
      </w:tblGrid>
      <w:tr w14:paraId="0F4C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2BB6D61">
            <w:pPr>
              <w:ind w:firstLine="0" w:firstLineChars="0"/>
              <w:jc w:val="center"/>
              <w:rPr>
                <w:rFonts w:hint="eastAsia" w:ascii="微软雅黑" w:hAnsi="微软雅黑" w:cs="微软雅黑"/>
                <w:b/>
                <w:bCs/>
                <w:color w:val="auto"/>
                <w:szCs w:val="21"/>
              </w:rPr>
            </w:pPr>
            <w:r>
              <w:rPr>
                <w:rFonts w:hint="eastAsia" w:ascii="微软雅黑" w:hAnsi="微软雅黑" w:cs="微软雅黑"/>
                <w:b/>
                <w:bCs/>
                <w:color w:val="auto"/>
                <w:szCs w:val="21"/>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0B5FE24C">
            <w:pPr>
              <w:ind w:firstLine="0" w:firstLineChars="0"/>
              <w:jc w:val="center"/>
              <w:rPr>
                <w:rFonts w:hint="eastAsia" w:ascii="微软雅黑" w:hAnsi="微软雅黑" w:cs="微软雅黑"/>
                <w:b/>
                <w:bCs/>
                <w:color w:val="auto"/>
                <w:szCs w:val="21"/>
              </w:rPr>
            </w:pPr>
            <w:r>
              <w:rPr>
                <w:rFonts w:hint="eastAsia" w:ascii="微软雅黑" w:hAnsi="微软雅黑" w:cs="微软雅黑"/>
                <w:b/>
                <w:bCs/>
                <w:color w:val="auto"/>
                <w:szCs w:val="21"/>
              </w:rPr>
              <w:t>评分因素</w:t>
            </w:r>
          </w:p>
        </w:tc>
        <w:tc>
          <w:tcPr>
            <w:tcW w:w="1481" w:type="dxa"/>
            <w:tcBorders>
              <w:top w:val="single" w:color="auto" w:sz="4" w:space="0"/>
              <w:left w:val="single" w:color="auto" w:sz="4" w:space="0"/>
              <w:bottom w:val="single" w:color="auto" w:sz="4" w:space="0"/>
              <w:right w:val="single" w:color="auto" w:sz="4" w:space="0"/>
            </w:tcBorders>
            <w:vAlign w:val="center"/>
          </w:tcPr>
          <w:p w14:paraId="78792D73">
            <w:pPr>
              <w:ind w:firstLine="0" w:firstLineChars="0"/>
              <w:jc w:val="center"/>
              <w:rPr>
                <w:rFonts w:hint="eastAsia" w:ascii="微软雅黑" w:hAnsi="微软雅黑" w:cs="微软雅黑"/>
                <w:b/>
                <w:bCs/>
                <w:color w:val="auto"/>
                <w:szCs w:val="21"/>
              </w:rPr>
            </w:pPr>
            <w:r>
              <w:rPr>
                <w:rFonts w:hint="eastAsia" w:ascii="微软雅黑" w:hAnsi="微软雅黑" w:cs="微软雅黑"/>
                <w:b/>
                <w:bCs/>
                <w:color w:val="auto"/>
                <w:szCs w:val="21"/>
              </w:rPr>
              <w:t>分值</w:t>
            </w:r>
          </w:p>
        </w:tc>
        <w:tc>
          <w:tcPr>
            <w:tcW w:w="5366" w:type="dxa"/>
            <w:tcBorders>
              <w:top w:val="single" w:color="auto" w:sz="4" w:space="0"/>
              <w:left w:val="single" w:color="auto" w:sz="4" w:space="0"/>
              <w:bottom w:val="single" w:color="auto" w:sz="4" w:space="0"/>
              <w:right w:val="single" w:color="auto" w:sz="4" w:space="0"/>
            </w:tcBorders>
            <w:vAlign w:val="center"/>
          </w:tcPr>
          <w:p w14:paraId="5BD180EF">
            <w:pPr>
              <w:ind w:firstLine="0" w:firstLineChars="0"/>
              <w:jc w:val="center"/>
              <w:rPr>
                <w:rFonts w:hint="eastAsia" w:ascii="微软雅黑" w:hAnsi="微软雅黑" w:cs="微软雅黑"/>
                <w:b/>
                <w:bCs/>
                <w:color w:val="auto"/>
                <w:szCs w:val="21"/>
              </w:rPr>
            </w:pPr>
            <w:r>
              <w:rPr>
                <w:rFonts w:hint="eastAsia" w:ascii="微软雅黑" w:hAnsi="微软雅黑" w:cs="微软雅黑"/>
                <w:b/>
                <w:bCs/>
                <w:color w:val="auto"/>
                <w:szCs w:val="21"/>
              </w:rPr>
              <w:t>评分细则</w:t>
            </w:r>
          </w:p>
        </w:tc>
      </w:tr>
      <w:tr w14:paraId="4D0B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C129F21">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1</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716FA335">
            <w:pPr>
              <w:spacing w:line="240" w:lineRule="auto"/>
              <w:ind w:firstLine="0" w:firstLineChars="0"/>
              <w:jc w:val="center"/>
              <w:rPr>
                <w:rFonts w:hint="eastAsia" w:ascii="微软雅黑" w:hAnsi="微软雅黑"/>
                <w:color w:val="auto"/>
                <w:szCs w:val="21"/>
              </w:rPr>
            </w:pPr>
            <w:r>
              <w:rPr>
                <w:rFonts w:ascii="微软雅黑" w:hAnsi="微软雅黑"/>
                <w:color w:val="auto"/>
                <w:szCs w:val="21"/>
              </w:rPr>
              <w:t>业绩</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2D50995">
            <w:pPr>
              <w:spacing w:line="240" w:lineRule="auto"/>
              <w:ind w:firstLine="0" w:firstLineChars="0"/>
              <w:jc w:val="center"/>
              <w:rPr>
                <w:rFonts w:hint="eastAsia" w:ascii="微软雅黑" w:hAnsi="微软雅黑"/>
                <w:color w:val="auto"/>
                <w:szCs w:val="21"/>
              </w:rPr>
            </w:pPr>
            <w:r>
              <w:rPr>
                <w:rFonts w:ascii="微软雅黑" w:hAnsi="微软雅黑"/>
                <w:color w:val="auto"/>
                <w:szCs w:val="21"/>
              </w:rPr>
              <w:t>3分</w:t>
            </w:r>
          </w:p>
        </w:tc>
        <w:tc>
          <w:tcPr>
            <w:tcW w:w="5366" w:type="dxa"/>
            <w:tcBorders>
              <w:top w:val="single" w:color="auto" w:sz="4" w:space="0"/>
              <w:left w:val="single" w:color="auto" w:sz="4" w:space="0"/>
              <w:bottom w:val="single" w:color="auto" w:sz="4" w:space="0"/>
              <w:right w:val="single" w:color="auto" w:sz="4" w:space="0"/>
            </w:tcBorders>
            <w:shd w:val="clear" w:color="auto" w:fill="auto"/>
            <w:vAlign w:val="center"/>
          </w:tcPr>
          <w:p w14:paraId="21DD9789">
            <w:pPr>
              <w:spacing w:line="240" w:lineRule="auto"/>
              <w:ind w:firstLine="0" w:firstLineChars="0"/>
              <w:rPr>
                <w:rFonts w:hint="eastAsia" w:ascii="微软雅黑" w:hAnsi="微软雅黑"/>
                <w:color w:val="auto"/>
                <w:szCs w:val="21"/>
              </w:rPr>
            </w:pPr>
            <w:r>
              <w:rPr>
                <w:rFonts w:ascii="微软雅黑" w:hAnsi="微软雅黑"/>
                <w:color w:val="auto"/>
                <w:szCs w:val="21"/>
              </w:rPr>
              <w:t>投标人自20</w:t>
            </w:r>
            <w:r>
              <w:rPr>
                <w:rFonts w:hint="eastAsia" w:ascii="微软雅黑" w:hAnsi="微软雅黑"/>
                <w:color w:val="auto"/>
                <w:szCs w:val="21"/>
              </w:rPr>
              <w:t>21</w:t>
            </w:r>
            <w:r>
              <w:rPr>
                <w:rFonts w:ascii="微软雅黑" w:hAnsi="微软雅黑"/>
                <w:color w:val="auto"/>
                <w:szCs w:val="21"/>
              </w:rPr>
              <w:t>年</w:t>
            </w:r>
            <w:r>
              <w:rPr>
                <w:rFonts w:hint="eastAsia" w:ascii="微软雅黑" w:hAnsi="微软雅黑"/>
                <w:color w:val="auto"/>
                <w:szCs w:val="21"/>
              </w:rPr>
              <w:t>7</w:t>
            </w:r>
            <w:r>
              <w:rPr>
                <w:rFonts w:ascii="微软雅黑" w:hAnsi="微软雅黑"/>
                <w:color w:val="auto"/>
                <w:szCs w:val="21"/>
              </w:rPr>
              <w:t>月1日以来（</w:t>
            </w:r>
            <w:r>
              <w:rPr>
                <w:rFonts w:ascii="微软雅黑" w:hAnsi="微软雅黑"/>
                <w:color w:val="auto"/>
                <w:szCs w:val="21"/>
                <w:lang w:val="zh-CN"/>
              </w:rPr>
              <w:t>以签订合同时间为准）</w:t>
            </w:r>
            <w:r>
              <w:rPr>
                <w:rFonts w:ascii="微软雅黑" w:hAnsi="微软雅黑"/>
                <w:color w:val="auto"/>
                <w:szCs w:val="21"/>
              </w:rPr>
              <w:t>至今承担过</w:t>
            </w:r>
            <w:r>
              <w:rPr>
                <w:rFonts w:hint="eastAsia" w:ascii="微软雅黑" w:hAnsi="微软雅黑"/>
                <w:color w:val="auto"/>
                <w:szCs w:val="21"/>
              </w:rPr>
              <w:t>同类</w:t>
            </w:r>
            <w:r>
              <w:rPr>
                <w:rFonts w:ascii="微软雅黑" w:hAnsi="微软雅黑"/>
                <w:color w:val="auto"/>
                <w:szCs w:val="21"/>
              </w:rPr>
              <w:t>项目业绩，每个得1分，最高得3分。（以合同或中标通知书为准</w:t>
            </w:r>
            <w:r>
              <w:rPr>
                <w:rFonts w:ascii="微软雅黑" w:hAnsi="微软雅黑"/>
                <w:color w:val="auto"/>
                <w:szCs w:val="21"/>
                <w:lang w:val="zh-CN"/>
              </w:rPr>
              <w:t>）</w:t>
            </w:r>
          </w:p>
        </w:tc>
      </w:tr>
      <w:tr w14:paraId="3D06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FD6C43D">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2</w:t>
            </w:r>
          </w:p>
        </w:tc>
        <w:tc>
          <w:tcPr>
            <w:tcW w:w="1259" w:type="dxa"/>
            <w:tcBorders>
              <w:top w:val="single" w:color="auto" w:sz="4" w:space="0"/>
              <w:left w:val="single" w:color="auto" w:sz="4" w:space="0"/>
              <w:bottom w:val="single" w:color="auto" w:sz="4" w:space="0"/>
              <w:right w:val="single" w:color="auto" w:sz="4" w:space="0"/>
            </w:tcBorders>
            <w:vAlign w:val="center"/>
          </w:tcPr>
          <w:p w14:paraId="2D331D65">
            <w:pPr>
              <w:spacing w:line="240" w:lineRule="auto"/>
              <w:ind w:firstLine="0" w:firstLineChars="0"/>
              <w:jc w:val="center"/>
              <w:rPr>
                <w:rFonts w:hint="eastAsia" w:ascii="微软雅黑" w:hAnsi="微软雅黑"/>
                <w:color w:val="auto"/>
                <w:szCs w:val="21"/>
              </w:rPr>
            </w:pPr>
            <w:r>
              <w:rPr>
                <w:rFonts w:ascii="微软雅黑" w:hAnsi="微软雅黑"/>
                <w:color w:val="auto"/>
                <w:szCs w:val="21"/>
              </w:rPr>
              <w:t>需求理解及分析</w:t>
            </w:r>
          </w:p>
        </w:tc>
        <w:tc>
          <w:tcPr>
            <w:tcW w:w="1481" w:type="dxa"/>
            <w:tcBorders>
              <w:top w:val="single" w:color="auto" w:sz="4" w:space="0"/>
              <w:left w:val="single" w:color="auto" w:sz="4" w:space="0"/>
              <w:bottom w:val="single" w:color="auto" w:sz="4" w:space="0"/>
              <w:right w:val="single" w:color="auto" w:sz="4" w:space="0"/>
            </w:tcBorders>
            <w:vAlign w:val="center"/>
          </w:tcPr>
          <w:p w14:paraId="1CFB7F3D">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5分</w:t>
            </w:r>
          </w:p>
        </w:tc>
        <w:tc>
          <w:tcPr>
            <w:tcW w:w="5366" w:type="dxa"/>
            <w:tcBorders>
              <w:top w:val="single" w:color="auto" w:sz="4" w:space="0"/>
              <w:left w:val="single" w:color="auto" w:sz="4" w:space="0"/>
              <w:bottom w:val="single" w:color="auto" w:sz="4" w:space="0"/>
              <w:right w:val="single" w:color="auto" w:sz="4" w:space="0"/>
            </w:tcBorders>
            <w:vAlign w:val="center"/>
          </w:tcPr>
          <w:p w14:paraId="774D0EF0">
            <w:pPr>
              <w:spacing w:line="240" w:lineRule="auto"/>
              <w:ind w:firstLine="0" w:firstLineChars="0"/>
              <w:rPr>
                <w:rFonts w:hint="eastAsia" w:ascii="微软雅黑" w:hAnsi="微软雅黑"/>
                <w:b/>
                <w:bCs/>
                <w:color w:val="auto"/>
                <w:szCs w:val="21"/>
              </w:rPr>
            </w:pPr>
            <w:r>
              <w:rPr>
                <w:rFonts w:ascii="微软雅黑" w:hAnsi="微软雅黑"/>
                <w:b/>
                <w:bCs/>
                <w:color w:val="auto"/>
                <w:szCs w:val="21"/>
              </w:rPr>
              <w:t>根据投标供应商对项目背景的认识程度以及对反诈业务信息化现状的分析是否清晰，对项目建设目标定位是否准确打分：</w:t>
            </w:r>
          </w:p>
          <w:p w14:paraId="62430DD6">
            <w:pPr>
              <w:spacing w:line="240" w:lineRule="auto"/>
              <w:ind w:firstLine="420"/>
              <w:rPr>
                <w:rFonts w:hint="eastAsia" w:ascii="微软雅黑" w:hAnsi="微软雅黑"/>
                <w:color w:val="auto"/>
                <w:szCs w:val="21"/>
              </w:rPr>
            </w:pPr>
            <w:r>
              <w:rPr>
                <w:rFonts w:ascii="微软雅黑" w:hAnsi="微软雅黑"/>
                <w:color w:val="auto"/>
                <w:szCs w:val="21"/>
              </w:rPr>
              <w:t>对项目背景的认识透彻、对反诈业务信息化现状的分析精准，对项目建设目标定位精确的得</w:t>
            </w:r>
            <w:r>
              <w:rPr>
                <w:rFonts w:hint="eastAsia" w:ascii="微软雅黑" w:hAnsi="微软雅黑"/>
                <w:color w:val="auto"/>
                <w:szCs w:val="21"/>
              </w:rPr>
              <w:t>5</w:t>
            </w:r>
            <w:r>
              <w:rPr>
                <w:rFonts w:ascii="微软雅黑" w:hAnsi="微软雅黑"/>
                <w:color w:val="auto"/>
                <w:szCs w:val="21"/>
              </w:rPr>
              <w:t>.0分；</w:t>
            </w:r>
          </w:p>
          <w:p w14:paraId="4176C64D">
            <w:pPr>
              <w:spacing w:line="240" w:lineRule="auto"/>
              <w:ind w:firstLine="420"/>
              <w:rPr>
                <w:rFonts w:hint="eastAsia" w:ascii="微软雅黑" w:hAnsi="微软雅黑"/>
                <w:color w:val="auto"/>
                <w:szCs w:val="21"/>
              </w:rPr>
            </w:pPr>
            <w:r>
              <w:rPr>
                <w:rFonts w:ascii="微软雅黑" w:hAnsi="微软雅黑"/>
                <w:color w:val="auto"/>
                <w:szCs w:val="21"/>
              </w:rPr>
              <w:t>对项目背景的认识</w:t>
            </w:r>
            <w:r>
              <w:rPr>
                <w:rFonts w:hint="eastAsia" w:ascii="微软雅黑" w:hAnsi="微软雅黑"/>
                <w:color w:val="auto"/>
                <w:szCs w:val="21"/>
              </w:rPr>
              <w:t>较</w:t>
            </w:r>
            <w:r>
              <w:rPr>
                <w:rFonts w:ascii="微软雅黑" w:hAnsi="微软雅黑"/>
                <w:color w:val="auto"/>
                <w:szCs w:val="21"/>
              </w:rPr>
              <w:t>透彻或对反诈业务信息化现状的分析</w:t>
            </w:r>
            <w:r>
              <w:rPr>
                <w:rFonts w:hint="eastAsia" w:ascii="微软雅黑" w:hAnsi="微软雅黑"/>
                <w:color w:val="auto"/>
                <w:szCs w:val="21"/>
              </w:rPr>
              <w:t>较</w:t>
            </w:r>
            <w:r>
              <w:rPr>
                <w:rFonts w:ascii="微软雅黑" w:hAnsi="微软雅黑"/>
                <w:color w:val="auto"/>
                <w:szCs w:val="21"/>
              </w:rPr>
              <w:t>精准或对项目建设目标定位</w:t>
            </w:r>
            <w:r>
              <w:rPr>
                <w:rFonts w:hint="eastAsia" w:ascii="微软雅黑" w:hAnsi="微软雅黑"/>
                <w:color w:val="auto"/>
                <w:szCs w:val="21"/>
              </w:rPr>
              <w:t>较</w:t>
            </w:r>
            <w:r>
              <w:rPr>
                <w:rFonts w:ascii="微软雅黑" w:hAnsi="微软雅黑"/>
                <w:color w:val="auto"/>
                <w:szCs w:val="21"/>
              </w:rPr>
              <w:t>精确的得</w:t>
            </w:r>
            <w:r>
              <w:rPr>
                <w:rFonts w:hint="eastAsia" w:ascii="微软雅黑" w:hAnsi="微软雅黑"/>
                <w:color w:val="auto"/>
                <w:szCs w:val="21"/>
              </w:rPr>
              <w:t>4.0</w:t>
            </w:r>
            <w:r>
              <w:rPr>
                <w:rFonts w:ascii="微软雅黑" w:hAnsi="微软雅黑"/>
                <w:color w:val="auto"/>
                <w:szCs w:val="21"/>
              </w:rPr>
              <w:t>分</w:t>
            </w:r>
            <w:r>
              <w:rPr>
                <w:rFonts w:hint="eastAsia" w:ascii="微软雅黑" w:hAnsi="微软雅黑"/>
                <w:color w:val="auto"/>
                <w:szCs w:val="21"/>
              </w:rPr>
              <w:t>；</w:t>
            </w:r>
          </w:p>
          <w:p w14:paraId="04A23F9C">
            <w:pPr>
              <w:spacing w:line="240" w:lineRule="auto"/>
              <w:ind w:firstLine="420"/>
              <w:rPr>
                <w:rFonts w:hint="eastAsia" w:ascii="微软雅黑" w:hAnsi="微软雅黑"/>
                <w:color w:val="auto"/>
                <w:szCs w:val="21"/>
              </w:rPr>
            </w:pPr>
            <w:r>
              <w:rPr>
                <w:rFonts w:ascii="微软雅黑" w:hAnsi="微软雅黑"/>
                <w:color w:val="auto"/>
                <w:szCs w:val="21"/>
              </w:rPr>
              <w:t>对项目背景的认识不够透彻或对反诈业务信息化现状的分析不够精准或对项目建设目标定位不够精确的得</w:t>
            </w:r>
            <w:r>
              <w:rPr>
                <w:rFonts w:hint="eastAsia" w:ascii="微软雅黑" w:hAnsi="微软雅黑"/>
                <w:color w:val="auto"/>
                <w:szCs w:val="21"/>
              </w:rPr>
              <w:t>3.0</w:t>
            </w:r>
            <w:r>
              <w:rPr>
                <w:rFonts w:ascii="微软雅黑" w:hAnsi="微软雅黑"/>
                <w:color w:val="auto"/>
                <w:szCs w:val="21"/>
              </w:rPr>
              <w:t>分。</w:t>
            </w:r>
          </w:p>
          <w:p w14:paraId="5F6EE9A9">
            <w:pPr>
              <w:spacing w:line="240" w:lineRule="auto"/>
              <w:ind w:firstLine="420"/>
              <w:rPr>
                <w:rFonts w:hint="eastAsia" w:ascii="微软雅黑" w:hAnsi="微软雅黑"/>
                <w:color w:val="auto"/>
                <w:szCs w:val="21"/>
              </w:rPr>
            </w:pPr>
            <w:r>
              <w:rPr>
                <w:rFonts w:hint="eastAsia" w:ascii="宋体" w:hAnsi="宋体" w:cs="宋体"/>
                <w:color w:val="auto"/>
                <w:kern w:val="0"/>
                <w:szCs w:val="21"/>
                <w:lang w:bidi="ar"/>
              </w:rPr>
              <w:t>该项内容缺项的不得分。</w:t>
            </w:r>
          </w:p>
        </w:tc>
      </w:tr>
      <w:tr w14:paraId="4A9E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A433364">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3</w:t>
            </w:r>
          </w:p>
        </w:tc>
        <w:tc>
          <w:tcPr>
            <w:tcW w:w="1259" w:type="dxa"/>
            <w:tcBorders>
              <w:top w:val="single" w:color="auto" w:sz="4" w:space="0"/>
              <w:left w:val="single" w:color="auto" w:sz="4" w:space="0"/>
              <w:bottom w:val="single" w:color="auto" w:sz="4" w:space="0"/>
              <w:right w:val="single" w:color="auto" w:sz="4" w:space="0"/>
            </w:tcBorders>
            <w:vAlign w:val="center"/>
          </w:tcPr>
          <w:p w14:paraId="0F175AD9">
            <w:pPr>
              <w:spacing w:line="240" w:lineRule="auto"/>
              <w:ind w:firstLine="0" w:firstLineChars="0"/>
              <w:jc w:val="center"/>
              <w:rPr>
                <w:rFonts w:hint="eastAsia" w:ascii="微软雅黑" w:hAnsi="微软雅黑"/>
                <w:color w:val="auto"/>
                <w:szCs w:val="21"/>
              </w:rPr>
            </w:pPr>
            <w:r>
              <w:rPr>
                <w:rFonts w:ascii="微软雅黑" w:hAnsi="微软雅黑"/>
                <w:color w:val="auto"/>
                <w:szCs w:val="21"/>
              </w:rPr>
              <w:t>投标货物的技术指标要求及性能</w:t>
            </w:r>
          </w:p>
        </w:tc>
        <w:tc>
          <w:tcPr>
            <w:tcW w:w="1481" w:type="dxa"/>
            <w:tcBorders>
              <w:top w:val="single" w:color="auto" w:sz="4" w:space="0"/>
              <w:left w:val="single" w:color="auto" w:sz="4" w:space="0"/>
              <w:bottom w:val="single" w:color="auto" w:sz="4" w:space="0"/>
              <w:right w:val="single" w:color="auto" w:sz="4" w:space="0"/>
            </w:tcBorders>
            <w:vAlign w:val="center"/>
          </w:tcPr>
          <w:p w14:paraId="0E04F04E">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17</w:t>
            </w:r>
            <w:r>
              <w:rPr>
                <w:rFonts w:hint="eastAsia" w:ascii="微软雅黑" w:hAnsi="微软雅黑"/>
                <w:color w:val="auto"/>
                <w:szCs w:val="21"/>
                <w:lang w:val="en-US" w:eastAsia="zh-CN"/>
              </w:rPr>
              <w:t>.5</w:t>
            </w:r>
            <w:r>
              <w:rPr>
                <w:rFonts w:hint="eastAsia" w:ascii="微软雅黑" w:hAnsi="微软雅黑"/>
                <w:color w:val="auto"/>
                <w:szCs w:val="21"/>
              </w:rPr>
              <w:t>分</w:t>
            </w:r>
          </w:p>
        </w:tc>
        <w:tc>
          <w:tcPr>
            <w:tcW w:w="5366" w:type="dxa"/>
            <w:tcBorders>
              <w:top w:val="single" w:color="auto" w:sz="4" w:space="0"/>
              <w:left w:val="single" w:color="auto" w:sz="4" w:space="0"/>
              <w:bottom w:val="single" w:color="auto" w:sz="4" w:space="0"/>
              <w:right w:val="single" w:color="auto" w:sz="4" w:space="0"/>
            </w:tcBorders>
            <w:vAlign w:val="center"/>
          </w:tcPr>
          <w:p w14:paraId="6E83A006">
            <w:pPr>
              <w:spacing w:line="240" w:lineRule="auto"/>
              <w:ind w:firstLine="0" w:firstLineChars="0"/>
              <w:rPr>
                <w:rFonts w:hint="eastAsia" w:ascii="微软雅黑" w:hAnsi="微软雅黑"/>
                <w:color w:val="auto"/>
                <w:szCs w:val="21"/>
              </w:rPr>
            </w:pPr>
            <w:r>
              <w:rPr>
                <w:rFonts w:ascii="微软雅黑" w:hAnsi="微软雅黑"/>
                <w:color w:val="auto"/>
                <w:szCs w:val="21"/>
              </w:rPr>
              <w:t>投标人完全响应招标文件</w:t>
            </w:r>
            <w:r>
              <w:rPr>
                <w:rFonts w:hint="eastAsia" w:ascii="微软雅黑" w:hAnsi="微软雅黑"/>
                <w:color w:val="auto"/>
                <w:szCs w:val="21"/>
              </w:rPr>
              <w:t>“</w:t>
            </w:r>
            <w:r>
              <w:rPr>
                <w:rFonts w:ascii="微软雅黑" w:hAnsi="微软雅黑"/>
                <w:color w:val="auto"/>
                <w:szCs w:val="21"/>
              </w:rPr>
              <w:t>项目服务内容及需求</w:t>
            </w:r>
            <w:r>
              <w:rPr>
                <w:rFonts w:hint="eastAsia" w:ascii="微软雅黑" w:hAnsi="微软雅黑"/>
                <w:color w:val="auto"/>
                <w:szCs w:val="21"/>
              </w:rPr>
              <w:t>”</w:t>
            </w:r>
            <w:r>
              <w:rPr>
                <w:rFonts w:ascii="微软雅黑" w:hAnsi="微软雅黑"/>
                <w:color w:val="auto"/>
                <w:szCs w:val="21"/>
              </w:rPr>
              <w:t>条款</w:t>
            </w:r>
            <w:r>
              <w:rPr>
                <w:rFonts w:hint="eastAsia" w:ascii="微软雅黑" w:hAnsi="微软雅黑"/>
                <w:color w:val="auto"/>
                <w:szCs w:val="21"/>
              </w:rPr>
              <w:t>的</w:t>
            </w:r>
            <w:r>
              <w:rPr>
                <w:rFonts w:ascii="微软雅黑" w:hAnsi="微软雅黑"/>
                <w:color w:val="auto"/>
                <w:szCs w:val="21"/>
              </w:rPr>
              <w:t>得</w:t>
            </w:r>
            <w:r>
              <w:rPr>
                <w:rFonts w:hint="eastAsia" w:ascii="微软雅黑" w:hAnsi="微软雅黑"/>
                <w:color w:val="auto"/>
                <w:szCs w:val="21"/>
              </w:rPr>
              <w:t>17</w:t>
            </w:r>
            <w:r>
              <w:rPr>
                <w:rFonts w:hint="eastAsia" w:ascii="微软雅黑" w:hAnsi="微软雅黑"/>
                <w:color w:val="auto"/>
                <w:szCs w:val="21"/>
                <w:lang w:val="en-US" w:eastAsia="zh-CN"/>
              </w:rPr>
              <w:t>.5</w:t>
            </w:r>
            <w:r>
              <w:rPr>
                <w:rFonts w:ascii="微软雅黑" w:hAnsi="微软雅黑"/>
                <w:color w:val="auto"/>
                <w:szCs w:val="21"/>
              </w:rPr>
              <w:t>分，</w:t>
            </w:r>
            <w:r>
              <w:rPr>
                <w:rFonts w:hint="eastAsia" w:ascii="微软雅黑" w:hAnsi="微软雅黑"/>
                <w:color w:val="auto"/>
                <w:szCs w:val="21"/>
              </w:rPr>
              <w:t>标“▲”项为关键技术条款不得偏离，否则作无效标处理；标“★”项为重要参数</w:t>
            </w:r>
            <w:r>
              <w:rPr>
                <w:rFonts w:ascii="微软雅黑" w:hAnsi="微软雅黑"/>
                <w:color w:val="auto"/>
                <w:szCs w:val="21"/>
              </w:rPr>
              <w:t>，每有一项负偏离或未响应的</w:t>
            </w:r>
            <w:r>
              <w:rPr>
                <w:rFonts w:hint="eastAsia" w:ascii="微软雅黑" w:hAnsi="微软雅黑"/>
                <w:color w:val="auto"/>
                <w:szCs w:val="21"/>
              </w:rPr>
              <w:t>，</w:t>
            </w:r>
            <w:r>
              <w:rPr>
                <w:rFonts w:ascii="微软雅黑" w:hAnsi="微软雅黑"/>
                <w:color w:val="auto"/>
                <w:szCs w:val="21"/>
              </w:rPr>
              <w:t>扣</w:t>
            </w:r>
            <w:r>
              <w:rPr>
                <w:rFonts w:hint="eastAsia" w:ascii="微软雅黑" w:hAnsi="微软雅黑"/>
                <w:color w:val="auto"/>
                <w:szCs w:val="21"/>
              </w:rPr>
              <w:t>1</w:t>
            </w:r>
            <w:r>
              <w:rPr>
                <w:rFonts w:ascii="微软雅黑" w:hAnsi="微软雅黑"/>
                <w:color w:val="auto"/>
                <w:szCs w:val="21"/>
              </w:rPr>
              <w:t>分</w:t>
            </w:r>
            <w:r>
              <w:rPr>
                <w:rFonts w:hint="eastAsia" w:ascii="微软雅黑" w:hAnsi="微软雅黑"/>
                <w:color w:val="auto"/>
                <w:szCs w:val="21"/>
              </w:rPr>
              <w:t>；未标“★”项为非重要参数，</w:t>
            </w:r>
            <w:r>
              <w:rPr>
                <w:rFonts w:ascii="微软雅黑" w:hAnsi="微软雅黑"/>
                <w:color w:val="auto"/>
                <w:szCs w:val="21"/>
              </w:rPr>
              <w:t>每有一项负偏离或未响应的</w:t>
            </w:r>
            <w:r>
              <w:rPr>
                <w:rFonts w:hint="eastAsia" w:ascii="微软雅黑" w:hAnsi="微软雅黑"/>
                <w:color w:val="auto"/>
                <w:szCs w:val="21"/>
              </w:rPr>
              <w:t>，</w:t>
            </w:r>
            <w:r>
              <w:rPr>
                <w:rFonts w:ascii="微软雅黑" w:hAnsi="微软雅黑"/>
                <w:color w:val="auto"/>
                <w:szCs w:val="21"/>
              </w:rPr>
              <w:t>扣</w:t>
            </w:r>
            <w:r>
              <w:rPr>
                <w:rFonts w:hint="eastAsia" w:ascii="微软雅黑" w:hAnsi="微软雅黑"/>
                <w:color w:val="auto"/>
                <w:szCs w:val="21"/>
              </w:rPr>
              <w:t>0.5</w:t>
            </w:r>
            <w:r>
              <w:rPr>
                <w:rFonts w:ascii="微软雅黑" w:hAnsi="微软雅黑"/>
                <w:color w:val="auto"/>
                <w:szCs w:val="21"/>
              </w:rPr>
              <w:t>分，扣完为止</w:t>
            </w:r>
            <w:r>
              <w:rPr>
                <w:rFonts w:hint="eastAsia" w:ascii="微软雅黑" w:hAnsi="微软雅黑"/>
                <w:color w:val="auto"/>
                <w:szCs w:val="21"/>
              </w:rPr>
              <w:t>。</w:t>
            </w:r>
          </w:p>
        </w:tc>
      </w:tr>
      <w:tr w14:paraId="5FDE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69" w:type="dxa"/>
            <w:vMerge w:val="restart"/>
            <w:tcBorders>
              <w:top w:val="single" w:color="auto" w:sz="4" w:space="0"/>
              <w:left w:val="single" w:color="auto" w:sz="4" w:space="0"/>
              <w:right w:val="single" w:color="auto" w:sz="4" w:space="0"/>
            </w:tcBorders>
            <w:vAlign w:val="center"/>
          </w:tcPr>
          <w:p w14:paraId="4E499770">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4</w:t>
            </w:r>
          </w:p>
        </w:tc>
        <w:tc>
          <w:tcPr>
            <w:tcW w:w="1259" w:type="dxa"/>
            <w:vMerge w:val="restart"/>
            <w:tcBorders>
              <w:top w:val="single" w:color="auto" w:sz="4" w:space="0"/>
              <w:left w:val="single" w:color="auto" w:sz="4" w:space="0"/>
              <w:right w:val="single" w:color="auto" w:sz="4" w:space="0"/>
            </w:tcBorders>
            <w:vAlign w:val="center"/>
          </w:tcPr>
          <w:p w14:paraId="78438F95">
            <w:pPr>
              <w:spacing w:line="240" w:lineRule="auto"/>
              <w:ind w:firstLine="0" w:firstLineChars="0"/>
              <w:jc w:val="center"/>
              <w:rPr>
                <w:rFonts w:hint="eastAsia" w:ascii="微软雅黑" w:hAnsi="微软雅黑"/>
                <w:color w:val="auto"/>
                <w:szCs w:val="21"/>
              </w:rPr>
            </w:pPr>
            <w:r>
              <w:rPr>
                <w:rFonts w:ascii="微软雅黑" w:hAnsi="微软雅黑"/>
                <w:color w:val="auto"/>
                <w:szCs w:val="21"/>
              </w:rPr>
              <w:t>总体方案</w:t>
            </w:r>
          </w:p>
        </w:tc>
        <w:tc>
          <w:tcPr>
            <w:tcW w:w="1481" w:type="dxa"/>
            <w:vMerge w:val="restart"/>
            <w:tcBorders>
              <w:top w:val="single" w:color="auto" w:sz="4" w:space="0"/>
              <w:left w:val="single" w:color="auto" w:sz="4" w:space="0"/>
              <w:right w:val="single" w:color="auto" w:sz="4" w:space="0"/>
            </w:tcBorders>
            <w:vAlign w:val="center"/>
          </w:tcPr>
          <w:p w14:paraId="52E8368C">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10</w:t>
            </w:r>
            <w:r>
              <w:rPr>
                <w:rFonts w:ascii="微软雅黑" w:hAnsi="微软雅黑"/>
                <w:color w:val="auto"/>
                <w:szCs w:val="21"/>
              </w:rPr>
              <w:t>分</w:t>
            </w:r>
          </w:p>
        </w:tc>
        <w:tc>
          <w:tcPr>
            <w:tcW w:w="5366" w:type="dxa"/>
            <w:tcBorders>
              <w:top w:val="single" w:color="auto" w:sz="4" w:space="0"/>
              <w:left w:val="single" w:color="auto" w:sz="4" w:space="0"/>
              <w:bottom w:val="single" w:color="auto" w:sz="4" w:space="0"/>
              <w:right w:val="single" w:color="auto" w:sz="4" w:space="0"/>
            </w:tcBorders>
            <w:vAlign w:val="center"/>
          </w:tcPr>
          <w:p w14:paraId="31817699">
            <w:pPr>
              <w:spacing w:line="240" w:lineRule="auto"/>
              <w:ind w:firstLine="0" w:firstLineChars="0"/>
              <w:rPr>
                <w:rFonts w:hint="eastAsia" w:ascii="微软雅黑" w:hAnsi="微软雅黑"/>
                <w:b/>
                <w:bCs/>
                <w:color w:val="auto"/>
                <w:szCs w:val="21"/>
              </w:rPr>
            </w:pPr>
            <w:r>
              <w:rPr>
                <w:rFonts w:hint="eastAsia" w:ascii="微软雅黑" w:hAnsi="微软雅黑"/>
                <w:b/>
                <w:bCs/>
                <w:color w:val="auto"/>
                <w:szCs w:val="21"/>
              </w:rPr>
              <w:t>根据投标供应商提供的技术方案系统架构方案进行打分：</w:t>
            </w:r>
          </w:p>
          <w:p w14:paraId="4EAF87F9">
            <w:pPr>
              <w:spacing w:line="240" w:lineRule="auto"/>
              <w:ind w:firstLine="420"/>
              <w:rPr>
                <w:rFonts w:hint="eastAsia" w:ascii="微软雅黑" w:hAnsi="微软雅黑"/>
                <w:color w:val="auto"/>
                <w:szCs w:val="21"/>
              </w:rPr>
            </w:pPr>
            <w:r>
              <w:rPr>
                <w:rFonts w:hint="eastAsia" w:ascii="微软雅黑" w:hAnsi="微软雅黑"/>
                <w:color w:val="auto"/>
                <w:szCs w:val="21"/>
              </w:rPr>
              <w:t>技术方案系统架构方案内容完整、方案合理、可操作性强的得5.0分；</w:t>
            </w:r>
          </w:p>
          <w:p w14:paraId="3F0044BB">
            <w:pPr>
              <w:spacing w:line="240" w:lineRule="auto"/>
              <w:ind w:firstLine="420"/>
              <w:rPr>
                <w:rFonts w:hint="eastAsia" w:ascii="微软雅黑" w:hAnsi="微软雅黑"/>
                <w:color w:val="auto"/>
                <w:szCs w:val="21"/>
              </w:rPr>
            </w:pPr>
            <w:r>
              <w:rPr>
                <w:rFonts w:hint="eastAsia" w:ascii="微软雅黑" w:hAnsi="微软雅黑"/>
                <w:color w:val="auto"/>
                <w:szCs w:val="21"/>
              </w:rPr>
              <w:t>技术方案系统架构方案内容较完整、方案较合理、可操作性较强的得4.0分；</w:t>
            </w:r>
          </w:p>
          <w:p w14:paraId="08599BA5">
            <w:pPr>
              <w:spacing w:line="240" w:lineRule="auto"/>
              <w:ind w:firstLine="420"/>
              <w:rPr>
                <w:rFonts w:hint="eastAsia" w:ascii="微软雅黑" w:hAnsi="微软雅黑"/>
                <w:color w:val="auto"/>
                <w:szCs w:val="21"/>
              </w:rPr>
            </w:pPr>
            <w:r>
              <w:rPr>
                <w:rFonts w:hint="eastAsia" w:ascii="微软雅黑" w:hAnsi="微软雅黑"/>
                <w:color w:val="auto"/>
                <w:szCs w:val="21"/>
              </w:rPr>
              <w:t>技术方案系统架构方案内容不完整、方案不合理、可操作性不强的得3.0分。</w:t>
            </w:r>
          </w:p>
          <w:p w14:paraId="70B4B705">
            <w:pPr>
              <w:spacing w:line="240" w:lineRule="auto"/>
              <w:ind w:firstLine="420"/>
              <w:rPr>
                <w:rFonts w:hint="eastAsia" w:ascii="微软雅黑" w:hAnsi="微软雅黑"/>
                <w:color w:val="auto"/>
                <w:szCs w:val="21"/>
              </w:rPr>
            </w:pPr>
            <w:r>
              <w:rPr>
                <w:rFonts w:hint="eastAsia" w:ascii="宋体" w:hAnsi="宋体" w:cs="宋体"/>
                <w:color w:val="auto"/>
                <w:kern w:val="0"/>
                <w:szCs w:val="21"/>
                <w:lang w:bidi="ar"/>
              </w:rPr>
              <w:t>该项内容缺项的不得分。</w:t>
            </w:r>
          </w:p>
        </w:tc>
      </w:tr>
      <w:tr w14:paraId="2C6E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9" w:type="dxa"/>
            <w:vMerge w:val="continue"/>
            <w:tcBorders>
              <w:left w:val="single" w:color="auto" w:sz="4" w:space="0"/>
              <w:bottom w:val="single" w:color="auto" w:sz="4" w:space="0"/>
              <w:right w:val="single" w:color="auto" w:sz="4" w:space="0"/>
            </w:tcBorders>
            <w:vAlign w:val="center"/>
          </w:tcPr>
          <w:p w14:paraId="69DEB3E8">
            <w:pPr>
              <w:ind w:firstLine="0" w:firstLineChars="0"/>
              <w:jc w:val="center"/>
              <w:rPr>
                <w:rFonts w:hint="eastAsia" w:ascii="微软雅黑" w:hAnsi="微软雅黑" w:cs="微软雅黑"/>
                <w:color w:val="auto"/>
                <w:szCs w:val="21"/>
              </w:rPr>
            </w:pPr>
          </w:p>
        </w:tc>
        <w:tc>
          <w:tcPr>
            <w:tcW w:w="1259" w:type="dxa"/>
            <w:vMerge w:val="continue"/>
            <w:tcBorders>
              <w:left w:val="single" w:color="auto" w:sz="4" w:space="0"/>
              <w:bottom w:val="single" w:color="auto" w:sz="4" w:space="0"/>
              <w:right w:val="single" w:color="auto" w:sz="4" w:space="0"/>
            </w:tcBorders>
            <w:vAlign w:val="center"/>
          </w:tcPr>
          <w:p w14:paraId="1FA8B2D6">
            <w:pPr>
              <w:adjustRightInd w:val="0"/>
              <w:snapToGrid w:val="0"/>
              <w:spacing w:line="240" w:lineRule="auto"/>
              <w:ind w:right="-20" w:firstLine="0" w:firstLineChars="0"/>
              <w:jc w:val="center"/>
              <w:textAlignment w:val="baseline"/>
              <w:rPr>
                <w:rFonts w:eastAsia="宋体"/>
                <w:color w:val="auto"/>
                <w:szCs w:val="21"/>
              </w:rPr>
            </w:pPr>
          </w:p>
        </w:tc>
        <w:tc>
          <w:tcPr>
            <w:tcW w:w="1481" w:type="dxa"/>
            <w:vMerge w:val="continue"/>
            <w:tcBorders>
              <w:left w:val="single" w:color="auto" w:sz="4" w:space="0"/>
              <w:bottom w:val="single" w:color="auto" w:sz="4" w:space="0"/>
              <w:right w:val="single" w:color="auto" w:sz="4" w:space="0"/>
            </w:tcBorders>
            <w:vAlign w:val="center"/>
          </w:tcPr>
          <w:p w14:paraId="25E17045">
            <w:pPr>
              <w:adjustRightInd w:val="0"/>
              <w:snapToGrid w:val="0"/>
              <w:spacing w:line="240" w:lineRule="auto"/>
              <w:ind w:right="-20" w:firstLine="0" w:firstLineChars="0"/>
              <w:textAlignment w:val="baseline"/>
              <w:rPr>
                <w:rFonts w:eastAsia="宋体"/>
                <w:color w:val="auto"/>
                <w:szCs w:val="21"/>
              </w:rPr>
            </w:pPr>
          </w:p>
        </w:tc>
        <w:tc>
          <w:tcPr>
            <w:tcW w:w="5366" w:type="dxa"/>
            <w:tcBorders>
              <w:top w:val="single" w:color="auto" w:sz="4" w:space="0"/>
              <w:left w:val="single" w:color="auto" w:sz="4" w:space="0"/>
              <w:bottom w:val="single" w:color="auto" w:sz="4" w:space="0"/>
              <w:right w:val="single" w:color="auto" w:sz="4" w:space="0"/>
            </w:tcBorders>
            <w:vAlign w:val="center"/>
          </w:tcPr>
          <w:p w14:paraId="549CC734">
            <w:pPr>
              <w:spacing w:line="240" w:lineRule="auto"/>
              <w:ind w:firstLine="0" w:firstLineChars="0"/>
              <w:rPr>
                <w:rFonts w:hint="eastAsia" w:ascii="微软雅黑" w:hAnsi="微软雅黑"/>
                <w:color w:val="auto"/>
                <w:szCs w:val="21"/>
              </w:rPr>
            </w:pPr>
            <w:r>
              <w:rPr>
                <w:rFonts w:hint="eastAsia" w:ascii="微软雅黑" w:hAnsi="微软雅黑"/>
                <w:b/>
                <w:bCs/>
                <w:color w:val="auto"/>
                <w:szCs w:val="21"/>
              </w:rPr>
              <w:t>根据投标供应商提供的服务产品功能设计方案进行打分：</w:t>
            </w:r>
          </w:p>
          <w:p w14:paraId="1D930250">
            <w:pPr>
              <w:spacing w:line="240" w:lineRule="auto"/>
              <w:ind w:firstLine="420"/>
              <w:rPr>
                <w:rFonts w:hint="eastAsia" w:ascii="微软雅黑" w:hAnsi="微软雅黑"/>
                <w:color w:val="auto"/>
                <w:szCs w:val="21"/>
              </w:rPr>
            </w:pPr>
            <w:r>
              <w:rPr>
                <w:rFonts w:hint="eastAsia" w:ascii="微软雅黑" w:hAnsi="微软雅黑"/>
                <w:color w:val="auto"/>
                <w:szCs w:val="21"/>
              </w:rPr>
              <w:t>产品功能设计方案内容完整、方案合理、可操作性强的得5.0分；</w:t>
            </w:r>
          </w:p>
          <w:p w14:paraId="2BCC8A89">
            <w:pPr>
              <w:spacing w:line="240" w:lineRule="auto"/>
              <w:ind w:firstLine="420"/>
              <w:rPr>
                <w:rFonts w:hint="eastAsia" w:ascii="微软雅黑" w:hAnsi="微软雅黑"/>
                <w:color w:val="auto"/>
                <w:szCs w:val="21"/>
              </w:rPr>
            </w:pPr>
            <w:r>
              <w:rPr>
                <w:rFonts w:hint="eastAsia" w:ascii="微软雅黑" w:hAnsi="微软雅黑"/>
                <w:color w:val="auto"/>
                <w:szCs w:val="21"/>
              </w:rPr>
              <w:t>产品功能设计方案内容较完整、方案较合理、可操作性较强的得4.0分；</w:t>
            </w:r>
          </w:p>
          <w:p w14:paraId="60EB6A95">
            <w:pPr>
              <w:spacing w:line="240" w:lineRule="auto"/>
              <w:ind w:firstLine="420"/>
              <w:rPr>
                <w:rFonts w:hint="eastAsia" w:ascii="微软雅黑" w:hAnsi="微软雅黑"/>
                <w:color w:val="auto"/>
                <w:szCs w:val="21"/>
              </w:rPr>
            </w:pPr>
            <w:r>
              <w:rPr>
                <w:rFonts w:hint="eastAsia" w:ascii="微软雅黑" w:hAnsi="微软雅黑"/>
                <w:color w:val="auto"/>
                <w:szCs w:val="21"/>
              </w:rPr>
              <w:t>产品功能设计方案内容不完整、方案不合理、可操作性不强的得3.0分。</w:t>
            </w:r>
          </w:p>
          <w:p w14:paraId="4264B48A">
            <w:pPr>
              <w:spacing w:line="240" w:lineRule="auto"/>
              <w:ind w:firstLine="420"/>
              <w:rPr>
                <w:rFonts w:hint="eastAsia" w:ascii="微软雅黑" w:hAnsi="微软雅黑"/>
                <w:color w:val="auto"/>
                <w:szCs w:val="21"/>
              </w:rPr>
            </w:pPr>
            <w:r>
              <w:rPr>
                <w:rFonts w:hint="eastAsia" w:ascii="宋体" w:hAnsi="宋体" w:cs="宋体"/>
                <w:color w:val="auto"/>
                <w:kern w:val="0"/>
                <w:szCs w:val="21"/>
                <w:lang w:bidi="ar"/>
              </w:rPr>
              <w:t>该项内容缺项的不得分。</w:t>
            </w:r>
          </w:p>
        </w:tc>
      </w:tr>
      <w:tr w14:paraId="4574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69" w:type="dxa"/>
            <w:vMerge w:val="restart"/>
            <w:tcBorders>
              <w:top w:val="single" w:color="auto" w:sz="4" w:space="0"/>
              <w:left w:val="single" w:color="auto" w:sz="4" w:space="0"/>
              <w:right w:val="single" w:color="auto" w:sz="4" w:space="0"/>
            </w:tcBorders>
            <w:vAlign w:val="center"/>
          </w:tcPr>
          <w:p w14:paraId="359C09ED">
            <w:pPr>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5</w:t>
            </w:r>
          </w:p>
        </w:tc>
        <w:tc>
          <w:tcPr>
            <w:tcW w:w="1259" w:type="dxa"/>
            <w:vMerge w:val="restart"/>
            <w:tcBorders>
              <w:top w:val="single" w:color="auto" w:sz="4" w:space="0"/>
              <w:left w:val="single" w:color="auto" w:sz="4" w:space="0"/>
              <w:right w:val="single" w:color="auto" w:sz="4" w:space="0"/>
            </w:tcBorders>
            <w:vAlign w:val="center"/>
          </w:tcPr>
          <w:p w14:paraId="3E3587D0">
            <w:pPr>
              <w:spacing w:line="240" w:lineRule="auto"/>
              <w:ind w:firstLine="0" w:firstLineChars="0"/>
              <w:jc w:val="center"/>
              <w:rPr>
                <w:rFonts w:hint="eastAsia" w:ascii="微软雅黑" w:hAnsi="微软雅黑"/>
                <w:color w:val="auto"/>
                <w:szCs w:val="21"/>
              </w:rPr>
            </w:pPr>
            <w:r>
              <w:rPr>
                <w:rFonts w:ascii="微软雅黑" w:hAnsi="微软雅黑"/>
                <w:color w:val="auto"/>
                <w:szCs w:val="21"/>
              </w:rPr>
              <w:t>技术培训</w:t>
            </w:r>
          </w:p>
        </w:tc>
        <w:tc>
          <w:tcPr>
            <w:tcW w:w="1481" w:type="dxa"/>
            <w:vMerge w:val="restart"/>
            <w:tcBorders>
              <w:top w:val="single" w:color="auto" w:sz="4" w:space="0"/>
              <w:left w:val="single" w:color="auto" w:sz="4" w:space="0"/>
              <w:right w:val="single" w:color="auto" w:sz="4" w:space="0"/>
            </w:tcBorders>
            <w:vAlign w:val="center"/>
          </w:tcPr>
          <w:p w14:paraId="26A811AD">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10</w:t>
            </w:r>
            <w:r>
              <w:rPr>
                <w:rFonts w:ascii="微软雅黑" w:hAnsi="微软雅黑"/>
                <w:color w:val="auto"/>
                <w:szCs w:val="21"/>
              </w:rPr>
              <w:t>分</w:t>
            </w:r>
          </w:p>
        </w:tc>
        <w:tc>
          <w:tcPr>
            <w:tcW w:w="5366" w:type="dxa"/>
            <w:tcBorders>
              <w:top w:val="single" w:color="auto" w:sz="4" w:space="0"/>
              <w:left w:val="single" w:color="auto" w:sz="4" w:space="0"/>
              <w:bottom w:val="single" w:color="auto" w:sz="4" w:space="0"/>
              <w:right w:val="single" w:color="auto" w:sz="4" w:space="0"/>
            </w:tcBorders>
            <w:vAlign w:val="center"/>
          </w:tcPr>
          <w:p w14:paraId="18BAEEE5">
            <w:pPr>
              <w:spacing w:line="240" w:lineRule="auto"/>
              <w:ind w:firstLine="0" w:firstLineChars="0"/>
              <w:rPr>
                <w:rFonts w:hint="eastAsia" w:ascii="微软雅黑" w:hAnsi="微软雅黑"/>
                <w:color w:val="auto"/>
                <w:szCs w:val="21"/>
              </w:rPr>
            </w:pPr>
            <w:r>
              <w:rPr>
                <w:rFonts w:ascii="微软雅黑" w:hAnsi="微软雅黑"/>
                <w:b/>
                <w:bCs/>
                <w:color w:val="auto"/>
                <w:szCs w:val="21"/>
              </w:rPr>
              <w:t>根据投标供应商培训师资能力、培训内容及培训方式，培训流程等情况等进行分档打分：</w:t>
            </w:r>
          </w:p>
          <w:p w14:paraId="566B80E3">
            <w:pPr>
              <w:spacing w:line="240" w:lineRule="auto"/>
              <w:ind w:firstLine="420"/>
              <w:rPr>
                <w:rFonts w:hint="eastAsia" w:ascii="微软雅黑" w:hAnsi="微软雅黑"/>
                <w:color w:val="auto"/>
                <w:szCs w:val="21"/>
              </w:rPr>
            </w:pPr>
            <w:r>
              <w:rPr>
                <w:rFonts w:ascii="微软雅黑" w:hAnsi="微软雅黑"/>
                <w:color w:val="auto"/>
                <w:szCs w:val="21"/>
              </w:rPr>
              <w:t>培训师资力量强、培训方案内容丰富有针对性、课程设置合理，资料提供齐全，得</w:t>
            </w:r>
            <w:r>
              <w:rPr>
                <w:rFonts w:hint="eastAsia" w:ascii="微软雅黑" w:hAnsi="微软雅黑"/>
                <w:color w:val="auto"/>
                <w:szCs w:val="21"/>
              </w:rPr>
              <w:t>5</w:t>
            </w:r>
            <w:r>
              <w:rPr>
                <w:rFonts w:ascii="微软雅黑" w:hAnsi="微软雅黑"/>
                <w:color w:val="auto"/>
                <w:szCs w:val="21"/>
              </w:rPr>
              <w:t>.0分；</w:t>
            </w:r>
          </w:p>
          <w:p w14:paraId="753C590E">
            <w:pPr>
              <w:spacing w:line="240" w:lineRule="auto"/>
              <w:ind w:firstLine="420"/>
              <w:rPr>
                <w:rFonts w:hint="eastAsia" w:ascii="微软雅黑" w:hAnsi="微软雅黑"/>
                <w:color w:val="auto"/>
                <w:szCs w:val="21"/>
              </w:rPr>
            </w:pPr>
            <w:r>
              <w:rPr>
                <w:rFonts w:ascii="微软雅黑" w:hAnsi="微软雅黑"/>
                <w:color w:val="auto"/>
                <w:szCs w:val="21"/>
              </w:rPr>
              <w:t>培训师资力量稍欠、培训方案内容、课程设置较为合理，提供资料不够完善，得</w:t>
            </w:r>
            <w:r>
              <w:rPr>
                <w:rFonts w:hint="eastAsia" w:ascii="微软雅黑" w:hAnsi="微软雅黑"/>
                <w:color w:val="auto"/>
                <w:szCs w:val="21"/>
              </w:rPr>
              <w:t>4</w:t>
            </w:r>
            <w:r>
              <w:rPr>
                <w:rFonts w:ascii="微软雅黑" w:hAnsi="微软雅黑"/>
                <w:color w:val="auto"/>
                <w:szCs w:val="21"/>
              </w:rPr>
              <w:t>.</w:t>
            </w:r>
            <w:r>
              <w:rPr>
                <w:rFonts w:hint="eastAsia" w:ascii="微软雅黑" w:hAnsi="微软雅黑"/>
                <w:color w:val="auto"/>
                <w:szCs w:val="21"/>
              </w:rPr>
              <w:t>0</w:t>
            </w:r>
            <w:r>
              <w:rPr>
                <w:rFonts w:ascii="微软雅黑" w:hAnsi="微软雅黑"/>
                <w:color w:val="auto"/>
                <w:szCs w:val="21"/>
              </w:rPr>
              <w:t>分；</w:t>
            </w:r>
          </w:p>
          <w:p w14:paraId="27317110">
            <w:pPr>
              <w:spacing w:line="240" w:lineRule="auto"/>
              <w:ind w:firstLine="420"/>
              <w:rPr>
                <w:rFonts w:hint="eastAsia" w:ascii="微软雅黑" w:hAnsi="微软雅黑"/>
                <w:color w:val="auto"/>
                <w:szCs w:val="21"/>
              </w:rPr>
            </w:pPr>
            <w:r>
              <w:rPr>
                <w:rFonts w:ascii="微软雅黑" w:hAnsi="微软雅黑"/>
                <w:color w:val="auto"/>
                <w:szCs w:val="21"/>
              </w:rPr>
              <w:t>培训师资力量稍欠、培训方案内容、课程设置片面，提供资料不齐全，得</w:t>
            </w:r>
            <w:r>
              <w:rPr>
                <w:rFonts w:hint="eastAsia" w:ascii="微软雅黑" w:hAnsi="微软雅黑"/>
                <w:color w:val="auto"/>
                <w:szCs w:val="21"/>
              </w:rPr>
              <w:t>3</w:t>
            </w:r>
            <w:r>
              <w:rPr>
                <w:rFonts w:ascii="微软雅黑" w:hAnsi="微软雅黑"/>
                <w:color w:val="auto"/>
                <w:szCs w:val="21"/>
              </w:rPr>
              <w:t>.0分。</w:t>
            </w:r>
          </w:p>
          <w:p w14:paraId="2ECB39C5">
            <w:pPr>
              <w:spacing w:line="240" w:lineRule="auto"/>
              <w:ind w:firstLine="420"/>
              <w:rPr>
                <w:rFonts w:hint="eastAsia" w:ascii="微软雅黑" w:hAnsi="微软雅黑"/>
                <w:color w:val="auto"/>
                <w:szCs w:val="21"/>
              </w:rPr>
            </w:pPr>
            <w:r>
              <w:rPr>
                <w:rFonts w:hint="eastAsia" w:ascii="宋体" w:hAnsi="宋体" w:cs="宋体"/>
                <w:color w:val="auto"/>
                <w:kern w:val="0"/>
                <w:szCs w:val="21"/>
                <w:lang w:bidi="ar"/>
              </w:rPr>
              <w:t>该项内容缺项的不得分。</w:t>
            </w:r>
          </w:p>
        </w:tc>
      </w:tr>
      <w:tr w14:paraId="5564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vMerge w:val="continue"/>
            <w:tcBorders>
              <w:left w:val="single" w:color="auto" w:sz="4" w:space="0"/>
              <w:bottom w:val="single" w:color="auto" w:sz="4" w:space="0"/>
              <w:right w:val="single" w:color="auto" w:sz="4" w:space="0"/>
            </w:tcBorders>
            <w:vAlign w:val="center"/>
          </w:tcPr>
          <w:p w14:paraId="1153CA8D">
            <w:pPr>
              <w:ind w:firstLine="0" w:firstLineChars="0"/>
              <w:jc w:val="center"/>
              <w:rPr>
                <w:rFonts w:hint="eastAsia" w:ascii="微软雅黑" w:hAnsi="微软雅黑" w:cs="微软雅黑"/>
                <w:color w:val="auto"/>
                <w:szCs w:val="21"/>
              </w:rPr>
            </w:pPr>
          </w:p>
        </w:tc>
        <w:tc>
          <w:tcPr>
            <w:tcW w:w="1259" w:type="dxa"/>
            <w:vMerge w:val="continue"/>
            <w:tcBorders>
              <w:left w:val="single" w:color="auto" w:sz="4" w:space="0"/>
              <w:bottom w:val="single" w:color="auto" w:sz="4" w:space="0"/>
              <w:right w:val="single" w:color="auto" w:sz="4" w:space="0"/>
            </w:tcBorders>
            <w:vAlign w:val="center"/>
          </w:tcPr>
          <w:p w14:paraId="568E3FC3">
            <w:pPr>
              <w:spacing w:line="240" w:lineRule="auto"/>
              <w:ind w:firstLine="420"/>
              <w:jc w:val="center"/>
              <w:rPr>
                <w:rFonts w:hint="eastAsia" w:ascii="微软雅黑" w:hAnsi="微软雅黑"/>
                <w:color w:val="auto"/>
                <w:szCs w:val="21"/>
              </w:rPr>
            </w:pPr>
          </w:p>
        </w:tc>
        <w:tc>
          <w:tcPr>
            <w:tcW w:w="1481" w:type="dxa"/>
            <w:vMerge w:val="continue"/>
            <w:tcBorders>
              <w:left w:val="single" w:color="auto" w:sz="4" w:space="0"/>
              <w:bottom w:val="single" w:color="auto" w:sz="4" w:space="0"/>
              <w:right w:val="single" w:color="auto" w:sz="4" w:space="0"/>
            </w:tcBorders>
            <w:vAlign w:val="center"/>
          </w:tcPr>
          <w:p w14:paraId="2A31130D">
            <w:pPr>
              <w:spacing w:line="240" w:lineRule="auto"/>
              <w:ind w:firstLine="420"/>
              <w:jc w:val="center"/>
              <w:rPr>
                <w:rFonts w:hint="eastAsia" w:ascii="微软雅黑" w:hAnsi="微软雅黑"/>
                <w:color w:val="auto"/>
                <w:szCs w:val="21"/>
              </w:rPr>
            </w:pPr>
          </w:p>
        </w:tc>
        <w:tc>
          <w:tcPr>
            <w:tcW w:w="5366" w:type="dxa"/>
            <w:tcBorders>
              <w:top w:val="single" w:color="auto" w:sz="4" w:space="0"/>
              <w:left w:val="single" w:color="auto" w:sz="4" w:space="0"/>
              <w:bottom w:val="single" w:color="auto" w:sz="4" w:space="0"/>
              <w:right w:val="single" w:color="auto" w:sz="4" w:space="0"/>
            </w:tcBorders>
            <w:vAlign w:val="center"/>
          </w:tcPr>
          <w:p w14:paraId="37B4B330">
            <w:pPr>
              <w:spacing w:line="240" w:lineRule="auto"/>
              <w:ind w:firstLine="0" w:firstLineChars="0"/>
              <w:rPr>
                <w:rFonts w:hint="eastAsia" w:ascii="微软雅黑" w:hAnsi="微软雅黑"/>
                <w:b/>
                <w:bCs/>
                <w:color w:val="auto"/>
                <w:szCs w:val="21"/>
              </w:rPr>
            </w:pPr>
            <w:r>
              <w:rPr>
                <w:rFonts w:ascii="微软雅黑" w:hAnsi="微软雅黑"/>
                <w:b/>
                <w:bCs/>
                <w:color w:val="auto"/>
                <w:szCs w:val="21"/>
              </w:rPr>
              <w:t>根据投标供应商提供的培训时间科学合理性进行打分：</w:t>
            </w:r>
          </w:p>
          <w:p w14:paraId="2A4B0DA2">
            <w:pPr>
              <w:spacing w:line="240" w:lineRule="auto"/>
              <w:ind w:firstLine="420"/>
              <w:rPr>
                <w:rFonts w:hint="eastAsia" w:ascii="微软雅黑" w:hAnsi="微软雅黑"/>
                <w:color w:val="auto"/>
                <w:szCs w:val="21"/>
              </w:rPr>
            </w:pPr>
            <w:r>
              <w:rPr>
                <w:rFonts w:ascii="微软雅黑" w:hAnsi="微软雅黑"/>
                <w:color w:val="auto"/>
                <w:szCs w:val="21"/>
              </w:rPr>
              <w:t>培训时间科学合理的得</w:t>
            </w:r>
            <w:r>
              <w:rPr>
                <w:rFonts w:hint="eastAsia" w:ascii="微软雅黑" w:hAnsi="微软雅黑"/>
                <w:color w:val="auto"/>
                <w:szCs w:val="21"/>
              </w:rPr>
              <w:t>5</w:t>
            </w:r>
            <w:r>
              <w:rPr>
                <w:rFonts w:ascii="微软雅黑" w:hAnsi="微软雅黑"/>
                <w:color w:val="auto"/>
                <w:szCs w:val="21"/>
              </w:rPr>
              <w:t>.0分；</w:t>
            </w:r>
          </w:p>
          <w:p w14:paraId="1C56C77C">
            <w:pPr>
              <w:spacing w:line="240" w:lineRule="auto"/>
              <w:ind w:firstLine="420"/>
              <w:rPr>
                <w:rFonts w:hint="eastAsia" w:ascii="微软雅黑" w:hAnsi="微软雅黑"/>
                <w:color w:val="auto"/>
                <w:szCs w:val="21"/>
              </w:rPr>
            </w:pPr>
            <w:r>
              <w:rPr>
                <w:rFonts w:ascii="微软雅黑" w:hAnsi="微软雅黑"/>
                <w:color w:val="auto"/>
                <w:szCs w:val="21"/>
              </w:rPr>
              <w:t>培训时间基本合理的得</w:t>
            </w:r>
            <w:r>
              <w:rPr>
                <w:rFonts w:hint="eastAsia" w:ascii="微软雅黑" w:hAnsi="微软雅黑"/>
                <w:color w:val="auto"/>
                <w:szCs w:val="21"/>
              </w:rPr>
              <w:t>4.0</w:t>
            </w:r>
            <w:r>
              <w:rPr>
                <w:rFonts w:ascii="微软雅黑" w:hAnsi="微软雅黑"/>
                <w:color w:val="auto"/>
                <w:szCs w:val="21"/>
              </w:rPr>
              <w:t>分；</w:t>
            </w:r>
          </w:p>
          <w:p w14:paraId="482FAC66">
            <w:pPr>
              <w:spacing w:line="240" w:lineRule="auto"/>
              <w:ind w:firstLine="420"/>
              <w:rPr>
                <w:rFonts w:hint="eastAsia" w:ascii="微软雅黑" w:hAnsi="微软雅黑"/>
                <w:color w:val="auto"/>
                <w:szCs w:val="21"/>
              </w:rPr>
            </w:pPr>
            <w:r>
              <w:rPr>
                <w:rFonts w:ascii="微软雅黑" w:hAnsi="微软雅黑"/>
                <w:color w:val="auto"/>
                <w:szCs w:val="21"/>
              </w:rPr>
              <w:t>培训时间不合理的得</w:t>
            </w:r>
            <w:r>
              <w:rPr>
                <w:rFonts w:hint="eastAsia" w:ascii="微软雅黑" w:hAnsi="微软雅黑"/>
                <w:color w:val="auto"/>
                <w:szCs w:val="21"/>
              </w:rPr>
              <w:t>3</w:t>
            </w:r>
            <w:r>
              <w:rPr>
                <w:rFonts w:ascii="微软雅黑" w:hAnsi="微软雅黑"/>
                <w:color w:val="auto"/>
                <w:szCs w:val="21"/>
              </w:rPr>
              <w:t>.0分。</w:t>
            </w:r>
          </w:p>
          <w:p w14:paraId="67F5A26A">
            <w:pPr>
              <w:spacing w:line="240" w:lineRule="auto"/>
              <w:ind w:firstLine="420"/>
              <w:rPr>
                <w:rFonts w:hint="eastAsia" w:ascii="微软雅黑" w:hAnsi="微软雅黑"/>
                <w:color w:val="auto"/>
                <w:szCs w:val="21"/>
              </w:rPr>
            </w:pPr>
            <w:r>
              <w:rPr>
                <w:rFonts w:hint="eastAsia" w:ascii="宋体" w:hAnsi="宋体" w:cs="宋体"/>
                <w:color w:val="auto"/>
                <w:kern w:val="0"/>
                <w:szCs w:val="21"/>
                <w:lang w:bidi="ar"/>
              </w:rPr>
              <w:t>该项内容缺项的不得分。</w:t>
            </w:r>
          </w:p>
        </w:tc>
      </w:tr>
      <w:tr w14:paraId="639A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69" w:type="dxa"/>
            <w:vMerge w:val="restart"/>
            <w:tcBorders>
              <w:top w:val="single" w:color="auto" w:sz="4" w:space="0"/>
              <w:left w:val="single" w:color="auto" w:sz="4" w:space="0"/>
              <w:right w:val="single" w:color="auto" w:sz="4" w:space="0"/>
            </w:tcBorders>
            <w:vAlign w:val="center"/>
          </w:tcPr>
          <w:p w14:paraId="10C5D08A">
            <w:pPr>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6</w:t>
            </w:r>
          </w:p>
        </w:tc>
        <w:tc>
          <w:tcPr>
            <w:tcW w:w="1259" w:type="dxa"/>
            <w:vMerge w:val="restart"/>
            <w:tcBorders>
              <w:top w:val="single" w:color="auto" w:sz="4" w:space="0"/>
              <w:left w:val="single" w:color="auto" w:sz="4" w:space="0"/>
              <w:right w:val="single" w:color="auto" w:sz="4" w:space="0"/>
            </w:tcBorders>
            <w:vAlign w:val="center"/>
          </w:tcPr>
          <w:p w14:paraId="0FDDF79B">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售后服务方案</w:t>
            </w:r>
          </w:p>
        </w:tc>
        <w:tc>
          <w:tcPr>
            <w:tcW w:w="1481" w:type="dxa"/>
            <w:vMerge w:val="restart"/>
            <w:tcBorders>
              <w:top w:val="single" w:color="auto" w:sz="4" w:space="0"/>
              <w:left w:val="single" w:color="auto" w:sz="4" w:space="0"/>
              <w:right w:val="single" w:color="auto" w:sz="4" w:space="0"/>
            </w:tcBorders>
            <w:vAlign w:val="center"/>
          </w:tcPr>
          <w:p w14:paraId="5170B4FF">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10分</w:t>
            </w:r>
          </w:p>
        </w:tc>
        <w:tc>
          <w:tcPr>
            <w:tcW w:w="5366" w:type="dxa"/>
            <w:tcBorders>
              <w:top w:val="single" w:color="auto" w:sz="4" w:space="0"/>
              <w:left w:val="single" w:color="auto" w:sz="4" w:space="0"/>
              <w:bottom w:val="single" w:color="auto" w:sz="4" w:space="0"/>
              <w:right w:val="single" w:color="auto" w:sz="4" w:space="0"/>
            </w:tcBorders>
            <w:vAlign w:val="center"/>
          </w:tcPr>
          <w:p w14:paraId="6BDC839C">
            <w:pPr>
              <w:spacing w:line="240" w:lineRule="auto"/>
              <w:ind w:firstLine="0" w:firstLineChars="0"/>
              <w:rPr>
                <w:rFonts w:hint="eastAsia" w:ascii="微软雅黑" w:hAnsi="微软雅黑"/>
                <w:b/>
                <w:bCs/>
                <w:color w:val="auto"/>
                <w:szCs w:val="21"/>
              </w:rPr>
            </w:pPr>
            <w:r>
              <w:rPr>
                <w:rFonts w:hint="eastAsia" w:ascii="微软雅黑" w:hAnsi="微软雅黑"/>
                <w:b/>
                <w:bCs/>
                <w:color w:val="auto"/>
                <w:szCs w:val="21"/>
              </w:rPr>
              <w:t>根据投标供应商提供的售后服务方案（包括但不限于：售后服务承诺、运维服务组织、服务措施与内容、服务流程、方面等）综合打分：</w:t>
            </w:r>
          </w:p>
          <w:p w14:paraId="05B1E3DF">
            <w:pPr>
              <w:spacing w:line="240" w:lineRule="auto"/>
              <w:ind w:firstLine="420"/>
              <w:rPr>
                <w:rFonts w:hint="eastAsia" w:ascii="微软雅黑" w:hAnsi="微软雅黑"/>
                <w:color w:val="auto"/>
                <w:szCs w:val="21"/>
              </w:rPr>
            </w:pPr>
            <w:r>
              <w:rPr>
                <w:rFonts w:hint="eastAsia" w:ascii="微软雅黑" w:hAnsi="微软雅黑"/>
                <w:color w:val="auto"/>
                <w:szCs w:val="21"/>
              </w:rPr>
              <w:t>售后服务方案科学合理的服务方案描述完整详细，承诺具有针对性的得5.0分；</w:t>
            </w:r>
          </w:p>
          <w:p w14:paraId="147FA094">
            <w:pPr>
              <w:spacing w:line="240" w:lineRule="auto"/>
              <w:ind w:firstLine="420"/>
              <w:rPr>
                <w:rFonts w:hint="eastAsia" w:ascii="微软雅黑" w:hAnsi="微软雅黑"/>
                <w:color w:val="auto"/>
                <w:szCs w:val="21"/>
              </w:rPr>
            </w:pPr>
            <w:r>
              <w:rPr>
                <w:rFonts w:hint="eastAsia" w:ascii="微软雅黑" w:hAnsi="微软雅黑"/>
                <w:color w:val="auto"/>
                <w:szCs w:val="21"/>
              </w:rPr>
              <w:t>售后服务方案描述内容稍欠，承诺具有一定针对性的得4.0分；</w:t>
            </w:r>
          </w:p>
          <w:p w14:paraId="7F401AF0">
            <w:pPr>
              <w:spacing w:line="240" w:lineRule="auto"/>
              <w:ind w:firstLine="420"/>
              <w:rPr>
                <w:rFonts w:hint="eastAsia" w:ascii="微软雅黑" w:hAnsi="微软雅黑"/>
                <w:color w:val="auto"/>
                <w:szCs w:val="21"/>
              </w:rPr>
            </w:pPr>
            <w:r>
              <w:rPr>
                <w:rFonts w:hint="eastAsia" w:ascii="微软雅黑" w:hAnsi="微软雅黑"/>
                <w:color w:val="auto"/>
                <w:szCs w:val="21"/>
              </w:rPr>
              <w:t>售后服务方案内容单一，承诺缺少针对性的得3.0分。</w:t>
            </w:r>
          </w:p>
          <w:p w14:paraId="59566CD6">
            <w:pPr>
              <w:spacing w:line="240" w:lineRule="auto"/>
              <w:ind w:firstLine="420"/>
              <w:rPr>
                <w:rFonts w:hint="eastAsia" w:ascii="微软雅黑" w:hAnsi="微软雅黑"/>
                <w:color w:val="auto"/>
                <w:szCs w:val="21"/>
              </w:rPr>
            </w:pPr>
            <w:r>
              <w:rPr>
                <w:rFonts w:hint="eastAsia" w:ascii="宋体" w:hAnsi="宋体" w:cs="宋体"/>
                <w:color w:val="auto"/>
                <w:kern w:val="0"/>
                <w:szCs w:val="21"/>
                <w:lang w:bidi="ar"/>
              </w:rPr>
              <w:t>该项内容缺项的不得分。</w:t>
            </w:r>
          </w:p>
        </w:tc>
      </w:tr>
      <w:tr w14:paraId="33DA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9" w:type="dxa"/>
            <w:vMerge w:val="continue"/>
            <w:tcBorders>
              <w:left w:val="single" w:color="auto" w:sz="4" w:space="0"/>
              <w:right w:val="single" w:color="auto" w:sz="4" w:space="0"/>
            </w:tcBorders>
            <w:vAlign w:val="center"/>
          </w:tcPr>
          <w:p w14:paraId="2CC2073B">
            <w:pPr>
              <w:ind w:firstLine="0" w:firstLineChars="0"/>
              <w:jc w:val="center"/>
              <w:rPr>
                <w:rFonts w:hint="eastAsia" w:ascii="微软雅黑" w:hAnsi="微软雅黑" w:cs="微软雅黑"/>
                <w:color w:val="auto"/>
                <w:szCs w:val="21"/>
              </w:rPr>
            </w:pPr>
          </w:p>
        </w:tc>
        <w:tc>
          <w:tcPr>
            <w:tcW w:w="1259" w:type="dxa"/>
            <w:vMerge w:val="continue"/>
            <w:tcBorders>
              <w:left w:val="single" w:color="auto" w:sz="4" w:space="0"/>
              <w:bottom w:val="single" w:color="auto" w:sz="4" w:space="0"/>
              <w:right w:val="single" w:color="auto" w:sz="4" w:space="0"/>
            </w:tcBorders>
            <w:vAlign w:val="center"/>
          </w:tcPr>
          <w:p w14:paraId="2A9C3DC6">
            <w:pPr>
              <w:spacing w:line="240" w:lineRule="auto"/>
              <w:ind w:firstLine="420"/>
              <w:jc w:val="center"/>
              <w:rPr>
                <w:rFonts w:hint="eastAsia" w:ascii="微软雅黑" w:hAnsi="微软雅黑"/>
                <w:color w:val="auto"/>
                <w:szCs w:val="21"/>
              </w:rPr>
            </w:pPr>
          </w:p>
        </w:tc>
        <w:tc>
          <w:tcPr>
            <w:tcW w:w="1481" w:type="dxa"/>
            <w:vMerge w:val="continue"/>
            <w:tcBorders>
              <w:left w:val="single" w:color="auto" w:sz="4" w:space="0"/>
              <w:bottom w:val="single" w:color="auto" w:sz="4" w:space="0"/>
              <w:right w:val="single" w:color="auto" w:sz="4" w:space="0"/>
            </w:tcBorders>
            <w:vAlign w:val="center"/>
          </w:tcPr>
          <w:p w14:paraId="46FA9884">
            <w:pPr>
              <w:spacing w:line="240" w:lineRule="auto"/>
              <w:ind w:firstLine="420"/>
              <w:rPr>
                <w:rFonts w:hint="eastAsia" w:ascii="微软雅黑" w:hAnsi="微软雅黑"/>
                <w:color w:val="auto"/>
                <w:szCs w:val="21"/>
              </w:rPr>
            </w:pPr>
          </w:p>
        </w:tc>
        <w:tc>
          <w:tcPr>
            <w:tcW w:w="5366" w:type="dxa"/>
            <w:tcBorders>
              <w:top w:val="single" w:color="auto" w:sz="4" w:space="0"/>
              <w:left w:val="single" w:color="auto" w:sz="4" w:space="0"/>
              <w:bottom w:val="single" w:color="auto" w:sz="4" w:space="0"/>
              <w:right w:val="single" w:color="auto" w:sz="4" w:space="0"/>
            </w:tcBorders>
            <w:vAlign w:val="center"/>
          </w:tcPr>
          <w:p w14:paraId="16B9D3A7">
            <w:pPr>
              <w:spacing w:line="240" w:lineRule="auto"/>
              <w:ind w:firstLine="0" w:firstLineChars="0"/>
              <w:rPr>
                <w:rFonts w:hint="eastAsia" w:ascii="微软雅黑" w:hAnsi="微软雅黑"/>
                <w:color w:val="auto"/>
                <w:szCs w:val="21"/>
              </w:rPr>
            </w:pPr>
            <w:r>
              <w:rPr>
                <w:rFonts w:hint="eastAsia" w:ascii="微软雅黑" w:hAnsi="微软雅黑"/>
                <w:b/>
                <w:bCs/>
                <w:color w:val="auto"/>
                <w:szCs w:val="21"/>
              </w:rPr>
              <w:t>根据投标供应商的售后服务承诺的可行性进行打分：</w:t>
            </w:r>
          </w:p>
          <w:p w14:paraId="71F95D05">
            <w:pPr>
              <w:spacing w:line="240" w:lineRule="auto"/>
              <w:ind w:firstLine="420"/>
              <w:rPr>
                <w:rFonts w:hint="eastAsia" w:ascii="微软雅黑" w:hAnsi="微软雅黑"/>
                <w:color w:val="auto"/>
                <w:szCs w:val="21"/>
              </w:rPr>
            </w:pPr>
            <w:r>
              <w:rPr>
                <w:rFonts w:hint="eastAsia" w:ascii="微软雅黑" w:hAnsi="微软雅黑"/>
                <w:color w:val="auto"/>
                <w:szCs w:val="21"/>
              </w:rPr>
              <w:t>服务承诺可行性高的得5.0分；</w:t>
            </w:r>
          </w:p>
          <w:p w14:paraId="0672813B">
            <w:pPr>
              <w:spacing w:line="240" w:lineRule="auto"/>
              <w:ind w:firstLine="420"/>
              <w:rPr>
                <w:rFonts w:hint="eastAsia" w:ascii="微软雅黑" w:hAnsi="微软雅黑"/>
                <w:color w:val="auto"/>
                <w:szCs w:val="21"/>
              </w:rPr>
            </w:pPr>
            <w:r>
              <w:rPr>
                <w:rFonts w:hint="eastAsia" w:ascii="微软雅黑" w:hAnsi="微软雅黑"/>
                <w:color w:val="auto"/>
                <w:szCs w:val="21"/>
              </w:rPr>
              <w:t>服务承诺基本可行的得4.0分；</w:t>
            </w:r>
          </w:p>
          <w:p w14:paraId="71D46403">
            <w:pPr>
              <w:spacing w:line="240" w:lineRule="auto"/>
              <w:ind w:firstLine="420"/>
              <w:rPr>
                <w:rFonts w:hint="eastAsia" w:ascii="微软雅黑" w:hAnsi="微软雅黑"/>
                <w:color w:val="auto"/>
                <w:szCs w:val="21"/>
              </w:rPr>
            </w:pPr>
            <w:r>
              <w:rPr>
                <w:rFonts w:hint="eastAsia" w:ascii="微软雅黑" w:hAnsi="微软雅黑"/>
                <w:color w:val="auto"/>
                <w:szCs w:val="21"/>
              </w:rPr>
              <w:t>服务承诺基本描述无针对性的得3.0分。</w:t>
            </w:r>
          </w:p>
          <w:p w14:paraId="7C0DAE0A">
            <w:pPr>
              <w:spacing w:line="240" w:lineRule="auto"/>
              <w:ind w:firstLine="420"/>
              <w:rPr>
                <w:rFonts w:hint="eastAsia" w:ascii="微软雅黑" w:hAnsi="微软雅黑"/>
                <w:color w:val="auto"/>
                <w:szCs w:val="21"/>
              </w:rPr>
            </w:pPr>
            <w:r>
              <w:rPr>
                <w:rFonts w:hint="eastAsia" w:ascii="宋体" w:hAnsi="宋体" w:cs="宋体"/>
                <w:color w:val="auto"/>
                <w:kern w:val="0"/>
                <w:szCs w:val="21"/>
                <w:lang w:bidi="ar"/>
              </w:rPr>
              <w:t>该项内容缺项的不得分。</w:t>
            </w:r>
          </w:p>
        </w:tc>
      </w:tr>
      <w:tr w14:paraId="097A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9" w:type="dxa"/>
            <w:tcBorders>
              <w:left w:val="single" w:color="auto" w:sz="4" w:space="0"/>
              <w:right w:val="single" w:color="auto" w:sz="4" w:space="0"/>
            </w:tcBorders>
            <w:vAlign w:val="center"/>
          </w:tcPr>
          <w:p w14:paraId="6611C06C">
            <w:pPr>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7</w:t>
            </w:r>
          </w:p>
        </w:tc>
        <w:tc>
          <w:tcPr>
            <w:tcW w:w="1259" w:type="dxa"/>
            <w:tcBorders>
              <w:left w:val="single" w:color="auto" w:sz="4" w:space="0"/>
              <w:bottom w:val="single" w:color="auto" w:sz="4" w:space="0"/>
              <w:right w:val="single" w:color="auto" w:sz="4" w:space="0"/>
            </w:tcBorders>
            <w:vAlign w:val="center"/>
          </w:tcPr>
          <w:p w14:paraId="520FD762">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应急服务方案、紧急故障处理预案</w:t>
            </w:r>
          </w:p>
        </w:tc>
        <w:tc>
          <w:tcPr>
            <w:tcW w:w="1481" w:type="dxa"/>
            <w:tcBorders>
              <w:left w:val="single" w:color="auto" w:sz="4" w:space="0"/>
              <w:bottom w:val="single" w:color="auto" w:sz="4" w:space="0"/>
              <w:right w:val="single" w:color="auto" w:sz="4" w:space="0"/>
            </w:tcBorders>
            <w:vAlign w:val="center"/>
          </w:tcPr>
          <w:p w14:paraId="44C6B6DF">
            <w:pPr>
              <w:spacing w:line="240" w:lineRule="auto"/>
              <w:ind w:firstLine="420"/>
              <w:rPr>
                <w:rFonts w:hint="eastAsia" w:ascii="微软雅黑" w:hAnsi="微软雅黑"/>
                <w:color w:val="auto"/>
                <w:szCs w:val="21"/>
              </w:rPr>
            </w:pPr>
            <w:r>
              <w:rPr>
                <w:rFonts w:hint="eastAsia" w:ascii="微软雅黑" w:hAnsi="微软雅黑"/>
                <w:color w:val="auto"/>
                <w:szCs w:val="21"/>
              </w:rPr>
              <w:t>5分</w:t>
            </w:r>
          </w:p>
        </w:tc>
        <w:tc>
          <w:tcPr>
            <w:tcW w:w="5366" w:type="dxa"/>
            <w:tcBorders>
              <w:top w:val="single" w:color="auto" w:sz="4" w:space="0"/>
              <w:left w:val="single" w:color="auto" w:sz="4" w:space="0"/>
              <w:bottom w:val="single" w:color="auto" w:sz="4" w:space="0"/>
              <w:right w:val="single" w:color="auto" w:sz="4" w:space="0"/>
            </w:tcBorders>
            <w:vAlign w:val="center"/>
          </w:tcPr>
          <w:p w14:paraId="166274E9">
            <w:pPr>
              <w:spacing w:line="240" w:lineRule="auto"/>
              <w:ind w:firstLine="0" w:firstLineChars="0"/>
              <w:rPr>
                <w:rFonts w:hint="eastAsia" w:ascii="微软雅黑" w:hAnsi="微软雅黑"/>
                <w:color w:val="auto"/>
                <w:szCs w:val="21"/>
              </w:rPr>
            </w:pPr>
            <w:r>
              <w:rPr>
                <w:rFonts w:hint="eastAsia" w:ascii="微软雅黑" w:hAnsi="微软雅黑"/>
                <w:b/>
                <w:bCs/>
                <w:color w:val="auto"/>
                <w:szCs w:val="21"/>
              </w:rPr>
              <w:t>根据投标供应商的应急服务方案、紧急故障处理预案的可行性进行打分：</w:t>
            </w:r>
          </w:p>
          <w:p w14:paraId="5A2BD7B3">
            <w:pPr>
              <w:spacing w:line="240" w:lineRule="auto"/>
              <w:ind w:firstLine="420"/>
              <w:rPr>
                <w:rFonts w:hint="eastAsia" w:ascii="微软雅黑" w:hAnsi="微软雅黑"/>
                <w:color w:val="auto"/>
                <w:szCs w:val="21"/>
              </w:rPr>
            </w:pPr>
            <w:r>
              <w:rPr>
                <w:rFonts w:hint="eastAsia" w:ascii="微软雅黑" w:hAnsi="微软雅黑"/>
                <w:color w:val="auto"/>
                <w:szCs w:val="21"/>
              </w:rPr>
              <w:t>应急服务方案、紧急故障处理预案可行性高的得5.0分；</w:t>
            </w:r>
          </w:p>
          <w:p w14:paraId="5EFECBB0">
            <w:pPr>
              <w:spacing w:line="240" w:lineRule="auto"/>
              <w:ind w:firstLine="420"/>
              <w:rPr>
                <w:rFonts w:hint="eastAsia" w:ascii="微软雅黑" w:hAnsi="微软雅黑"/>
                <w:color w:val="auto"/>
                <w:szCs w:val="21"/>
              </w:rPr>
            </w:pPr>
            <w:r>
              <w:rPr>
                <w:rFonts w:hint="eastAsia" w:ascii="微软雅黑" w:hAnsi="微软雅黑"/>
                <w:color w:val="auto"/>
                <w:szCs w:val="21"/>
              </w:rPr>
              <w:t>应急服务方案、紧急故障处理预案基本可行的得4.0分；</w:t>
            </w:r>
          </w:p>
          <w:p w14:paraId="6FD8FAB9">
            <w:pPr>
              <w:spacing w:line="240" w:lineRule="auto"/>
              <w:ind w:firstLine="420"/>
              <w:rPr>
                <w:rFonts w:hint="eastAsia" w:ascii="微软雅黑" w:hAnsi="微软雅黑"/>
                <w:color w:val="auto"/>
                <w:szCs w:val="21"/>
              </w:rPr>
            </w:pPr>
            <w:r>
              <w:rPr>
                <w:rFonts w:hint="eastAsia" w:ascii="微软雅黑" w:hAnsi="微软雅黑"/>
                <w:color w:val="auto"/>
                <w:szCs w:val="21"/>
              </w:rPr>
              <w:t>应急服务方案、紧急故障处理预案基本描述无针对性的得3.0分。</w:t>
            </w:r>
          </w:p>
          <w:p w14:paraId="72177899">
            <w:pPr>
              <w:spacing w:line="240" w:lineRule="auto"/>
              <w:ind w:firstLine="420"/>
              <w:rPr>
                <w:rFonts w:hint="eastAsia" w:ascii="微软雅黑" w:hAnsi="微软雅黑"/>
                <w:color w:val="auto"/>
                <w:szCs w:val="21"/>
              </w:rPr>
            </w:pPr>
            <w:r>
              <w:rPr>
                <w:rFonts w:hint="eastAsia" w:ascii="宋体" w:hAnsi="宋体" w:cs="宋体"/>
                <w:color w:val="auto"/>
                <w:kern w:val="0"/>
                <w:szCs w:val="21"/>
                <w:lang w:bidi="ar"/>
              </w:rPr>
              <w:t>该项内容缺项的不得分。</w:t>
            </w:r>
          </w:p>
        </w:tc>
      </w:tr>
      <w:tr w14:paraId="643A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69" w:type="dxa"/>
            <w:vAlign w:val="center"/>
          </w:tcPr>
          <w:p w14:paraId="3D8AB4D6">
            <w:pPr>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8</w:t>
            </w:r>
          </w:p>
        </w:tc>
        <w:tc>
          <w:tcPr>
            <w:tcW w:w="1259" w:type="dxa"/>
            <w:shd w:val="clear" w:color="auto" w:fill="auto"/>
            <w:vAlign w:val="center"/>
          </w:tcPr>
          <w:p w14:paraId="0D4839A1">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合理化建议</w:t>
            </w:r>
          </w:p>
        </w:tc>
        <w:tc>
          <w:tcPr>
            <w:tcW w:w="1481" w:type="dxa"/>
            <w:vAlign w:val="center"/>
          </w:tcPr>
          <w:p w14:paraId="26D79EB2">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lang w:val="en-US" w:eastAsia="zh-CN"/>
              </w:rPr>
              <w:t>4.5</w:t>
            </w:r>
            <w:r>
              <w:rPr>
                <w:rFonts w:hint="eastAsia" w:ascii="微软雅黑" w:hAnsi="微软雅黑"/>
                <w:color w:val="auto"/>
                <w:szCs w:val="21"/>
              </w:rPr>
              <w:t>分</w:t>
            </w:r>
          </w:p>
        </w:tc>
        <w:tc>
          <w:tcPr>
            <w:tcW w:w="5366" w:type="dxa"/>
            <w:vAlign w:val="center"/>
          </w:tcPr>
          <w:p w14:paraId="38EFD7E6">
            <w:pPr>
              <w:spacing w:line="240" w:lineRule="auto"/>
              <w:ind w:firstLine="420"/>
              <w:rPr>
                <w:rFonts w:hint="eastAsia" w:ascii="微软雅黑" w:hAnsi="微软雅黑"/>
                <w:color w:val="auto"/>
                <w:szCs w:val="21"/>
              </w:rPr>
            </w:pPr>
            <w:r>
              <w:rPr>
                <w:rFonts w:hint="eastAsia" w:ascii="宋体" w:hAnsi="宋体"/>
                <w:color w:val="auto"/>
                <w:szCs w:val="21"/>
              </w:rPr>
              <w:t>针对项目推</w:t>
            </w:r>
            <w:r>
              <w:rPr>
                <w:rFonts w:hint="eastAsia" w:ascii="宋体" w:hAnsi="宋体" w:cs="宋体"/>
                <w:color w:val="auto"/>
                <w:szCs w:val="21"/>
              </w:rPr>
              <w:t>进和实施中可能会出现的问题和存在的困难，进行客观仔细地分析，并结合自身专业、经验等实际情况，在对项目理解的基础上提出合理化建议(解决对策)。经专家组认可每条合理化建议(解决对策)得</w:t>
            </w:r>
            <w:r>
              <w:rPr>
                <w:rFonts w:hint="eastAsia" w:ascii="宋体" w:hAnsi="宋体" w:cs="宋体"/>
                <w:color w:val="auto"/>
                <w:szCs w:val="21"/>
                <w:lang w:val="en-US" w:eastAsia="zh-CN"/>
              </w:rPr>
              <w:t>1.5</w:t>
            </w:r>
            <w:r>
              <w:rPr>
                <w:rFonts w:hint="eastAsia" w:ascii="宋体" w:hAnsi="宋体" w:cs="宋体"/>
                <w:color w:val="auto"/>
                <w:szCs w:val="21"/>
              </w:rPr>
              <w:t>分，最多得</w:t>
            </w:r>
            <w:r>
              <w:rPr>
                <w:rFonts w:hint="eastAsia" w:ascii="宋体" w:hAnsi="宋体" w:cs="宋体"/>
                <w:color w:val="auto"/>
                <w:szCs w:val="21"/>
                <w:lang w:val="en-US" w:eastAsia="zh-CN"/>
              </w:rPr>
              <w:t>4.</w:t>
            </w:r>
            <w:r>
              <w:rPr>
                <w:rFonts w:hint="eastAsia" w:ascii="宋体" w:hAnsi="宋体" w:cs="宋体"/>
                <w:color w:val="auto"/>
                <w:szCs w:val="21"/>
              </w:rPr>
              <w:t>5分</w:t>
            </w:r>
          </w:p>
        </w:tc>
      </w:tr>
      <w:tr w14:paraId="05E6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69" w:type="dxa"/>
            <w:shd w:val="clear" w:color="auto" w:fill="auto"/>
            <w:vAlign w:val="center"/>
          </w:tcPr>
          <w:p w14:paraId="2F6BBB3A">
            <w:pPr>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9</w:t>
            </w:r>
          </w:p>
        </w:tc>
        <w:tc>
          <w:tcPr>
            <w:tcW w:w="1259" w:type="dxa"/>
            <w:shd w:val="clear" w:color="auto" w:fill="auto"/>
            <w:vAlign w:val="center"/>
          </w:tcPr>
          <w:p w14:paraId="52FA7A5C">
            <w:pPr>
              <w:spacing w:line="240" w:lineRule="auto"/>
              <w:ind w:firstLine="0" w:firstLineChars="0"/>
              <w:jc w:val="center"/>
              <w:rPr>
                <w:rFonts w:hint="eastAsia" w:ascii="微软雅黑" w:hAnsi="微软雅黑"/>
                <w:color w:val="auto"/>
                <w:szCs w:val="21"/>
              </w:rPr>
            </w:pPr>
            <w:r>
              <w:rPr>
                <w:rFonts w:ascii="微软雅黑" w:hAnsi="微软雅黑"/>
                <w:color w:val="auto"/>
                <w:szCs w:val="21"/>
              </w:rPr>
              <w:t>服务人员的专业能力</w:t>
            </w:r>
          </w:p>
        </w:tc>
        <w:tc>
          <w:tcPr>
            <w:tcW w:w="1481" w:type="dxa"/>
            <w:shd w:val="clear" w:color="auto" w:fill="auto"/>
            <w:vAlign w:val="center"/>
          </w:tcPr>
          <w:p w14:paraId="6E34F08A">
            <w:pPr>
              <w:spacing w:line="240" w:lineRule="auto"/>
              <w:ind w:firstLine="0" w:firstLineChars="0"/>
              <w:jc w:val="center"/>
              <w:rPr>
                <w:rFonts w:hint="eastAsia" w:ascii="微软雅黑" w:hAnsi="微软雅黑"/>
                <w:color w:val="auto"/>
                <w:szCs w:val="21"/>
              </w:rPr>
            </w:pPr>
            <w:r>
              <w:rPr>
                <w:rFonts w:hint="eastAsia" w:ascii="微软雅黑" w:hAnsi="微软雅黑"/>
                <w:color w:val="auto"/>
                <w:szCs w:val="21"/>
              </w:rPr>
              <w:t>5分</w:t>
            </w:r>
          </w:p>
        </w:tc>
        <w:tc>
          <w:tcPr>
            <w:tcW w:w="5366" w:type="dxa"/>
            <w:shd w:val="clear" w:color="auto" w:fill="auto"/>
            <w:vAlign w:val="center"/>
          </w:tcPr>
          <w:p w14:paraId="7FFCC528">
            <w:pPr>
              <w:spacing w:line="240" w:lineRule="auto"/>
              <w:ind w:firstLine="0" w:firstLineChars="0"/>
              <w:rPr>
                <w:rFonts w:hint="eastAsia" w:ascii="微软雅黑" w:hAnsi="微软雅黑"/>
                <w:b/>
                <w:bCs/>
                <w:color w:val="auto"/>
                <w:szCs w:val="21"/>
              </w:rPr>
            </w:pPr>
            <w:bookmarkStart w:id="216" w:name="_GoBack"/>
            <w:r>
              <w:rPr>
                <w:rFonts w:ascii="微软雅黑" w:hAnsi="微软雅黑"/>
                <w:b/>
                <w:bCs/>
                <w:color w:val="auto"/>
                <w:szCs w:val="21"/>
              </w:rPr>
              <w:t>投标人投入本项目服务人员的专业能力、经验以及人员构成的合理性进行评审</w:t>
            </w:r>
            <w:r>
              <w:rPr>
                <w:rFonts w:hint="eastAsia" w:ascii="微软雅黑" w:hAnsi="微软雅黑"/>
                <w:b/>
                <w:bCs/>
                <w:color w:val="auto"/>
                <w:szCs w:val="21"/>
              </w:rPr>
              <w:t>：</w:t>
            </w:r>
          </w:p>
          <w:p w14:paraId="1F248672">
            <w:pPr>
              <w:spacing w:line="240" w:lineRule="auto"/>
              <w:ind w:firstLine="0" w:firstLineChars="0"/>
              <w:rPr>
                <w:rFonts w:hint="eastAsia" w:ascii="微软雅黑" w:hAnsi="微软雅黑"/>
                <w:color w:val="auto"/>
                <w:szCs w:val="21"/>
              </w:rPr>
            </w:pPr>
            <w:r>
              <w:rPr>
                <w:rFonts w:hint="eastAsia" w:ascii="微软雅黑" w:hAnsi="微软雅黑"/>
                <w:color w:val="auto"/>
                <w:szCs w:val="21"/>
              </w:rPr>
              <w:t>服务人员的专业能力强、经验丰富以及人员构成合理的得5.0分；</w:t>
            </w:r>
          </w:p>
          <w:p w14:paraId="57468114">
            <w:pPr>
              <w:spacing w:line="240" w:lineRule="auto"/>
              <w:ind w:firstLine="0" w:firstLineChars="0"/>
              <w:rPr>
                <w:rFonts w:hint="eastAsia" w:ascii="微软雅黑" w:hAnsi="微软雅黑"/>
                <w:color w:val="auto"/>
                <w:szCs w:val="21"/>
              </w:rPr>
            </w:pPr>
            <w:r>
              <w:rPr>
                <w:rFonts w:hint="eastAsia" w:ascii="微软雅黑" w:hAnsi="微软雅黑"/>
                <w:color w:val="auto"/>
                <w:szCs w:val="21"/>
              </w:rPr>
              <w:t>服务人员的专业能力较强、经验较丰富以及人员构成较合理的得4.0分；</w:t>
            </w:r>
          </w:p>
          <w:p w14:paraId="46D2C8E9">
            <w:pPr>
              <w:spacing w:line="240" w:lineRule="auto"/>
              <w:ind w:firstLine="0" w:firstLineChars="0"/>
              <w:rPr>
                <w:rFonts w:hint="eastAsia" w:ascii="微软雅黑" w:hAnsi="微软雅黑"/>
                <w:color w:val="auto"/>
                <w:szCs w:val="21"/>
              </w:rPr>
            </w:pPr>
            <w:r>
              <w:rPr>
                <w:rFonts w:hint="eastAsia" w:ascii="微软雅黑" w:hAnsi="微软雅黑"/>
                <w:color w:val="auto"/>
                <w:szCs w:val="21"/>
              </w:rPr>
              <w:t>服务人员的专业能力一般、经验一般以及人员构成较不合理的得3.0分。</w:t>
            </w:r>
          </w:p>
          <w:p w14:paraId="1F727B06">
            <w:pPr>
              <w:spacing w:line="240" w:lineRule="auto"/>
              <w:ind w:firstLine="0" w:firstLineChars="0"/>
              <w:rPr>
                <w:rFonts w:hint="eastAsia" w:ascii="微软雅黑" w:hAnsi="微软雅黑"/>
                <w:color w:val="auto"/>
                <w:szCs w:val="21"/>
              </w:rPr>
            </w:pPr>
            <w:r>
              <w:rPr>
                <w:rFonts w:hint="eastAsia" w:ascii="宋体" w:hAnsi="宋体" w:cs="宋体"/>
                <w:color w:val="auto"/>
                <w:kern w:val="0"/>
                <w:szCs w:val="21"/>
                <w:lang w:bidi="ar"/>
              </w:rPr>
              <w:t>该项内容缺项的不得分。</w:t>
            </w:r>
            <w:bookmarkEnd w:id="216"/>
          </w:p>
        </w:tc>
      </w:tr>
    </w:tbl>
    <w:p w14:paraId="6EA38505">
      <w:pPr>
        <w:pStyle w:val="50"/>
        <w:ind w:firstLine="404"/>
        <w:rPr>
          <w:rFonts w:hint="eastAsia" w:ascii="微软雅黑" w:hAnsi="微软雅黑" w:cs="微软雅黑"/>
          <w:color w:val="auto"/>
          <w:sz w:val="21"/>
          <w:szCs w:val="21"/>
        </w:rPr>
      </w:pPr>
    </w:p>
    <w:p w14:paraId="1233015D">
      <w:pPr>
        <w:ind w:firstLine="420"/>
        <w:rPr>
          <w:rStyle w:val="73"/>
          <w:rFonts w:hint="eastAsia" w:ascii="宋体" w:hAnsi="宋体" w:eastAsia="宋体" w:cs="宋体"/>
          <w:color w:val="auto"/>
          <w:sz w:val="21"/>
          <w:szCs w:val="21"/>
        </w:rPr>
      </w:pPr>
      <w:r>
        <w:rPr>
          <w:rStyle w:val="73"/>
          <w:rFonts w:hint="eastAsia" w:ascii="微软雅黑" w:hAnsi="微软雅黑" w:cs="微软雅黑"/>
          <w:color w:val="auto"/>
          <w:sz w:val="21"/>
          <w:szCs w:val="21"/>
        </w:rPr>
        <w:br w:type="page"/>
      </w:r>
    </w:p>
    <w:bookmarkEnd w:id="188"/>
    <w:bookmarkEnd w:id="189"/>
    <w:bookmarkEnd w:id="190"/>
    <w:bookmarkEnd w:id="192"/>
    <w:p w14:paraId="49C7F9AB">
      <w:pPr>
        <w:pStyle w:val="3"/>
        <w:rPr>
          <w:rStyle w:val="65"/>
          <w:rFonts w:hint="eastAsia" w:ascii="宋体" w:hAnsi="宋体" w:cs="宋体"/>
          <w:color w:val="auto"/>
          <w:u w:val="none"/>
        </w:rPr>
      </w:pPr>
      <w:bookmarkStart w:id="193" w:name="_Toc21781"/>
      <w:bookmarkStart w:id="194" w:name="_Toc493511827"/>
      <w:bookmarkStart w:id="195" w:name="_Toc427915780"/>
      <w:bookmarkStart w:id="196" w:name="_Toc416422466"/>
      <w:bookmarkStart w:id="197" w:name="_Toc416422801"/>
      <w:bookmarkStart w:id="198" w:name="_Toc12558"/>
      <w:bookmarkStart w:id="199" w:name="_Toc417992897"/>
      <w:r>
        <w:rPr>
          <w:rFonts w:hint="eastAsia"/>
          <w:color w:val="auto"/>
        </w:rPr>
        <w:t xml:space="preserve">第四章 </w:t>
      </w:r>
      <w:r>
        <w:rPr>
          <w:rStyle w:val="65"/>
          <w:rFonts w:hint="eastAsia" w:ascii="宋体" w:hAnsi="宋体" w:cs="宋体"/>
          <w:color w:val="auto"/>
          <w:u w:val="none"/>
        </w:rPr>
        <w:t>嘉兴市政府采购合同（指引）</w:t>
      </w:r>
    </w:p>
    <w:p w14:paraId="17C1E765">
      <w:pPr>
        <w:adjustRightInd w:val="0"/>
        <w:snapToGrid w:val="0"/>
        <w:spacing w:line="300" w:lineRule="auto"/>
        <w:ind w:firstLine="600"/>
        <w:jc w:val="center"/>
        <w:rPr>
          <w:rFonts w:hint="eastAsia" w:ascii="宋体" w:hAnsi="宋体"/>
          <w:color w:val="auto"/>
          <w:sz w:val="30"/>
          <w:szCs w:val="30"/>
        </w:rPr>
      </w:pPr>
    </w:p>
    <w:p w14:paraId="04D6D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hint="eastAsia" w:ascii="宋体" w:hAnsi="宋体"/>
          <w:color w:val="auto"/>
          <w:kern w:val="0"/>
        </w:rPr>
      </w:pPr>
      <w:r>
        <w:rPr>
          <w:rFonts w:hint="eastAsia" w:ascii="宋体" w:hAnsi="宋体"/>
          <w:color w:val="auto"/>
          <w:kern w:val="0"/>
        </w:rPr>
        <w:t>项目编号：中际-ZJZJGC（2024）嘉26号</w:t>
      </w:r>
    </w:p>
    <w:p w14:paraId="404703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hint="eastAsia" w:ascii="宋体" w:hAnsi="宋体"/>
          <w:color w:val="auto"/>
          <w:kern w:val="0"/>
        </w:rPr>
      </w:pPr>
      <w:r>
        <w:rPr>
          <w:rFonts w:hint="eastAsia" w:ascii="宋体" w:hAnsi="宋体"/>
          <w:color w:val="auto"/>
          <w:kern w:val="0"/>
        </w:rPr>
        <w:t>合同编号：中际-ZJZJGC（2024）嘉26号</w:t>
      </w:r>
    </w:p>
    <w:p w14:paraId="7F4D71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hint="eastAsia" w:ascii="宋体" w:hAnsi="宋体"/>
          <w:color w:val="auto"/>
          <w:kern w:val="0"/>
        </w:rPr>
      </w:pPr>
      <w:r>
        <w:rPr>
          <w:rFonts w:hint="eastAsia" w:ascii="宋体" w:hAnsi="宋体"/>
          <w:color w:val="auto"/>
        </w:rPr>
        <w:t>采购计划文号</w:t>
      </w:r>
      <w:r>
        <w:rPr>
          <w:rFonts w:hint="eastAsia" w:ascii="宋体" w:hAnsi="宋体"/>
          <w:color w:val="auto"/>
          <w:kern w:val="0"/>
        </w:rPr>
        <w:t>：临[2024]2257号</w:t>
      </w:r>
    </w:p>
    <w:p w14:paraId="591867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hint="eastAsia" w:ascii="宋体" w:hAnsi="宋体" w:eastAsia="宋体"/>
          <w:color w:val="auto"/>
          <w:kern w:val="0"/>
        </w:rPr>
      </w:pPr>
      <w:r>
        <w:rPr>
          <w:rFonts w:hint="eastAsia" w:ascii="宋体" w:hAnsi="宋体"/>
          <w:color w:val="auto"/>
          <w:kern w:val="0"/>
        </w:rPr>
        <w:t>采购人（以下称甲方）：</w:t>
      </w:r>
      <w:r>
        <w:rPr>
          <w:rFonts w:hint="eastAsia" w:ascii="宋体" w:hAnsi="宋体"/>
          <w:color w:val="auto"/>
        </w:rPr>
        <w:t>嘉兴市公安局南湖区分局</w:t>
      </w:r>
    </w:p>
    <w:p w14:paraId="183E7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hint="eastAsia" w:ascii="宋体" w:hAnsi="宋体"/>
          <w:color w:val="auto"/>
          <w:kern w:val="0"/>
        </w:rPr>
      </w:pPr>
      <w:r>
        <w:rPr>
          <w:rFonts w:hint="eastAsia" w:ascii="宋体" w:hAnsi="宋体"/>
          <w:color w:val="auto"/>
          <w:kern w:val="0"/>
        </w:rPr>
        <w:t>供应商（以下称乙方）：</w:t>
      </w:r>
    </w:p>
    <w:p w14:paraId="2E8F2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hint="eastAsia" w:ascii="宋体" w:hAnsi="宋体"/>
          <w:color w:val="auto"/>
          <w:kern w:val="0"/>
        </w:rPr>
      </w:pPr>
      <w:r>
        <w:rPr>
          <w:rFonts w:hint="eastAsia" w:ascii="宋体" w:hAnsi="宋体"/>
          <w:color w:val="auto"/>
          <w:kern w:val="0"/>
        </w:rPr>
        <w:t>采购方式：公开招标</w:t>
      </w:r>
    </w:p>
    <w:p w14:paraId="45F44C22">
      <w:pPr>
        <w:pStyle w:val="284"/>
        <w:jc w:val="left"/>
        <w:rPr>
          <w:rFonts w:hint="eastAsia" w:ascii="宋体" w:hAnsi="宋体" w:eastAsia="微软雅黑"/>
          <w:color w:val="auto"/>
          <w:kern w:val="0"/>
          <w:szCs w:val="24"/>
        </w:rPr>
      </w:pPr>
      <w:r>
        <w:rPr>
          <w:rFonts w:hint="eastAsia" w:ascii="宋体" w:hAnsi="宋体"/>
          <w:color w:val="auto"/>
          <w:kern w:val="0"/>
        </w:rPr>
        <w:t xml:space="preserve">  </w:t>
      </w:r>
      <w:r>
        <w:rPr>
          <w:rFonts w:hint="eastAsia" w:ascii="宋体" w:hAnsi="宋体" w:eastAsia="微软雅黑"/>
          <w:color w:val="auto"/>
          <w:kern w:val="0"/>
          <w:szCs w:val="24"/>
        </w:rPr>
        <w:t xml:space="preserve">  </w:t>
      </w:r>
    </w:p>
    <w:p w14:paraId="481993F6">
      <w:pPr>
        <w:pStyle w:val="284"/>
        <w:ind w:firstLine="420" w:firstLineChars="200"/>
        <w:jc w:val="left"/>
        <w:rPr>
          <w:rFonts w:hint="eastAsia" w:ascii="宋体" w:hAnsi="宋体" w:eastAsia="微软雅黑"/>
          <w:color w:val="auto"/>
          <w:kern w:val="0"/>
          <w:szCs w:val="24"/>
        </w:rPr>
      </w:pPr>
      <w:r>
        <w:rPr>
          <w:rFonts w:hint="eastAsia" w:ascii="宋体" w:hAnsi="宋体" w:eastAsia="微软雅黑"/>
          <w:color w:val="auto"/>
          <w:kern w:val="0"/>
          <w:szCs w:val="24"/>
        </w:rPr>
        <w:t>根据《中华人民共和国政府采购法》、《民法典》等法律法规的规定，甲乙双方按照中际-ZJZJGC（2024）嘉26号</w:t>
      </w:r>
      <w:r>
        <w:rPr>
          <w:rFonts w:hint="eastAsia" w:ascii="宋体" w:hAnsi="宋体" w:eastAsia="微软雅黑"/>
          <w:color w:val="auto"/>
          <w:kern w:val="0"/>
          <w:szCs w:val="24"/>
          <w:u w:val="single"/>
          <w:lang w:val="zh-CN"/>
        </w:rPr>
        <w:t>嘉兴市公安局南湖区分局</w:t>
      </w:r>
      <w:r>
        <w:rPr>
          <w:rFonts w:hint="eastAsia" w:ascii="宋体" w:hAnsi="宋体" w:eastAsia="微软雅黑"/>
          <w:color w:val="auto"/>
          <w:kern w:val="0"/>
          <w:szCs w:val="24"/>
          <w:u w:val="single"/>
        </w:rPr>
        <w:t>涉诈数据处理服务项目</w:t>
      </w:r>
      <w:r>
        <w:rPr>
          <w:rFonts w:hint="eastAsia" w:ascii="宋体" w:hAnsi="宋体" w:eastAsia="微软雅黑"/>
          <w:color w:val="auto"/>
          <w:kern w:val="0"/>
          <w:szCs w:val="24"/>
        </w:rPr>
        <w:t>采购结果签订本合同。</w:t>
      </w:r>
    </w:p>
    <w:p w14:paraId="184E15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第一条 合同组成</w:t>
      </w:r>
    </w:p>
    <w:p w14:paraId="069C3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本次政府采购活动的相关文件为本合同的组成部分，这些文件包括但不限于：</w:t>
      </w:r>
    </w:p>
    <w:p w14:paraId="321A6A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（1）本合同文本；</w:t>
      </w:r>
    </w:p>
    <w:p w14:paraId="3A67E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（2）招标文件与采购投标文件；</w:t>
      </w:r>
    </w:p>
    <w:p w14:paraId="3E80B4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（3）中标或成交通知书；</w:t>
      </w:r>
    </w:p>
    <w:p w14:paraId="6A8C86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组成本合同的所有文件必须为书面形式。政府采购合同备案时，须提供以上（1）、（3）两项，如由社会中介机构代理，须提供代理协议，合同如有变更的，须提供变更协议。</w:t>
      </w:r>
    </w:p>
    <w:p w14:paraId="2C20F9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p>
    <w:p w14:paraId="0810A7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第二条 合同标的</w:t>
      </w:r>
    </w:p>
    <w:p w14:paraId="01FD5B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u w:val="single"/>
        </w:rPr>
      </w:pPr>
      <w:r>
        <w:rPr>
          <w:rFonts w:hint="eastAsia" w:ascii="宋体" w:hAnsi="宋体"/>
          <w:color w:val="auto"/>
          <w:kern w:val="0"/>
        </w:rPr>
        <w:t>本次采购的是</w:t>
      </w:r>
      <w:r>
        <w:rPr>
          <w:rFonts w:hint="eastAsia" w:ascii="宋体" w:hAnsi="宋体"/>
          <w:color w:val="auto"/>
          <w:u w:val="single"/>
          <w:lang w:val="zh-CN"/>
        </w:rPr>
        <w:t>嘉兴市公安局南湖区分局</w:t>
      </w:r>
      <w:r>
        <w:rPr>
          <w:rFonts w:hint="eastAsia" w:ascii="宋体" w:hAnsi="宋体"/>
          <w:color w:val="auto"/>
          <w:kern w:val="0"/>
          <w:u w:val="single"/>
        </w:rPr>
        <w:t>涉诈数据处理服务项目</w:t>
      </w:r>
      <w:r>
        <w:rPr>
          <w:rFonts w:hint="eastAsia" w:ascii="宋体" w:hAnsi="宋体"/>
          <w:color w:val="auto"/>
          <w:kern w:val="0"/>
        </w:rPr>
        <w:t>。</w:t>
      </w:r>
    </w:p>
    <w:tbl>
      <w:tblPr>
        <w:tblStyle w:val="5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700"/>
        <w:gridCol w:w="1275"/>
        <w:gridCol w:w="2791"/>
      </w:tblGrid>
      <w:tr w14:paraId="30B6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FA0E568">
            <w:pPr>
              <w:pStyle w:val="128"/>
              <w:adjustRightInd/>
              <w:spacing w:line="240" w:lineRule="auto"/>
              <w:ind w:firstLine="0" w:firstLineChars="0"/>
              <w:jc w:val="center"/>
              <w:textAlignment w:val="auto"/>
              <w:rPr>
                <w:rFonts w:hint="eastAsia" w:hAnsi="宋体" w:eastAsia="宋体" w:cs="宋体"/>
                <w:color w:val="auto"/>
                <w:sz w:val="21"/>
                <w:szCs w:val="21"/>
              </w:rPr>
            </w:pPr>
            <w:r>
              <w:rPr>
                <w:rFonts w:hint="eastAsia" w:hAnsi="宋体" w:eastAsia="宋体" w:cs="宋体"/>
                <w:color w:val="auto"/>
                <w:sz w:val="21"/>
                <w:szCs w:val="21"/>
              </w:rPr>
              <w:t>序号</w:t>
            </w:r>
          </w:p>
        </w:tc>
        <w:tc>
          <w:tcPr>
            <w:tcW w:w="3700" w:type="dxa"/>
            <w:tcBorders>
              <w:top w:val="single" w:color="auto" w:sz="4" w:space="0"/>
              <w:left w:val="single" w:color="auto" w:sz="4" w:space="0"/>
              <w:bottom w:val="single" w:color="auto" w:sz="4" w:space="0"/>
              <w:right w:val="single" w:color="auto" w:sz="4" w:space="0"/>
            </w:tcBorders>
            <w:vAlign w:val="center"/>
          </w:tcPr>
          <w:p w14:paraId="0A8DA8DE">
            <w:pPr>
              <w:pStyle w:val="128"/>
              <w:adjustRightInd/>
              <w:spacing w:line="240" w:lineRule="auto"/>
              <w:ind w:firstLine="0" w:firstLineChars="0"/>
              <w:jc w:val="center"/>
              <w:textAlignment w:val="auto"/>
              <w:rPr>
                <w:rFonts w:hint="eastAsia" w:hAnsi="宋体" w:eastAsia="宋体" w:cs="宋体"/>
                <w:color w:val="auto"/>
                <w:sz w:val="21"/>
                <w:szCs w:val="21"/>
              </w:rPr>
            </w:pPr>
            <w:r>
              <w:rPr>
                <w:rFonts w:hint="eastAsia" w:hAnsi="宋体" w:eastAsia="宋体" w:cs="宋体"/>
                <w:b/>
                <w:color w:val="auto"/>
                <w:kern w:val="0"/>
                <w:sz w:val="21"/>
                <w:szCs w:val="21"/>
              </w:rPr>
              <w:t>服务项目名称</w:t>
            </w:r>
          </w:p>
        </w:tc>
        <w:tc>
          <w:tcPr>
            <w:tcW w:w="1275" w:type="dxa"/>
            <w:tcBorders>
              <w:top w:val="single" w:color="auto" w:sz="4" w:space="0"/>
              <w:left w:val="single" w:color="auto" w:sz="4" w:space="0"/>
              <w:bottom w:val="single" w:color="auto" w:sz="4" w:space="0"/>
              <w:right w:val="single" w:color="auto" w:sz="4" w:space="0"/>
            </w:tcBorders>
            <w:vAlign w:val="center"/>
          </w:tcPr>
          <w:p w14:paraId="77940E35">
            <w:pPr>
              <w:pStyle w:val="128"/>
              <w:adjustRightInd/>
              <w:spacing w:line="240" w:lineRule="auto"/>
              <w:ind w:firstLine="0" w:firstLineChars="0"/>
              <w:jc w:val="center"/>
              <w:textAlignment w:val="auto"/>
              <w:rPr>
                <w:rFonts w:hint="eastAsia" w:hAnsi="宋体" w:eastAsia="宋体" w:cs="宋体"/>
                <w:b/>
                <w:color w:val="auto"/>
                <w:kern w:val="0"/>
                <w:sz w:val="21"/>
                <w:szCs w:val="21"/>
              </w:rPr>
            </w:pPr>
            <w:r>
              <w:rPr>
                <w:rFonts w:hint="eastAsia" w:hAnsi="宋体" w:eastAsia="宋体" w:cs="宋体"/>
                <w:b/>
                <w:color w:val="auto"/>
                <w:kern w:val="0"/>
                <w:sz w:val="21"/>
                <w:szCs w:val="21"/>
              </w:rPr>
              <w:t>数量</w:t>
            </w:r>
          </w:p>
        </w:tc>
        <w:tc>
          <w:tcPr>
            <w:tcW w:w="2791" w:type="dxa"/>
            <w:tcBorders>
              <w:top w:val="single" w:color="auto" w:sz="4" w:space="0"/>
              <w:left w:val="single" w:color="auto" w:sz="4" w:space="0"/>
              <w:bottom w:val="single" w:color="auto" w:sz="4" w:space="0"/>
              <w:right w:val="single" w:color="auto" w:sz="4" w:space="0"/>
            </w:tcBorders>
            <w:vAlign w:val="center"/>
          </w:tcPr>
          <w:p w14:paraId="05F204FD">
            <w:pPr>
              <w:spacing w:line="240" w:lineRule="auto"/>
              <w:ind w:firstLine="422"/>
              <w:jc w:val="center"/>
              <w:rPr>
                <w:rFonts w:hint="eastAsia" w:ascii="宋体" w:hAnsi="宋体" w:eastAsia="宋体" w:cs="宋体"/>
                <w:color w:val="auto"/>
                <w:szCs w:val="21"/>
              </w:rPr>
            </w:pPr>
            <w:r>
              <w:rPr>
                <w:rFonts w:hint="eastAsia" w:ascii="宋体" w:hAnsi="宋体" w:eastAsia="宋体" w:cs="宋体"/>
                <w:b/>
                <w:color w:val="auto"/>
                <w:kern w:val="0"/>
                <w:szCs w:val="21"/>
              </w:rPr>
              <w:t>金额(元)</w:t>
            </w:r>
          </w:p>
        </w:tc>
      </w:tr>
      <w:tr w14:paraId="356D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529AE216">
            <w:pPr>
              <w:pStyle w:val="128"/>
              <w:adjustRightInd/>
              <w:spacing w:line="240" w:lineRule="auto"/>
              <w:ind w:firstLine="0" w:firstLineChars="0"/>
              <w:jc w:val="center"/>
              <w:textAlignment w:val="auto"/>
              <w:rPr>
                <w:rFonts w:hint="eastAsia" w:hAnsi="宋体" w:eastAsia="宋体" w:cs="宋体"/>
                <w:color w:val="auto"/>
                <w:sz w:val="21"/>
                <w:szCs w:val="21"/>
              </w:rPr>
            </w:pPr>
            <w:r>
              <w:rPr>
                <w:rFonts w:hint="eastAsia" w:hAnsi="宋体" w:eastAsia="宋体" w:cs="宋体"/>
                <w:color w:val="auto"/>
                <w:sz w:val="21"/>
                <w:szCs w:val="21"/>
              </w:rPr>
              <w:t>1</w:t>
            </w:r>
          </w:p>
        </w:tc>
        <w:tc>
          <w:tcPr>
            <w:tcW w:w="3700" w:type="dxa"/>
            <w:tcBorders>
              <w:top w:val="single" w:color="auto" w:sz="4" w:space="0"/>
              <w:left w:val="single" w:color="auto" w:sz="4" w:space="0"/>
              <w:bottom w:val="single" w:color="auto" w:sz="4" w:space="0"/>
              <w:right w:val="single" w:color="auto" w:sz="4" w:space="0"/>
            </w:tcBorders>
            <w:vAlign w:val="center"/>
          </w:tcPr>
          <w:p w14:paraId="1AE045FA">
            <w:pPr>
              <w:pStyle w:val="128"/>
              <w:adjustRightInd/>
              <w:spacing w:line="240" w:lineRule="auto"/>
              <w:ind w:firstLine="0" w:firstLineChars="0"/>
              <w:jc w:val="center"/>
              <w:textAlignment w:val="auto"/>
              <w:rPr>
                <w:rFonts w:hint="eastAsia" w:hAnsi="宋体" w:eastAsia="宋体" w:cs="宋体"/>
                <w:color w:val="auto"/>
                <w:sz w:val="21"/>
                <w:szCs w:val="21"/>
              </w:rPr>
            </w:pPr>
            <w:r>
              <w:rPr>
                <w:rFonts w:hint="eastAsia" w:hAnsi="宋体" w:eastAsia="宋体" w:cs="宋体"/>
                <w:bCs/>
                <w:color w:val="auto"/>
                <w:sz w:val="21"/>
                <w:szCs w:val="21"/>
              </w:rPr>
              <w:t>局端账户</w:t>
            </w:r>
          </w:p>
        </w:tc>
        <w:tc>
          <w:tcPr>
            <w:tcW w:w="1275" w:type="dxa"/>
            <w:tcBorders>
              <w:top w:val="single" w:color="auto" w:sz="4" w:space="0"/>
              <w:left w:val="single" w:color="auto" w:sz="4" w:space="0"/>
              <w:bottom w:val="single" w:color="auto" w:sz="4" w:space="0"/>
              <w:right w:val="single" w:color="auto" w:sz="4" w:space="0"/>
            </w:tcBorders>
            <w:vAlign w:val="center"/>
          </w:tcPr>
          <w:p w14:paraId="28E95573">
            <w:pPr>
              <w:pStyle w:val="128"/>
              <w:adjustRightInd/>
              <w:spacing w:line="240" w:lineRule="auto"/>
              <w:ind w:firstLine="0" w:firstLineChars="0"/>
              <w:jc w:val="center"/>
              <w:textAlignment w:val="auto"/>
              <w:rPr>
                <w:rFonts w:hint="eastAsia" w:hAnsi="宋体" w:eastAsia="宋体" w:cs="宋体"/>
                <w:bCs/>
                <w:color w:val="auto"/>
                <w:sz w:val="21"/>
                <w:szCs w:val="21"/>
              </w:rPr>
            </w:pPr>
            <w:r>
              <w:rPr>
                <w:rFonts w:hint="eastAsia" w:hAnsi="宋体" w:eastAsia="宋体" w:cs="宋体"/>
                <w:bCs/>
                <w:color w:val="auto"/>
                <w:sz w:val="21"/>
                <w:szCs w:val="21"/>
              </w:rPr>
              <w:t>1项</w:t>
            </w:r>
          </w:p>
        </w:tc>
        <w:tc>
          <w:tcPr>
            <w:tcW w:w="2791" w:type="dxa"/>
            <w:tcBorders>
              <w:top w:val="single" w:color="auto" w:sz="4" w:space="0"/>
              <w:left w:val="single" w:color="auto" w:sz="4" w:space="0"/>
              <w:bottom w:val="single" w:color="auto" w:sz="4" w:space="0"/>
              <w:right w:val="single" w:color="auto" w:sz="4" w:space="0"/>
            </w:tcBorders>
            <w:vAlign w:val="center"/>
          </w:tcPr>
          <w:p w14:paraId="1A7FD726">
            <w:pPr>
              <w:spacing w:line="240" w:lineRule="auto"/>
              <w:ind w:firstLine="420"/>
              <w:jc w:val="center"/>
              <w:rPr>
                <w:rFonts w:hint="eastAsia" w:ascii="宋体" w:hAnsi="宋体" w:eastAsia="宋体" w:cs="宋体"/>
                <w:color w:val="auto"/>
                <w:szCs w:val="21"/>
              </w:rPr>
            </w:pPr>
          </w:p>
        </w:tc>
      </w:tr>
      <w:tr w14:paraId="54BD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47BC1ADA">
            <w:pPr>
              <w:pStyle w:val="128"/>
              <w:adjustRightInd/>
              <w:spacing w:line="240" w:lineRule="auto"/>
              <w:ind w:firstLine="0" w:firstLineChars="0"/>
              <w:jc w:val="center"/>
              <w:textAlignment w:val="auto"/>
              <w:rPr>
                <w:rFonts w:hint="eastAsia" w:hAnsi="宋体" w:eastAsia="宋体" w:cs="宋体"/>
                <w:color w:val="auto"/>
                <w:sz w:val="21"/>
                <w:szCs w:val="21"/>
              </w:rPr>
            </w:pPr>
            <w:r>
              <w:rPr>
                <w:rFonts w:hint="eastAsia" w:hAnsi="宋体" w:eastAsia="宋体" w:cs="宋体"/>
                <w:color w:val="auto"/>
                <w:sz w:val="21"/>
                <w:szCs w:val="21"/>
              </w:rPr>
              <w:t>2</w:t>
            </w:r>
          </w:p>
        </w:tc>
        <w:tc>
          <w:tcPr>
            <w:tcW w:w="3700" w:type="dxa"/>
            <w:tcBorders>
              <w:top w:val="single" w:color="auto" w:sz="4" w:space="0"/>
              <w:left w:val="single" w:color="auto" w:sz="4" w:space="0"/>
              <w:bottom w:val="single" w:color="auto" w:sz="4" w:space="0"/>
              <w:right w:val="single" w:color="auto" w:sz="4" w:space="0"/>
            </w:tcBorders>
            <w:vAlign w:val="center"/>
          </w:tcPr>
          <w:p w14:paraId="165EE787">
            <w:pPr>
              <w:pStyle w:val="128"/>
              <w:adjustRightInd/>
              <w:spacing w:line="240" w:lineRule="auto"/>
              <w:ind w:firstLine="0" w:firstLineChars="0"/>
              <w:jc w:val="center"/>
              <w:textAlignment w:val="auto"/>
              <w:rPr>
                <w:rFonts w:hint="eastAsia" w:hAnsi="宋体" w:eastAsia="宋体" w:cs="宋体"/>
                <w:color w:val="auto"/>
                <w:sz w:val="21"/>
                <w:szCs w:val="21"/>
              </w:rPr>
            </w:pPr>
            <w:r>
              <w:rPr>
                <w:rFonts w:hint="eastAsia" w:hAnsi="宋体" w:eastAsia="宋体" w:cs="宋体"/>
                <w:color w:val="auto"/>
                <w:sz w:val="21"/>
                <w:szCs w:val="21"/>
              </w:rPr>
              <w:t>所端账户</w:t>
            </w:r>
          </w:p>
        </w:tc>
        <w:tc>
          <w:tcPr>
            <w:tcW w:w="1275" w:type="dxa"/>
            <w:tcBorders>
              <w:top w:val="single" w:color="auto" w:sz="4" w:space="0"/>
              <w:left w:val="single" w:color="auto" w:sz="4" w:space="0"/>
              <w:bottom w:val="single" w:color="auto" w:sz="4" w:space="0"/>
              <w:right w:val="single" w:color="auto" w:sz="4" w:space="0"/>
            </w:tcBorders>
            <w:vAlign w:val="center"/>
          </w:tcPr>
          <w:p w14:paraId="51E4E0B6">
            <w:pPr>
              <w:pStyle w:val="128"/>
              <w:adjustRightInd/>
              <w:spacing w:line="240" w:lineRule="auto"/>
              <w:ind w:firstLine="0" w:firstLineChars="0"/>
              <w:jc w:val="center"/>
              <w:textAlignment w:val="auto"/>
              <w:rPr>
                <w:rFonts w:hint="eastAsia" w:hAnsi="宋体" w:eastAsia="宋体" w:cs="宋体"/>
                <w:color w:val="auto"/>
                <w:sz w:val="21"/>
                <w:szCs w:val="21"/>
              </w:rPr>
            </w:pPr>
            <w:r>
              <w:rPr>
                <w:rFonts w:hint="eastAsia" w:hAnsi="宋体" w:eastAsia="宋体" w:cs="宋体"/>
                <w:color w:val="auto"/>
                <w:sz w:val="21"/>
                <w:szCs w:val="21"/>
              </w:rPr>
              <w:t>11</w:t>
            </w:r>
            <w:r>
              <w:rPr>
                <w:rFonts w:hint="eastAsia" w:hAnsi="宋体" w:eastAsia="宋体" w:cs="宋体"/>
                <w:bCs/>
                <w:color w:val="auto"/>
                <w:sz w:val="21"/>
                <w:szCs w:val="21"/>
              </w:rPr>
              <w:t>项</w:t>
            </w:r>
          </w:p>
        </w:tc>
        <w:tc>
          <w:tcPr>
            <w:tcW w:w="2791" w:type="dxa"/>
            <w:tcBorders>
              <w:top w:val="single" w:color="auto" w:sz="4" w:space="0"/>
              <w:left w:val="single" w:color="auto" w:sz="4" w:space="0"/>
              <w:bottom w:val="single" w:color="auto" w:sz="4" w:space="0"/>
              <w:right w:val="single" w:color="auto" w:sz="4" w:space="0"/>
            </w:tcBorders>
            <w:vAlign w:val="center"/>
          </w:tcPr>
          <w:p w14:paraId="548D8892">
            <w:pPr>
              <w:pStyle w:val="128"/>
              <w:adjustRightInd/>
              <w:spacing w:line="240" w:lineRule="auto"/>
              <w:ind w:firstLine="420"/>
              <w:jc w:val="center"/>
              <w:textAlignment w:val="auto"/>
              <w:rPr>
                <w:rFonts w:hint="eastAsia" w:hAnsi="宋体" w:eastAsia="宋体" w:cs="宋体"/>
                <w:color w:val="auto"/>
                <w:sz w:val="21"/>
                <w:szCs w:val="21"/>
              </w:rPr>
            </w:pPr>
          </w:p>
        </w:tc>
      </w:tr>
      <w:tr w14:paraId="01B6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777" w:type="dxa"/>
            <w:gridSpan w:val="3"/>
            <w:tcBorders>
              <w:top w:val="single" w:color="auto" w:sz="4" w:space="0"/>
              <w:left w:val="single" w:color="auto" w:sz="4" w:space="0"/>
              <w:bottom w:val="single" w:color="auto" w:sz="4" w:space="0"/>
              <w:right w:val="single" w:color="auto" w:sz="4" w:space="0"/>
            </w:tcBorders>
            <w:vAlign w:val="center"/>
          </w:tcPr>
          <w:p w14:paraId="7AD276A9">
            <w:pPr>
              <w:pStyle w:val="128"/>
              <w:adjustRightInd/>
              <w:spacing w:line="240" w:lineRule="auto"/>
              <w:ind w:firstLine="420"/>
              <w:jc w:val="center"/>
              <w:textAlignment w:val="auto"/>
              <w:rPr>
                <w:rFonts w:hint="eastAsia" w:hAnsi="宋体" w:eastAsia="宋体" w:cs="宋体"/>
                <w:color w:val="auto"/>
                <w:sz w:val="21"/>
                <w:szCs w:val="21"/>
              </w:rPr>
            </w:pPr>
            <w:r>
              <w:rPr>
                <w:rFonts w:hint="eastAsia" w:hAnsi="宋体" w:eastAsia="宋体" w:cs="宋体"/>
                <w:color w:val="auto"/>
                <w:sz w:val="21"/>
                <w:szCs w:val="21"/>
              </w:rPr>
              <w:t>总价</w:t>
            </w:r>
          </w:p>
        </w:tc>
        <w:tc>
          <w:tcPr>
            <w:tcW w:w="2791" w:type="dxa"/>
            <w:tcBorders>
              <w:top w:val="single" w:color="auto" w:sz="4" w:space="0"/>
              <w:left w:val="single" w:color="auto" w:sz="4" w:space="0"/>
              <w:bottom w:val="single" w:color="auto" w:sz="4" w:space="0"/>
              <w:right w:val="single" w:color="auto" w:sz="4" w:space="0"/>
            </w:tcBorders>
            <w:vAlign w:val="center"/>
          </w:tcPr>
          <w:p w14:paraId="771F2AB3">
            <w:pPr>
              <w:pStyle w:val="128"/>
              <w:adjustRightInd/>
              <w:spacing w:line="240" w:lineRule="auto"/>
              <w:ind w:firstLine="420"/>
              <w:jc w:val="center"/>
              <w:textAlignment w:val="auto"/>
              <w:rPr>
                <w:rFonts w:hint="eastAsia" w:hAnsi="宋体" w:eastAsia="宋体" w:cs="宋体"/>
                <w:color w:val="auto"/>
                <w:sz w:val="21"/>
                <w:szCs w:val="21"/>
              </w:rPr>
            </w:pPr>
          </w:p>
        </w:tc>
      </w:tr>
    </w:tbl>
    <w:p w14:paraId="41CC45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第三条 合同价款及付款方式</w:t>
      </w:r>
    </w:p>
    <w:p w14:paraId="54803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1、本合同项下总价款为（大写）人民币</w:t>
      </w:r>
      <w:r>
        <w:rPr>
          <w:rFonts w:hint="eastAsia" w:ascii="宋体" w:hAnsi="宋体"/>
          <w:color w:val="auto"/>
          <w:kern w:val="0"/>
          <w:u w:val="single"/>
        </w:rPr>
        <w:t xml:space="preserve">         </w:t>
      </w:r>
      <w:r>
        <w:rPr>
          <w:rFonts w:hint="eastAsia" w:ascii="宋体" w:hAnsi="宋体"/>
          <w:color w:val="auto"/>
          <w:kern w:val="0"/>
        </w:rPr>
        <w:t>，分项价款在“合同标的”中明确。</w:t>
      </w:r>
    </w:p>
    <w:p w14:paraId="5525C6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2、本合同总价款包括安装、调试、检测、售后服务、税费等全部费用。</w:t>
      </w:r>
    </w:p>
    <w:p w14:paraId="2546D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3、本合同付款方式为以下第</w:t>
      </w:r>
      <w:r>
        <w:rPr>
          <w:rFonts w:hint="eastAsia" w:ascii="宋体" w:hAnsi="宋体"/>
          <w:color w:val="auto"/>
          <w:kern w:val="0"/>
          <w:u w:val="single"/>
        </w:rPr>
        <w:t xml:space="preserve">        </w:t>
      </w:r>
      <w:r>
        <w:rPr>
          <w:rFonts w:hint="eastAsia" w:ascii="宋体" w:hAnsi="宋体"/>
          <w:color w:val="auto"/>
          <w:kern w:val="0"/>
        </w:rPr>
        <w:t>项：</w:t>
      </w:r>
    </w:p>
    <w:p w14:paraId="28AB38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（1）本合同项下的采购资金系甲方自行支付，付款程序为</w:t>
      </w:r>
      <w:r>
        <w:rPr>
          <w:rFonts w:hint="eastAsia" w:ascii="宋体" w:hAnsi="宋体"/>
          <w:color w:val="auto"/>
          <w:kern w:val="0"/>
          <w:u w:val="single"/>
        </w:rPr>
        <w:t xml:space="preserve">        </w:t>
      </w:r>
      <w:r>
        <w:rPr>
          <w:rFonts w:hint="eastAsia" w:ascii="宋体" w:hAnsi="宋体"/>
          <w:color w:val="auto"/>
          <w:kern w:val="0"/>
        </w:rPr>
        <w:t>；</w:t>
      </w:r>
    </w:p>
    <w:p w14:paraId="4BAA82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（2）本合同项下的采购资金须财政直接支付，付款程序为</w:t>
      </w:r>
      <w:r>
        <w:rPr>
          <w:rFonts w:hint="eastAsia" w:ascii="宋体" w:hAnsi="宋体"/>
          <w:color w:val="auto"/>
          <w:kern w:val="0"/>
          <w:u w:val="single"/>
        </w:rPr>
        <w:t xml:space="preserve">        </w:t>
      </w:r>
      <w:r>
        <w:rPr>
          <w:rFonts w:hint="eastAsia" w:ascii="宋体" w:hAnsi="宋体"/>
          <w:color w:val="auto"/>
          <w:kern w:val="0"/>
        </w:rPr>
        <w:t>；</w:t>
      </w:r>
    </w:p>
    <w:p w14:paraId="67572B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（3）其他方式：</w:t>
      </w:r>
    </w:p>
    <w:p w14:paraId="1630B7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4、本合同项下的采购资金付款进度按招投标文件规定，未规定时按以下第_________项支付：</w:t>
      </w:r>
    </w:p>
    <w:p w14:paraId="660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（1）一次性付款：乙方合同履行达到_________（条件）时，一次性付款；</w:t>
      </w:r>
    </w:p>
    <w:p w14:paraId="762F1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（2）分期付款：_________时支付_________；_________时支付_________；_________时支付_________。</w:t>
      </w:r>
    </w:p>
    <w:p w14:paraId="074B37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第四条 履约保证金</w:t>
      </w:r>
    </w:p>
    <w:p w14:paraId="6B9D5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本项目不设置履约保证金。</w:t>
      </w:r>
    </w:p>
    <w:p w14:paraId="0DCD65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第五条 质量保证及售后服务</w:t>
      </w:r>
    </w:p>
    <w:p w14:paraId="1BBE7060">
      <w:pPr>
        <w:autoSpaceDE w:val="0"/>
        <w:autoSpaceDN w:val="0"/>
        <w:adjustRightInd w:val="0"/>
        <w:ind w:firstLine="420"/>
        <w:rPr>
          <w:rFonts w:hint="eastAsia" w:ascii="微软雅黑" w:hAnsi="微软雅黑" w:cs="微软雅黑"/>
          <w:color w:val="auto"/>
        </w:rPr>
      </w:pPr>
      <w:r>
        <w:rPr>
          <w:rFonts w:hint="eastAsia" w:ascii="微软雅黑" w:hAnsi="微软雅黑" w:cs="微软雅黑"/>
          <w:color w:val="auto"/>
        </w:rPr>
        <w:t>1、乙方应按</w:t>
      </w:r>
      <w:r>
        <w:rPr>
          <w:rFonts w:hint="eastAsia" w:ascii="微软雅黑" w:hAnsi="微软雅黑" w:cs="微软雅黑"/>
          <w:color w:val="auto"/>
          <w:kern w:val="0"/>
        </w:rPr>
        <w:t>招标</w:t>
      </w:r>
      <w:r>
        <w:rPr>
          <w:rFonts w:hint="eastAsia" w:ascii="微软雅黑" w:hAnsi="微软雅黑" w:cs="微软雅黑"/>
          <w:color w:val="auto"/>
        </w:rPr>
        <w:t>文件规定的服务内容及需求、服务要求、质量标准向甲方提供对应服务。乙方保证所提供的服务的不会侵犯任何第三方的知识产权。</w:t>
      </w:r>
    </w:p>
    <w:p w14:paraId="73E9E0A6">
      <w:pPr>
        <w:autoSpaceDE w:val="0"/>
        <w:autoSpaceDN w:val="0"/>
        <w:adjustRightInd w:val="0"/>
        <w:ind w:firstLine="420"/>
        <w:rPr>
          <w:rFonts w:hint="eastAsia" w:ascii="微软雅黑" w:hAnsi="微软雅黑" w:cs="微软雅黑"/>
          <w:color w:val="auto"/>
        </w:rPr>
      </w:pPr>
      <w:r>
        <w:rPr>
          <w:rFonts w:hint="eastAsia" w:ascii="微软雅黑" w:hAnsi="微软雅黑" w:cs="微软雅黑"/>
          <w:color w:val="auto"/>
        </w:rPr>
        <w:t>2、服务期限：服务期限为24个月（自正式账户开通且通过验收之日起算）。</w:t>
      </w:r>
    </w:p>
    <w:p w14:paraId="6E5C2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cs="微软雅黑"/>
          <w:color w:val="auto"/>
        </w:rPr>
      </w:pPr>
      <w:r>
        <w:rPr>
          <w:rFonts w:hint="eastAsia" w:ascii="微软雅黑" w:hAnsi="微软雅黑" w:cs="微软雅黑"/>
          <w:color w:val="auto"/>
        </w:rPr>
        <w:t>3、乙方提供在线技术支持、电话咨询、现场培训及技术升级等方案多种售后服务方案。</w:t>
      </w:r>
    </w:p>
    <w:p w14:paraId="6182EB3C">
      <w:pPr>
        <w:widowControl/>
        <w:ind w:firstLine="420"/>
        <w:rPr>
          <w:rFonts w:hint="eastAsia" w:ascii="微软雅黑" w:hAnsi="微软雅黑" w:cs="微软雅黑"/>
          <w:color w:val="auto"/>
          <w:kern w:val="0"/>
          <w:szCs w:val="21"/>
        </w:rPr>
      </w:pPr>
      <w:r>
        <w:rPr>
          <w:rFonts w:hint="eastAsia" w:ascii="微软雅黑" w:hAnsi="微软雅黑" w:cs="微软雅黑"/>
          <w:color w:val="auto"/>
          <w:kern w:val="0"/>
          <w:szCs w:val="21"/>
        </w:rPr>
        <w:t>4、技术升级：系统平台会不定期进行升级，服务人员会在48小时内通知用户，并给出详细升级说明，服务期内免费升级。</w:t>
      </w:r>
    </w:p>
    <w:p w14:paraId="76874279">
      <w:pPr>
        <w:autoSpaceDE w:val="0"/>
        <w:autoSpaceDN w:val="0"/>
        <w:adjustRightInd w:val="0"/>
        <w:ind w:firstLine="420"/>
        <w:rPr>
          <w:rFonts w:hint="eastAsia" w:ascii="宋体" w:hAnsi="宋体"/>
          <w:color w:val="auto"/>
        </w:rPr>
      </w:pPr>
      <w:r>
        <w:rPr>
          <w:rFonts w:hint="eastAsia" w:ascii="微软雅黑" w:hAnsi="微软雅黑" w:cs="微软雅黑"/>
          <w:color w:val="auto"/>
          <w:kern w:val="0"/>
          <w:szCs w:val="21"/>
        </w:rPr>
        <w:t>5</w:t>
      </w:r>
      <w:r>
        <w:rPr>
          <w:rFonts w:hint="eastAsia" w:ascii="宋体" w:hAnsi="宋体"/>
          <w:color w:val="auto"/>
        </w:rPr>
        <w:t>、乙方提供的服务在质保期内因本身的质量问题发生故障，乙方应负责免费更换。对达不到技术要求者，根据实际情况，经双方协商，可按以下办法处理：</w:t>
      </w:r>
    </w:p>
    <w:p w14:paraId="3E0E0874">
      <w:pPr>
        <w:autoSpaceDE w:val="0"/>
        <w:autoSpaceDN w:val="0"/>
        <w:adjustRightInd w:val="0"/>
        <w:ind w:firstLine="420"/>
        <w:rPr>
          <w:rFonts w:hint="eastAsia" w:ascii="宋体" w:hAnsi="宋体"/>
          <w:color w:val="auto"/>
        </w:rPr>
      </w:pPr>
      <w:r>
        <w:rPr>
          <w:rFonts w:hint="eastAsia" w:ascii="宋体" w:hAnsi="宋体"/>
          <w:color w:val="auto"/>
        </w:rPr>
        <w:t>⑴更换：由乙方承担所发生的全部费用。</w:t>
      </w:r>
    </w:p>
    <w:p w14:paraId="3B672494">
      <w:pPr>
        <w:autoSpaceDE w:val="0"/>
        <w:autoSpaceDN w:val="0"/>
        <w:adjustRightInd w:val="0"/>
        <w:ind w:firstLine="420"/>
        <w:rPr>
          <w:rFonts w:hint="eastAsia" w:ascii="宋体" w:hAnsi="宋体"/>
          <w:color w:val="auto"/>
        </w:rPr>
      </w:pPr>
      <w:r>
        <w:rPr>
          <w:rFonts w:hint="eastAsia" w:ascii="宋体" w:hAnsi="宋体"/>
          <w:color w:val="auto"/>
        </w:rPr>
        <w:t>⑵贬值处理：由甲乙双方合议定价。</w:t>
      </w:r>
    </w:p>
    <w:p w14:paraId="7EF324D1">
      <w:pPr>
        <w:autoSpaceDE w:val="0"/>
        <w:autoSpaceDN w:val="0"/>
        <w:adjustRightInd w:val="0"/>
        <w:ind w:firstLine="420"/>
        <w:rPr>
          <w:rFonts w:hint="eastAsia" w:ascii="宋体" w:hAnsi="宋体"/>
          <w:color w:val="auto"/>
        </w:rPr>
      </w:pPr>
      <w:r>
        <w:rPr>
          <w:rFonts w:hint="eastAsia" w:ascii="宋体" w:hAnsi="宋体"/>
          <w:color w:val="auto"/>
        </w:rPr>
        <w:t>⑶退货处理：乙方应退还甲方支付的合同款，同时应承担该服务的直接费用（运输、保险、检验、货款利息及银行手续费等）。</w:t>
      </w:r>
    </w:p>
    <w:p w14:paraId="50D86B13">
      <w:pPr>
        <w:autoSpaceDE w:val="0"/>
        <w:autoSpaceDN w:val="0"/>
        <w:adjustRightInd w:val="0"/>
        <w:ind w:firstLine="420"/>
        <w:rPr>
          <w:rFonts w:hint="eastAsia" w:ascii="宋体" w:hAnsi="宋体"/>
          <w:color w:val="auto"/>
        </w:rPr>
      </w:pPr>
      <w:r>
        <w:rPr>
          <w:rFonts w:hint="eastAsia" w:ascii="宋体" w:hAnsi="宋体"/>
          <w:color w:val="auto"/>
        </w:rPr>
        <w:t>6、使用过程中发生质量问题，乙方在接到甲方通知后</w:t>
      </w:r>
      <w:r>
        <w:rPr>
          <w:rFonts w:hint="eastAsia" w:ascii="宋体" w:hAnsi="宋体"/>
          <w:color w:val="auto"/>
          <w:kern w:val="0"/>
          <w:u w:val="single"/>
        </w:rPr>
        <w:t xml:space="preserve">    </w:t>
      </w:r>
      <w:r>
        <w:rPr>
          <w:rFonts w:hint="eastAsia" w:ascii="宋体" w:hAnsi="宋体"/>
          <w:color w:val="auto"/>
        </w:rPr>
        <w:t>小时内到达甲方现场。</w:t>
      </w:r>
    </w:p>
    <w:p w14:paraId="19908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color w:val="auto"/>
        </w:rPr>
        <w:t>7、质保期</w:t>
      </w:r>
      <w:r>
        <w:rPr>
          <w:rFonts w:hint="eastAsia" w:ascii="宋体" w:hAnsi="宋体"/>
          <w:color w:val="auto"/>
          <w:u w:val="single"/>
        </w:rPr>
        <w:t xml:space="preserve">      </w:t>
      </w:r>
      <w:r>
        <w:rPr>
          <w:rFonts w:hint="eastAsia" w:ascii="宋体" w:hAnsi="宋体"/>
          <w:color w:val="auto"/>
        </w:rPr>
        <w:t>年。质保期内，乙方对服务出现的质量及安全问题负责处理解决并承担一切费用。</w:t>
      </w:r>
    </w:p>
    <w:p w14:paraId="58EC4670">
      <w:pPr>
        <w:pStyle w:val="2"/>
        <w:ind w:firstLine="420"/>
        <w:rPr>
          <w:rFonts w:hint="eastAsia"/>
          <w:color w:val="auto"/>
        </w:rPr>
      </w:pPr>
    </w:p>
    <w:p w14:paraId="7B5719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第六条 交货（服务期）</w:t>
      </w:r>
    </w:p>
    <w:p w14:paraId="577ACD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1、交货期</w:t>
      </w:r>
      <w:r>
        <w:rPr>
          <w:rFonts w:hint="eastAsia" w:ascii="宋体" w:hAnsi="宋体"/>
          <w:b/>
          <w:color w:val="auto"/>
          <w:kern w:val="0"/>
        </w:rPr>
        <w:t>（服务期）</w:t>
      </w:r>
      <w:r>
        <w:rPr>
          <w:rFonts w:hint="eastAsia" w:ascii="宋体" w:hAnsi="宋体"/>
          <w:color w:val="auto"/>
          <w:kern w:val="0"/>
        </w:rPr>
        <w:t>：</w:t>
      </w:r>
      <w:r>
        <w:rPr>
          <w:rFonts w:hint="eastAsia" w:ascii="宋体" w:hAnsi="宋体"/>
          <w:color w:val="auto"/>
          <w:kern w:val="0"/>
          <w:u w:val="single"/>
        </w:rPr>
        <w:t xml:space="preserve">        </w:t>
      </w:r>
      <w:r>
        <w:rPr>
          <w:rFonts w:hint="eastAsia" w:ascii="宋体" w:hAnsi="宋体"/>
          <w:color w:val="auto"/>
          <w:kern w:val="0"/>
        </w:rPr>
        <w:t>年</w:t>
      </w:r>
      <w:r>
        <w:rPr>
          <w:rFonts w:hint="eastAsia" w:ascii="宋体" w:hAnsi="宋体"/>
          <w:color w:val="auto"/>
          <w:kern w:val="0"/>
          <w:u w:val="single"/>
        </w:rPr>
        <w:t xml:space="preserve">     </w:t>
      </w:r>
      <w:r>
        <w:rPr>
          <w:rFonts w:hint="eastAsia" w:ascii="宋体" w:hAnsi="宋体"/>
          <w:color w:val="auto"/>
          <w:kern w:val="0"/>
        </w:rPr>
        <w:t>月</w:t>
      </w:r>
      <w:r>
        <w:rPr>
          <w:rFonts w:hint="eastAsia" w:ascii="宋体" w:hAnsi="宋体"/>
          <w:color w:val="auto"/>
          <w:kern w:val="0"/>
          <w:u w:val="single"/>
        </w:rPr>
        <w:t xml:space="preserve">     </w:t>
      </w:r>
      <w:r>
        <w:rPr>
          <w:rFonts w:hint="eastAsia" w:ascii="宋体" w:hAnsi="宋体"/>
          <w:color w:val="auto"/>
          <w:kern w:val="0"/>
        </w:rPr>
        <w:t>日前交货；</w:t>
      </w:r>
    </w:p>
    <w:p w14:paraId="1D1ED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2、交货（服务）地点：</w:t>
      </w:r>
      <w:r>
        <w:rPr>
          <w:rFonts w:hint="eastAsia" w:ascii="宋体" w:hAnsi="宋体"/>
          <w:color w:val="auto"/>
          <w:kern w:val="0"/>
          <w:u w:val="single"/>
        </w:rPr>
        <w:t xml:space="preserve">                                    </w:t>
      </w:r>
    </w:p>
    <w:p w14:paraId="42DA5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3、安装、调试事宜：</w:t>
      </w:r>
      <w:r>
        <w:rPr>
          <w:rFonts w:hint="eastAsia" w:ascii="宋体" w:hAnsi="宋体"/>
          <w:color w:val="auto"/>
          <w:kern w:val="0"/>
          <w:u w:val="single"/>
        </w:rPr>
        <w:t xml:space="preserve">                                                    </w:t>
      </w:r>
    </w:p>
    <w:p w14:paraId="4E60E5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第七条 调试和验收</w:t>
      </w:r>
    </w:p>
    <w:p w14:paraId="766363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1、乙方提供</w:t>
      </w:r>
      <w:r>
        <w:rPr>
          <w:rFonts w:hint="eastAsia" w:ascii="微软雅黑" w:hAnsi="微软雅黑" w:cs="微软雅黑"/>
          <w:color w:val="auto"/>
        </w:rPr>
        <w:t>正式账户</w:t>
      </w:r>
      <w:r>
        <w:rPr>
          <w:rFonts w:hint="eastAsia" w:ascii="宋体" w:hAnsi="宋体"/>
          <w:color w:val="auto"/>
          <w:kern w:val="0"/>
        </w:rPr>
        <w:t>前应对产品作出全面检查，对验收文件进行整理，并列出清单，作为甲方收货验收和使用的技术条件依据，检验的结果应随货物交甲方。</w:t>
      </w:r>
    </w:p>
    <w:p w14:paraId="5DE01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2、提供的</w:t>
      </w:r>
      <w:r>
        <w:rPr>
          <w:rFonts w:hint="eastAsia" w:ascii="微软雅黑" w:hAnsi="微软雅黑" w:cs="微软雅黑"/>
          <w:color w:val="auto"/>
        </w:rPr>
        <w:t>正式账户</w:t>
      </w:r>
      <w:r>
        <w:rPr>
          <w:rFonts w:hint="eastAsia" w:ascii="宋体" w:hAnsi="宋体"/>
          <w:color w:val="auto"/>
          <w:kern w:val="0"/>
        </w:rPr>
        <w:t>在使用前需进行调试的，乙方需负责安装并培训甲方的使用操作人员，并协助甲方一起调试，直到符合技术要求，甲方才做最终验收。</w:t>
      </w:r>
    </w:p>
    <w:p w14:paraId="78D3C6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3、甲方对乙方提交的</w:t>
      </w:r>
      <w:r>
        <w:rPr>
          <w:rFonts w:hint="eastAsia" w:ascii="微软雅黑" w:hAnsi="微软雅黑" w:cs="微软雅黑"/>
          <w:color w:val="auto"/>
        </w:rPr>
        <w:t>正式账户</w:t>
      </w:r>
      <w:r>
        <w:rPr>
          <w:rFonts w:hint="eastAsia" w:ascii="宋体" w:hAnsi="宋体"/>
          <w:color w:val="auto"/>
          <w:kern w:val="0"/>
        </w:rPr>
        <w:t>需在五个工作日内，依据招标文件上的技术规格要求和国家有关质量标准进行现场验收。对技术复杂的货物，甲方应请国家认可的专业检测机构参与初步验收及最终验收，并由其出具质量检测报告，验收费用由甲方负责。</w:t>
      </w:r>
    </w:p>
    <w:p w14:paraId="6F652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rPr>
      </w:pPr>
      <w:r>
        <w:rPr>
          <w:rFonts w:hint="eastAsia" w:ascii="宋体" w:hAnsi="宋体"/>
          <w:color w:val="auto"/>
          <w:kern w:val="0"/>
        </w:rPr>
        <w:t>4、验收完毕甲方应出具验收结果报告。</w:t>
      </w:r>
    </w:p>
    <w:p w14:paraId="16EC2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第八条 合同的变更和终止</w:t>
      </w:r>
    </w:p>
    <w:p w14:paraId="7D4ECB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除《政府采购法》第49条、第50条第二款规定的情形外，本合同一经签订，甲乙双方不得擅自终止合同或对合同实质性条款进行变更。确有特殊情况的，须经同级财政部门批准。</w:t>
      </w:r>
    </w:p>
    <w:p w14:paraId="52E40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第九条 合同的转让与分包</w:t>
      </w:r>
    </w:p>
    <w:p w14:paraId="11F65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乙方不得擅自部分或全部转让其应履行的合同义务。乙方分包的，应经过甲方书面同意。</w:t>
      </w:r>
    </w:p>
    <w:p w14:paraId="32BE0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p>
    <w:p w14:paraId="404BC4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第十条 违约责任</w:t>
      </w:r>
    </w:p>
    <w:p w14:paraId="35C1AC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1、甲方无正当理由拒绝乙方提供服务的，甲方应向乙方偿付未提供服务总值的百分之五违约金。</w:t>
      </w:r>
    </w:p>
    <w:p w14:paraId="61F318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2、甲方无故逾期验收和办理合同款项支付手续的，甲方应按逾期付款总额每日万分之五向乙方支付违约金。</w:t>
      </w:r>
    </w:p>
    <w:p w14:paraId="460DA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 xml:space="preserve">3、乙方逾期提供服务的，乙方应按逾期未提供服务总值每日万分之五向甲方支付违约金，由甲方从待付款中扣除。逾期超过约定日期10个工作日不能提供服务的，甲方可解除本合同。乙方因逾期提供服务或因其他违约行为导致甲方解除合同的，乙方应向甲方支付合同总值5%的违约金，若造成甲方损失超过违约金的，超出部分由乙方继续承担赔偿责任。 </w:t>
      </w:r>
    </w:p>
    <w:p w14:paraId="14B7B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s="宋体"/>
          <w:color w:val="auto"/>
          <w:sz w:val="22"/>
          <w:szCs w:val="22"/>
        </w:rPr>
      </w:pPr>
      <w:r>
        <w:rPr>
          <w:rFonts w:hint="eastAsia" w:ascii="宋体" w:hAnsi="宋体"/>
          <w:color w:val="auto"/>
          <w:kern w:val="0"/>
        </w:rPr>
        <w:t>4、</w:t>
      </w:r>
      <w:r>
        <w:rPr>
          <w:rFonts w:hint="eastAsia" w:ascii="宋体" w:hAnsi="宋体" w:cs="宋体"/>
          <w:color w:val="auto"/>
          <w:sz w:val="22"/>
          <w:szCs w:val="22"/>
        </w:rPr>
        <w:t>除前述约定外，任何一方未能履行本合同约定的义务，而给另一方带来损失的，违约方应当承担赔偿责任。</w:t>
      </w:r>
    </w:p>
    <w:p w14:paraId="68001A1A">
      <w:pPr>
        <w:pStyle w:val="2"/>
        <w:ind w:firstLine="420"/>
        <w:rPr>
          <w:rFonts w:hint="eastAsia"/>
          <w:color w:val="auto"/>
        </w:rPr>
      </w:pPr>
    </w:p>
    <w:p w14:paraId="66F64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第十一条 不可抗力事件处理</w:t>
      </w:r>
    </w:p>
    <w:p w14:paraId="10517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1、在合同有效期内，任何一方因不可抗力事件导致不能履行合同的，合同履行期可延长，其延长期与不可抗力影响期相同。</w:t>
      </w:r>
    </w:p>
    <w:p w14:paraId="1F97CB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2、不可抗力事件发生后，应立即通知对方，并寄送有关权威机构出具的证明。</w:t>
      </w:r>
    </w:p>
    <w:p w14:paraId="1D6E6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3、不可抗力事件延续120天以上，双方应通过友好协商，确定是否继续履行合同。</w:t>
      </w:r>
    </w:p>
    <w:p w14:paraId="2F835C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第十二条 争议的解决</w:t>
      </w:r>
    </w:p>
    <w:p w14:paraId="5D91BC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1、因履行本合同引起的或与本合同有关的争议，甲、乙双方应首先通过友好协商解决，如果协商不能解决争议，则采取以下第</w:t>
      </w:r>
      <w:r>
        <w:rPr>
          <w:rFonts w:hint="eastAsia" w:ascii="宋体" w:hAnsi="宋体"/>
          <w:color w:val="auto"/>
          <w:kern w:val="0"/>
          <w:u w:val="single"/>
        </w:rPr>
        <w:t xml:space="preserve">      </w:t>
      </w:r>
      <w:r>
        <w:rPr>
          <w:rFonts w:hint="eastAsia" w:ascii="宋体" w:hAnsi="宋体"/>
          <w:color w:val="auto"/>
          <w:kern w:val="0"/>
        </w:rPr>
        <w:t>种方式解决争议：</w:t>
      </w:r>
    </w:p>
    <w:p w14:paraId="3AFE4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（1）向甲方所在地有管辖权的人民法院提起诉讼；</w:t>
      </w:r>
    </w:p>
    <w:p w14:paraId="488F0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r>
        <w:rPr>
          <w:rFonts w:hint="eastAsia" w:ascii="宋体" w:hAnsi="宋体"/>
          <w:color w:val="auto"/>
          <w:kern w:val="0"/>
        </w:rPr>
        <w:t>（2）向</w:t>
      </w:r>
      <w:r>
        <w:rPr>
          <w:rFonts w:hint="eastAsia" w:ascii="宋体" w:hAnsi="宋体"/>
          <w:color w:val="auto"/>
          <w:kern w:val="0"/>
          <w:u w:val="single"/>
        </w:rPr>
        <w:t xml:space="preserve">      </w:t>
      </w:r>
      <w:r>
        <w:rPr>
          <w:rFonts w:hint="eastAsia" w:ascii="宋体" w:hAnsi="宋体"/>
          <w:color w:val="auto"/>
          <w:kern w:val="0"/>
        </w:rPr>
        <w:t>仲裁委员申请仲裁。</w:t>
      </w:r>
    </w:p>
    <w:p w14:paraId="331F6E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color w:val="auto"/>
          <w:kern w:val="0"/>
        </w:rPr>
      </w:pPr>
    </w:p>
    <w:p w14:paraId="57CDA7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宋体" w:hAnsi="宋体"/>
          <w:b/>
          <w:color w:val="auto"/>
          <w:kern w:val="0"/>
        </w:rPr>
      </w:pPr>
      <w:r>
        <w:rPr>
          <w:rFonts w:hint="eastAsia" w:ascii="宋体" w:hAnsi="宋体"/>
          <w:b/>
          <w:color w:val="auto"/>
          <w:kern w:val="0"/>
        </w:rPr>
        <w:t>第十三条 合同公告、合同生效及备案</w:t>
      </w:r>
    </w:p>
    <w:p w14:paraId="07ABAE28">
      <w:pPr>
        <w:ind w:firstLine="420"/>
        <w:rPr>
          <w:rFonts w:hint="eastAsia" w:ascii="宋体" w:hAnsi="宋体"/>
          <w:color w:val="auto"/>
          <w:kern w:val="0"/>
        </w:rPr>
      </w:pPr>
      <w:r>
        <w:rPr>
          <w:rFonts w:hint="eastAsia" w:ascii="宋体" w:hAnsi="宋体"/>
          <w:color w:val="auto"/>
          <w:kern w:val="0"/>
        </w:rPr>
        <w:t>1、合同公告：本项目政府采购合同将于签订之日起2个工作日内发布于浙江政府采购网，但政府采购合同中涉及国家秘密、商业秘密的内容除外。</w:t>
      </w:r>
    </w:p>
    <w:p w14:paraId="6044F4F8">
      <w:pPr>
        <w:ind w:firstLine="420"/>
        <w:rPr>
          <w:rFonts w:hint="eastAsia" w:ascii="宋体" w:hAnsi="宋体"/>
          <w:color w:val="auto"/>
          <w:kern w:val="0"/>
        </w:rPr>
      </w:pPr>
      <w:r>
        <w:rPr>
          <w:rFonts w:hint="eastAsia" w:ascii="宋体" w:hAnsi="宋体"/>
          <w:color w:val="auto"/>
          <w:kern w:val="0"/>
        </w:rPr>
        <w:t>2、合同经双方法定代表人或被授权人签字并加盖单位公章后生效。</w:t>
      </w:r>
    </w:p>
    <w:p w14:paraId="5076B006">
      <w:pPr>
        <w:ind w:firstLine="420"/>
        <w:rPr>
          <w:rFonts w:hint="eastAsia" w:ascii="宋体" w:hAnsi="宋体"/>
          <w:color w:val="auto"/>
          <w:kern w:val="0"/>
        </w:rPr>
      </w:pPr>
      <w:r>
        <w:rPr>
          <w:rFonts w:hint="eastAsia" w:ascii="宋体" w:hAnsi="宋体"/>
          <w:color w:val="auto"/>
          <w:kern w:val="0"/>
        </w:rPr>
        <w:t>3、合同执行中涉及采购资金和采购内容修改或补充的，须经财政部门审批，并签书面补充协议报政府部门备案，方可作为主合同不可分割的一部分。</w:t>
      </w:r>
    </w:p>
    <w:p w14:paraId="744BBF87">
      <w:pPr>
        <w:ind w:firstLine="420"/>
        <w:rPr>
          <w:rFonts w:hint="eastAsia" w:ascii="宋体" w:hAnsi="宋体"/>
          <w:color w:val="auto"/>
          <w:kern w:val="0"/>
        </w:rPr>
      </w:pPr>
      <w:r>
        <w:rPr>
          <w:rFonts w:hint="eastAsia" w:ascii="宋体" w:hAnsi="宋体"/>
          <w:color w:val="auto"/>
          <w:kern w:val="0"/>
        </w:rPr>
        <w:t>4、本合同未尽事宜，遵照《民法典》有关条文执行。</w:t>
      </w:r>
    </w:p>
    <w:p w14:paraId="18FF86B8">
      <w:pPr>
        <w:ind w:firstLine="420"/>
        <w:rPr>
          <w:rFonts w:hint="eastAsia" w:ascii="宋体" w:hAnsi="宋体"/>
          <w:color w:val="auto"/>
        </w:rPr>
      </w:pPr>
      <w:r>
        <w:rPr>
          <w:rFonts w:hint="eastAsia" w:ascii="宋体" w:hAnsi="宋体"/>
          <w:color w:val="auto"/>
          <w:kern w:val="0"/>
        </w:rPr>
        <w:t>5、本合同一式</w:t>
      </w:r>
      <w:r>
        <w:rPr>
          <w:rFonts w:hint="eastAsia" w:ascii="宋体" w:hAnsi="宋体"/>
          <w:color w:val="auto"/>
          <w:kern w:val="0"/>
          <w:u w:val="single"/>
        </w:rPr>
        <w:t xml:space="preserve">  </w:t>
      </w:r>
      <w:r>
        <w:rPr>
          <w:rFonts w:hint="eastAsia" w:ascii="宋体" w:hAnsi="宋体"/>
          <w:color w:val="auto"/>
          <w:kern w:val="0"/>
        </w:rPr>
        <w:t>份，甲乙双方各执</w:t>
      </w:r>
      <w:r>
        <w:rPr>
          <w:rFonts w:hint="eastAsia" w:ascii="宋体" w:hAnsi="宋体"/>
          <w:color w:val="auto"/>
          <w:kern w:val="0"/>
          <w:u w:val="single"/>
        </w:rPr>
        <w:t xml:space="preserve">  </w:t>
      </w:r>
      <w:r>
        <w:rPr>
          <w:rFonts w:hint="eastAsia" w:ascii="宋体" w:hAnsi="宋体"/>
          <w:color w:val="auto"/>
          <w:kern w:val="0"/>
        </w:rPr>
        <w:t>份。若执行政采贷，另加</w:t>
      </w:r>
      <w:r>
        <w:rPr>
          <w:rFonts w:hint="eastAsia" w:ascii="宋体" w:hAnsi="宋体"/>
          <w:color w:val="auto"/>
          <w:kern w:val="0"/>
          <w:u w:val="single"/>
        </w:rPr>
        <w:t xml:space="preserve"> 贰 </w:t>
      </w:r>
      <w:r>
        <w:rPr>
          <w:rFonts w:hint="eastAsia" w:ascii="宋体" w:hAnsi="宋体"/>
          <w:color w:val="auto"/>
          <w:kern w:val="0"/>
        </w:rPr>
        <w:t>份。</w:t>
      </w:r>
    </w:p>
    <w:p w14:paraId="1DE0113F">
      <w:pPr>
        <w:ind w:firstLine="420"/>
        <w:jc w:val="center"/>
        <w:rPr>
          <w:rFonts w:hint="eastAsia" w:ascii="宋体" w:hAnsi="宋体"/>
          <w:color w:val="auto"/>
        </w:rPr>
      </w:pPr>
      <w:bookmarkStart w:id="200" w:name="_Toc1042068460"/>
    </w:p>
    <w:p w14:paraId="38024D8B">
      <w:pPr>
        <w:ind w:firstLine="420"/>
        <w:jc w:val="center"/>
        <w:rPr>
          <w:rFonts w:hint="eastAsia" w:ascii="宋体" w:hAnsi="宋体"/>
          <w:color w:val="auto"/>
        </w:rPr>
      </w:pPr>
      <w:r>
        <w:rPr>
          <w:rFonts w:hint="eastAsia" w:ascii="宋体" w:hAnsi="宋体"/>
          <w:color w:val="auto"/>
        </w:rPr>
        <w:t>二、特殊专用条款部分</w:t>
      </w:r>
      <w:bookmarkEnd w:id="200"/>
    </w:p>
    <w:p w14:paraId="4B65950D">
      <w:pPr>
        <w:pStyle w:val="26"/>
        <w:snapToGrid w:val="0"/>
        <w:spacing w:before="120" w:after="120"/>
        <w:ind w:firstLine="420"/>
        <w:rPr>
          <w:rFonts w:hint="eastAsia" w:hAnsi="宋体" w:cs="宋体"/>
          <w:color w:val="auto"/>
        </w:rPr>
      </w:pPr>
      <w:r>
        <w:rPr>
          <w:rFonts w:hint="eastAsia" w:hAnsi="宋体" w:cs="宋体"/>
          <w:color w:val="auto"/>
        </w:rPr>
        <w:t>……</w:t>
      </w:r>
    </w:p>
    <w:p w14:paraId="1313FF79">
      <w:pPr>
        <w:pStyle w:val="26"/>
        <w:snapToGrid w:val="0"/>
        <w:spacing w:before="120" w:after="120"/>
        <w:ind w:firstLine="420"/>
        <w:rPr>
          <w:rFonts w:hint="eastAsia" w:hAnsi="宋体" w:cs="宋体"/>
          <w:color w:val="auto"/>
        </w:rPr>
      </w:pPr>
      <w:r>
        <w:rPr>
          <w:rFonts w:hint="eastAsia" w:hAnsi="宋体" w:cs="宋体"/>
          <w:color w:val="auto"/>
        </w:rPr>
        <w:t xml:space="preserve">甲方：                             乙方： </w:t>
      </w:r>
    </w:p>
    <w:p w14:paraId="013C8014">
      <w:pPr>
        <w:pStyle w:val="26"/>
        <w:snapToGrid w:val="0"/>
        <w:spacing w:before="120" w:after="120"/>
        <w:ind w:firstLine="420"/>
        <w:rPr>
          <w:rFonts w:hint="eastAsia" w:hAnsi="宋体" w:cs="宋体"/>
          <w:bCs/>
          <w:color w:val="auto"/>
        </w:rPr>
      </w:pPr>
      <w:r>
        <w:rPr>
          <w:rFonts w:hint="eastAsia" w:hAnsi="宋体" w:cs="宋体"/>
          <w:color w:val="auto"/>
        </w:rPr>
        <w:t xml:space="preserve">地址：                             地址： </w:t>
      </w:r>
    </w:p>
    <w:p w14:paraId="090A3ECF">
      <w:pPr>
        <w:pStyle w:val="26"/>
        <w:snapToGrid w:val="0"/>
        <w:spacing w:before="120" w:after="120"/>
        <w:ind w:firstLine="420"/>
        <w:rPr>
          <w:rFonts w:hint="eastAsia" w:hAnsi="宋体" w:cs="宋体"/>
          <w:color w:val="auto"/>
        </w:rPr>
      </w:pPr>
      <w:r>
        <w:rPr>
          <w:rFonts w:hint="eastAsia" w:hAnsi="宋体" w:cs="宋体"/>
          <w:color w:val="auto"/>
        </w:rPr>
        <w:t>法定代表人或被授权人：             法定代表人或被授权人：</w:t>
      </w:r>
    </w:p>
    <w:p w14:paraId="69183FDF">
      <w:pPr>
        <w:pStyle w:val="26"/>
        <w:snapToGrid w:val="0"/>
        <w:spacing w:before="120" w:after="120"/>
        <w:ind w:firstLine="420"/>
        <w:rPr>
          <w:rFonts w:hint="eastAsia" w:hAnsi="宋体" w:cs="宋体"/>
          <w:color w:val="auto"/>
        </w:rPr>
      </w:pPr>
      <w:r>
        <w:rPr>
          <w:rFonts w:hint="eastAsia" w:hAnsi="宋体" w:cs="宋体"/>
          <w:color w:val="auto"/>
        </w:rPr>
        <w:t xml:space="preserve">签订地点：                  </w:t>
      </w:r>
    </w:p>
    <w:p w14:paraId="62574DF3">
      <w:pPr>
        <w:pStyle w:val="26"/>
        <w:snapToGrid w:val="0"/>
        <w:spacing w:before="120" w:after="120"/>
        <w:ind w:firstLine="420"/>
        <w:rPr>
          <w:rFonts w:hint="eastAsia" w:hAnsi="宋体" w:cs="宋体"/>
          <w:color w:val="auto"/>
        </w:rPr>
      </w:pPr>
      <w:r>
        <w:rPr>
          <w:rFonts w:hint="eastAsia" w:hAnsi="宋体" w:cs="宋体"/>
          <w:color w:val="auto"/>
        </w:rPr>
        <w:t>签订日期：      年  月  日</w:t>
      </w:r>
    </w:p>
    <w:p w14:paraId="4A565611">
      <w:pPr>
        <w:ind w:firstLine="420"/>
        <w:rPr>
          <w:rFonts w:hint="eastAsia" w:ascii="宋体" w:hAnsi="宋体"/>
          <w:bCs/>
          <w:color w:val="auto"/>
        </w:rPr>
      </w:pPr>
    </w:p>
    <w:p w14:paraId="6D30AE81">
      <w:pPr>
        <w:ind w:firstLine="420"/>
        <w:rPr>
          <w:color w:val="auto"/>
        </w:rPr>
      </w:pPr>
    </w:p>
    <w:p w14:paraId="7FA36D04">
      <w:pPr>
        <w:ind w:firstLine="0" w:firstLineChars="0"/>
        <w:rPr>
          <w:color w:val="auto"/>
        </w:rPr>
      </w:pPr>
    </w:p>
    <w:p w14:paraId="3B9A30DC">
      <w:pPr>
        <w:spacing w:line="500" w:lineRule="exact"/>
        <w:ind w:firstLine="420"/>
        <w:jc w:val="center"/>
        <w:rPr>
          <w:rFonts w:hint="eastAsia" w:ascii="微软雅黑" w:hAnsi="微软雅黑"/>
          <w:b/>
          <w:bCs/>
          <w:color w:val="auto"/>
          <w:szCs w:val="21"/>
        </w:rPr>
      </w:pPr>
    </w:p>
    <w:bookmarkEnd w:id="193"/>
    <w:bookmarkEnd w:id="194"/>
    <w:bookmarkEnd w:id="195"/>
    <w:bookmarkEnd w:id="196"/>
    <w:bookmarkEnd w:id="197"/>
    <w:bookmarkEnd w:id="198"/>
    <w:bookmarkEnd w:id="199"/>
    <w:p w14:paraId="25512BE2">
      <w:pPr>
        <w:pStyle w:val="36"/>
        <w:spacing w:line="360" w:lineRule="auto"/>
        <w:ind w:firstLine="640"/>
        <w:outlineLvl w:val="0"/>
        <w:rPr>
          <w:color w:val="auto"/>
        </w:rPr>
      </w:pPr>
    </w:p>
    <w:p w14:paraId="360D4D47">
      <w:pPr>
        <w:pStyle w:val="36"/>
        <w:spacing w:line="360" w:lineRule="auto"/>
        <w:ind w:firstLine="640"/>
        <w:outlineLvl w:val="0"/>
        <w:rPr>
          <w:color w:val="auto"/>
        </w:rPr>
      </w:pPr>
    </w:p>
    <w:p w14:paraId="375A5DE8">
      <w:pPr>
        <w:pStyle w:val="36"/>
        <w:spacing w:line="360" w:lineRule="auto"/>
        <w:ind w:firstLine="640"/>
        <w:outlineLvl w:val="0"/>
        <w:rPr>
          <w:color w:val="auto"/>
        </w:rPr>
      </w:pPr>
    </w:p>
    <w:p w14:paraId="20D16134">
      <w:pPr>
        <w:pStyle w:val="36"/>
        <w:spacing w:line="360" w:lineRule="auto"/>
        <w:ind w:firstLine="640"/>
        <w:outlineLvl w:val="0"/>
        <w:rPr>
          <w:color w:val="auto"/>
        </w:rPr>
      </w:pPr>
    </w:p>
    <w:p w14:paraId="1B8ACC27">
      <w:pPr>
        <w:pStyle w:val="36"/>
        <w:spacing w:line="360" w:lineRule="auto"/>
        <w:ind w:firstLine="640"/>
        <w:outlineLvl w:val="0"/>
        <w:rPr>
          <w:color w:val="auto"/>
        </w:rPr>
      </w:pPr>
    </w:p>
    <w:p w14:paraId="36C6B9DA">
      <w:pPr>
        <w:pStyle w:val="36"/>
        <w:spacing w:line="360" w:lineRule="auto"/>
        <w:ind w:firstLine="640"/>
        <w:outlineLvl w:val="0"/>
        <w:rPr>
          <w:color w:val="auto"/>
        </w:rPr>
      </w:pPr>
    </w:p>
    <w:p w14:paraId="00D4B731">
      <w:pPr>
        <w:pStyle w:val="36"/>
        <w:spacing w:line="360" w:lineRule="auto"/>
        <w:ind w:firstLine="640"/>
        <w:outlineLvl w:val="0"/>
        <w:rPr>
          <w:color w:val="auto"/>
        </w:rPr>
      </w:pPr>
    </w:p>
    <w:p w14:paraId="7B8481DA">
      <w:pPr>
        <w:pStyle w:val="36"/>
        <w:spacing w:line="360" w:lineRule="auto"/>
        <w:ind w:firstLine="640"/>
        <w:outlineLvl w:val="0"/>
        <w:rPr>
          <w:rFonts w:hint="eastAsia" w:ascii="Arial Unicode MS" w:hAnsi="Arial Unicode MS"/>
          <w:color w:val="auto"/>
          <w:sz w:val="21"/>
          <w:szCs w:val="21"/>
        </w:rPr>
      </w:pPr>
      <w:r>
        <w:rPr>
          <w:rFonts w:hint="eastAsia"/>
          <w:color w:val="auto"/>
        </w:rPr>
        <w:t>南湖区公安分局信息系统维护单位保密协议书</w:t>
      </w:r>
    </w:p>
    <w:p w14:paraId="25768B19">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 xml:space="preserve">甲方： </w:t>
      </w:r>
    </w:p>
    <w:p w14:paraId="4FC309AF">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乙方：</w:t>
      </w:r>
    </w:p>
    <w:p w14:paraId="085762FB">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甲方委托乙方为“嘉兴市公安局南湖区分局涉诈数据处理服务项目”承办商。甲方有责任和权利要求乙方严格遵守国家保密法律、法规和相关规定，保守国家秘密和警务工作秘密。乙方应加强保密意识并严格遵守以下协议：</w:t>
      </w:r>
    </w:p>
    <w:p w14:paraId="1B7CF9F2">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一、严格遵守公安机关保密管理工作相关法律法规，保守在工作中所涉及的秘密，保密有效时间与国家对各具体秘密事项的保密期限要求相一致。不该说的秘密不说，不该知悉的秘密不问，不该看的秘密不看。</w:t>
      </w:r>
    </w:p>
    <w:p w14:paraId="248D8CB0">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二、不得擅自记录、复制、拍摄、摘抄、收藏在工作中涉及的秘密和敏感信息；严禁将公安机关内部会议、谈话内容泄露给无关人员；严禁将工作中涉及的相关项目技术方案及实施规划透露给无关人员。</w:t>
      </w:r>
    </w:p>
    <w:p w14:paraId="655AF242">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三、服从甲方的安排，依照有关法律、法规和合同规定工作，不得将工作过程中接触到的机关文件（包括内部发文、各类通知及会议记录等）的内容泄露给无关人员；不得翻阅与工作无关的文件和资料，不得从事其它与合同无关的工作。</w:t>
      </w:r>
    </w:p>
    <w:p w14:paraId="6D0CC243">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四、如需接触公安信息网，应认真学习和遵守公安信息网使用相关规定，严禁“一机两用” ； 严禁将公安信息网设备直接或间接与互联网设备物理连接；内外网数据交换按规定使用专用介质交换数据。</w:t>
      </w:r>
    </w:p>
    <w:p w14:paraId="1D8580F3">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五、不得将从公安信息网上获得的警务工作相关信息透露给无关人员；严禁私自下载、拷贝计算机内的秘密和敏感信息；严禁将公安信息系统的程序、口令、密钥等泄露给无关人员；不得擅自携带记载工作内容的硬盘、闪存盘和打印资料外出。</w:t>
      </w:r>
    </w:p>
    <w:p w14:paraId="25B0A074">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六、如不携带设备外出维修无法修复系统时，应将具有设备存储功能部分（如：计算机硬盘）拆除后，方能带出；如存储功能部分无法拆除，应填写《公安网设备外出维修跟踪表》后，方能带出，维修全程必须在甲方指定现役人员监督下进行，严禁将设备接入任何外部网络。</w:t>
      </w:r>
    </w:p>
    <w:p w14:paraId="04084222">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七、严格对公安信息网计算机终端的出（入）网、设备维修和机房改造等重要环节的管理；服务器等核心设备应不易被破解的管理密码，及时安装操作系统、中间件漏洞补丁。</w:t>
      </w:r>
    </w:p>
    <w:p w14:paraId="4BDDCA79">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八、严禁泄露在工作中接触到的公安机关科技研究、发明、装备器材及其技术资料等国家科学技术秘密和警务工作秘密；不得发表涉及工作中国家秘密组织和警务工作秘密的技术文档和论文，未经甲方同意，乙方不得使用工程项目案例进行演示或宣传。</w:t>
      </w:r>
    </w:p>
    <w:p w14:paraId="16AD5FAC">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九、不得带领无关人员进入办公场所、设备机房。</w:t>
      </w:r>
    </w:p>
    <w:p w14:paraId="143C098D">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十、严禁在公安网内使用黑客手段进行扫描、攻击。严禁采用黑客手段非法或违规获取外地和上级公安机关信息、数据，不得将公安内网的数据复制到外网计算机及网络。</w:t>
      </w:r>
    </w:p>
    <w:p w14:paraId="5E472550">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十一、乙方必须向甲方提供从事该项目的所有人员档案，甲方审核后，有权向乙方提出人员变更要求，乙方应据此调整人员安排。</w:t>
      </w:r>
    </w:p>
    <w:p w14:paraId="6A6F45A7">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十二、乙方必须与从事该项目的人员签订保密协议，保密协议内容应听取甲方意见，并向甲方提供协议的副本等相关资料。</w:t>
      </w:r>
    </w:p>
    <w:p w14:paraId="49CFFE78">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十三、无论乙方今后完成“信息网络及办公设备维护”工作或因故中途退出，均不得泄露所知悉的国家秘密和警务工作秘密。</w:t>
      </w:r>
    </w:p>
    <w:p w14:paraId="4B622386">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十四、如发生国家秘密和警务工作秘密泄露，乙方应立即向甲方报告，并积极协助甲方及有关保密部门进行查处。</w:t>
      </w:r>
    </w:p>
    <w:p w14:paraId="0EF9B508">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十五、本协议视同合同的组成部分，对协议的任何修改，必须采取书面形式，并有双方法定代表人（或委托授权人）签字。</w:t>
      </w:r>
    </w:p>
    <w:p w14:paraId="1CA2B638">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乙方如未能遵守上述协议，有违反保密规定行为而造成泄密的，甲方可依据有关规定追究乙方的责任，拒付合同中的质量保证金；构成犯罪的，将依法追究刑事责任。</w:t>
      </w:r>
    </w:p>
    <w:p w14:paraId="293552AB">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本协议书一式二份，甲乙双方各执一份，双方签字、盖章生效。</w:t>
      </w:r>
    </w:p>
    <w:p w14:paraId="7DB1392B">
      <w:pPr>
        <w:snapToGrid w:val="0"/>
        <w:spacing w:line="240" w:lineRule="auto"/>
        <w:ind w:firstLine="411" w:firstLineChars="196"/>
        <w:rPr>
          <w:rFonts w:hint="eastAsia" w:ascii="微软雅黑" w:hAnsi="微软雅黑"/>
          <w:color w:val="auto"/>
          <w:szCs w:val="21"/>
        </w:rPr>
      </w:pPr>
    </w:p>
    <w:p w14:paraId="12EB18AA">
      <w:pPr>
        <w:snapToGrid w:val="0"/>
        <w:spacing w:line="240" w:lineRule="auto"/>
        <w:ind w:firstLine="411" w:firstLineChars="196"/>
        <w:rPr>
          <w:rFonts w:hint="eastAsia" w:ascii="微软雅黑" w:hAnsi="微软雅黑"/>
          <w:color w:val="auto"/>
          <w:szCs w:val="21"/>
        </w:rPr>
      </w:pPr>
    </w:p>
    <w:p w14:paraId="601DF6EA">
      <w:pPr>
        <w:snapToGrid w:val="0"/>
        <w:spacing w:line="240" w:lineRule="auto"/>
        <w:ind w:firstLine="411" w:firstLineChars="196"/>
        <w:rPr>
          <w:rFonts w:hint="eastAsia" w:ascii="微软雅黑" w:hAnsi="微软雅黑"/>
          <w:color w:val="auto"/>
          <w:szCs w:val="21"/>
        </w:rPr>
      </w:pPr>
    </w:p>
    <w:p w14:paraId="789661F2">
      <w:pPr>
        <w:snapToGrid w:val="0"/>
        <w:spacing w:line="240" w:lineRule="auto"/>
        <w:ind w:firstLine="411" w:firstLineChars="196"/>
        <w:rPr>
          <w:rFonts w:hint="eastAsia" w:ascii="微软雅黑" w:hAnsi="微软雅黑"/>
          <w:color w:val="auto"/>
          <w:szCs w:val="21"/>
        </w:rPr>
      </w:pPr>
    </w:p>
    <w:p w14:paraId="3C38732E">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甲方（盖章）：                  乙方（盖章）：</w:t>
      </w:r>
    </w:p>
    <w:p w14:paraId="5CA785B3">
      <w:pPr>
        <w:snapToGrid w:val="0"/>
        <w:spacing w:line="240" w:lineRule="auto"/>
        <w:ind w:firstLine="411" w:firstLineChars="196"/>
        <w:rPr>
          <w:rFonts w:hint="eastAsia" w:ascii="微软雅黑" w:hAnsi="微软雅黑"/>
          <w:color w:val="auto"/>
          <w:szCs w:val="21"/>
        </w:rPr>
      </w:pPr>
    </w:p>
    <w:p w14:paraId="21C103A3">
      <w:pPr>
        <w:snapToGrid w:val="0"/>
        <w:spacing w:line="240" w:lineRule="auto"/>
        <w:ind w:firstLine="411" w:firstLineChars="196"/>
        <w:rPr>
          <w:rFonts w:hint="eastAsia" w:ascii="微软雅黑" w:hAnsi="微软雅黑"/>
          <w:color w:val="auto"/>
          <w:szCs w:val="21"/>
        </w:rPr>
      </w:pPr>
      <w:r>
        <w:rPr>
          <w:rFonts w:hint="eastAsia" w:ascii="微软雅黑" w:hAnsi="微软雅黑"/>
          <w:color w:val="auto"/>
          <w:szCs w:val="21"/>
        </w:rPr>
        <w:t>代表签字：                     代表签字：</w:t>
      </w:r>
    </w:p>
    <w:p w14:paraId="04B5555E">
      <w:pPr>
        <w:snapToGrid w:val="0"/>
        <w:spacing w:line="240" w:lineRule="auto"/>
        <w:ind w:firstLine="411" w:firstLineChars="196"/>
        <w:rPr>
          <w:rFonts w:hint="eastAsia" w:ascii="微软雅黑" w:hAnsi="微软雅黑"/>
          <w:color w:val="auto"/>
          <w:szCs w:val="21"/>
        </w:rPr>
      </w:pPr>
    </w:p>
    <w:p w14:paraId="6554A1EC">
      <w:pPr>
        <w:snapToGrid w:val="0"/>
        <w:spacing w:line="240" w:lineRule="auto"/>
        <w:ind w:firstLine="411" w:firstLineChars="196"/>
        <w:rPr>
          <w:rFonts w:hint="eastAsia" w:ascii="微软雅黑" w:hAnsi="微软雅黑"/>
          <w:color w:val="auto"/>
          <w:szCs w:val="21"/>
        </w:rPr>
        <w:sectPr>
          <w:headerReference r:id="rId11" w:type="default"/>
          <w:footerReference r:id="rId12" w:type="default"/>
          <w:pgSz w:w="11906" w:h="16838"/>
          <w:pgMar w:top="1474" w:right="1797" w:bottom="1247" w:left="1797" w:header="851" w:footer="851" w:gutter="0"/>
          <w:cols w:space="720" w:num="1"/>
          <w:docGrid w:linePitch="312" w:charSpace="0"/>
        </w:sectPr>
      </w:pPr>
      <w:r>
        <w:rPr>
          <w:rFonts w:hint="eastAsia" w:ascii="微软雅黑" w:hAnsi="微软雅黑"/>
          <w:color w:val="auto"/>
          <w:szCs w:val="21"/>
        </w:rPr>
        <w:t>日期：                         日期：</w:t>
      </w:r>
    </w:p>
    <w:tbl>
      <w:tblPr>
        <w:tblStyle w:val="52"/>
        <w:tblW w:w="15071" w:type="dxa"/>
        <w:jc w:val="center"/>
        <w:tblLayout w:type="fixed"/>
        <w:tblCellMar>
          <w:top w:w="0" w:type="dxa"/>
          <w:left w:w="108" w:type="dxa"/>
          <w:bottom w:w="0" w:type="dxa"/>
          <w:right w:w="108" w:type="dxa"/>
        </w:tblCellMar>
      </w:tblPr>
      <w:tblGrid>
        <w:gridCol w:w="4822"/>
        <w:gridCol w:w="5051"/>
        <w:gridCol w:w="1335"/>
        <w:gridCol w:w="1669"/>
        <w:gridCol w:w="2194"/>
      </w:tblGrid>
      <w:tr w14:paraId="4E28AA5A">
        <w:tblPrEx>
          <w:tblCellMar>
            <w:top w:w="0" w:type="dxa"/>
            <w:left w:w="108" w:type="dxa"/>
            <w:bottom w:w="0" w:type="dxa"/>
            <w:right w:w="108" w:type="dxa"/>
          </w:tblCellMar>
        </w:tblPrEx>
        <w:trPr>
          <w:trHeight w:val="431" w:hRule="atLeast"/>
          <w:jc w:val="center"/>
        </w:trPr>
        <w:tc>
          <w:tcPr>
            <w:tcW w:w="15071" w:type="dxa"/>
            <w:gridSpan w:val="5"/>
            <w:tcBorders>
              <w:top w:val="nil"/>
              <w:left w:val="nil"/>
              <w:bottom w:val="nil"/>
              <w:right w:val="nil"/>
            </w:tcBorders>
            <w:vAlign w:val="center"/>
          </w:tcPr>
          <w:p w14:paraId="6935C08C">
            <w:pPr>
              <w:widowControl/>
              <w:ind w:firstLine="960"/>
              <w:jc w:val="center"/>
              <w:rPr>
                <w:rFonts w:hint="eastAsia" w:ascii="宋体" w:hAnsi="宋体" w:cs="宋体"/>
                <w:b/>
                <w:bCs/>
                <w:color w:val="auto"/>
                <w:kern w:val="0"/>
                <w:sz w:val="48"/>
                <w:szCs w:val="48"/>
                <w:shd w:val="clear" w:color="auto" w:fill="FFFFFF"/>
              </w:rPr>
            </w:pPr>
            <w:r>
              <w:rPr>
                <w:rFonts w:hint="eastAsia" w:ascii="宋体" w:hAnsi="宋体" w:cs="宋体"/>
                <w:b/>
                <w:bCs/>
                <w:color w:val="auto"/>
                <w:kern w:val="0"/>
                <w:sz w:val="48"/>
                <w:szCs w:val="48"/>
                <w:shd w:val="clear" w:color="auto" w:fill="FFFFFF"/>
              </w:rPr>
              <w:t>政 府 采 购 项 目 验 收 单</w:t>
            </w:r>
          </w:p>
        </w:tc>
      </w:tr>
      <w:tr w14:paraId="1783FED2">
        <w:tblPrEx>
          <w:tblCellMar>
            <w:top w:w="0" w:type="dxa"/>
            <w:left w:w="108" w:type="dxa"/>
            <w:bottom w:w="0" w:type="dxa"/>
            <w:right w:w="108" w:type="dxa"/>
          </w:tblCellMar>
        </w:tblPrEx>
        <w:trPr>
          <w:trHeight w:val="550" w:hRule="atLeast"/>
          <w:jc w:val="center"/>
        </w:trPr>
        <w:tc>
          <w:tcPr>
            <w:tcW w:w="15071" w:type="dxa"/>
            <w:gridSpan w:val="5"/>
            <w:tcBorders>
              <w:top w:val="nil"/>
              <w:left w:val="nil"/>
              <w:bottom w:val="nil"/>
              <w:right w:val="nil"/>
            </w:tcBorders>
            <w:vAlign w:val="center"/>
          </w:tcPr>
          <w:p w14:paraId="091C2354">
            <w:pPr>
              <w:widowControl/>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按照《政府采购委托汇总确认书》         号，采购编号：      号 ,合同号：      号 </w:t>
            </w:r>
          </w:p>
        </w:tc>
      </w:tr>
      <w:tr w14:paraId="76BCDB79">
        <w:tblPrEx>
          <w:tblCellMar>
            <w:top w:w="0" w:type="dxa"/>
            <w:left w:w="108" w:type="dxa"/>
            <w:bottom w:w="0" w:type="dxa"/>
            <w:right w:w="108" w:type="dxa"/>
          </w:tblCellMar>
        </w:tblPrEx>
        <w:trPr>
          <w:trHeight w:val="596" w:hRule="atLeast"/>
          <w:jc w:val="center"/>
        </w:trPr>
        <w:tc>
          <w:tcPr>
            <w:tcW w:w="15071" w:type="dxa"/>
            <w:gridSpan w:val="5"/>
            <w:tcBorders>
              <w:top w:val="nil"/>
              <w:left w:val="nil"/>
              <w:bottom w:val="nil"/>
              <w:right w:val="nil"/>
            </w:tcBorders>
            <w:vAlign w:val="center"/>
          </w:tcPr>
          <w:p w14:paraId="3DD385B2">
            <w:pPr>
              <w:widowControl/>
              <w:ind w:firstLine="520"/>
              <w:rPr>
                <w:rFonts w:hint="eastAsia" w:ascii="宋体" w:hAnsi="宋体" w:cs="宋体"/>
                <w:color w:val="auto"/>
                <w:kern w:val="0"/>
                <w:sz w:val="26"/>
                <w:szCs w:val="26"/>
                <w:shd w:val="clear" w:color="auto" w:fill="FFFFFF"/>
              </w:rPr>
            </w:pPr>
            <w:r>
              <w:rPr>
                <w:rFonts w:hint="eastAsia" w:ascii="宋体" w:hAnsi="宋体" w:cs="宋体"/>
                <w:color w:val="auto"/>
                <w:kern w:val="0"/>
                <w:sz w:val="26"/>
                <w:szCs w:val="26"/>
                <w:shd w:val="clear" w:color="auto" w:fill="FFFFFF"/>
              </w:rPr>
              <w:t>以下项目已采购到位并验收合格。</w:t>
            </w:r>
          </w:p>
        </w:tc>
      </w:tr>
      <w:tr w14:paraId="774E8365">
        <w:tblPrEx>
          <w:tblCellMar>
            <w:top w:w="0" w:type="dxa"/>
            <w:left w:w="108" w:type="dxa"/>
            <w:bottom w:w="0" w:type="dxa"/>
            <w:right w:w="108" w:type="dxa"/>
          </w:tblCellMar>
        </w:tblPrEx>
        <w:trPr>
          <w:trHeight w:val="656" w:hRule="atLeast"/>
          <w:jc w:val="center"/>
        </w:trPr>
        <w:tc>
          <w:tcPr>
            <w:tcW w:w="4822" w:type="dxa"/>
            <w:tcBorders>
              <w:top w:val="single" w:color="auto" w:sz="4" w:space="0"/>
              <w:left w:val="single" w:color="auto" w:sz="4" w:space="0"/>
              <w:bottom w:val="nil"/>
              <w:right w:val="single" w:color="auto" w:sz="4" w:space="0"/>
            </w:tcBorders>
            <w:vAlign w:val="center"/>
          </w:tcPr>
          <w:p w14:paraId="463C9AAE">
            <w:pPr>
              <w:widowControl/>
              <w:ind w:firstLine="0" w:firstLineChars="0"/>
              <w:jc w:val="center"/>
              <w:rPr>
                <w:rFonts w:hint="eastAsia" w:ascii="宋体" w:hAnsi="宋体" w:cs="宋体"/>
                <w:color w:val="auto"/>
                <w:kern w:val="0"/>
                <w:sz w:val="28"/>
                <w:szCs w:val="28"/>
                <w:shd w:val="clear" w:color="auto" w:fill="FFFFFF"/>
              </w:rPr>
            </w:pPr>
            <w:r>
              <w:rPr>
                <w:rFonts w:hint="eastAsia" w:ascii="宋体" w:hAnsi="宋体" w:cs="宋体"/>
                <w:color w:val="auto"/>
                <w:kern w:val="0"/>
                <w:sz w:val="28"/>
                <w:szCs w:val="28"/>
                <w:shd w:val="clear" w:color="auto" w:fill="FFFFFF"/>
              </w:rPr>
              <w:t>采购货物（服务，工程）名称</w:t>
            </w:r>
          </w:p>
        </w:tc>
        <w:tc>
          <w:tcPr>
            <w:tcW w:w="5051" w:type="dxa"/>
            <w:tcBorders>
              <w:top w:val="single" w:color="auto" w:sz="4" w:space="0"/>
              <w:left w:val="nil"/>
              <w:bottom w:val="nil"/>
              <w:right w:val="single" w:color="auto" w:sz="4" w:space="0"/>
            </w:tcBorders>
            <w:vAlign w:val="center"/>
          </w:tcPr>
          <w:p w14:paraId="1E06EA71">
            <w:pPr>
              <w:widowControl/>
              <w:ind w:firstLine="0" w:firstLineChars="0"/>
              <w:jc w:val="center"/>
              <w:rPr>
                <w:rFonts w:hint="eastAsia" w:ascii="宋体" w:hAnsi="宋体" w:cs="宋体"/>
                <w:color w:val="auto"/>
                <w:kern w:val="0"/>
                <w:sz w:val="28"/>
                <w:szCs w:val="28"/>
                <w:shd w:val="clear" w:color="auto" w:fill="FFFFFF"/>
              </w:rPr>
            </w:pPr>
            <w:r>
              <w:rPr>
                <w:rFonts w:hint="eastAsia" w:ascii="宋体" w:hAnsi="宋体" w:cs="宋体"/>
                <w:color w:val="auto"/>
                <w:kern w:val="0"/>
                <w:sz w:val="28"/>
                <w:szCs w:val="28"/>
                <w:shd w:val="clear" w:color="auto" w:fill="FFFFFF"/>
              </w:rPr>
              <w:t>规格、型号</w:t>
            </w:r>
          </w:p>
        </w:tc>
        <w:tc>
          <w:tcPr>
            <w:tcW w:w="1335" w:type="dxa"/>
            <w:tcBorders>
              <w:top w:val="single" w:color="auto" w:sz="4" w:space="0"/>
              <w:left w:val="nil"/>
              <w:bottom w:val="nil"/>
              <w:right w:val="single" w:color="auto" w:sz="4" w:space="0"/>
            </w:tcBorders>
            <w:vAlign w:val="center"/>
          </w:tcPr>
          <w:p w14:paraId="0A5CB3BE">
            <w:pPr>
              <w:widowControl/>
              <w:ind w:firstLine="0" w:firstLineChars="0"/>
              <w:jc w:val="center"/>
              <w:rPr>
                <w:rFonts w:hint="eastAsia" w:ascii="宋体" w:hAnsi="宋体" w:cs="宋体"/>
                <w:color w:val="auto"/>
                <w:kern w:val="0"/>
                <w:sz w:val="28"/>
                <w:szCs w:val="28"/>
                <w:shd w:val="clear" w:color="auto" w:fill="FFFFFF"/>
              </w:rPr>
            </w:pPr>
            <w:r>
              <w:rPr>
                <w:rFonts w:hint="eastAsia" w:ascii="宋体" w:hAnsi="宋体" w:cs="宋体"/>
                <w:color w:val="auto"/>
                <w:kern w:val="0"/>
                <w:sz w:val="28"/>
                <w:szCs w:val="28"/>
                <w:shd w:val="clear" w:color="auto" w:fill="FFFFFF"/>
              </w:rPr>
              <w:t>数量</w:t>
            </w:r>
          </w:p>
        </w:tc>
        <w:tc>
          <w:tcPr>
            <w:tcW w:w="1669" w:type="dxa"/>
            <w:tcBorders>
              <w:top w:val="single" w:color="auto" w:sz="4" w:space="0"/>
              <w:left w:val="nil"/>
              <w:bottom w:val="nil"/>
              <w:right w:val="single" w:color="auto" w:sz="4" w:space="0"/>
            </w:tcBorders>
            <w:vAlign w:val="center"/>
          </w:tcPr>
          <w:p w14:paraId="21682677">
            <w:pPr>
              <w:widowControl/>
              <w:ind w:firstLine="0" w:firstLineChars="0"/>
              <w:jc w:val="center"/>
              <w:rPr>
                <w:rFonts w:hint="eastAsia" w:ascii="宋体" w:hAnsi="宋体" w:cs="宋体"/>
                <w:color w:val="auto"/>
                <w:kern w:val="0"/>
                <w:sz w:val="28"/>
                <w:szCs w:val="28"/>
                <w:shd w:val="clear" w:color="auto" w:fill="FFFFFF"/>
              </w:rPr>
            </w:pPr>
            <w:r>
              <w:rPr>
                <w:rFonts w:hint="eastAsia" w:ascii="宋体" w:hAnsi="宋体" w:cs="宋体"/>
                <w:color w:val="auto"/>
                <w:kern w:val="0"/>
                <w:sz w:val="28"/>
                <w:szCs w:val="28"/>
                <w:shd w:val="clear" w:color="auto" w:fill="FFFFFF"/>
              </w:rPr>
              <w:t>核定总价</w:t>
            </w:r>
          </w:p>
        </w:tc>
        <w:tc>
          <w:tcPr>
            <w:tcW w:w="2194" w:type="dxa"/>
            <w:tcBorders>
              <w:top w:val="single" w:color="auto" w:sz="4" w:space="0"/>
              <w:left w:val="nil"/>
              <w:bottom w:val="single" w:color="auto" w:sz="4" w:space="0"/>
              <w:right w:val="single" w:color="auto" w:sz="4" w:space="0"/>
            </w:tcBorders>
            <w:vAlign w:val="center"/>
          </w:tcPr>
          <w:p w14:paraId="33985DAD">
            <w:pPr>
              <w:widowControl/>
              <w:ind w:firstLine="0" w:firstLineChars="0"/>
              <w:jc w:val="center"/>
              <w:rPr>
                <w:rFonts w:hint="eastAsia" w:ascii="宋体" w:hAnsi="宋体" w:cs="宋体"/>
                <w:color w:val="auto"/>
                <w:kern w:val="0"/>
                <w:sz w:val="28"/>
                <w:szCs w:val="28"/>
                <w:shd w:val="clear" w:color="auto" w:fill="FFFFFF"/>
              </w:rPr>
            </w:pPr>
            <w:r>
              <w:rPr>
                <w:rFonts w:hint="eastAsia" w:ascii="宋体" w:hAnsi="宋体" w:cs="宋体"/>
                <w:color w:val="auto"/>
                <w:kern w:val="0"/>
                <w:sz w:val="28"/>
                <w:szCs w:val="28"/>
                <w:shd w:val="clear" w:color="auto" w:fill="FFFFFF"/>
              </w:rPr>
              <w:t>采购人验收意见</w:t>
            </w:r>
          </w:p>
        </w:tc>
      </w:tr>
      <w:tr w14:paraId="45171E23">
        <w:tblPrEx>
          <w:tblCellMar>
            <w:top w:w="0" w:type="dxa"/>
            <w:left w:w="108" w:type="dxa"/>
            <w:bottom w:w="0" w:type="dxa"/>
            <w:right w:w="108" w:type="dxa"/>
          </w:tblCellMar>
        </w:tblPrEx>
        <w:trPr>
          <w:trHeight w:val="494" w:hRule="atLeast"/>
          <w:jc w:val="center"/>
        </w:trPr>
        <w:tc>
          <w:tcPr>
            <w:tcW w:w="4822" w:type="dxa"/>
            <w:tcBorders>
              <w:top w:val="single" w:color="auto" w:sz="4" w:space="0"/>
              <w:left w:val="single" w:color="auto" w:sz="4" w:space="0"/>
              <w:bottom w:val="single" w:color="auto" w:sz="4" w:space="0"/>
              <w:right w:val="single" w:color="auto" w:sz="4" w:space="0"/>
            </w:tcBorders>
            <w:vAlign w:val="center"/>
          </w:tcPr>
          <w:p w14:paraId="1A13B9D2">
            <w:pPr>
              <w:widowControl/>
              <w:ind w:firstLine="560"/>
              <w:jc w:val="center"/>
              <w:rPr>
                <w:rFonts w:hint="eastAsia" w:ascii="宋体" w:hAnsi="宋体" w:cs="宋体"/>
                <w:color w:val="auto"/>
                <w:kern w:val="0"/>
                <w:sz w:val="28"/>
                <w:szCs w:val="28"/>
                <w:shd w:val="clear" w:color="auto" w:fill="FFFFFF"/>
              </w:rPr>
            </w:pPr>
            <w:r>
              <w:rPr>
                <w:rFonts w:hint="eastAsia" w:ascii="宋体" w:hAnsi="宋体" w:cs="宋体"/>
                <w:color w:val="auto"/>
                <w:kern w:val="0"/>
                <w:sz w:val="28"/>
                <w:szCs w:val="28"/>
                <w:shd w:val="clear" w:color="auto" w:fill="FFFFFF"/>
              </w:rPr>
              <w:t>　</w:t>
            </w:r>
          </w:p>
        </w:tc>
        <w:tc>
          <w:tcPr>
            <w:tcW w:w="5051" w:type="dxa"/>
            <w:tcBorders>
              <w:top w:val="single" w:color="auto" w:sz="4" w:space="0"/>
              <w:left w:val="nil"/>
              <w:bottom w:val="single" w:color="auto" w:sz="4" w:space="0"/>
              <w:right w:val="single" w:color="auto" w:sz="4" w:space="0"/>
            </w:tcBorders>
            <w:vAlign w:val="center"/>
          </w:tcPr>
          <w:p w14:paraId="01CC7826">
            <w:pPr>
              <w:widowControl/>
              <w:ind w:firstLine="520"/>
              <w:jc w:val="center"/>
              <w:rPr>
                <w:rFonts w:hint="eastAsia" w:ascii="宋体" w:hAnsi="宋体" w:cs="宋体"/>
                <w:color w:val="auto"/>
                <w:kern w:val="0"/>
                <w:sz w:val="26"/>
                <w:szCs w:val="26"/>
                <w:shd w:val="clear" w:color="auto" w:fill="FFFFFF"/>
              </w:rPr>
            </w:pPr>
            <w:r>
              <w:rPr>
                <w:rFonts w:hint="eastAsia" w:ascii="宋体" w:hAnsi="宋体" w:cs="宋体"/>
                <w:color w:val="auto"/>
                <w:kern w:val="0"/>
                <w:sz w:val="26"/>
                <w:szCs w:val="26"/>
                <w:shd w:val="clear" w:color="auto" w:fill="FFFFFF"/>
              </w:rPr>
              <w:t>　</w:t>
            </w:r>
          </w:p>
        </w:tc>
        <w:tc>
          <w:tcPr>
            <w:tcW w:w="1335" w:type="dxa"/>
            <w:tcBorders>
              <w:top w:val="single" w:color="auto" w:sz="4" w:space="0"/>
              <w:left w:val="nil"/>
              <w:bottom w:val="single" w:color="auto" w:sz="4" w:space="0"/>
              <w:right w:val="single" w:color="auto" w:sz="4" w:space="0"/>
            </w:tcBorders>
            <w:vAlign w:val="center"/>
          </w:tcPr>
          <w:p w14:paraId="1C29E887">
            <w:pPr>
              <w:widowControl/>
              <w:ind w:firstLine="520"/>
              <w:jc w:val="center"/>
              <w:rPr>
                <w:rFonts w:hint="eastAsia" w:ascii="宋体" w:hAnsi="宋体" w:cs="宋体"/>
                <w:color w:val="auto"/>
                <w:kern w:val="0"/>
                <w:sz w:val="26"/>
                <w:szCs w:val="26"/>
                <w:shd w:val="clear" w:color="auto" w:fill="FFFFFF"/>
              </w:rPr>
            </w:pPr>
            <w:r>
              <w:rPr>
                <w:rFonts w:hint="eastAsia" w:ascii="宋体" w:hAnsi="宋体" w:cs="宋体"/>
                <w:color w:val="auto"/>
                <w:kern w:val="0"/>
                <w:sz w:val="26"/>
                <w:szCs w:val="26"/>
                <w:shd w:val="clear" w:color="auto" w:fill="FFFFFF"/>
              </w:rPr>
              <w:t>　</w:t>
            </w:r>
          </w:p>
        </w:tc>
        <w:tc>
          <w:tcPr>
            <w:tcW w:w="1669" w:type="dxa"/>
            <w:tcBorders>
              <w:top w:val="single" w:color="auto" w:sz="4" w:space="0"/>
              <w:left w:val="nil"/>
              <w:bottom w:val="single" w:color="auto" w:sz="4" w:space="0"/>
              <w:right w:val="single" w:color="auto" w:sz="4" w:space="0"/>
            </w:tcBorders>
            <w:vAlign w:val="center"/>
          </w:tcPr>
          <w:p w14:paraId="0ECA48A8">
            <w:pPr>
              <w:widowControl/>
              <w:ind w:firstLine="520"/>
              <w:jc w:val="center"/>
              <w:rPr>
                <w:rFonts w:hint="eastAsia" w:ascii="宋体" w:hAnsi="宋体" w:cs="宋体"/>
                <w:color w:val="auto"/>
                <w:kern w:val="0"/>
                <w:sz w:val="26"/>
                <w:szCs w:val="26"/>
                <w:shd w:val="clear" w:color="auto" w:fill="FFFFFF"/>
              </w:rPr>
            </w:pPr>
            <w:r>
              <w:rPr>
                <w:rFonts w:hint="eastAsia" w:ascii="宋体" w:hAnsi="宋体" w:cs="宋体"/>
                <w:color w:val="auto"/>
                <w:kern w:val="0"/>
                <w:sz w:val="26"/>
                <w:szCs w:val="26"/>
                <w:shd w:val="clear" w:color="auto" w:fill="FFFFFF"/>
              </w:rPr>
              <w:t>　</w:t>
            </w:r>
          </w:p>
        </w:tc>
        <w:tc>
          <w:tcPr>
            <w:tcW w:w="2194" w:type="dxa"/>
            <w:tcBorders>
              <w:top w:val="nil"/>
              <w:left w:val="nil"/>
              <w:bottom w:val="single" w:color="auto" w:sz="4" w:space="0"/>
              <w:right w:val="single" w:color="auto" w:sz="4" w:space="0"/>
            </w:tcBorders>
            <w:vAlign w:val="bottom"/>
          </w:tcPr>
          <w:p w14:paraId="015215B3">
            <w:pPr>
              <w:widowControl/>
              <w:ind w:firstLine="520"/>
              <w:rPr>
                <w:rFonts w:hint="eastAsia" w:ascii="宋体" w:hAnsi="宋体" w:cs="宋体"/>
                <w:color w:val="auto"/>
                <w:kern w:val="0"/>
                <w:sz w:val="26"/>
                <w:szCs w:val="26"/>
                <w:shd w:val="clear" w:color="auto" w:fill="FFFFFF"/>
              </w:rPr>
            </w:pPr>
            <w:r>
              <w:rPr>
                <w:rFonts w:hint="eastAsia" w:ascii="宋体" w:hAnsi="宋体" w:cs="宋体"/>
                <w:color w:val="auto"/>
                <w:kern w:val="0"/>
                <w:sz w:val="26"/>
                <w:szCs w:val="26"/>
                <w:shd w:val="clear" w:color="auto" w:fill="FFFFFF"/>
              </w:rPr>
              <w:t>　</w:t>
            </w:r>
          </w:p>
        </w:tc>
      </w:tr>
      <w:tr w14:paraId="47456BFD">
        <w:tblPrEx>
          <w:tblCellMar>
            <w:top w:w="0" w:type="dxa"/>
            <w:left w:w="108" w:type="dxa"/>
            <w:bottom w:w="0" w:type="dxa"/>
            <w:right w:w="108" w:type="dxa"/>
          </w:tblCellMar>
        </w:tblPrEx>
        <w:trPr>
          <w:trHeight w:val="604" w:hRule="atLeast"/>
          <w:jc w:val="center"/>
        </w:trPr>
        <w:tc>
          <w:tcPr>
            <w:tcW w:w="4822" w:type="dxa"/>
            <w:tcBorders>
              <w:top w:val="nil"/>
              <w:left w:val="single" w:color="auto" w:sz="4" w:space="0"/>
              <w:bottom w:val="single" w:color="auto" w:sz="4" w:space="0"/>
              <w:right w:val="single" w:color="auto" w:sz="4" w:space="0"/>
            </w:tcBorders>
            <w:vAlign w:val="center"/>
          </w:tcPr>
          <w:p w14:paraId="22EC01B4">
            <w:pPr>
              <w:widowControl/>
              <w:ind w:firstLine="520"/>
              <w:jc w:val="center"/>
              <w:rPr>
                <w:rFonts w:hint="eastAsia" w:ascii="宋体" w:hAnsi="宋体" w:cs="宋体"/>
                <w:color w:val="auto"/>
                <w:kern w:val="0"/>
                <w:sz w:val="26"/>
                <w:szCs w:val="26"/>
                <w:shd w:val="clear" w:color="auto" w:fill="FFFFFF"/>
              </w:rPr>
            </w:pPr>
            <w:r>
              <w:rPr>
                <w:rFonts w:hint="eastAsia" w:ascii="宋体" w:hAnsi="宋体" w:cs="宋体"/>
                <w:color w:val="auto"/>
                <w:kern w:val="0"/>
                <w:sz w:val="26"/>
                <w:szCs w:val="26"/>
                <w:shd w:val="clear" w:color="auto" w:fill="FFFFFF"/>
              </w:rPr>
              <w:t>合计总价款（人民币）</w:t>
            </w:r>
          </w:p>
        </w:tc>
        <w:tc>
          <w:tcPr>
            <w:tcW w:w="10249" w:type="dxa"/>
            <w:gridSpan w:val="4"/>
            <w:tcBorders>
              <w:top w:val="nil"/>
              <w:left w:val="nil"/>
              <w:bottom w:val="single" w:color="auto" w:sz="4" w:space="0"/>
              <w:right w:val="single" w:color="000000" w:sz="4" w:space="0"/>
            </w:tcBorders>
            <w:vAlign w:val="center"/>
          </w:tcPr>
          <w:p w14:paraId="530A254A">
            <w:pPr>
              <w:widowControl/>
              <w:ind w:firstLine="520"/>
              <w:rPr>
                <w:rFonts w:hint="eastAsia" w:ascii="宋体" w:hAnsi="宋体" w:cs="宋体"/>
                <w:color w:val="auto"/>
                <w:kern w:val="0"/>
                <w:sz w:val="26"/>
                <w:szCs w:val="26"/>
                <w:shd w:val="clear" w:color="auto" w:fill="FFFFFF"/>
              </w:rPr>
            </w:pPr>
            <w:r>
              <w:rPr>
                <w:rFonts w:hint="eastAsia" w:ascii="宋体" w:hAnsi="宋体" w:cs="宋体"/>
                <w:color w:val="auto"/>
                <w:kern w:val="0"/>
                <w:sz w:val="26"/>
                <w:szCs w:val="26"/>
                <w:shd w:val="clear" w:color="auto" w:fill="FFFFFF"/>
              </w:rPr>
              <w:t>人民币</w:t>
            </w:r>
            <w:r>
              <w:rPr>
                <w:rFonts w:hint="eastAsia" w:ascii="宋体" w:hAnsi="宋体" w:cs="宋体"/>
                <w:color w:val="auto"/>
                <w:kern w:val="0"/>
                <w:sz w:val="26"/>
                <w:szCs w:val="26"/>
                <w:u w:val="single"/>
                <w:shd w:val="clear" w:color="auto" w:fill="FFFFFF"/>
              </w:rPr>
              <w:t xml:space="preserve">                 </w:t>
            </w:r>
            <w:r>
              <w:rPr>
                <w:rFonts w:hint="eastAsia" w:ascii="宋体" w:hAnsi="宋体" w:cs="宋体"/>
                <w:color w:val="auto"/>
                <w:kern w:val="0"/>
                <w:sz w:val="26"/>
                <w:szCs w:val="26"/>
                <w:shd w:val="clear" w:color="auto" w:fill="FFFFFF"/>
              </w:rPr>
              <w:t xml:space="preserve">元整。       ￥: </w:t>
            </w:r>
            <w:r>
              <w:rPr>
                <w:rFonts w:hint="eastAsia" w:ascii="宋体" w:hAnsi="宋体" w:cs="宋体"/>
                <w:color w:val="auto"/>
                <w:kern w:val="0"/>
                <w:sz w:val="26"/>
                <w:szCs w:val="26"/>
                <w:u w:val="single"/>
                <w:shd w:val="clear" w:color="auto" w:fill="FFFFFF"/>
              </w:rPr>
              <w:t xml:space="preserve">             </w:t>
            </w:r>
          </w:p>
        </w:tc>
      </w:tr>
      <w:tr w14:paraId="6FD31774">
        <w:tblPrEx>
          <w:tblCellMar>
            <w:top w:w="0" w:type="dxa"/>
            <w:left w:w="108" w:type="dxa"/>
            <w:bottom w:w="0" w:type="dxa"/>
            <w:right w:w="108" w:type="dxa"/>
          </w:tblCellMar>
        </w:tblPrEx>
        <w:trPr>
          <w:trHeight w:val="559" w:hRule="atLeast"/>
          <w:jc w:val="center"/>
        </w:trPr>
        <w:tc>
          <w:tcPr>
            <w:tcW w:w="4822" w:type="dxa"/>
            <w:tcBorders>
              <w:top w:val="nil"/>
              <w:left w:val="single" w:color="auto" w:sz="4" w:space="0"/>
              <w:bottom w:val="nil"/>
              <w:right w:val="nil"/>
            </w:tcBorders>
            <w:vAlign w:val="bottom"/>
          </w:tcPr>
          <w:p w14:paraId="4D4C9629">
            <w:pPr>
              <w:widowControl/>
              <w:ind w:firstLine="0" w:firstLineChars="0"/>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 xml:space="preserve">供货单位（盖章）：                     </w:t>
            </w:r>
          </w:p>
        </w:tc>
        <w:tc>
          <w:tcPr>
            <w:tcW w:w="5051" w:type="dxa"/>
            <w:tcBorders>
              <w:top w:val="nil"/>
              <w:left w:val="nil"/>
              <w:bottom w:val="nil"/>
              <w:right w:val="nil"/>
            </w:tcBorders>
            <w:vAlign w:val="center"/>
          </w:tcPr>
          <w:p w14:paraId="0E298727">
            <w:pPr>
              <w:widowControl/>
              <w:ind w:firstLine="0" w:firstLineChars="0"/>
              <w:jc w:val="both"/>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采购人（盖章）:</w:t>
            </w:r>
          </w:p>
        </w:tc>
        <w:tc>
          <w:tcPr>
            <w:tcW w:w="3004" w:type="dxa"/>
            <w:gridSpan w:val="2"/>
            <w:tcBorders>
              <w:top w:val="nil"/>
              <w:left w:val="nil"/>
              <w:bottom w:val="nil"/>
              <w:right w:val="nil"/>
            </w:tcBorders>
            <w:vAlign w:val="bottom"/>
          </w:tcPr>
          <w:p w14:paraId="6A3297FD">
            <w:pPr>
              <w:widowControl/>
              <w:rPr>
                <w:rFonts w:hint="eastAsia" w:ascii="宋体" w:hAnsi="宋体" w:cs="宋体"/>
                <w:color w:val="auto"/>
                <w:kern w:val="0"/>
                <w:sz w:val="24"/>
                <w:shd w:val="clear" w:color="auto" w:fill="FFFFFF"/>
              </w:rPr>
            </w:pPr>
          </w:p>
        </w:tc>
        <w:tc>
          <w:tcPr>
            <w:tcW w:w="2194" w:type="dxa"/>
            <w:tcBorders>
              <w:top w:val="nil"/>
              <w:left w:val="nil"/>
              <w:bottom w:val="nil"/>
              <w:right w:val="single" w:color="auto" w:sz="4" w:space="0"/>
            </w:tcBorders>
            <w:vAlign w:val="bottom"/>
          </w:tcPr>
          <w:p w14:paraId="31FDC749">
            <w:pPr>
              <w:widowControl/>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　</w:t>
            </w:r>
          </w:p>
        </w:tc>
      </w:tr>
      <w:tr w14:paraId="39C63CF7">
        <w:tblPrEx>
          <w:tblCellMar>
            <w:top w:w="0" w:type="dxa"/>
            <w:left w:w="108" w:type="dxa"/>
            <w:bottom w:w="0" w:type="dxa"/>
            <w:right w:w="108" w:type="dxa"/>
          </w:tblCellMar>
        </w:tblPrEx>
        <w:trPr>
          <w:trHeight w:val="550" w:hRule="atLeast"/>
          <w:jc w:val="center"/>
        </w:trPr>
        <w:tc>
          <w:tcPr>
            <w:tcW w:w="4822" w:type="dxa"/>
            <w:tcBorders>
              <w:top w:val="nil"/>
              <w:left w:val="single" w:color="auto" w:sz="4" w:space="0"/>
              <w:bottom w:val="nil"/>
              <w:right w:val="nil"/>
            </w:tcBorders>
            <w:vAlign w:val="bottom"/>
          </w:tcPr>
          <w:p w14:paraId="1037B87A">
            <w:pPr>
              <w:widowControl/>
              <w:ind w:firstLine="0" w:firstLineChars="0"/>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经办项目负责人：</w:t>
            </w:r>
          </w:p>
        </w:tc>
        <w:tc>
          <w:tcPr>
            <w:tcW w:w="5051" w:type="dxa"/>
            <w:tcBorders>
              <w:top w:val="nil"/>
              <w:left w:val="nil"/>
              <w:bottom w:val="nil"/>
              <w:right w:val="nil"/>
            </w:tcBorders>
            <w:vAlign w:val="center"/>
          </w:tcPr>
          <w:p w14:paraId="44ACD332">
            <w:pPr>
              <w:widowControl/>
              <w:ind w:firstLine="0" w:firstLineChars="0"/>
              <w:jc w:val="both"/>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项目验收组组长：</w:t>
            </w:r>
          </w:p>
        </w:tc>
        <w:tc>
          <w:tcPr>
            <w:tcW w:w="3004" w:type="dxa"/>
            <w:gridSpan w:val="2"/>
            <w:tcBorders>
              <w:top w:val="nil"/>
              <w:left w:val="nil"/>
              <w:bottom w:val="nil"/>
              <w:right w:val="nil"/>
            </w:tcBorders>
            <w:vAlign w:val="bottom"/>
          </w:tcPr>
          <w:p w14:paraId="352F0BD1">
            <w:pPr>
              <w:widowControl/>
              <w:rPr>
                <w:rFonts w:hint="eastAsia" w:ascii="宋体" w:hAnsi="宋体" w:cs="宋体"/>
                <w:color w:val="auto"/>
                <w:kern w:val="0"/>
                <w:sz w:val="24"/>
                <w:shd w:val="clear" w:color="auto" w:fill="FFFFFF"/>
              </w:rPr>
            </w:pPr>
          </w:p>
        </w:tc>
        <w:tc>
          <w:tcPr>
            <w:tcW w:w="2194" w:type="dxa"/>
            <w:tcBorders>
              <w:top w:val="nil"/>
              <w:left w:val="nil"/>
              <w:bottom w:val="nil"/>
              <w:right w:val="single" w:color="auto" w:sz="4" w:space="0"/>
            </w:tcBorders>
            <w:vAlign w:val="bottom"/>
          </w:tcPr>
          <w:p w14:paraId="68E524EB">
            <w:pPr>
              <w:widowControl/>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　</w:t>
            </w:r>
          </w:p>
        </w:tc>
      </w:tr>
      <w:tr w14:paraId="14287B7C">
        <w:tblPrEx>
          <w:tblCellMar>
            <w:top w:w="0" w:type="dxa"/>
            <w:left w:w="108" w:type="dxa"/>
            <w:bottom w:w="0" w:type="dxa"/>
            <w:right w:w="108" w:type="dxa"/>
          </w:tblCellMar>
        </w:tblPrEx>
        <w:trPr>
          <w:trHeight w:val="550" w:hRule="atLeast"/>
          <w:jc w:val="center"/>
        </w:trPr>
        <w:tc>
          <w:tcPr>
            <w:tcW w:w="4822" w:type="dxa"/>
            <w:tcBorders>
              <w:top w:val="nil"/>
              <w:left w:val="single" w:color="auto" w:sz="4" w:space="0"/>
              <w:bottom w:val="nil"/>
              <w:right w:val="nil"/>
            </w:tcBorders>
            <w:vAlign w:val="bottom"/>
          </w:tcPr>
          <w:p w14:paraId="051D914C">
            <w:pPr>
              <w:widowControl/>
              <w:ind w:firstLine="0" w:firstLineChars="0"/>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联系电话：</w:t>
            </w:r>
          </w:p>
        </w:tc>
        <w:tc>
          <w:tcPr>
            <w:tcW w:w="5051" w:type="dxa"/>
            <w:tcBorders>
              <w:top w:val="nil"/>
              <w:left w:val="nil"/>
              <w:bottom w:val="nil"/>
              <w:right w:val="nil"/>
            </w:tcBorders>
            <w:vAlign w:val="center"/>
          </w:tcPr>
          <w:p w14:paraId="5A5BC19C">
            <w:pPr>
              <w:widowControl/>
              <w:ind w:firstLine="0" w:firstLineChars="0"/>
              <w:jc w:val="both"/>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联系电话：</w:t>
            </w:r>
          </w:p>
        </w:tc>
        <w:tc>
          <w:tcPr>
            <w:tcW w:w="1335" w:type="dxa"/>
            <w:tcBorders>
              <w:top w:val="nil"/>
              <w:left w:val="nil"/>
              <w:bottom w:val="nil"/>
              <w:right w:val="nil"/>
            </w:tcBorders>
            <w:vAlign w:val="bottom"/>
          </w:tcPr>
          <w:p w14:paraId="0D1F75EF">
            <w:pPr>
              <w:widowControl/>
              <w:rPr>
                <w:rFonts w:hint="eastAsia" w:ascii="宋体" w:hAnsi="宋体" w:cs="宋体"/>
                <w:color w:val="auto"/>
                <w:kern w:val="0"/>
                <w:sz w:val="24"/>
                <w:shd w:val="clear" w:color="auto" w:fill="FFFFFF"/>
              </w:rPr>
            </w:pPr>
          </w:p>
        </w:tc>
        <w:tc>
          <w:tcPr>
            <w:tcW w:w="1669" w:type="dxa"/>
            <w:tcBorders>
              <w:top w:val="nil"/>
              <w:left w:val="nil"/>
              <w:bottom w:val="nil"/>
              <w:right w:val="nil"/>
            </w:tcBorders>
            <w:vAlign w:val="bottom"/>
          </w:tcPr>
          <w:p w14:paraId="0AFC19C2">
            <w:pPr>
              <w:widowControl/>
              <w:rPr>
                <w:rFonts w:hint="eastAsia" w:ascii="宋体" w:hAnsi="宋体" w:cs="宋体"/>
                <w:color w:val="auto"/>
                <w:kern w:val="0"/>
                <w:sz w:val="24"/>
                <w:shd w:val="clear" w:color="auto" w:fill="FFFFFF"/>
              </w:rPr>
            </w:pPr>
          </w:p>
        </w:tc>
        <w:tc>
          <w:tcPr>
            <w:tcW w:w="2194" w:type="dxa"/>
            <w:tcBorders>
              <w:top w:val="nil"/>
              <w:left w:val="nil"/>
              <w:bottom w:val="nil"/>
              <w:right w:val="single" w:color="auto" w:sz="4" w:space="0"/>
            </w:tcBorders>
            <w:vAlign w:val="bottom"/>
          </w:tcPr>
          <w:p w14:paraId="0474E958">
            <w:pPr>
              <w:widowControl/>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　</w:t>
            </w:r>
          </w:p>
        </w:tc>
      </w:tr>
      <w:tr w14:paraId="20DEE067">
        <w:tblPrEx>
          <w:tblCellMar>
            <w:top w:w="0" w:type="dxa"/>
            <w:left w:w="108" w:type="dxa"/>
            <w:bottom w:w="0" w:type="dxa"/>
            <w:right w:w="108" w:type="dxa"/>
          </w:tblCellMar>
        </w:tblPrEx>
        <w:trPr>
          <w:trHeight w:val="550" w:hRule="atLeast"/>
          <w:jc w:val="center"/>
        </w:trPr>
        <w:tc>
          <w:tcPr>
            <w:tcW w:w="4822" w:type="dxa"/>
            <w:tcBorders>
              <w:top w:val="nil"/>
              <w:left w:val="single" w:color="auto" w:sz="4" w:space="0"/>
              <w:bottom w:val="nil"/>
              <w:right w:val="nil"/>
            </w:tcBorders>
            <w:vAlign w:val="bottom"/>
          </w:tcPr>
          <w:p w14:paraId="70160575">
            <w:pPr>
              <w:widowControl/>
              <w:ind w:firstLine="0" w:firstLineChars="0"/>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开户银行：</w:t>
            </w:r>
          </w:p>
        </w:tc>
        <w:tc>
          <w:tcPr>
            <w:tcW w:w="5051" w:type="dxa"/>
            <w:tcBorders>
              <w:top w:val="nil"/>
              <w:left w:val="nil"/>
              <w:bottom w:val="nil"/>
              <w:right w:val="nil"/>
            </w:tcBorders>
            <w:vAlign w:val="center"/>
          </w:tcPr>
          <w:p w14:paraId="17DC494D">
            <w:pPr>
              <w:widowControl/>
              <w:ind w:firstLine="0" w:firstLineChars="0"/>
              <w:jc w:val="both"/>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项目验收组成员（签名）：</w:t>
            </w:r>
          </w:p>
        </w:tc>
        <w:tc>
          <w:tcPr>
            <w:tcW w:w="1335" w:type="dxa"/>
            <w:tcBorders>
              <w:top w:val="nil"/>
              <w:left w:val="nil"/>
              <w:bottom w:val="nil"/>
              <w:right w:val="nil"/>
            </w:tcBorders>
            <w:vAlign w:val="bottom"/>
          </w:tcPr>
          <w:p w14:paraId="78F4C2BF">
            <w:pPr>
              <w:widowControl/>
              <w:rPr>
                <w:rFonts w:hint="eastAsia" w:ascii="宋体" w:hAnsi="宋体" w:cs="宋体"/>
                <w:color w:val="auto"/>
                <w:kern w:val="0"/>
                <w:sz w:val="24"/>
                <w:shd w:val="clear" w:color="auto" w:fill="FFFFFF"/>
              </w:rPr>
            </w:pPr>
          </w:p>
        </w:tc>
        <w:tc>
          <w:tcPr>
            <w:tcW w:w="1669" w:type="dxa"/>
            <w:tcBorders>
              <w:top w:val="nil"/>
              <w:left w:val="nil"/>
              <w:bottom w:val="nil"/>
              <w:right w:val="nil"/>
            </w:tcBorders>
            <w:vAlign w:val="bottom"/>
          </w:tcPr>
          <w:p w14:paraId="60E006EE">
            <w:pPr>
              <w:widowControl/>
              <w:rPr>
                <w:rFonts w:hint="eastAsia" w:ascii="宋体" w:hAnsi="宋体" w:cs="宋体"/>
                <w:color w:val="auto"/>
                <w:kern w:val="0"/>
                <w:sz w:val="24"/>
                <w:shd w:val="clear" w:color="auto" w:fill="FFFFFF"/>
              </w:rPr>
            </w:pPr>
          </w:p>
        </w:tc>
        <w:tc>
          <w:tcPr>
            <w:tcW w:w="2194" w:type="dxa"/>
            <w:tcBorders>
              <w:top w:val="nil"/>
              <w:left w:val="nil"/>
              <w:bottom w:val="nil"/>
              <w:right w:val="single" w:color="auto" w:sz="4" w:space="0"/>
            </w:tcBorders>
            <w:vAlign w:val="bottom"/>
          </w:tcPr>
          <w:p w14:paraId="0D76C7E2">
            <w:pPr>
              <w:widowControl/>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　</w:t>
            </w:r>
          </w:p>
        </w:tc>
      </w:tr>
      <w:tr w14:paraId="2F90D759">
        <w:tblPrEx>
          <w:tblCellMar>
            <w:top w:w="0" w:type="dxa"/>
            <w:left w:w="108" w:type="dxa"/>
            <w:bottom w:w="0" w:type="dxa"/>
            <w:right w:w="108" w:type="dxa"/>
          </w:tblCellMar>
        </w:tblPrEx>
        <w:trPr>
          <w:trHeight w:val="550" w:hRule="atLeast"/>
          <w:jc w:val="center"/>
        </w:trPr>
        <w:tc>
          <w:tcPr>
            <w:tcW w:w="4822" w:type="dxa"/>
            <w:tcBorders>
              <w:top w:val="nil"/>
              <w:left w:val="single" w:color="auto" w:sz="4" w:space="0"/>
              <w:bottom w:val="single" w:color="auto" w:sz="4" w:space="0"/>
              <w:right w:val="nil"/>
            </w:tcBorders>
            <w:vAlign w:val="center"/>
          </w:tcPr>
          <w:p w14:paraId="215384D8">
            <w:pPr>
              <w:widowControl/>
              <w:ind w:firstLine="0" w:firstLineChars="0"/>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银行账号：</w:t>
            </w:r>
          </w:p>
        </w:tc>
        <w:tc>
          <w:tcPr>
            <w:tcW w:w="5051" w:type="dxa"/>
            <w:tcBorders>
              <w:top w:val="nil"/>
              <w:left w:val="nil"/>
              <w:bottom w:val="single" w:color="auto" w:sz="4" w:space="0"/>
              <w:right w:val="nil"/>
            </w:tcBorders>
            <w:vAlign w:val="bottom"/>
          </w:tcPr>
          <w:p w14:paraId="1C1C1981">
            <w:pPr>
              <w:widowControl/>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　</w:t>
            </w:r>
          </w:p>
        </w:tc>
        <w:tc>
          <w:tcPr>
            <w:tcW w:w="5198" w:type="dxa"/>
            <w:gridSpan w:val="3"/>
            <w:tcBorders>
              <w:top w:val="nil"/>
              <w:left w:val="nil"/>
              <w:bottom w:val="single" w:color="auto" w:sz="4" w:space="0"/>
              <w:right w:val="single" w:color="000000" w:sz="4" w:space="0"/>
            </w:tcBorders>
            <w:vAlign w:val="center"/>
          </w:tcPr>
          <w:p w14:paraId="7D0B24D4">
            <w:pPr>
              <w:widowControl/>
              <w:ind w:firstLine="0" w:firstLineChars="0"/>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验收时间：       年     月     日</w:t>
            </w:r>
          </w:p>
        </w:tc>
      </w:tr>
      <w:tr w14:paraId="02DADA52">
        <w:tblPrEx>
          <w:tblCellMar>
            <w:top w:w="0" w:type="dxa"/>
            <w:left w:w="108" w:type="dxa"/>
            <w:bottom w:w="0" w:type="dxa"/>
            <w:right w:w="108" w:type="dxa"/>
          </w:tblCellMar>
        </w:tblPrEx>
        <w:trPr>
          <w:trHeight w:val="90" w:hRule="atLeast"/>
          <w:jc w:val="center"/>
        </w:trPr>
        <w:tc>
          <w:tcPr>
            <w:tcW w:w="15071" w:type="dxa"/>
            <w:gridSpan w:val="5"/>
            <w:tcBorders>
              <w:top w:val="single" w:color="auto" w:sz="4" w:space="0"/>
              <w:left w:val="nil"/>
              <w:bottom w:val="nil"/>
              <w:right w:val="nil"/>
            </w:tcBorders>
            <w:vAlign w:val="center"/>
          </w:tcPr>
          <w:p w14:paraId="62A22E66">
            <w:pPr>
              <w:widowControl/>
              <w:ind w:firstLine="440"/>
              <w:jc w:val="center"/>
              <w:rPr>
                <w:rFonts w:hint="eastAsia" w:ascii="宋体" w:hAnsi="宋体" w:cs="宋体"/>
                <w:color w:val="auto"/>
                <w:kern w:val="0"/>
                <w:sz w:val="22"/>
                <w:shd w:val="clear" w:color="auto" w:fill="FFFFFF"/>
              </w:rPr>
            </w:pPr>
            <w:r>
              <w:rPr>
                <w:rFonts w:hint="eastAsia" w:ascii="宋体" w:hAnsi="宋体" w:cs="宋体"/>
                <w:color w:val="auto"/>
                <w:kern w:val="0"/>
                <w:sz w:val="22"/>
                <w:shd w:val="clear" w:color="auto" w:fill="FFFFFF"/>
              </w:rPr>
              <w:t>本单一式五联：第一联采购人留存，第二联作为财政支付凭证，第三联供货单位留存，第四联招标代理机构存档备查，第五联采购办存档备查。</w:t>
            </w:r>
          </w:p>
        </w:tc>
      </w:tr>
    </w:tbl>
    <w:p w14:paraId="56B693BA">
      <w:pPr>
        <w:pStyle w:val="26"/>
        <w:snapToGrid w:val="0"/>
        <w:spacing w:line="560" w:lineRule="exact"/>
        <w:ind w:firstLine="0" w:firstLineChars="0"/>
        <w:rPr>
          <w:rFonts w:hint="eastAsia" w:ascii="微软雅黑" w:hAnsi="微软雅黑"/>
          <w:color w:val="auto"/>
          <w:szCs w:val="21"/>
        </w:rPr>
        <w:sectPr>
          <w:pgSz w:w="16838" w:h="11906" w:orient="landscape"/>
          <w:pgMar w:top="1797" w:right="1474" w:bottom="1797" w:left="1247" w:header="851" w:footer="851" w:gutter="0"/>
          <w:cols w:space="720" w:num="1"/>
          <w:docGrid w:linePitch="312" w:charSpace="0"/>
        </w:sectPr>
      </w:pPr>
    </w:p>
    <w:p w14:paraId="20DEC59A">
      <w:pPr>
        <w:pStyle w:val="26"/>
        <w:snapToGrid w:val="0"/>
        <w:spacing w:line="560" w:lineRule="exact"/>
        <w:ind w:firstLine="0" w:firstLineChars="0"/>
        <w:rPr>
          <w:rFonts w:hint="eastAsia" w:ascii="微软雅黑" w:hAnsi="微软雅黑"/>
          <w:color w:val="auto"/>
          <w:szCs w:val="21"/>
        </w:rPr>
      </w:pPr>
    </w:p>
    <w:bookmarkEnd w:id="191"/>
    <w:p w14:paraId="1D4F6AEE">
      <w:pPr>
        <w:pStyle w:val="3"/>
        <w:numPr>
          <w:ilvl w:val="0"/>
          <w:numId w:val="6"/>
        </w:numPr>
        <w:rPr>
          <w:rStyle w:val="73"/>
          <w:b/>
          <w:bCs/>
          <w:color w:val="auto"/>
        </w:rPr>
      </w:pPr>
      <w:bookmarkStart w:id="201" w:name="_Toc25864"/>
      <w:bookmarkStart w:id="202" w:name="_Toc493511828"/>
      <w:r>
        <w:rPr>
          <w:rStyle w:val="73"/>
          <w:rFonts w:hint="eastAsia"/>
          <w:b/>
          <w:bCs/>
          <w:color w:val="auto"/>
        </w:rPr>
        <w:t>投标文件相关格式</w:t>
      </w:r>
      <w:bookmarkEnd w:id="201"/>
      <w:bookmarkEnd w:id="202"/>
      <w:bookmarkStart w:id="203" w:name="_Toc430786287"/>
    </w:p>
    <w:p w14:paraId="0AC5F8F7">
      <w:pPr>
        <w:ind w:firstLine="420"/>
        <w:jc w:val="center"/>
        <w:rPr>
          <w:color w:val="auto"/>
        </w:rPr>
      </w:pPr>
    </w:p>
    <w:p w14:paraId="67ECE0AA">
      <w:pPr>
        <w:ind w:firstLine="420"/>
        <w:jc w:val="center"/>
        <w:rPr>
          <w:color w:val="auto"/>
        </w:rPr>
      </w:pPr>
    </w:p>
    <w:p w14:paraId="0573B7CC">
      <w:pPr>
        <w:ind w:firstLine="420"/>
        <w:jc w:val="center"/>
        <w:rPr>
          <w:color w:val="auto"/>
        </w:rPr>
      </w:pPr>
    </w:p>
    <w:p w14:paraId="435EBF03">
      <w:pPr>
        <w:ind w:firstLine="420"/>
        <w:jc w:val="center"/>
        <w:rPr>
          <w:rFonts w:hint="eastAsia" w:ascii="微软雅黑" w:hAnsi="微软雅黑"/>
          <w:color w:val="auto"/>
        </w:rPr>
      </w:pPr>
      <w:r>
        <w:rPr>
          <w:rFonts w:hint="eastAsia" w:ascii="微软雅黑" w:hAnsi="微软雅黑"/>
          <w:color w:val="auto"/>
        </w:rPr>
        <w:t>嘉兴市公安局南湖区分局涉诈数据处理服务项目资格响应文件/商务技术文件/报价文件</w:t>
      </w:r>
    </w:p>
    <w:p w14:paraId="24D2AEE2">
      <w:pPr>
        <w:ind w:firstLine="420"/>
        <w:jc w:val="center"/>
        <w:rPr>
          <w:rFonts w:hint="eastAsia" w:ascii="微软雅黑" w:hAnsi="微软雅黑"/>
          <w:color w:val="auto"/>
        </w:rPr>
      </w:pPr>
      <w:r>
        <w:rPr>
          <w:rFonts w:hint="eastAsia" w:ascii="微软雅黑" w:hAnsi="微软雅黑"/>
          <w:color w:val="auto"/>
        </w:rPr>
        <w:t>项目编号：</w:t>
      </w:r>
      <w:r>
        <w:rPr>
          <w:rFonts w:hint="eastAsia" w:ascii="微软雅黑" w:hAnsi="微软雅黑"/>
          <w:color w:val="auto"/>
          <w:szCs w:val="21"/>
        </w:rPr>
        <w:t>中际-ZJZJGC（2024）嘉26号</w:t>
      </w:r>
    </w:p>
    <w:p w14:paraId="418BD0F2">
      <w:pPr>
        <w:ind w:firstLine="420"/>
        <w:rPr>
          <w:color w:val="auto"/>
        </w:rPr>
      </w:pPr>
    </w:p>
    <w:p w14:paraId="2BDB9A46">
      <w:pPr>
        <w:ind w:firstLine="420"/>
        <w:rPr>
          <w:color w:val="auto"/>
        </w:rPr>
      </w:pPr>
    </w:p>
    <w:p w14:paraId="22BA3869">
      <w:pPr>
        <w:ind w:firstLine="420"/>
        <w:jc w:val="center"/>
        <w:rPr>
          <w:color w:val="auto"/>
        </w:rPr>
      </w:pPr>
      <w:r>
        <w:rPr>
          <w:rFonts w:hint="eastAsia"/>
          <w:color w:val="auto"/>
        </w:rPr>
        <w:t>投</w:t>
      </w:r>
    </w:p>
    <w:p w14:paraId="5D12EAD6">
      <w:pPr>
        <w:ind w:firstLine="420"/>
        <w:jc w:val="center"/>
        <w:rPr>
          <w:color w:val="auto"/>
        </w:rPr>
      </w:pPr>
      <w:r>
        <w:rPr>
          <w:rFonts w:hint="eastAsia"/>
          <w:color w:val="auto"/>
        </w:rPr>
        <w:t>标</w:t>
      </w:r>
    </w:p>
    <w:p w14:paraId="39C7F3A7">
      <w:pPr>
        <w:ind w:firstLine="420"/>
        <w:jc w:val="center"/>
        <w:rPr>
          <w:color w:val="auto"/>
        </w:rPr>
      </w:pPr>
      <w:r>
        <w:rPr>
          <w:rFonts w:hint="eastAsia"/>
          <w:color w:val="auto"/>
        </w:rPr>
        <w:t>文</w:t>
      </w:r>
    </w:p>
    <w:p w14:paraId="46DB1453">
      <w:pPr>
        <w:ind w:firstLine="420"/>
        <w:jc w:val="center"/>
        <w:rPr>
          <w:color w:val="auto"/>
        </w:rPr>
      </w:pPr>
      <w:r>
        <w:rPr>
          <w:rFonts w:hint="eastAsia"/>
          <w:color w:val="auto"/>
        </w:rPr>
        <w:t>件</w:t>
      </w:r>
    </w:p>
    <w:p w14:paraId="5DA79901">
      <w:pPr>
        <w:ind w:firstLine="420"/>
        <w:rPr>
          <w:color w:val="auto"/>
        </w:rPr>
      </w:pPr>
    </w:p>
    <w:p w14:paraId="01A5A7F0">
      <w:pPr>
        <w:ind w:firstLine="420"/>
        <w:rPr>
          <w:color w:val="auto"/>
        </w:rPr>
      </w:pPr>
    </w:p>
    <w:p w14:paraId="4B285D3B">
      <w:pPr>
        <w:ind w:firstLine="420"/>
        <w:jc w:val="center"/>
        <w:rPr>
          <w:color w:val="auto"/>
        </w:rPr>
      </w:pPr>
      <w:r>
        <w:rPr>
          <w:rFonts w:hint="eastAsia"/>
          <w:color w:val="auto"/>
        </w:rPr>
        <w:t>投标人全称：（加盖单位公章）</w:t>
      </w:r>
    </w:p>
    <w:p w14:paraId="668D7F5E">
      <w:pPr>
        <w:ind w:firstLine="420"/>
        <w:rPr>
          <w:color w:val="auto"/>
        </w:rPr>
      </w:pPr>
    </w:p>
    <w:p w14:paraId="5D5C23C5">
      <w:pPr>
        <w:ind w:firstLine="420"/>
        <w:jc w:val="center"/>
        <w:rPr>
          <w:rStyle w:val="161"/>
          <w:rFonts w:hint="eastAsia"/>
          <w:b/>
          <w:bCs w:val="0"/>
          <w:color w:val="auto"/>
        </w:rPr>
      </w:pPr>
      <w:r>
        <w:rPr>
          <w:rFonts w:hint="eastAsia"/>
          <w:color w:val="auto"/>
        </w:rPr>
        <w:t>年月日</w:t>
      </w:r>
      <w:bookmarkEnd w:id="203"/>
      <w:r>
        <w:rPr>
          <w:rFonts w:hint="eastAsia"/>
          <w:color w:val="auto"/>
        </w:rPr>
        <w:br w:type="page"/>
      </w:r>
      <w:r>
        <w:rPr>
          <w:rStyle w:val="161"/>
          <w:rFonts w:hint="eastAsia"/>
          <w:b/>
          <w:bCs w:val="0"/>
          <w:color w:val="auto"/>
        </w:rPr>
        <w:t>政府</w:t>
      </w:r>
      <w:r>
        <w:rPr>
          <w:rStyle w:val="161"/>
          <w:b/>
          <w:bCs w:val="0"/>
          <w:color w:val="auto"/>
        </w:rPr>
        <w:t>采购活动现场确认声明书</w:t>
      </w:r>
    </w:p>
    <w:p w14:paraId="32D5289D">
      <w:pPr>
        <w:pStyle w:val="137"/>
        <w:snapToGrid w:val="0"/>
        <w:spacing w:line="400" w:lineRule="exact"/>
        <w:jc w:val="center"/>
        <w:rPr>
          <w:rFonts w:hint="eastAsia" w:ascii="微软雅黑" w:hAnsi="微软雅黑" w:eastAsia="微软雅黑" w:cs="宋体"/>
          <w:b/>
          <w:color w:val="auto"/>
          <w:sz w:val="24"/>
          <w:szCs w:val="24"/>
        </w:rPr>
      </w:pPr>
      <w:r>
        <w:rPr>
          <w:rFonts w:ascii="微软雅黑" w:hAnsi="微软雅黑" w:eastAsia="微软雅黑" w:cs="宋体"/>
          <w:b/>
          <w:color w:val="auto"/>
          <w:sz w:val="24"/>
          <w:szCs w:val="24"/>
        </w:rPr>
        <w:t>（要求</w:t>
      </w:r>
      <w:r>
        <w:rPr>
          <w:rFonts w:hint="eastAsia" w:ascii="微软雅黑" w:hAnsi="微软雅黑" w:eastAsia="微软雅黑" w:cs="宋体"/>
          <w:b/>
          <w:color w:val="auto"/>
          <w:sz w:val="24"/>
          <w:szCs w:val="24"/>
        </w:rPr>
        <w:t>在电子投标文件解密后（半小时内），将以下表格填写完成后，在通过钉钉（或邮箱37475903@qq.com</w:t>
      </w:r>
      <w:r>
        <w:rPr>
          <w:rFonts w:ascii="微软雅黑" w:hAnsi="微软雅黑" w:eastAsia="微软雅黑" w:cs="宋体"/>
          <w:b/>
          <w:color w:val="auto"/>
          <w:sz w:val="24"/>
          <w:szCs w:val="24"/>
        </w:rPr>
        <w:t>）</w:t>
      </w:r>
      <w:r>
        <w:rPr>
          <w:rFonts w:hint="eastAsia" w:ascii="微软雅黑" w:hAnsi="微软雅黑" w:eastAsia="微软雅黑" w:cs="宋体"/>
          <w:b/>
          <w:color w:val="auto"/>
          <w:sz w:val="24"/>
          <w:szCs w:val="24"/>
        </w:rPr>
        <w:t>将照片传给代理公司</w:t>
      </w:r>
      <w:r>
        <w:rPr>
          <w:rFonts w:ascii="微软雅黑" w:hAnsi="微软雅黑" w:eastAsia="微软雅黑" w:cs="宋体"/>
          <w:b/>
          <w:color w:val="auto"/>
          <w:sz w:val="24"/>
          <w:szCs w:val="24"/>
        </w:rPr>
        <w:t>，不要封存于投标文件里）</w:t>
      </w:r>
    </w:p>
    <w:p w14:paraId="3683E607">
      <w:pPr>
        <w:pStyle w:val="137"/>
        <w:snapToGrid w:val="0"/>
        <w:spacing w:line="400" w:lineRule="exact"/>
        <w:ind w:firstLine="420"/>
        <w:rPr>
          <w:rFonts w:hint="eastAsia" w:ascii="微软雅黑" w:hAnsi="微软雅黑" w:eastAsia="微软雅黑"/>
          <w:color w:val="auto"/>
          <w:kern w:val="0"/>
          <w:sz w:val="21"/>
          <w:szCs w:val="21"/>
        </w:rPr>
      </w:pPr>
    </w:p>
    <w:p w14:paraId="7D1C6FF5">
      <w:pPr>
        <w:ind w:firstLine="420"/>
        <w:rPr>
          <w:color w:val="auto"/>
          <w:u w:val="single"/>
        </w:rPr>
      </w:pPr>
      <w:bookmarkStart w:id="204" w:name="_Toc5851"/>
      <w:bookmarkStart w:id="205" w:name="_Toc4855"/>
      <w:r>
        <w:rPr>
          <w:rFonts w:hint="eastAsia"/>
          <w:color w:val="auto"/>
          <w:u w:val="single"/>
        </w:rPr>
        <w:t>嘉兴市公安局南湖区分局</w:t>
      </w:r>
      <w:r>
        <w:rPr>
          <w:color w:val="auto"/>
          <w:u w:val="single"/>
        </w:rPr>
        <w:t>：</w:t>
      </w:r>
      <w:bookmarkEnd w:id="204"/>
      <w:bookmarkEnd w:id="205"/>
    </w:p>
    <w:p w14:paraId="47000CE7">
      <w:pPr>
        <w:pStyle w:val="137"/>
        <w:snapToGrid w:val="0"/>
        <w:spacing w:line="400" w:lineRule="exact"/>
        <w:ind w:firstLine="444"/>
        <w:rPr>
          <w:rFonts w:hint="eastAsia" w:ascii="微软雅黑" w:hAnsi="微软雅黑" w:eastAsia="微软雅黑"/>
          <w:color w:val="auto"/>
          <w:spacing w:val="6"/>
          <w:sz w:val="21"/>
          <w:szCs w:val="21"/>
        </w:rPr>
      </w:pPr>
      <w:r>
        <w:rPr>
          <w:rFonts w:ascii="微软雅黑" w:hAnsi="微软雅黑" w:eastAsia="微软雅黑"/>
          <w:color w:val="auto"/>
          <w:spacing w:val="6"/>
          <w:sz w:val="21"/>
          <w:szCs w:val="21"/>
        </w:rPr>
        <w:t>本人经由</w:t>
      </w:r>
      <w:r>
        <w:rPr>
          <w:rFonts w:ascii="微软雅黑" w:hAnsi="微软雅黑" w:eastAsia="微软雅黑"/>
          <w:color w:val="auto"/>
          <w:spacing w:val="6"/>
          <w:sz w:val="21"/>
          <w:szCs w:val="21"/>
          <w:u w:val="single"/>
        </w:rPr>
        <w:t xml:space="preserve">                  （单位）</w:t>
      </w:r>
      <w:r>
        <w:rPr>
          <w:rFonts w:ascii="微软雅黑" w:hAnsi="微软雅黑" w:eastAsia="微软雅黑"/>
          <w:color w:val="auto"/>
          <w:spacing w:val="6"/>
          <w:sz w:val="21"/>
          <w:szCs w:val="21"/>
        </w:rPr>
        <w:t>负责人</w:t>
      </w:r>
      <w:r>
        <w:rPr>
          <w:rFonts w:ascii="微软雅黑" w:hAnsi="微软雅黑" w:eastAsia="微软雅黑"/>
          <w:color w:val="auto"/>
          <w:spacing w:val="6"/>
          <w:sz w:val="21"/>
          <w:szCs w:val="21"/>
          <w:u w:val="single"/>
        </w:rPr>
        <w:t xml:space="preserve">        （姓名）</w:t>
      </w:r>
      <w:r>
        <w:rPr>
          <w:rFonts w:ascii="微软雅黑" w:hAnsi="微软雅黑" w:eastAsia="微软雅黑"/>
          <w:color w:val="auto"/>
          <w:spacing w:val="6"/>
          <w:sz w:val="21"/>
          <w:szCs w:val="21"/>
        </w:rPr>
        <w:t>合法授权参加</w:t>
      </w:r>
      <w:r>
        <w:rPr>
          <w:rFonts w:hint="eastAsia" w:ascii="微软雅黑" w:hAnsi="微软雅黑" w:eastAsia="微软雅黑"/>
          <w:color w:val="auto"/>
          <w:spacing w:val="6"/>
          <w:sz w:val="21"/>
          <w:szCs w:val="21"/>
          <w:u w:val="single"/>
        </w:rPr>
        <w:t>嘉兴市公安局南湖区分局涉诈数据处理服务项目</w:t>
      </w:r>
      <w:r>
        <w:rPr>
          <w:rFonts w:ascii="微软雅黑" w:hAnsi="微软雅黑" w:eastAsia="微软雅黑"/>
          <w:color w:val="auto"/>
          <w:spacing w:val="6"/>
          <w:sz w:val="21"/>
          <w:szCs w:val="21"/>
        </w:rPr>
        <w:t>（编号：</w:t>
      </w:r>
      <w:r>
        <w:rPr>
          <w:rFonts w:hint="eastAsia" w:ascii="微软雅黑" w:hAnsi="微软雅黑" w:eastAsia="微软雅黑"/>
          <w:color w:val="auto"/>
          <w:spacing w:val="6"/>
          <w:sz w:val="21"/>
          <w:szCs w:val="21"/>
          <w:u w:val="single"/>
        </w:rPr>
        <w:t>中际-ZJZJGC（2024）嘉26号</w:t>
      </w:r>
      <w:r>
        <w:rPr>
          <w:rFonts w:ascii="微软雅黑" w:hAnsi="微软雅黑" w:eastAsia="微软雅黑"/>
          <w:color w:val="auto"/>
          <w:spacing w:val="6"/>
          <w:sz w:val="21"/>
          <w:szCs w:val="21"/>
        </w:rPr>
        <w:t xml:space="preserve">）政府采购活动，经与本单位法人代表（负责人）联系确认，现就有关公平竞争事项郑重声明如下： </w:t>
      </w:r>
    </w:p>
    <w:p w14:paraId="67FBE058">
      <w:pPr>
        <w:pStyle w:val="127"/>
        <w:widowControl/>
        <w:numPr>
          <w:ilvl w:val="0"/>
          <w:numId w:val="9"/>
        </w:numPr>
        <w:snapToGrid w:val="0"/>
        <w:spacing w:line="400" w:lineRule="exact"/>
        <w:ind w:firstLine="396" w:firstLineChars="189"/>
        <w:rPr>
          <w:rFonts w:ascii="微软雅黑" w:hAnsi="微软雅黑" w:eastAsia="微软雅黑"/>
          <w:color w:val="auto"/>
          <w:kern w:val="0"/>
          <w:szCs w:val="21"/>
        </w:rPr>
      </w:pPr>
      <w:r>
        <w:rPr>
          <w:rFonts w:ascii="微软雅黑" w:hAnsi="微软雅黑" w:eastAsia="微软雅黑"/>
          <w:color w:val="auto"/>
          <w:kern w:val="0"/>
          <w:szCs w:val="21"/>
        </w:rPr>
        <w:t xml:space="preserve">本单位与采购人之间 </w:t>
      </w:r>
      <w:r>
        <w:rPr>
          <w:rFonts w:ascii="微软雅黑" w:hAnsi="微软雅黑" w:eastAsia="微软雅黑" w:cs="宋体"/>
          <w:color w:val="auto"/>
          <w:kern w:val="0"/>
          <w:szCs w:val="21"/>
        </w:rPr>
        <w:t>□</w:t>
      </w:r>
      <w:r>
        <w:rPr>
          <w:rFonts w:ascii="微软雅黑" w:hAnsi="微软雅黑" w:eastAsia="微软雅黑"/>
          <w:color w:val="auto"/>
          <w:kern w:val="0"/>
          <w:szCs w:val="21"/>
        </w:rPr>
        <w:t xml:space="preserve">不存在利害关系 </w:t>
      </w:r>
      <w:r>
        <w:rPr>
          <w:rFonts w:ascii="微软雅黑" w:hAnsi="微软雅黑" w:eastAsia="微软雅黑" w:cs="宋体"/>
          <w:color w:val="auto"/>
          <w:kern w:val="0"/>
          <w:szCs w:val="21"/>
        </w:rPr>
        <w:t>□</w:t>
      </w:r>
      <w:r>
        <w:rPr>
          <w:rFonts w:ascii="微软雅黑" w:hAnsi="微软雅黑" w:eastAsia="微软雅黑"/>
          <w:color w:val="auto"/>
          <w:kern w:val="0"/>
          <w:szCs w:val="21"/>
        </w:rPr>
        <w:t>存在下列利害关系：</w:t>
      </w:r>
    </w:p>
    <w:p w14:paraId="44DA756C">
      <w:pPr>
        <w:pStyle w:val="127"/>
        <w:widowControl/>
        <w:snapToGrid w:val="0"/>
        <w:spacing w:line="400" w:lineRule="exact"/>
        <w:rPr>
          <w:rFonts w:ascii="微软雅黑" w:hAnsi="微软雅黑" w:eastAsia="微软雅黑"/>
          <w:color w:val="auto"/>
          <w:kern w:val="0"/>
          <w:szCs w:val="21"/>
        </w:rPr>
      </w:pPr>
      <w:r>
        <w:rPr>
          <w:rFonts w:ascii="微软雅黑" w:hAnsi="微软雅黑" w:eastAsia="微软雅黑"/>
          <w:color w:val="auto"/>
          <w:kern w:val="0"/>
          <w:szCs w:val="21"/>
        </w:rPr>
        <w:t xml:space="preserve">  A.投资关系    B.行政隶属关系    C.业务指导关系</w:t>
      </w:r>
    </w:p>
    <w:p w14:paraId="0BD787D4">
      <w:pPr>
        <w:pStyle w:val="127"/>
        <w:widowControl/>
        <w:snapToGrid w:val="0"/>
        <w:spacing w:line="400" w:lineRule="exact"/>
        <w:rPr>
          <w:rFonts w:ascii="微软雅黑" w:hAnsi="微软雅黑" w:eastAsia="微软雅黑"/>
          <w:color w:val="auto"/>
          <w:kern w:val="0"/>
          <w:szCs w:val="21"/>
        </w:rPr>
      </w:pPr>
      <w:r>
        <w:rPr>
          <w:rFonts w:ascii="微软雅黑" w:hAnsi="微软雅黑" w:eastAsia="微软雅黑"/>
          <w:color w:val="auto"/>
          <w:kern w:val="0"/>
          <w:szCs w:val="21"/>
        </w:rPr>
        <w:t xml:space="preserve">  D.其他可能</w:t>
      </w:r>
      <w:r>
        <w:rPr>
          <w:rFonts w:ascii="微软雅黑" w:hAnsi="微软雅黑" w:eastAsia="微软雅黑"/>
          <w:color w:val="auto"/>
          <w:szCs w:val="21"/>
        </w:rPr>
        <w:t>影响采购公正的</w:t>
      </w:r>
      <w:r>
        <w:rPr>
          <w:rFonts w:ascii="微软雅黑" w:hAnsi="微软雅黑" w:eastAsia="微软雅黑"/>
          <w:color w:val="auto"/>
          <w:kern w:val="0"/>
          <w:szCs w:val="21"/>
        </w:rPr>
        <w:t>利害关系</w:t>
      </w:r>
      <w:r>
        <w:rPr>
          <w:rFonts w:ascii="微软雅黑" w:hAnsi="微软雅黑" w:eastAsia="微软雅黑"/>
          <w:color w:val="auto"/>
          <w:kern w:val="0"/>
          <w:szCs w:val="21"/>
          <w:u w:val="single"/>
        </w:rPr>
        <w:t xml:space="preserve">（如有，请如实说明）                 </w:t>
      </w:r>
      <w:r>
        <w:rPr>
          <w:rFonts w:ascii="微软雅黑" w:hAnsi="微软雅黑" w:eastAsia="微软雅黑"/>
          <w:color w:val="auto"/>
          <w:kern w:val="0"/>
          <w:szCs w:val="21"/>
        </w:rPr>
        <w:t>。</w:t>
      </w:r>
    </w:p>
    <w:p w14:paraId="66829074">
      <w:pPr>
        <w:pStyle w:val="127"/>
        <w:widowControl/>
        <w:snapToGrid w:val="0"/>
        <w:spacing w:line="400" w:lineRule="exact"/>
        <w:rPr>
          <w:rFonts w:ascii="微软雅黑" w:hAnsi="微软雅黑" w:eastAsia="微软雅黑"/>
          <w:color w:val="auto"/>
          <w:kern w:val="0"/>
          <w:szCs w:val="21"/>
        </w:rPr>
      </w:pPr>
      <w:r>
        <w:rPr>
          <w:rFonts w:ascii="微软雅黑" w:hAnsi="微软雅黑" w:eastAsia="微软雅黑"/>
          <w:color w:val="auto"/>
          <w:spacing w:val="6"/>
          <w:szCs w:val="21"/>
        </w:rPr>
        <w:t xml:space="preserve">  二、</w:t>
      </w:r>
      <w:r>
        <w:rPr>
          <w:rFonts w:ascii="微软雅黑" w:hAnsi="微软雅黑" w:eastAsia="微软雅黑"/>
          <w:color w:val="auto"/>
          <w:kern w:val="0"/>
          <w:szCs w:val="21"/>
        </w:rPr>
        <w:t xml:space="preserve">现已清楚知道参加本项目采购活动的其他所有供应商名称，本单位 </w:t>
      </w:r>
      <w:r>
        <w:rPr>
          <w:rFonts w:ascii="微软雅黑" w:hAnsi="微软雅黑" w:eastAsia="微软雅黑" w:cs="宋体"/>
          <w:color w:val="auto"/>
          <w:kern w:val="0"/>
          <w:szCs w:val="21"/>
        </w:rPr>
        <w:t>□与其他所有供应商之间均</w:t>
      </w:r>
      <w:r>
        <w:rPr>
          <w:rFonts w:ascii="微软雅黑" w:hAnsi="微软雅黑" w:eastAsia="微软雅黑"/>
          <w:color w:val="auto"/>
          <w:kern w:val="0"/>
          <w:szCs w:val="21"/>
        </w:rPr>
        <w:t xml:space="preserve">不存在利害关系 </w:t>
      </w:r>
      <w:r>
        <w:rPr>
          <w:rFonts w:ascii="微软雅黑" w:hAnsi="微软雅黑" w:eastAsia="微软雅黑" w:cs="宋体"/>
          <w:color w:val="auto"/>
          <w:kern w:val="0"/>
          <w:szCs w:val="21"/>
        </w:rPr>
        <w:t>□与</w:t>
      </w:r>
      <w:r>
        <w:rPr>
          <w:rFonts w:ascii="微软雅黑" w:hAnsi="微软雅黑" w:eastAsia="微软雅黑" w:cs="宋体"/>
          <w:color w:val="auto"/>
          <w:kern w:val="0"/>
          <w:szCs w:val="21"/>
          <w:u w:val="single"/>
        </w:rPr>
        <w:t xml:space="preserve">           （供应商名称）</w:t>
      </w:r>
      <w:r>
        <w:rPr>
          <w:rFonts w:ascii="微软雅黑" w:hAnsi="微软雅黑" w:eastAsia="微软雅黑" w:cs="宋体"/>
          <w:color w:val="auto"/>
          <w:kern w:val="0"/>
          <w:szCs w:val="21"/>
        </w:rPr>
        <w:t>之间</w:t>
      </w:r>
      <w:r>
        <w:rPr>
          <w:rFonts w:ascii="微软雅黑" w:hAnsi="微软雅黑" w:eastAsia="微软雅黑"/>
          <w:color w:val="auto"/>
          <w:kern w:val="0"/>
          <w:szCs w:val="21"/>
        </w:rPr>
        <w:t>存在下列利害关系：</w:t>
      </w:r>
    </w:p>
    <w:p w14:paraId="39EC9413">
      <w:pPr>
        <w:pStyle w:val="137"/>
        <w:snapToGrid w:val="0"/>
        <w:spacing w:line="400" w:lineRule="exact"/>
        <w:ind w:firstLine="420"/>
        <w:rPr>
          <w:rFonts w:hint="eastAsia" w:ascii="微软雅黑" w:hAnsi="微软雅黑" w:eastAsia="微软雅黑"/>
          <w:color w:val="auto"/>
          <w:kern w:val="0"/>
          <w:sz w:val="21"/>
          <w:szCs w:val="21"/>
        </w:rPr>
      </w:pPr>
      <w:r>
        <w:rPr>
          <w:rFonts w:ascii="微软雅黑" w:hAnsi="微软雅黑" w:eastAsia="微软雅黑"/>
          <w:color w:val="auto"/>
          <w:kern w:val="0"/>
          <w:sz w:val="21"/>
          <w:szCs w:val="21"/>
        </w:rPr>
        <w:t xml:space="preserve">  A.法定代表人或负责人或实际控制人是同一人</w:t>
      </w:r>
    </w:p>
    <w:p w14:paraId="43F95FE3">
      <w:pPr>
        <w:pStyle w:val="137"/>
        <w:snapToGrid w:val="0"/>
        <w:spacing w:line="400" w:lineRule="exact"/>
        <w:ind w:firstLine="420"/>
        <w:rPr>
          <w:rFonts w:hint="eastAsia" w:ascii="微软雅黑" w:hAnsi="微软雅黑" w:eastAsia="微软雅黑"/>
          <w:color w:val="auto"/>
          <w:spacing w:val="6"/>
          <w:sz w:val="21"/>
          <w:szCs w:val="21"/>
        </w:rPr>
      </w:pPr>
      <w:r>
        <w:rPr>
          <w:rFonts w:ascii="微软雅黑" w:hAnsi="微软雅黑" w:eastAsia="微软雅黑"/>
          <w:color w:val="auto"/>
          <w:kern w:val="0"/>
          <w:sz w:val="21"/>
          <w:szCs w:val="21"/>
        </w:rPr>
        <w:t xml:space="preserve">  B.法定代表人或负责人或实际控制人是夫妻关系</w:t>
      </w:r>
    </w:p>
    <w:p w14:paraId="50E07024">
      <w:pPr>
        <w:pStyle w:val="137"/>
        <w:snapToGrid w:val="0"/>
        <w:spacing w:line="400" w:lineRule="exact"/>
        <w:ind w:firstLine="420"/>
        <w:rPr>
          <w:rFonts w:hint="eastAsia" w:ascii="微软雅黑" w:hAnsi="微软雅黑" w:eastAsia="微软雅黑"/>
          <w:color w:val="auto"/>
          <w:spacing w:val="6"/>
          <w:sz w:val="21"/>
          <w:szCs w:val="21"/>
        </w:rPr>
      </w:pPr>
      <w:r>
        <w:rPr>
          <w:rFonts w:ascii="微软雅黑" w:hAnsi="微软雅黑" w:eastAsia="微软雅黑"/>
          <w:color w:val="auto"/>
          <w:kern w:val="0"/>
          <w:sz w:val="21"/>
          <w:szCs w:val="21"/>
        </w:rPr>
        <w:t xml:space="preserve">  C.法定代表人或负责人或实际控制人是直系血亲关系</w:t>
      </w:r>
    </w:p>
    <w:p w14:paraId="4D3AE567">
      <w:pPr>
        <w:pStyle w:val="137"/>
        <w:snapToGrid w:val="0"/>
        <w:spacing w:line="400" w:lineRule="exact"/>
        <w:ind w:firstLine="420"/>
        <w:rPr>
          <w:rFonts w:hint="eastAsia" w:ascii="微软雅黑" w:hAnsi="微软雅黑" w:eastAsia="微软雅黑"/>
          <w:color w:val="auto"/>
          <w:spacing w:val="6"/>
          <w:sz w:val="21"/>
          <w:szCs w:val="21"/>
        </w:rPr>
      </w:pPr>
      <w:r>
        <w:rPr>
          <w:rFonts w:ascii="微软雅黑" w:hAnsi="微软雅黑" w:eastAsia="微软雅黑"/>
          <w:color w:val="auto"/>
          <w:kern w:val="0"/>
          <w:sz w:val="21"/>
          <w:szCs w:val="21"/>
        </w:rPr>
        <w:t xml:space="preserve">  D.法定代表人或负责人或实际控制人存在三代以内旁系血亲关系</w:t>
      </w:r>
    </w:p>
    <w:p w14:paraId="677F6F77">
      <w:pPr>
        <w:pStyle w:val="137"/>
        <w:snapToGrid w:val="0"/>
        <w:spacing w:line="400" w:lineRule="exact"/>
        <w:ind w:firstLine="420"/>
        <w:rPr>
          <w:rFonts w:hint="eastAsia" w:ascii="微软雅黑" w:hAnsi="微软雅黑" w:eastAsia="微软雅黑"/>
          <w:color w:val="auto"/>
          <w:kern w:val="0"/>
          <w:sz w:val="21"/>
          <w:szCs w:val="21"/>
        </w:rPr>
      </w:pPr>
      <w:r>
        <w:rPr>
          <w:rFonts w:ascii="微软雅黑" w:hAnsi="微软雅黑" w:eastAsia="微软雅黑"/>
          <w:color w:val="auto"/>
          <w:kern w:val="0"/>
          <w:sz w:val="21"/>
          <w:szCs w:val="21"/>
        </w:rPr>
        <w:t xml:space="preserve">  E.法定代表人或负责人或实际控制人存在近姻亲关系</w:t>
      </w:r>
    </w:p>
    <w:p w14:paraId="1EE41A46">
      <w:pPr>
        <w:pStyle w:val="137"/>
        <w:snapToGrid w:val="0"/>
        <w:spacing w:line="400" w:lineRule="exact"/>
        <w:ind w:firstLine="420"/>
        <w:rPr>
          <w:rFonts w:hint="eastAsia" w:ascii="微软雅黑" w:hAnsi="微软雅黑" w:eastAsia="微软雅黑"/>
          <w:color w:val="auto"/>
          <w:kern w:val="0"/>
          <w:sz w:val="21"/>
          <w:szCs w:val="21"/>
        </w:rPr>
      </w:pPr>
      <w:r>
        <w:rPr>
          <w:rFonts w:ascii="微软雅黑" w:hAnsi="微软雅黑" w:eastAsia="微软雅黑"/>
          <w:color w:val="auto"/>
          <w:kern w:val="0"/>
          <w:sz w:val="21"/>
          <w:szCs w:val="21"/>
        </w:rPr>
        <w:t xml:space="preserve">  F.法定代表人或负责人或实际控制人存在股份控制或实际控制关系</w:t>
      </w:r>
    </w:p>
    <w:p w14:paraId="2FD0B471">
      <w:pPr>
        <w:pStyle w:val="137"/>
        <w:snapToGrid w:val="0"/>
        <w:spacing w:line="400" w:lineRule="exact"/>
        <w:ind w:firstLine="420"/>
        <w:rPr>
          <w:rFonts w:hint="eastAsia" w:ascii="微软雅黑" w:hAnsi="微软雅黑" w:eastAsia="微软雅黑"/>
          <w:color w:val="auto"/>
          <w:kern w:val="0"/>
          <w:sz w:val="21"/>
          <w:szCs w:val="21"/>
        </w:rPr>
      </w:pPr>
      <w:r>
        <w:rPr>
          <w:rFonts w:ascii="微软雅黑" w:hAnsi="微软雅黑" w:eastAsia="微软雅黑"/>
          <w:color w:val="auto"/>
          <w:kern w:val="0"/>
          <w:sz w:val="21"/>
          <w:szCs w:val="21"/>
        </w:rPr>
        <w:t xml:space="preserve">  G.存在共同直接或间接投资设立子公司、联营企业和合营企业情况</w:t>
      </w:r>
    </w:p>
    <w:p w14:paraId="74A711B0">
      <w:pPr>
        <w:pStyle w:val="137"/>
        <w:snapToGrid w:val="0"/>
        <w:spacing w:line="400" w:lineRule="exact"/>
        <w:ind w:firstLine="420"/>
        <w:rPr>
          <w:rFonts w:hint="eastAsia" w:ascii="微软雅黑" w:hAnsi="微软雅黑" w:eastAsia="微软雅黑"/>
          <w:color w:val="auto"/>
          <w:sz w:val="21"/>
          <w:szCs w:val="21"/>
        </w:rPr>
      </w:pPr>
      <w:r>
        <w:rPr>
          <w:rFonts w:ascii="微软雅黑" w:hAnsi="微软雅黑" w:eastAsia="微软雅黑"/>
          <w:color w:val="auto"/>
          <w:kern w:val="0"/>
          <w:sz w:val="21"/>
          <w:szCs w:val="21"/>
        </w:rPr>
        <w:t xml:space="preserve">  H.存在分级代理或代销关系、同一生产制造商关系、</w:t>
      </w:r>
      <w:r>
        <w:rPr>
          <w:rFonts w:ascii="微软雅黑" w:hAnsi="微软雅黑" w:eastAsia="微软雅黑"/>
          <w:color w:val="auto"/>
          <w:sz w:val="21"/>
          <w:szCs w:val="21"/>
        </w:rPr>
        <w:t>管理关系、重要业务（占主营业务收入50%以上）或重要财务往来关系（如融资）等其他实质性控制关系</w:t>
      </w:r>
      <w:bookmarkStart w:id="206" w:name="_Toc8126"/>
      <w:bookmarkStart w:id="207" w:name="_Toc30604"/>
    </w:p>
    <w:p w14:paraId="485E8772">
      <w:pPr>
        <w:pStyle w:val="137"/>
        <w:snapToGrid w:val="0"/>
        <w:spacing w:line="400" w:lineRule="exact"/>
        <w:ind w:firstLine="630" w:firstLineChars="300"/>
        <w:rPr>
          <w:rFonts w:hint="eastAsia" w:ascii="微软雅黑" w:hAnsi="微软雅黑" w:eastAsia="微软雅黑"/>
          <w:color w:val="auto"/>
          <w:kern w:val="0"/>
          <w:sz w:val="21"/>
          <w:szCs w:val="21"/>
        </w:rPr>
      </w:pPr>
      <w:r>
        <w:rPr>
          <w:rFonts w:hint="eastAsia" w:ascii="微软雅黑" w:hAnsi="微软雅黑" w:eastAsia="微软雅黑"/>
          <w:color w:val="auto"/>
          <w:kern w:val="0"/>
          <w:sz w:val="21"/>
          <w:szCs w:val="21"/>
        </w:rPr>
        <w:t>I.其他利害关系情况。</w:t>
      </w:r>
      <w:bookmarkEnd w:id="206"/>
      <w:bookmarkEnd w:id="207"/>
    </w:p>
    <w:p w14:paraId="6D7EF9A7">
      <w:pPr>
        <w:pStyle w:val="127"/>
        <w:widowControl/>
        <w:numPr>
          <w:ilvl w:val="0"/>
          <w:numId w:val="10"/>
        </w:numPr>
        <w:snapToGrid w:val="0"/>
        <w:spacing w:line="400" w:lineRule="exact"/>
        <w:ind w:firstLine="396" w:firstLineChars="189"/>
        <w:rPr>
          <w:rFonts w:ascii="微软雅黑" w:hAnsi="微软雅黑" w:eastAsia="微软雅黑"/>
          <w:color w:val="auto"/>
          <w:kern w:val="0"/>
          <w:szCs w:val="21"/>
        </w:rPr>
      </w:pPr>
      <w:r>
        <w:rPr>
          <w:rFonts w:ascii="微软雅黑" w:hAnsi="微软雅黑" w:eastAsia="微软雅黑"/>
          <w:color w:val="auto"/>
          <w:szCs w:val="21"/>
        </w:rPr>
        <w:t>现已清楚知道并</w:t>
      </w:r>
      <w:r>
        <w:rPr>
          <w:rFonts w:ascii="微软雅黑" w:hAnsi="微软雅黑" w:eastAsia="微软雅黑"/>
          <w:color w:val="auto"/>
          <w:kern w:val="0"/>
          <w:szCs w:val="21"/>
        </w:rPr>
        <w:t>严格遵守政府采购法律法规和现场纪律。</w:t>
      </w:r>
    </w:p>
    <w:p w14:paraId="3B3C6252">
      <w:pPr>
        <w:pStyle w:val="127"/>
        <w:widowControl/>
        <w:numPr>
          <w:ilvl w:val="0"/>
          <w:numId w:val="10"/>
        </w:numPr>
        <w:snapToGrid w:val="0"/>
        <w:spacing w:line="400" w:lineRule="exact"/>
        <w:ind w:firstLine="396" w:firstLineChars="189"/>
        <w:rPr>
          <w:rFonts w:ascii="微软雅黑" w:hAnsi="微软雅黑" w:eastAsia="微软雅黑"/>
          <w:color w:val="auto"/>
          <w:kern w:val="0"/>
          <w:szCs w:val="21"/>
        </w:rPr>
      </w:pPr>
      <w:r>
        <w:rPr>
          <w:rFonts w:ascii="微软雅黑" w:hAnsi="微软雅黑" w:eastAsia="微软雅黑"/>
          <w:color w:val="auto"/>
          <w:kern w:val="0"/>
          <w:szCs w:val="21"/>
        </w:rPr>
        <w:t>我发现供应商之间存在或可能存在上述第二条第项利害关系。</w:t>
      </w:r>
    </w:p>
    <w:p w14:paraId="1694B7F0">
      <w:pPr>
        <w:pStyle w:val="137"/>
        <w:snapToGrid w:val="0"/>
        <w:spacing w:line="400" w:lineRule="exact"/>
        <w:ind w:firstLine="420"/>
        <w:rPr>
          <w:rFonts w:hint="eastAsia" w:ascii="微软雅黑" w:hAnsi="微软雅黑" w:eastAsia="微软雅黑"/>
          <w:color w:val="auto"/>
          <w:sz w:val="21"/>
          <w:szCs w:val="21"/>
        </w:rPr>
      </w:pPr>
    </w:p>
    <w:p w14:paraId="626124FD">
      <w:pPr>
        <w:pStyle w:val="137"/>
        <w:snapToGrid w:val="0"/>
        <w:spacing w:line="400" w:lineRule="exact"/>
        <w:ind w:firstLine="420"/>
        <w:rPr>
          <w:rFonts w:hint="eastAsia" w:ascii="微软雅黑" w:hAnsi="微软雅黑" w:eastAsia="微软雅黑"/>
          <w:color w:val="auto"/>
          <w:sz w:val="21"/>
          <w:szCs w:val="21"/>
        </w:rPr>
      </w:pPr>
    </w:p>
    <w:p w14:paraId="43D4DD98">
      <w:pPr>
        <w:pStyle w:val="137"/>
        <w:snapToGrid w:val="0"/>
        <w:spacing w:line="400" w:lineRule="exact"/>
        <w:ind w:firstLine="420"/>
        <w:rPr>
          <w:rFonts w:hint="eastAsia" w:ascii="微软雅黑" w:hAnsi="微软雅黑" w:eastAsia="微软雅黑"/>
          <w:color w:val="auto"/>
          <w:sz w:val="21"/>
          <w:szCs w:val="21"/>
        </w:rPr>
      </w:pPr>
      <w:r>
        <w:rPr>
          <w:rFonts w:ascii="微软雅黑" w:hAnsi="微软雅黑" w:eastAsia="微软雅黑"/>
          <w:color w:val="auto"/>
          <w:sz w:val="21"/>
          <w:szCs w:val="21"/>
        </w:rPr>
        <w:t xml:space="preserve"> 供应商代表签名：</w:t>
      </w:r>
    </w:p>
    <w:p w14:paraId="5845E855">
      <w:pPr>
        <w:snapToGrid w:val="0"/>
        <w:ind w:firstLine="630" w:firstLineChars="300"/>
        <w:rPr>
          <w:rFonts w:hint="eastAsia" w:ascii="微软雅黑" w:hAnsi="微软雅黑"/>
          <w:b/>
          <w:color w:val="auto"/>
          <w:szCs w:val="21"/>
        </w:rPr>
      </w:pPr>
      <w:r>
        <w:rPr>
          <w:rFonts w:ascii="微软雅黑" w:hAnsi="微软雅黑"/>
          <w:color w:val="auto"/>
          <w:szCs w:val="21"/>
        </w:rPr>
        <w:t xml:space="preserve"> 年  月  日</w:t>
      </w:r>
    </w:p>
    <w:p w14:paraId="0CEEF619">
      <w:pPr>
        <w:snapToGrid w:val="0"/>
        <w:ind w:firstLine="420"/>
        <w:rPr>
          <w:rFonts w:hint="eastAsia" w:ascii="微软雅黑" w:hAnsi="微软雅黑"/>
          <w:b/>
          <w:color w:val="auto"/>
          <w:szCs w:val="21"/>
        </w:rPr>
      </w:pPr>
      <w:r>
        <w:rPr>
          <w:rFonts w:hint="eastAsia" w:ascii="微软雅黑" w:hAnsi="微软雅黑"/>
          <w:b/>
          <w:color w:val="auto"/>
          <w:szCs w:val="21"/>
        </w:rPr>
        <w:br w:type="page"/>
      </w:r>
      <w:r>
        <w:rPr>
          <w:rFonts w:hint="eastAsia" w:ascii="微软雅黑" w:hAnsi="微软雅黑"/>
          <w:b/>
          <w:color w:val="auto"/>
          <w:szCs w:val="21"/>
        </w:rPr>
        <w:t>投标声明书格式：</w:t>
      </w:r>
    </w:p>
    <w:p w14:paraId="4663E22A">
      <w:pPr>
        <w:ind w:firstLine="420"/>
        <w:jc w:val="center"/>
        <w:rPr>
          <w:color w:val="auto"/>
        </w:rPr>
      </w:pPr>
      <w:bookmarkStart w:id="208" w:name="_Toc24941"/>
      <w:bookmarkStart w:id="209" w:name="_Toc6432"/>
      <w:r>
        <w:rPr>
          <w:rFonts w:hint="eastAsia"/>
          <w:color w:val="auto"/>
        </w:rPr>
        <w:t>投标声明书</w:t>
      </w:r>
      <w:bookmarkEnd w:id="208"/>
      <w:bookmarkEnd w:id="209"/>
    </w:p>
    <w:p w14:paraId="00E8513C">
      <w:pPr>
        <w:snapToGrid w:val="0"/>
        <w:ind w:firstLine="420"/>
        <w:rPr>
          <w:rFonts w:hint="eastAsia" w:ascii="微软雅黑" w:hAnsi="微软雅黑"/>
          <w:color w:val="auto"/>
          <w:szCs w:val="21"/>
        </w:rPr>
      </w:pPr>
      <w:r>
        <w:rPr>
          <w:rFonts w:hint="eastAsia" w:ascii="微软雅黑" w:hAnsi="微软雅黑"/>
          <w:color w:val="auto"/>
          <w:szCs w:val="21"/>
        </w:rPr>
        <w:t>致：</w:t>
      </w:r>
      <w:r>
        <w:rPr>
          <w:rFonts w:hint="eastAsia" w:ascii="微软雅黑" w:hAnsi="微软雅黑"/>
          <w:color w:val="auto"/>
          <w:szCs w:val="21"/>
          <w:u w:val="single"/>
        </w:rPr>
        <w:t>嘉兴市公安局南湖区分局</w:t>
      </w:r>
      <w:r>
        <w:rPr>
          <w:rFonts w:hint="eastAsia" w:ascii="微软雅黑" w:hAnsi="微软雅黑"/>
          <w:color w:val="auto"/>
          <w:szCs w:val="21"/>
        </w:rPr>
        <w:t>（招标采购单位名称）：</w:t>
      </w:r>
    </w:p>
    <w:p w14:paraId="6B811474">
      <w:pPr>
        <w:snapToGrid w:val="0"/>
        <w:ind w:firstLine="630" w:firstLineChars="300"/>
        <w:rPr>
          <w:rFonts w:hint="eastAsia" w:ascii="微软雅黑" w:hAnsi="微软雅黑"/>
          <w:color w:val="auto"/>
          <w:szCs w:val="21"/>
        </w:rPr>
      </w:pPr>
      <w:r>
        <w:rPr>
          <w:rFonts w:hint="eastAsia" w:ascii="微软雅黑" w:hAnsi="微软雅黑"/>
          <w:color w:val="auto"/>
          <w:szCs w:val="21"/>
        </w:rPr>
        <w:t>（投标人名称）系中华人民共和国合法企业，经营地址。</w:t>
      </w:r>
    </w:p>
    <w:p w14:paraId="51FAA60B">
      <w:pPr>
        <w:snapToGrid w:val="0"/>
        <w:ind w:firstLine="420"/>
        <w:rPr>
          <w:rFonts w:hint="eastAsia" w:ascii="微软雅黑" w:hAnsi="微软雅黑"/>
          <w:color w:val="auto"/>
          <w:szCs w:val="21"/>
        </w:rPr>
      </w:pPr>
      <w:r>
        <w:rPr>
          <w:rFonts w:hint="eastAsia" w:ascii="微软雅黑" w:hAnsi="微软雅黑"/>
          <w:color w:val="auto"/>
          <w:szCs w:val="21"/>
        </w:rPr>
        <w:t>我（姓名）系（投标人名称）的法定代表人，我方愿意参加贵方组织的项目的投标，为便于贵方公正、择优地确定中标人及其投标产品和服务，我方就本次投标有关事项郑重声明如下：</w:t>
      </w:r>
    </w:p>
    <w:p w14:paraId="17C0DBC6">
      <w:pPr>
        <w:snapToGrid w:val="0"/>
        <w:ind w:firstLine="420"/>
        <w:rPr>
          <w:rFonts w:hint="eastAsia" w:ascii="微软雅黑" w:hAnsi="微软雅黑"/>
          <w:color w:val="auto"/>
          <w:szCs w:val="21"/>
        </w:rPr>
      </w:pPr>
      <w:r>
        <w:rPr>
          <w:rFonts w:ascii="微软雅黑" w:hAnsi="微软雅黑"/>
          <w:color w:val="auto"/>
          <w:szCs w:val="21"/>
        </w:rPr>
        <w:t>1</w:t>
      </w:r>
      <w:r>
        <w:rPr>
          <w:rFonts w:hint="eastAsia" w:ascii="微软雅黑" w:hAnsi="微软雅黑"/>
          <w:color w:val="auto"/>
          <w:szCs w:val="21"/>
        </w:rPr>
        <w:t>、</w:t>
      </w:r>
      <w:r>
        <w:rPr>
          <w:rFonts w:ascii="微软雅黑" w:hAnsi="微软雅黑"/>
          <w:color w:val="auto"/>
          <w:szCs w:val="21"/>
        </w:rPr>
        <w:t>我方向贵方提交的所有投标文件、资料都是准确的和真实的</w:t>
      </w:r>
      <w:r>
        <w:rPr>
          <w:rFonts w:hint="eastAsia" w:ascii="微软雅黑" w:hAnsi="微软雅黑"/>
          <w:color w:val="auto"/>
          <w:szCs w:val="21"/>
        </w:rPr>
        <w:t>。</w:t>
      </w:r>
    </w:p>
    <w:p w14:paraId="5CBC045C">
      <w:pPr>
        <w:snapToGrid w:val="0"/>
        <w:ind w:firstLine="420"/>
        <w:rPr>
          <w:rFonts w:hint="eastAsia" w:ascii="微软雅黑" w:hAnsi="微软雅黑"/>
          <w:color w:val="auto"/>
          <w:szCs w:val="21"/>
        </w:rPr>
      </w:pPr>
      <w:r>
        <w:rPr>
          <w:rFonts w:ascii="微软雅黑" w:hAnsi="微软雅黑"/>
          <w:color w:val="auto"/>
          <w:szCs w:val="21"/>
        </w:rPr>
        <w:t>2</w:t>
      </w:r>
      <w:r>
        <w:rPr>
          <w:rFonts w:hint="eastAsia" w:ascii="微软雅黑" w:hAnsi="微软雅黑"/>
          <w:color w:val="auto"/>
          <w:szCs w:val="21"/>
        </w:rPr>
        <w:t>、</w:t>
      </w:r>
      <w:r>
        <w:rPr>
          <w:rFonts w:ascii="微软雅黑" w:hAnsi="微软雅黑"/>
          <w:color w:val="auto"/>
          <w:szCs w:val="21"/>
        </w:rPr>
        <w:t>我方不是采购人的附属机构；在获知本项目采购信息后，与采购人聘请的为此项目提供咨询服务的公司及其附属机构没有任何联系。</w:t>
      </w:r>
    </w:p>
    <w:p w14:paraId="34001790">
      <w:pPr>
        <w:snapToGrid w:val="0"/>
        <w:rPr>
          <w:rFonts w:hint="eastAsia" w:ascii="微软雅黑" w:hAnsi="微软雅黑"/>
          <w:color w:val="auto"/>
          <w:szCs w:val="21"/>
        </w:rPr>
      </w:pPr>
      <w:r>
        <w:rPr>
          <w:rFonts w:ascii="微软雅黑" w:hAnsi="微软雅黑"/>
          <w:color w:val="auto"/>
          <w:spacing w:val="15"/>
          <w:kern w:val="0"/>
          <w:szCs w:val="21"/>
        </w:rPr>
        <w:t>3</w:t>
      </w:r>
      <w:r>
        <w:rPr>
          <w:rFonts w:hint="eastAsia" w:ascii="微软雅黑" w:hAnsi="微软雅黑"/>
          <w:color w:val="auto"/>
          <w:spacing w:val="15"/>
          <w:kern w:val="0"/>
          <w:szCs w:val="21"/>
        </w:rPr>
        <w:t>、</w:t>
      </w:r>
      <w:r>
        <w:rPr>
          <w:rFonts w:ascii="微软雅黑" w:hAnsi="微软雅黑"/>
          <w:color w:val="auto"/>
          <w:spacing w:val="15"/>
          <w:kern w:val="0"/>
          <w:szCs w:val="21"/>
        </w:rPr>
        <w:t>我方此次向贵方提供的</w:t>
      </w:r>
      <w:r>
        <w:rPr>
          <w:rFonts w:hint="eastAsia" w:ascii="微软雅黑" w:hAnsi="微软雅黑"/>
          <w:color w:val="auto"/>
          <w:spacing w:val="15"/>
          <w:kern w:val="0"/>
          <w:szCs w:val="21"/>
        </w:rPr>
        <w:t>服务内容为</w:t>
      </w:r>
      <w:r>
        <w:rPr>
          <w:rFonts w:hint="eastAsia" w:ascii="微软雅黑" w:hAnsi="微软雅黑"/>
          <w:color w:val="auto"/>
          <w:szCs w:val="21"/>
        </w:rPr>
        <w:t>。</w:t>
      </w:r>
    </w:p>
    <w:p w14:paraId="0294B680">
      <w:pPr>
        <w:snapToGrid w:val="0"/>
        <w:ind w:firstLine="420"/>
        <w:rPr>
          <w:rFonts w:hint="eastAsia" w:ascii="微软雅黑" w:hAnsi="微软雅黑"/>
          <w:color w:val="auto"/>
          <w:szCs w:val="21"/>
        </w:rPr>
      </w:pPr>
      <w:r>
        <w:rPr>
          <w:rFonts w:ascii="微软雅黑" w:hAnsi="微软雅黑"/>
          <w:color w:val="auto"/>
          <w:szCs w:val="21"/>
        </w:rPr>
        <w:t>4</w:t>
      </w:r>
      <w:r>
        <w:rPr>
          <w:rFonts w:hint="eastAsia" w:ascii="微软雅黑" w:hAnsi="微软雅黑"/>
          <w:color w:val="auto"/>
          <w:szCs w:val="21"/>
        </w:rPr>
        <w:t>、</w:t>
      </w:r>
      <w:r>
        <w:rPr>
          <w:rFonts w:ascii="微软雅黑" w:hAnsi="微软雅黑"/>
          <w:color w:val="auto"/>
          <w:szCs w:val="21"/>
        </w:rPr>
        <w:t>我方诚意提请贵方关注：</w:t>
      </w:r>
      <w:r>
        <w:rPr>
          <w:rFonts w:hint="eastAsia" w:ascii="微软雅黑" w:hAnsi="微软雅黑"/>
          <w:color w:val="auto"/>
          <w:szCs w:val="21"/>
        </w:rPr>
        <w:t>近期</w:t>
      </w:r>
      <w:r>
        <w:rPr>
          <w:rFonts w:ascii="微软雅黑" w:hAnsi="微软雅黑"/>
          <w:color w:val="auto"/>
          <w:szCs w:val="21"/>
        </w:rPr>
        <w:t>有关</w:t>
      </w:r>
      <w:r>
        <w:rPr>
          <w:rFonts w:hint="eastAsia" w:ascii="微软雅黑" w:hAnsi="微软雅黑"/>
          <w:color w:val="auto"/>
          <w:szCs w:val="21"/>
        </w:rPr>
        <w:t>项目的售后服务等方面的重大决策和事项有：</w:t>
      </w:r>
    </w:p>
    <w:p w14:paraId="1E29EF0B">
      <w:pPr>
        <w:snapToGrid w:val="0"/>
        <w:ind w:firstLine="420"/>
        <w:rPr>
          <w:rFonts w:hint="eastAsia" w:ascii="微软雅黑" w:hAnsi="微软雅黑"/>
          <w:color w:val="auto"/>
          <w:szCs w:val="21"/>
        </w:rPr>
      </w:pPr>
      <w:r>
        <w:rPr>
          <w:rFonts w:hint="eastAsia" w:ascii="微软雅黑" w:hAnsi="微软雅黑"/>
          <w:color w:val="auto"/>
          <w:szCs w:val="21"/>
          <w:u w:val="single"/>
        </w:rPr>
        <w:t>　　　　　　　　　　　　　　　　　　　　　　　　　　</w:t>
      </w:r>
    </w:p>
    <w:p w14:paraId="49C448B9">
      <w:pPr>
        <w:snapToGrid w:val="0"/>
        <w:ind w:firstLine="420"/>
        <w:rPr>
          <w:rFonts w:hint="eastAsia" w:ascii="微软雅黑" w:hAnsi="微软雅黑"/>
          <w:color w:val="auto"/>
          <w:szCs w:val="21"/>
        </w:rPr>
      </w:pPr>
      <w:r>
        <w:rPr>
          <w:rFonts w:ascii="微软雅黑" w:hAnsi="微软雅黑"/>
          <w:color w:val="auto"/>
          <w:szCs w:val="21"/>
        </w:rPr>
        <w:t>5</w:t>
      </w:r>
      <w:r>
        <w:rPr>
          <w:rFonts w:hint="eastAsia" w:ascii="微软雅黑" w:hAnsi="微软雅黑"/>
          <w:color w:val="auto"/>
          <w:szCs w:val="21"/>
        </w:rPr>
        <w:t>、我方及由本人担任法定代表人的其他机构</w:t>
      </w:r>
      <w:r>
        <w:rPr>
          <w:rFonts w:ascii="微软雅黑" w:hAnsi="微软雅黑"/>
          <w:color w:val="auto"/>
          <w:szCs w:val="21"/>
        </w:rPr>
        <w:t>最近三年内被</w:t>
      </w:r>
      <w:r>
        <w:rPr>
          <w:rFonts w:hint="eastAsia" w:ascii="微软雅黑" w:hAnsi="微软雅黑"/>
          <w:color w:val="auto"/>
          <w:szCs w:val="21"/>
        </w:rPr>
        <w:t>通报或者被处罚的</w:t>
      </w:r>
      <w:r>
        <w:rPr>
          <w:rFonts w:ascii="微软雅黑" w:hAnsi="微软雅黑"/>
          <w:color w:val="auto"/>
          <w:szCs w:val="21"/>
        </w:rPr>
        <w:t>违法行为有：</w:t>
      </w:r>
    </w:p>
    <w:p w14:paraId="0A26B5E1">
      <w:pPr>
        <w:snapToGrid w:val="0"/>
        <w:ind w:firstLine="420"/>
        <w:rPr>
          <w:rFonts w:hint="eastAsia" w:ascii="微软雅黑" w:hAnsi="微软雅黑"/>
          <w:color w:val="auto"/>
          <w:szCs w:val="21"/>
          <w:u w:val="single"/>
        </w:rPr>
      </w:pPr>
      <w:r>
        <w:rPr>
          <w:rFonts w:hint="eastAsia" w:ascii="微软雅黑" w:hAnsi="微软雅黑"/>
          <w:color w:val="auto"/>
          <w:szCs w:val="21"/>
          <w:u w:val="single"/>
        </w:rPr>
        <w:t>　　　　　　　　　　　　　　　　　　　　　　　　　　　</w:t>
      </w:r>
    </w:p>
    <w:p w14:paraId="0A1C35F5">
      <w:pPr>
        <w:snapToGrid w:val="0"/>
        <w:ind w:firstLine="420"/>
        <w:rPr>
          <w:rFonts w:hint="eastAsia" w:ascii="微软雅黑" w:hAnsi="微软雅黑"/>
          <w:color w:val="auto"/>
          <w:szCs w:val="21"/>
        </w:rPr>
      </w:pPr>
      <w:r>
        <w:rPr>
          <w:rFonts w:hint="eastAsia" w:ascii="微软雅黑" w:hAnsi="微软雅黑"/>
          <w:color w:val="auto"/>
          <w:szCs w:val="21"/>
        </w:rPr>
        <w:t>6、以上事项如有虚假或隐瞒，我方愿意承担一切后果，并不再寻求任何旨在减轻或免除法律责任的辩解。</w:t>
      </w:r>
    </w:p>
    <w:p w14:paraId="774EBAD6">
      <w:pPr>
        <w:snapToGrid w:val="0"/>
        <w:ind w:firstLine="420"/>
        <w:rPr>
          <w:rFonts w:hint="eastAsia" w:ascii="微软雅黑" w:hAnsi="微软雅黑"/>
          <w:color w:val="auto"/>
          <w:szCs w:val="21"/>
        </w:rPr>
      </w:pPr>
    </w:p>
    <w:p w14:paraId="2262A4D9">
      <w:pPr>
        <w:snapToGrid w:val="0"/>
        <w:ind w:firstLine="0" w:firstLineChars="0"/>
        <w:rPr>
          <w:rFonts w:hint="eastAsia" w:ascii="微软雅黑" w:hAnsi="微软雅黑"/>
          <w:color w:val="auto"/>
          <w:szCs w:val="21"/>
          <w:u w:val="single"/>
        </w:rPr>
      </w:pPr>
      <w:r>
        <w:rPr>
          <w:rFonts w:hint="eastAsia" w:ascii="微软雅黑" w:hAnsi="微软雅黑"/>
          <w:color w:val="auto"/>
          <w:szCs w:val="21"/>
        </w:rPr>
        <w:t>法定代表人签字（或盖章）：</w:t>
      </w:r>
    </w:p>
    <w:p w14:paraId="3D5ACB1C">
      <w:pPr>
        <w:snapToGrid w:val="0"/>
        <w:ind w:firstLine="0" w:firstLineChars="0"/>
        <w:rPr>
          <w:rFonts w:hint="eastAsia" w:ascii="微软雅黑" w:hAnsi="微软雅黑"/>
          <w:color w:val="auto"/>
          <w:szCs w:val="21"/>
        </w:rPr>
      </w:pPr>
      <w:r>
        <w:rPr>
          <w:rFonts w:hint="eastAsia" w:ascii="微软雅黑" w:hAnsi="微软雅黑"/>
          <w:color w:val="auto"/>
          <w:szCs w:val="21"/>
        </w:rPr>
        <w:t>投标人公章：</w:t>
      </w:r>
    </w:p>
    <w:p w14:paraId="5F2EC670">
      <w:pPr>
        <w:snapToGrid w:val="0"/>
        <w:ind w:firstLine="0" w:firstLineChars="0"/>
        <w:rPr>
          <w:rFonts w:hint="eastAsia" w:ascii="微软雅黑" w:hAnsi="微软雅黑"/>
          <w:color w:val="auto"/>
          <w:szCs w:val="21"/>
        </w:rPr>
      </w:pPr>
      <w:r>
        <w:rPr>
          <w:rFonts w:hint="eastAsia" w:ascii="微软雅黑" w:hAnsi="微软雅黑"/>
          <w:color w:val="auto"/>
          <w:szCs w:val="21"/>
        </w:rPr>
        <w:t>日期：</w:t>
      </w:r>
      <w:r>
        <w:rPr>
          <w:rFonts w:ascii="微软雅黑" w:hAnsi="微软雅黑"/>
          <w:color w:val="auto"/>
          <w:szCs w:val="21"/>
        </w:rPr>
        <w:t xml:space="preserve">   年    月    日</w:t>
      </w:r>
    </w:p>
    <w:p w14:paraId="207FABA7">
      <w:pPr>
        <w:snapToGrid w:val="0"/>
        <w:ind w:firstLine="420"/>
        <w:rPr>
          <w:rFonts w:hint="eastAsia" w:ascii="微软雅黑" w:hAnsi="微软雅黑"/>
          <w:b/>
          <w:color w:val="auto"/>
          <w:szCs w:val="21"/>
        </w:rPr>
      </w:pPr>
      <w:r>
        <w:rPr>
          <w:rFonts w:hint="eastAsia" w:ascii="微软雅黑" w:hAnsi="微软雅黑"/>
          <w:b/>
          <w:color w:val="auto"/>
          <w:szCs w:val="21"/>
        </w:rPr>
        <w:br w:type="page"/>
      </w:r>
      <w:r>
        <w:rPr>
          <w:rFonts w:hint="eastAsia" w:ascii="微软雅黑" w:hAnsi="微软雅黑"/>
          <w:b/>
          <w:color w:val="auto"/>
          <w:szCs w:val="21"/>
        </w:rPr>
        <w:t>法定代表人授权委托书格式：</w:t>
      </w:r>
    </w:p>
    <w:p w14:paraId="5CE8EDE6">
      <w:pPr>
        <w:snapToGrid w:val="0"/>
        <w:ind w:firstLine="420"/>
        <w:jc w:val="center"/>
        <w:rPr>
          <w:rFonts w:hint="eastAsia" w:ascii="微软雅黑" w:hAnsi="微软雅黑"/>
          <w:b/>
          <w:color w:val="auto"/>
          <w:szCs w:val="21"/>
        </w:rPr>
      </w:pPr>
      <w:r>
        <w:rPr>
          <w:rFonts w:hint="eastAsia" w:ascii="微软雅黑" w:hAnsi="微软雅黑"/>
          <w:b/>
          <w:color w:val="auto"/>
          <w:szCs w:val="21"/>
        </w:rPr>
        <w:t>法定代表人授权委托书</w:t>
      </w:r>
    </w:p>
    <w:p w14:paraId="6EFB6E4A">
      <w:pPr>
        <w:snapToGrid w:val="0"/>
        <w:ind w:firstLine="420"/>
        <w:rPr>
          <w:rFonts w:hint="eastAsia" w:ascii="微软雅黑" w:hAnsi="微软雅黑"/>
          <w:bCs/>
          <w:color w:val="auto"/>
          <w:szCs w:val="21"/>
        </w:rPr>
      </w:pPr>
    </w:p>
    <w:p w14:paraId="3EC2EFA4">
      <w:pPr>
        <w:snapToGrid w:val="0"/>
        <w:ind w:firstLine="420"/>
        <w:rPr>
          <w:rFonts w:hint="eastAsia" w:ascii="微软雅黑" w:hAnsi="微软雅黑"/>
          <w:b/>
          <w:bCs/>
          <w:color w:val="auto"/>
          <w:szCs w:val="21"/>
        </w:rPr>
      </w:pPr>
      <w:r>
        <w:rPr>
          <w:rFonts w:hint="eastAsia" w:ascii="微软雅黑" w:hAnsi="微软雅黑"/>
          <w:bCs/>
          <w:color w:val="auto"/>
          <w:szCs w:val="21"/>
        </w:rPr>
        <w:t>致：</w:t>
      </w:r>
      <w:r>
        <w:rPr>
          <w:rFonts w:hint="eastAsia" w:ascii="微软雅黑" w:hAnsi="微软雅黑"/>
          <w:color w:val="auto"/>
          <w:szCs w:val="21"/>
          <w:u w:val="single"/>
        </w:rPr>
        <w:t>嘉兴市公安局南湖区分局</w:t>
      </w:r>
      <w:r>
        <w:rPr>
          <w:rFonts w:hint="eastAsia" w:ascii="微软雅黑" w:hAnsi="微软雅黑"/>
          <w:color w:val="auto"/>
          <w:szCs w:val="21"/>
        </w:rPr>
        <w:t>（招标采购单位名称）：</w:t>
      </w:r>
    </w:p>
    <w:p w14:paraId="577029A3">
      <w:pPr>
        <w:shd w:val="clear" w:color="auto" w:fill="FFFFFF"/>
        <w:snapToGrid w:val="0"/>
        <w:spacing w:line="480" w:lineRule="auto"/>
        <w:ind w:firstLine="420"/>
        <w:rPr>
          <w:rFonts w:hint="eastAsia" w:ascii="微软雅黑" w:hAnsi="微软雅黑" w:cs="宋体"/>
          <w:color w:val="auto"/>
          <w:szCs w:val="21"/>
        </w:rPr>
      </w:pPr>
      <w:r>
        <w:rPr>
          <w:rFonts w:hint="eastAsia" w:ascii="微软雅黑" w:hAnsi="微软雅黑" w:cs="宋体"/>
          <w:color w:val="auto"/>
          <w:kern w:val="0"/>
          <w:szCs w:val="21"/>
          <w:lang w:val="zh-CN"/>
        </w:rPr>
        <w:t xml:space="preserve"> 兹委派我公司先生/女士(其在本公司的职务是：，联系电话：手机：传真：)，代表我公司全权处理</w:t>
      </w:r>
      <w:r>
        <w:rPr>
          <w:rFonts w:hint="eastAsia" w:ascii="微软雅黑" w:hAnsi="微软雅黑"/>
          <w:b/>
          <w:bCs/>
          <w:color w:val="auto"/>
          <w:szCs w:val="18"/>
        </w:rPr>
        <w:t>嘉兴市公安局南湖区分局涉诈数据处理服务项目</w:t>
      </w:r>
      <w:r>
        <w:rPr>
          <w:rFonts w:hint="eastAsia" w:ascii="微软雅黑" w:hAnsi="微软雅黑" w:cs="宋体"/>
          <w:color w:val="auto"/>
          <w:szCs w:val="21"/>
        </w:rPr>
        <w:t>(编号：中际-ZJZJGC（2024）嘉26号)政府采购投标的一切事项</w:t>
      </w:r>
      <w:r>
        <w:rPr>
          <w:rFonts w:hint="eastAsia" w:ascii="微软雅黑" w:hAnsi="微软雅黑" w:cs="宋体"/>
          <w:color w:val="auto"/>
          <w:kern w:val="0"/>
          <w:szCs w:val="21"/>
          <w:lang w:val="zh-CN"/>
        </w:rPr>
        <w:t>。</w:t>
      </w:r>
    </w:p>
    <w:p w14:paraId="04FA41DD">
      <w:pPr>
        <w:shd w:val="clear" w:color="auto" w:fill="FFFFFF"/>
        <w:snapToGrid w:val="0"/>
        <w:spacing w:line="480" w:lineRule="auto"/>
        <w:ind w:firstLine="420"/>
        <w:rPr>
          <w:rFonts w:hint="eastAsia" w:ascii="微软雅黑" w:hAnsi="微软雅黑" w:cs="宋体"/>
          <w:color w:val="auto"/>
          <w:kern w:val="0"/>
          <w:szCs w:val="21"/>
        </w:rPr>
      </w:pPr>
      <w:r>
        <w:rPr>
          <w:rFonts w:hint="eastAsia" w:ascii="微软雅黑" w:hAnsi="微软雅黑" w:cs="宋体"/>
          <w:color w:val="auto"/>
          <w:kern w:val="0"/>
          <w:szCs w:val="21"/>
          <w:lang w:val="zh-CN"/>
        </w:rPr>
        <w:t xml:space="preserve">    特此告知。</w:t>
      </w:r>
    </w:p>
    <w:p w14:paraId="0FBD6121">
      <w:pPr>
        <w:shd w:val="clear" w:color="auto" w:fill="FFFFFF"/>
        <w:snapToGrid w:val="0"/>
        <w:spacing w:line="600" w:lineRule="exact"/>
        <w:rPr>
          <w:rFonts w:hint="eastAsia" w:ascii="微软雅黑" w:hAnsi="微软雅黑" w:cs="宋体"/>
          <w:color w:val="auto"/>
          <w:kern w:val="0"/>
          <w:sz w:val="24"/>
        </w:rPr>
      </w:pPr>
    </w:p>
    <w:p w14:paraId="6F43D80C">
      <w:pPr>
        <w:shd w:val="clear" w:color="auto" w:fill="FFFFFF"/>
        <w:snapToGrid w:val="0"/>
        <w:spacing w:line="600" w:lineRule="exact"/>
        <w:rPr>
          <w:rFonts w:hint="eastAsia" w:ascii="微软雅黑" w:hAnsi="微软雅黑" w:cs="宋体"/>
          <w:color w:val="auto"/>
          <w:kern w:val="0"/>
          <w:sz w:val="24"/>
          <w:lang w:val="zh-CN"/>
        </w:rPr>
      </w:pPr>
    </w:p>
    <w:p w14:paraId="18C432E2">
      <w:pPr>
        <w:snapToGrid w:val="0"/>
        <w:ind w:firstLine="420"/>
        <w:rPr>
          <w:rFonts w:hint="eastAsia" w:ascii="微软雅黑" w:hAnsi="微软雅黑"/>
          <w:color w:val="auto"/>
          <w:szCs w:val="21"/>
        </w:rPr>
      </w:pPr>
    </w:p>
    <w:p w14:paraId="39E0B895">
      <w:pPr>
        <w:snapToGrid w:val="0"/>
        <w:ind w:firstLine="420"/>
        <w:rPr>
          <w:rFonts w:hint="eastAsia" w:ascii="微软雅黑" w:hAnsi="微软雅黑"/>
          <w:color w:val="auto"/>
          <w:szCs w:val="21"/>
          <w:u w:val="single"/>
        </w:rPr>
      </w:pPr>
      <w:r>
        <w:rPr>
          <w:rFonts w:hint="eastAsia" w:ascii="微软雅黑" w:hAnsi="微软雅黑"/>
          <w:color w:val="auto"/>
          <w:szCs w:val="21"/>
        </w:rPr>
        <w:t>被授权人签名：法定代表人签名：</w:t>
      </w:r>
    </w:p>
    <w:p w14:paraId="7D15F39B">
      <w:pPr>
        <w:snapToGrid w:val="0"/>
        <w:ind w:firstLine="420"/>
        <w:rPr>
          <w:rFonts w:hint="eastAsia" w:ascii="微软雅黑" w:hAnsi="微软雅黑"/>
          <w:color w:val="auto"/>
          <w:szCs w:val="21"/>
        </w:rPr>
      </w:pPr>
      <w:r>
        <w:rPr>
          <w:rFonts w:hint="eastAsia" w:ascii="微软雅黑" w:hAnsi="微软雅黑"/>
          <w:color w:val="auto"/>
          <w:szCs w:val="21"/>
        </w:rPr>
        <w:t>职务：职务：</w:t>
      </w:r>
    </w:p>
    <w:p w14:paraId="4E2F8C73">
      <w:pPr>
        <w:snapToGrid w:val="0"/>
        <w:ind w:firstLine="420"/>
        <w:rPr>
          <w:rFonts w:hint="eastAsia" w:ascii="微软雅黑" w:hAnsi="微软雅黑"/>
          <w:color w:val="auto"/>
          <w:szCs w:val="21"/>
        </w:rPr>
      </w:pPr>
      <w:r>
        <w:rPr>
          <w:rFonts w:hint="eastAsia" w:ascii="微软雅黑" w:hAnsi="微软雅黑"/>
          <w:color w:val="auto"/>
          <w:szCs w:val="21"/>
        </w:rPr>
        <w:t>被授权人身份证号码：</w:t>
      </w:r>
    </w:p>
    <w:p w14:paraId="112BFD75">
      <w:pPr>
        <w:snapToGrid w:val="0"/>
        <w:ind w:firstLine="4830" w:firstLineChars="2300"/>
        <w:rPr>
          <w:rFonts w:hint="eastAsia" w:ascii="微软雅黑" w:hAnsi="微软雅黑"/>
          <w:color w:val="auto"/>
          <w:szCs w:val="21"/>
        </w:rPr>
      </w:pPr>
    </w:p>
    <w:p w14:paraId="5FA737A3">
      <w:pPr>
        <w:snapToGrid w:val="0"/>
        <w:ind w:firstLine="424" w:firstLineChars="202"/>
        <w:rPr>
          <w:rFonts w:hint="eastAsia" w:ascii="微软雅黑" w:hAnsi="微软雅黑"/>
          <w:color w:val="auto"/>
          <w:szCs w:val="21"/>
        </w:rPr>
      </w:pPr>
      <w:r>
        <w:rPr>
          <w:rFonts w:hint="eastAsia" w:ascii="微软雅黑" w:hAnsi="微软雅黑"/>
          <w:color w:val="auto"/>
          <w:szCs w:val="21"/>
        </w:rPr>
        <w:t>投标人公章：</w:t>
      </w:r>
      <w:bookmarkStart w:id="210" w:name="_Toc29852"/>
      <w:bookmarkStart w:id="211" w:name="_Toc11017"/>
    </w:p>
    <w:p w14:paraId="2D0E42A8">
      <w:pPr>
        <w:snapToGrid w:val="0"/>
        <w:ind w:firstLine="424" w:firstLineChars="202"/>
        <w:rPr>
          <w:rFonts w:hint="eastAsia" w:ascii="微软雅黑" w:hAnsi="微软雅黑"/>
          <w:color w:val="auto"/>
          <w:szCs w:val="21"/>
        </w:rPr>
      </w:pPr>
      <w:r>
        <w:rPr>
          <w:rFonts w:hint="eastAsia"/>
          <w:color w:val="auto"/>
        </w:rPr>
        <w:t>日期：年月日</w:t>
      </w:r>
      <w:bookmarkEnd w:id="210"/>
      <w:bookmarkEnd w:id="211"/>
    </w:p>
    <w:p w14:paraId="171FE3BA">
      <w:pPr>
        <w:snapToGrid w:val="0"/>
        <w:ind w:firstLine="3150" w:firstLineChars="1500"/>
        <w:rPr>
          <w:rFonts w:hint="eastAsia" w:ascii="微软雅黑" w:hAnsi="微软雅黑"/>
          <w:color w:val="auto"/>
          <w:szCs w:val="21"/>
        </w:rPr>
      </w:pPr>
    </w:p>
    <w:p w14:paraId="3D700EFE">
      <w:pPr>
        <w:pStyle w:val="26"/>
        <w:snapToGrid w:val="0"/>
        <w:ind w:firstLine="420"/>
        <w:rPr>
          <w:rFonts w:hint="eastAsia" w:ascii="微软雅黑" w:hAnsi="微软雅黑"/>
          <w:color w:val="auto"/>
          <w:szCs w:val="21"/>
        </w:rPr>
      </w:pPr>
    </w:p>
    <w:p w14:paraId="0EFBF780">
      <w:pPr>
        <w:snapToGrid w:val="0"/>
        <w:ind w:leftChars="-50" w:hanging="105" w:hangingChars="50"/>
        <w:rPr>
          <w:rFonts w:hint="eastAsia" w:ascii="微软雅黑" w:hAnsi="微软雅黑"/>
          <w:color w:val="auto"/>
          <w:szCs w:val="21"/>
        </w:rPr>
      </w:pPr>
      <w:r>
        <w:rPr>
          <w:rFonts w:ascii="微软雅黑" w:hAnsi="微软雅黑"/>
          <w:color w:val="auto"/>
          <w:szCs w:val="21"/>
        </w:rPr>
        <w:br w:type="page"/>
      </w:r>
    </w:p>
    <w:p w14:paraId="73529914">
      <w:pPr>
        <w:snapToGrid w:val="0"/>
        <w:ind w:leftChars="-50" w:hanging="105" w:hangingChars="50"/>
        <w:rPr>
          <w:rFonts w:hint="eastAsia" w:ascii="微软雅黑" w:hAnsi="微软雅黑"/>
          <w:b/>
          <w:color w:val="auto"/>
          <w:szCs w:val="21"/>
        </w:rPr>
      </w:pPr>
      <w:r>
        <w:rPr>
          <w:rFonts w:hint="eastAsia" w:ascii="微软雅黑" w:hAnsi="微软雅黑"/>
          <w:b/>
          <w:color w:val="auto"/>
          <w:szCs w:val="21"/>
        </w:rPr>
        <w:t>具有履行合同所必需的设备和专业技术能力承诺函：</w:t>
      </w:r>
    </w:p>
    <w:p w14:paraId="42C77B38">
      <w:pPr>
        <w:ind w:firstLine="420"/>
        <w:jc w:val="center"/>
        <w:rPr>
          <w:b/>
          <w:color w:val="auto"/>
          <w:szCs w:val="21"/>
        </w:rPr>
      </w:pPr>
    </w:p>
    <w:p w14:paraId="79CEDCFF">
      <w:pPr>
        <w:ind w:firstLine="420"/>
        <w:jc w:val="center"/>
        <w:rPr>
          <w:rFonts w:hint="eastAsia" w:ascii="微软雅黑" w:hAnsi="微软雅黑"/>
          <w:b/>
          <w:color w:val="auto"/>
          <w:szCs w:val="21"/>
        </w:rPr>
      </w:pPr>
      <w:r>
        <w:rPr>
          <w:rFonts w:hint="eastAsia" w:ascii="微软雅黑" w:hAnsi="微软雅黑"/>
          <w:b/>
          <w:color w:val="auto"/>
          <w:szCs w:val="21"/>
        </w:rPr>
        <w:t>具有履行合同所必需的设备和专业技术能力承诺函</w:t>
      </w:r>
    </w:p>
    <w:p w14:paraId="100111AF">
      <w:pPr>
        <w:ind w:firstLine="420"/>
        <w:jc w:val="center"/>
        <w:rPr>
          <w:rFonts w:hint="eastAsia" w:ascii="微软雅黑" w:hAnsi="微软雅黑"/>
          <w:b/>
          <w:color w:val="auto"/>
          <w:szCs w:val="21"/>
        </w:rPr>
      </w:pPr>
    </w:p>
    <w:p w14:paraId="1410218C">
      <w:pPr>
        <w:ind w:firstLine="444"/>
        <w:rPr>
          <w:rFonts w:hint="eastAsia" w:ascii="微软雅黑" w:hAnsi="微软雅黑"/>
          <w:color w:val="auto"/>
          <w:szCs w:val="21"/>
        </w:rPr>
      </w:pPr>
      <w:r>
        <w:rPr>
          <w:rFonts w:hint="eastAsia" w:ascii="微软雅黑" w:hAnsi="微软雅黑"/>
          <w:b/>
          <w:bCs/>
          <w:color w:val="auto"/>
          <w:spacing w:val="6"/>
          <w:szCs w:val="21"/>
          <w:u w:val="single"/>
        </w:rPr>
        <w:t>嘉兴市公安局南湖区分局</w:t>
      </w:r>
      <w:r>
        <w:rPr>
          <w:rFonts w:hint="eastAsia" w:ascii="微软雅黑" w:hAnsi="微软雅黑"/>
          <w:color w:val="auto"/>
          <w:szCs w:val="21"/>
        </w:rPr>
        <w:t>：</w:t>
      </w:r>
    </w:p>
    <w:p w14:paraId="49E3A976">
      <w:pPr>
        <w:snapToGrid w:val="0"/>
        <w:ind w:firstLine="420"/>
        <w:rPr>
          <w:rFonts w:hint="eastAsia" w:ascii="微软雅黑" w:hAnsi="微软雅黑"/>
          <w:color w:val="auto"/>
          <w:szCs w:val="21"/>
          <w:shd w:val="clear" w:color="auto" w:fill="FFFFFF"/>
        </w:rPr>
      </w:pPr>
    </w:p>
    <w:p w14:paraId="3DE8F726">
      <w:pPr>
        <w:snapToGrid w:val="0"/>
        <w:ind w:firstLine="420"/>
        <w:rPr>
          <w:rFonts w:hint="eastAsia" w:ascii="微软雅黑" w:hAnsi="微软雅黑"/>
          <w:color w:val="auto"/>
          <w:szCs w:val="21"/>
          <w:shd w:val="clear" w:color="auto" w:fill="FFFFFF"/>
        </w:rPr>
      </w:pPr>
      <w:r>
        <w:rPr>
          <w:rFonts w:hint="eastAsia" w:ascii="微软雅黑" w:hAnsi="微软雅黑"/>
          <w:color w:val="auto"/>
          <w:szCs w:val="21"/>
          <w:shd w:val="clear" w:color="auto" w:fill="FFFFFF"/>
        </w:rPr>
        <w:t>本公司（公司名称）参加</w:t>
      </w:r>
      <w:r>
        <w:rPr>
          <w:rFonts w:hint="eastAsia" w:ascii="微软雅黑" w:hAnsi="微软雅黑"/>
          <w:b/>
          <w:bCs/>
          <w:color w:val="auto"/>
          <w:szCs w:val="21"/>
          <w:u w:val="single"/>
          <w:shd w:val="clear" w:color="auto" w:fill="FFFFFF"/>
        </w:rPr>
        <w:t>嘉兴市公安局南湖区分局涉诈数据处理服务项目</w:t>
      </w:r>
      <w:r>
        <w:rPr>
          <w:rFonts w:hint="eastAsia" w:ascii="微软雅黑" w:hAnsi="微软雅黑"/>
          <w:color w:val="auto"/>
          <w:szCs w:val="21"/>
          <w:shd w:val="clear" w:color="auto" w:fill="FFFFFF"/>
        </w:rPr>
        <w:t>投标活动，现承诺如下：</w:t>
      </w:r>
    </w:p>
    <w:p w14:paraId="2D5E3A22">
      <w:pPr>
        <w:pStyle w:val="75"/>
        <w:ind w:firstLine="400"/>
        <w:rPr>
          <w:color w:val="auto"/>
        </w:rPr>
      </w:pPr>
    </w:p>
    <w:p w14:paraId="12E8EF37">
      <w:pPr>
        <w:snapToGrid w:val="0"/>
        <w:ind w:firstLine="420"/>
        <w:rPr>
          <w:rFonts w:hint="eastAsia" w:ascii="微软雅黑" w:hAnsi="微软雅黑"/>
          <w:color w:val="auto"/>
          <w:szCs w:val="21"/>
          <w:shd w:val="clear" w:color="auto" w:fill="FFFFFF"/>
        </w:rPr>
      </w:pPr>
      <w:r>
        <w:rPr>
          <w:rFonts w:hint="eastAsia" w:ascii="微软雅黑" w:hAnsi="微软雅黑"/>
          <w:color w:val="auto"/>
          <w:szCs w:val="21"/>
          <w:shd w:val="clear" w:color="auto" w:fill="FFFFFF"/>
        </w:rPr>
        <w:t>我公司具有履行合同所需的设备和专业技术能力；</w:t>
      </w:r>
    </w:p>
    <w:p w14:paraId="0D2DC1B0">
      <w:pPr>
        <w:pStyle w:val="75"/>
        <w:ind w:firstLine="400"/>
        <w:rPr>
          <w:color w:val="auto"/>
        </w:rPr>
      </w:pPr>
    </w:p>
    <w:p w14:paraId="2F6C32F6">
      <w:pPr>
        <w:pStyle w:val="75"/>
        <w:ind w:firstLine="400"/>
        <w:rPr>
          <w:color w:val="auto"/>
        </w:rPr>
      </w:pPr>
    </w:p>
    <w:p w14:paraId="64EBDFC8">
      <w:pPr>
        <w:snapToGrid w:val="0"/>
        <w:ind w:firstLine="420"/>
        <w:rPr>
          <w:rFonts w:hint="eastAsia" w:ascii="微软雅黑" w:hAnsi="微软雅黑"/>
          <w:color w:val="auto"/>
          <w:szCs w:val="21"/>
          <w:shd w:val="clear" w:color="auto" w:fill="FFFFFF"/>
        </w:rPr>
      </w:pPr>
      <w:r>
        <w:rPr>
          <w:rFonts w:hint="eastAsia" w:ascii="微软雅黑" w:hAnsi="微软雅黑"/>
          <w:color w:val="auto"/>
          <w:szCs w:val="21"/>
          <w:shd w:val="clear" w:color="auto" w:fill="FFFFFF"/>
        </w:rPr>
        <w:t>如违反以上承诺，本公司愿承担一切法律责任。</w:t>
      </w:r>
    </w:p>
    <w:p w14:paraId="47F4E262">
      <w:pPr>
        <w:pStyle w:val="75"/>
        <w:ind w:firstLine="400"/>
        <w:rPr>
          <w:color w:val="auto"/>
        </w:rPr>
      </w:pPr>
    </w:p>
    <w:p w14:paraId="189DA491">
      <w:pPr>
        <w:pStyle w:val="75"/>
        <w:ind w:firstLine="400"/>
        <w:rPr>
          <w:color w:val="auto"/>
        </w:rPr>
      </w:pPr>
    </w:p>
    <w:p w14:paraId="72BF15C8">
      <w:pPr>
        <w:pStyle w:val="75"/>
        <w:ind w:firstLine="400"/>
        <w:rPr>
          <w:color w:val="auto"/>
        </w:rPr>
      </w:pPr>
    </w:p>
    <w:p w14:paraId="27B381F5">
      <w:pPr>
        <w:snapToGrid w:val="0"/>
        <w:ind w:firstLine="420"/>
        <w:rPr>
          <w:rFonts w:hint="eastAsia" w:ascii="微软雅黑" w:hAnsi="微软雅黑"/>
          <w:color w:val="auto"/>
          <w:szCs w:val="21"/>
          <w:shd w:val="clear" w:color="auto" w:fill="FFFFFF"/>
        </w:rPr>
      </w:pPr>
      <w:r>
        <w:rPr>
          <w:rFonts w:hint="eastAsia" w:ascii="微软雅黑" w:hAnsi="微软雅黑"/>
          <w:color w:val="auto"/>
          <w:szCs w:val="21"/>
          <w:shd w:val="clear" w:color="auto" w:fill="FFFFFF"/>
        </w:rPr>
        <w:t>投标人名称：（盖章）</w:t>
      </w:r>
    </w:p>
    <w:p w14:paraId="2C8D67DA">
      <w:pPr>
        <w:pStyle w:val="75"/>
        <w:ind w:firstLine="400"/>
        <w:rPr>
          <w:color w:val="auto"/>
        </w:rPr>
      </w:pPr>
    </w:p>
    <w:p w14:paraId="47D5D37D">
      <w:pPr>
        <w:snapToGrid w:val="0"/>
        <w:ind w:firstLine="420"/>
        <w:rPr>
          <w:rFonts w:hint="eastAsia" w:ascii="微软雅黑" w:hAnsi="微软雅黑"/>
          <w:color w:val="auto"/>
          <w:szCs w:val="21"/>
          <w:shd w:val="clear" w:color="auto" w:fill="FFFFFF"/>
        </w:rPr>
      </w:pPr>
      <w:r>
        <w:rPr>
          <w:rFonts w:hint="eastAsia" w:ascii="微软雅黑" w:hAnsi="微软雅黑"/>
          <w:color w:val="auto"/>
          <w:szCs w:val="21"/>
          <w:shd w:val="clear" w:color="auto" w:fill="FFFFFF"/>
        </w:rPr>
        <w:t>法定代表人或授权代表（签字）：</w:t>
      </w:r>
    </w:p>
    <w:p w14:paraId="711F2C36">
      <w:pPr>
        <w:pStyle w:val="75"/>
        <w:ind w:firstLine="400"/>
        <w:rPr>
          <w:color w:val="auto"/>
        </w:rPr>
      </w:pPr>
    </w:p>
    <w:p w14:paraId="53F01099">
      <w:pPr>
        <w:snapToGrid w:val="0"/>
        <w:ind w:firstLine="420"/>
        <w:rPr>
          <w:color w:val="auto"/>
          <w:szCs w:val="21"/>
          <w:u w:val="single"/>
        </w:rPr>
      </w:pPr>
      <w:r>
        <w:rPr>
          <w:rFonts w:hint="eastAsia" w:ascii="微软雅黑" w:hAnsi="微软雅黑"/>
          <w:color w:val="auto"/>
          <w:szCs w:val="21"/>
          <w:shd w:val="clear" w:color="auto" w:fill="FFFFFF"/>
        </w:rPr>
        <w:t>投标日期： 年 月 日</w:t>
      </w:r>
    </w:p>
    <w:p w14:paraId="3BB99686">
      <w:pPr>
        <w:snapToGrid w:val="0"/>
        <w:ind w:leftChars="-50" w:hanging="105" w:hangingChars="50"/>
        <w:rPr>
          <w:rFonts w:hint="eastAsia" w:ascii="微软雅黑" w:hAnsi="微软雅黑"/>
          <w:b/>
          <w:color w:val="auto"/>
          <w:szCs w:val="21"/>
        </w:rPr>
      </w:pPr>
    </w:p>
    <w:p w14:paraId="59D05D75">
      <w:pPr>
        <w:snapToGrid w:val="0"/>
        <w:ind w:leftChars="-50" w:hanging="105" w:hangingChars="50"/>
        <w:rPr>
          <w:rFonts w:hint="eastAsia" w:ascii="微软雅黑" w:hAnsi="微软雅黑"/>
          <w:b/>
          <w:color w:val="auto"/>
          <w:szCs w:val="21"/>
        </w:rPr>
      </w:pPr>
      <w:r>
        <w:rPr>
          <w:rFonts w:hint="eastAsia" w:ascii="微软雅黑" w:hAnsi="微软雅黑"/>
          <w:b/>
          <w:color w:val="auto"/>
          <w:szCs w:val="21"/>
        </w:rPr>
        <w:br w:type="page"/>
      </w:r>
      <w:r>
        <w:rPr>
          <w:rFonts w:hint="eastAsia" w:ascii="微软雅黑" w:hAnsi="微软雅黑"/>
          <w:b/>
          <w:color w:val="auto"/>
          <w:szCs w:val="21"/>
        </w:rPr>
        <w:t>参加政府采购活动前三年，在经营活动中没有重大违法记录（承诺函）</w:t>
      </w:r>
    </w:p>
    <w:p w14:paraId="299E35FC">
      <w:pPr>
        <w:ind w:firstLine="420"/>
        <w:rPr>
          <w:rFonts w:hint="eastAsia" w:ascii="微软雅黑" w:hAnsi="微软雅黑"/>
          <w:color w:val="auto"/>
          <w:szCs w:val="21"/>
          <w:u w:val="single"/>
        </w:rPr>
      </w:pPr>
    </w:p>
    <w:p w14:paraId="3589CE47">
      <w:pPr>
        <w:ind w:firstLine="420"/>
        <w:rPr>
          <w:rFonts w:hint="eastAsia" w:ascii="微软雅黑" w:hAnsi="微软雅黑"/>
          <w:color w:val="auto"/>
          <w:szCs w:val="21"/>
        </w:rPr>
      </w:pPr>
      <w:r>
        <w:rPr>
          <w:rFonts w:hint="eastAsia" w:ascii="微软雅黑" w:hAnsi="微软雅黑"/>
          <w:b/>
          <w:bCs/>
          <w:color w:val="auto"/>
          <w:szCs w:val="21"/>
          <w:u w:val="single"/>
          <w:shd w:val="clear" w:color="auto" w:fill="FFFFFF"/>
        </w:rPr>
        <w:t>嘉兴市公安局南湖区分局</w:t>
      </w:r>
      <w:r>
        <w:rPr>
          <w:rFonts w:hint="eastAsia" w:ascii="微软雅黑" w:hAnsi="微软雅黑"/>
          <w:color w:val="auto"/>
          <w:szCs w:val="21"/>
        </w:rPr>
        <w:t>：</w:t>
      </w:r>
    </w:p>
    <w:p w14:paraId="02BB4972">
      <w:pPr>
        <w:ind w:firstLine="420"/>
        <w:rPr>
          <w:rFonts w:hint="eastAsia" w:ascii="微软雅黑" w:hAnsi="微软雅黑"/>
          <w:color w:val="auto"/>
          <w:szCs w:val="21"/>
        </w:rPr>
      </w:pPr>
    </w:p>
    <w:p w14:paraId="65FD511C">
      <w:pPr>
        <w:ind w:firstLine="420"/>
        <w:rPr>
          <w:rFonts w:hint="eastAsia" w:ascii="微软雅黑" w:hAnsi="微软雅黑"/>
          <w:color w:val="auto"/>
          <w:szCs w:val="21"/>
        </w:rPr>
      </w:pPr>
      <w:r>
        <w:rPr>
          <w:rFonts w:hint="eastAsia" w:ascii="微软雅黑" w:hAnsi="微软雅黑"/>
          <w:color w:val="auto"/>
          <w:szCs w:val="21"/>
        </w:rPr>
        <w:t>我公司声明截止投标时间近三年以来，在经营活动中没有重大违法记录；也没有因违反《浙江省政府采购投标人注册及诚信管理暂行办法》被列入“黑名单”，正在处罚有效期。</w:t>
      </w:r>
    </w:p>
    <w:p w14:paraId="421D8FF1">
      <w:pPr>
        <w:ind w:firstLine="420"/>
        <w:rPr>
          <w:rFonts w:hint="eastAsia" w:ascii="微软雅黑" w:hAnsi="微软雅黑"/>
          <w:color w:val="auto"/>
          <w:szCs w:val="21"/>
        </w:rPr>
      </w:pPr>
      <w:r>
        <w:rPr>
          <w:rFonts w:hint="eastAsia" w:ascii="微软雅黑" w:hAnsi="微软雅黑"/>
          <w:color w:val="auto"/>
          <w:szCs w:val="21"/>
        </w:rPr>
        <w:t>特此承诺。</w:t>
      </w:r>
    </w:p>
    <w:p w14:paraId="0327E932">
      <w:pPr>
        <w:ind w:firstLine="420"/>
        <w:rPr>
          <w:rFonts w:hint="eastAsia" w:ascii="微软雅黑" w:hAnsi="微软雅黑"/>
          <w:color w:val="auto"/>
          <w:szCs w:val="21"/>
        </w:rPr>
      </w:pPr>
    </w:p>
    <w:p w14:paraId="2D29D212">
      <w:pPr>
        <w:ind w:firstLine="420"/>
        <w:rPr>
          <w:rFonts w:hint="eastAsia" w:ascii="微软雅黑" w:hAnsi="微软雅黑"/>
          <w:color w:val="auto"/>
          <w:szCs w:val="21"/>
        </w:rPr>
      </w:pPr>
    </w:p>
    <w:p w14:paraId="386CCB24">
      <w:pPr>
        <w:snapToGrid w:val="0"/>
        <w:ind w:firstLine="0" w:firstLineChars="0"/>
        <w:rPr>
          <w:rFonts w:hint="eastAsia" w:ascii="微软雅黑" w:hAnsi="微软雅黑"/>
          <w:color w:val="auto"/>
          <w:szCs w:val="21"/>
          <w:shd w:val="clear" w:color="auto" w:fill="FFFFFF"/>
        </w:rPr>
      </w:pPr>
      <w:r>
        <w:rPr>
          <w:rFonts w:hint="eastAsia" w:ascii="微软雅黑" w:hAnsi="微软雅黑"/>
          <w:color w:val="auto"/>
          <w:szCs w:val="21"/>
          <w:shd w:val="clear" w:color="auto" w:fill="FFFFFF"/>
        </w:rPr>
        <w:t>投标人名称：（盖章）</w:t>
      </w:r>
    </w:p>
    <w:p w14:paraId="40BA0350">
      <w:pPr>
        <w:pStyle w:val="75"/>
        <w:ind w:firstLine="400"/>
        <w:rPr>
          <w:color w:val="auto"/>
        </w:rPr>
      </w:pPr>
    </w:p>
    <w:p w14:paraId="3B1DE8BB">
      <w:pPr>
        <w:snapToGrid w:val="0"/>
        <w:ind w:firstLine="0" w:firstLineChars="0"/>
        <w:rPr>
          <w:rFonts w:hint="eastAsia" w:ascii="微软雅黑" w:hAnsi="微软雅黑"/>
          <w:color w:val="auto"/>
          <w:szCs w:val="21"/>
          <w:shd w:val="clear" w:color="auto" w:fill="FFFFFF"/>
        </w:rPr>
      </w:pPr>
      <w:r>
        <w:rPr>
          <w:rFonts w:hint="eastAsia" w:ascii="微软雅黑" w:hAnsi="微软雅黑"/>
          <w:color w:val="auto"/>
          <w:szCs w:val="21"/>
          <w:shd w:val="clear" w:color="auto" w:fill="FFFFFF"/>
        </w:rPr>
        <w:t>法定代表人或授权代表（签字）：</w:t>
      </w:r>
    </w:p>
    <w:p w14:paraId="05763184">
      <w:pPr>
        <w:pStyle w:val="75"/>
        <w:ind w:firstLine="400"/>
        <w:rPr>
          <w:color w:val="auto"/>
        </w:rPr>
      </w:pPr>
    </w:p>
    <w:p w14:paraId="225657CB">
      <w:pPr>
        <w:snapToGrid w:val="0"/>
        <w:ind w:firstLine="0" w:firstLineChars="0"/>
        <w:rPr>
          <w:color w:val="auto"/>
          <w:szCs w:val="21"/>
          <w:u w:val="single"/>
        </w:rPr>
      </w:pPr>
      <w:r>
        <w:rPr>
          <w:rFonts w:hint="eastAsia" w:ascii="微软雅黑" w:hAnsi="微软雅黑"/>
          <w:color w:val="auto"/>
          <w:szCs w:val="21"/>
          <w:shd w:val="clear" w:color="auto" w:fill="FFFFFF"/>
        </w:rPr>
        <w:t>投标日期： 年 月 日</w:t>
      </w:r>
    </w:p>
    <w:p w14:paraId="2E35D3C1">
      <w:pPr>
        <w:snapToGrid w:val="0"/>
        <w:ind w:firstLine="420"/>
        <w:rPr>
          <w:rFonts w:hint="eastAsia" w:ascii="微软雅黑" w:hAnsi="微软雅黑"/>
          <w:color w:val="auto"/>
          <w:szCs w:val="21"/>
        </w:rPr>
        <w:sectPr>
          <w:pgSz w:w="11906" w:h="16838"/>
          <w:pgMar w:top="1474" w:right="1797" w:bottom="1247" w:left="1797" w:header="851" w:footer="851" w:gutter="0"/>
          <w:cols w:space="720" w:num="1"/>
          <w:docGrid w:linePitch="312" w:charSpace="0"/>
        </w:sectPr>
      </w:pPr>
    </w:p>
    <w:p w14:paraId="7D816CD3">
      <w:pPr>
        <w:snapToGrid w:val="0"/>
        <w:spacing w:line="500" w:lineRule="exact"/>
        <w:ind w:firstLine="0" w:firstLineChars="0"/>
        <w:rPr>
          <w:rFonts w:hint="eastAsia" w:ascii="微软雅黑" w:hAnsi="微软雅黑"/>
          <w:color w:val="auto"/>
          <w:szCs w:val="21"/>
        </w:rPr>
      </w:pPr>
      <w:r>
        <w:rPr>
          <w:rFonts w:hint="eastAsia" w:ascii="微软雅黑" w:hAnsi="微软雅黑"/>
          <w:color w:val="auto"/>
          <w:szCs w:val="21"/>
        </w:rPr>
        <w:t>投标人的类似成功案例的业绩证明文件：</w:t>
      </w:r>
    </w:p>
    <w:p w14:paraId="6938CF50">
      <w:pPr>
        <w:pStyle w:val="37"/>
        <w:snapToGrid w:val="0"/>
        <w:spacing w:line="500" w:lineRule="exact"/>
        <w:ind w:left="0" w:firstLine="0" w:firstLineChars="0"/>
        <w:rPr>
          <w:rFonts w:hint="eastAsia" w:ascii="微软雅黑" w:hAnsi="微软雅黑"/>
          <w:color w:val="auto"/>
          <w:szCs w:val="21"/>
        </w:rPr>
      </w:pPr>
      <w:r>
        <w:rPr>
          <w:rFonts w:ascii="微软雅黑" w:hAnsi="微软雅黑"/>
          <w:color w:val="auto"/>
          <w:szCs w:val="21"/>
        </w:rPr>
        <w:t>投标人同类项目实施情况一览表格式：（投标人同类项目合同复印件）</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14:paraId="1772F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2628" w:type="dxa"/>
            <w:tcBorders>
              <w:top w:val="single" w:color="auto" w:sz="4" w:space="0"/>
              <w:left w:val="single" w:color="auto" w:sz="4" w:space="0"/>
              <w:bottom w:val="single" w:color="auto" w:sz="4" w:space="0"/>
              <w:right w:val="single" w:color="auto" w:sz="4" w:space="0"/>
            </w:tcBorders>
            <w:vAlign w:val="center"/>
          </w:tcPr>
          <w:p w14:paraId="43762939">
            <w:pPr>
              <w:snapToGrid w:val="0"/>
              <w:spacing w:line="500" w:lineRule="exact"/>
              <w:ind w:firstLine="0" w:firstLineChars="0"/>
              <w:jc w:val="center"/>
              <w:rPr>
                <w:rFonts w:hint="eastAsia" w:ascii="微软雅黑" w:hAnsi="微软雅黑"/>
                <w:color w:val="auto"/>
                <w:szCs w:val="21"/>
              </w:rPr>
            </w:pPr>
            <w:r>
              <w:rPr>
                <w:rFonts w:hint="eastAsia" w:ascii="微软雅黑" w:hAnsi="微软雅黑"/>
                <w:color w:val="auto"/>
                <w:szCs w:val="21"/>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27183E89">
            <w:pPr>
              <w:snapToGrid w:val="0"/>
              <w:spacing w:line="500" w:lineRule="exact"/>
              <w:ind w:firstLine="0" w:firstLineChars="0"/>
              <w:jc w:val="center"/>
              <w:rPr>
                <w:rFonts w:hint="eastAsia" w:ascii="微软雅黑" w:hAnsi="微软雅黑"/>
                <w:color w:val="auto"/>
                <w:szCs w:val="21"/>
              </w:rPr>
            </w:pPr>
            <w:r>
              <w:rPr>
                <w:rFonts w:hint="eastAsia" w:ascii="微软雅黑" w:hAnsi="微软雅黑"/>
                <w:color w:val="auto"/>
                <w:szCs w:val="21"/>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6823C48A">
            <w:pPr>
              <w:snapToGrid w:val="0"/>
              <w:spacing w:line="500" w:lineRule="exact"/>
              <w:ind w:firstLine="0" w:firstLineChars="0"/>
              <w:jc w:val="center"/>
              <w:rPr>
                <w:rFonts w:hint="eastAsia" w:ascii="微软雅黑" w:hAnsi="微软雅黑"/>
                <w:color w:val="auto"/>
                <w:szCs w:val="21"/>
              </w:rPr>
            </w:pPr>
            <w:r>
              <w:rPr>
                <w:rFonts w:hint="eastAsia" w:ascii="微软雅黑" w:hAnsi="微软雅黑"/>
                <w:color w:val="auto"/>
                <w:szCs w:val="21"/>
              </w:rPr>
              <w:t>采购数量</w:t>
            </w:r>
          </w:p>
        </w:tc>
        <w:tc>
          <w:tcPr>
            <w:tcW w:w="1080" w:type="dxa"/>
            <w:tcBorders>
              <w:top w:val="single" w:color="auto" w:sz="4" w:space="0"/>
              <w:left w:val="single" w:color="auto" w:sz="4" w:space="0"/>
              <w:bottom w:val="single" w:color="auto" w:sz="4" w:space="0"/>
              <w:right w:val="single" w:color="auto" w:sz="4" w:space="0"/>
            </w:tcBorders>
            <w:vAlign w:val="center"/>
          </w:tcPr>
          <w:p w14:paraId="3F37D9DE">
            <w:pPr>
              <w:snapToGrid w:val="0"/>
              <w:spacing w:line="500" w:lineRule="exact"/>
              <w:ind w:firstLine="0" w:firstLineChars="0"/>
              <w:jc w:val="center"/>
              <w:rPr>
                <w:rFonts w:hint="eastAsia" w:ascii="微软雅黑" w:hAnsi="微软雅黑"/>
                <w:color w:val="auto"/>
                <w:szCs w:val="21"/>
              </w:rPr>
            </w:pPr>
            <w:r>
              <w:rPr>
                <w:rFonts w:hint="eastAsia" w:ascii="微软雅黑" w:hAnsi="微软雅黑"/>
                <w:color w:val="auto"/>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5CADFD87">
            <w:pPr>
              <w:snapToGrid w:val="0"/>
              <w:spacing w:line="500" w:lineRule="exact"/>
              <w:ind w:firstLine="0" w:firstLineChars="0"/>
              <w:jc w:val="center"/>
              <w:rPr>
                <w:rFonts w:hint="eastAsia" w:ascii="微软雅黑" w:hAnsi="微软雅黑"/>
                <w:color w:val="auto"/>
                <w:szCs w:val="21"/>
              </w:rPr>
            </w:pPr>
            <w:r>
              <w:rPr>
                <w:rFonts w:hint="eastAsia" w:ascii="微软雅黑" w:hAnsi="微软雅黑"/>
                <w:color w:val="auto"/>
                <w:szCs w:val="21"/>
              </w:rPr>
              <w:t>合同金额</w:t>
            </w:r>
          </w:p>
          <w:p w14:paraId="19E402C1">
            <w:pPr>
              <w:snapToGrid w:val="0"/>
              <w:spacing w:line="500" w:lineRule="exact"/>
              <w:ind w:firstLine="0" w:firstLineChars="0"/>
              <w:jc w:val="center"/>
              <w:rPr>
                <w:rFonts w:hint="eastAsia" w:ascii="微软雅黑" w:hAnsi="微软雅黑"/>
                <w:color w:val="auto"/>
                <w:szCs w:val="21"/>
              </w:rPr>
            </w:pPr>
            <w:r>
              <w:rPr>
                <w:rFonts w:hint="eastAsia" w:ascii="微软雅黑" w:hAnsi="微软雅黑"/>
                <w:color w:val="auto"/>
                <w:szCs w:val="21"/>
              </w:rPr>
              <w:t>（万元）</w:t>
            </w:r>
          </w:p>
        </w:tc>
        <w:tc>
          <w:tcPr>
            <w:tcW w:w="1517" w:type="dxa"/>
            <w:tcBorders>
              <w:top w:val="single" w:color="auto" w:sz="4" w:space="0"/>
              <w:left w:val="single" w:color="auto" w:sz="4" w:space="0"/>
              <w:right w:val="single" w:color="auto" w:sz="4" w:space="0"/>
            </w:tcBorders>
            <w:vAlign w:val="center"/>
          </w:tcPr>
          <w:p w14:paraId="5B4A705E">
            <w:pPr>
              <w:snapToGrid w:val="0"/>
              <w:spacing w:line="500" w:lineRule="exact"/>
              <w:ind w:firstLine="0" w:firstLineChars="0"/>
              <w:jc w:val="center"/>
              <w:rPr>
                <w:rFonts w:hint="eastAsia" w:ascii="微软雅黑" w:hAnsi="微软雅黑"/>
                <w:color w:val="auto"/>
                <w:szCs w:val="21"/>
              </w:rPr>
            </w:pPr>
            <w:r>
              <w:rPr>
                <w:rFonts w:hint="eastAsia" w:ascii="微软雅黑" w:hAnsi="微软雅黑"/>
                <w:color w:val="auto"/>
                <w:szCs w:val="21"/>
              </w:rPr>
              <w:t>附件页码</w:t>
            </w:r>
          </w:p>
          <w:p w14:paraId="51C5A036">
            <w:pPr>
              <w:snapToGrid w:val="0"/>
              <w:spacing w:line="500" w:lineRule="exact"/>
              <w:ind w:firstLine="0" w:firstLineChars="0"/>
              <w:jc w:val="center"/>
              <w:rPr>
                <w:rFonts w:hint="eastAsia" w:ascii="微软雅黑" w:hAnsi="微软雅黑"/>
                <w:color w:val="auto"/>
                <w:szCs w:val="21"/>
              </w:rPr>
            </w:pPr>
          </w:p>
        </w:tc>
        <w:tc>
          <w:tcPr>
            <w:tcW w:w="3118" w:type="dxa"/>
            <w:tcBorders>
              <w:top w:val="single" w:color="auto" w:sz="4" w:space="0"/>
              <w:left w:val="single" w:color="auto" w:sz="4" w:space="0"/>
              <w:bottom w:val="single" w:color="auto" w:sz="4" w:space="0"/>
              <w:right w:val="single" w:color="auto" w:sz="4" w:space="0"/>
            </w:tcBorders>
            <w:vAlign w:val="center"/>
          </w:tcPr>
          <w:p w14:paraId="25A01E32">
            <w:pPr>
              <w:snapToGrid w:val="0"/>
              <w:spacing w:line="500" w:lineRule="exact"/>
              <w:ind w:firstLine="0" w:firstLineChars="0"/>
              <w:jc w:val="center"/>
              <w:rPr>
                <w:rFonts w:hint="eastAsia" w:ascii="微软雅黑" w:hAnsi="微软雅黑"/>
                <w:color w:val="auto"/>
                <w:szCs w:val="21"/>
              </w:rPr>
            </w:pPr>
            <w:r>
              <w:rPr>
                <w:rFonts w:hint="eastAsia" w:ascii="微软雅黑" w:hAnsi="微软雅黑"/>
                <w:color w:val="auto"/>
                <w:szCs w:val="21"/>
              </w:rPr>
              <w:t>采购单位联系人及</w:t>
            </w:r>
          </w:p>
          <w:p w14:paraId="0AB33132">
            <w:pPr>
              <w:snapToGrid w:val="0"/>
              <w:spacing w:line="500" w:lineRule="exact"/>
              <w:ind w:firstLine="0" w:firstLineChars="0"/>
              <w:jc w:val="center"/>
              <w:rPr>
                <w:rFonts w:hint="eastAsia" w:ascii="微软雅黑" w:hAnsi="微软雅黑"/>
                <w:color w:val="auto"/>
                <w:szCs w:val="21"/>
              </w:rPr>
            </w:pPr>
            <w:r>
              <w:rPr>
                <w:rFonts w:hint="eastAsia" w:ascii="微软雅黑" w:hAnsi="微软雅黑"/>
                <w:color w:val="auto"/>
                <w:szCs w:val="21"/>
              </w:rPr>
              <w:t>联系电话</w:t>
            </w:r>
          </w:p>
        </w:tc>
      </w:tr>
      <w:tr w14:paraId="20FA7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628" w:type="dxa"/>
            <w:tcBorders>
              <w:top w:val="single" w:color="auto" w:sz="4" w:space="0"/>
              <w:left w:val="single" w:color="auto" w:sz="4" w:space="0"/>
              <w:bottom w:val="single" w:color="auto" w:sz="4" w:space="0"/>
              <w:right w:val="single" w:color="auto" w:sz="4" w:space="0"/>
            </w:tcBorders>
          </w:tcPr>
          <w:p w14:paraId="300D3D5B">
            <w:pPr>
              <w:snapToGrid w:val="0"/>
              <w:spacing w:line="500" w:lineRule="exact"/>
              <w:ind w:firstLine="0" w:firstLineChars="0"/>
              <w:jc w:val="center"/>
              <w:rPr>
                <w:rFonts w:hint="eastAsia" w:ascii="微软雅黑" w:hAnsi="微软雅黑"/>
                <w:color w:val="auto"/>
                <w:szCs w:val="21"/>
              </w:rPr>
            </w:pPr>
          </w:p>
        </w:tc>
        <w:tc>
          <w:tcPr>
            <w:tcW w:w="3420" w:type="dxa"/>
            <w:tcBorders>
              <w:top w:val="single" w:color="auto" w:sz="4" w:space="0"/>
              <w:left w:val="single" w:color="auto" w:sz="4" w:space="0"/>
              <w:bottom w:val="single" w:color="auto" w:sz="4" w:space="0"/>
              <w:right w:val="single" w:color="auto" w:sz="4" w:space="0"/>
            </w:tcBorders>
          </w:tcPr>
          <w:p w14:paraId="06F7A6F3">
            <w:pPr>
              <w:snapToGrid w:val="0"/>
              <w:spacing w:line="500" w:lineRule="exact"/>
              <w:ind w:firstLine="0" w:firstLineChars="0"/>
              <w:jc w:val="center"/>
              <w:rPr>
                <w:rFonts w:hint="eastAsia" w:ascii="微软雅黑" w:hAnsi="微软雅黑"/>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65CC786A">
            <w:pPr>
              <w:snapToGrid w:val="0"/>
              <w:spacing w:line="500" w:lineRule="exact"/>
              <w:ind w:firstLine="0" w:firstLineChars="0"/>
              <w:jc w:val="center"/>
              <w:rPr>
                <w:rFonts w:hint="eastAsia" w:ascii="微软雅黑" w:hAnsi="微软雅黑"/>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703466ED">
            <w:pPr>
              <w:snapToGrid w:val="0"/>
              <w:spacing w:line="500" w:lineRule="exact"/>
              <w:ind w:firstLine="0" w:firstLineChars="0"/>
              <w:jc w:val="center"/>
              <w:rPr>
                <w:rFonts w:hint="eastAsia" w:ascii="微软雅黑" w:hAnsi="微软雅黑"/>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255D8BEF">
            <w:pPr>
              <w:snapToGrid w:val="0"/>
              <w:spacing w:line="500" w:lineRule="exact"/>
              <w:ind w:firstLine="0" w:firstLineChars="0"/>
              <w:jc w:val="center"/>
              <w:rPr>
                <w:rFonts w:hint="eastAsia" w:ascii="微软雅黑" w:hAnsi="微软雅黑"/>
                <w:color w:val="auto"/>
                <w:szCs w:val="21"/>
              </w:rPr>
            </w:pPr>
          </w:p>
        </w:tc>
        <w:tc>
          <w:tcPr>
            <w:tcW w:w="1517" w:type="dxa"/>
            <w:tcBorders>
              <w:top w:val="single" w:color="auto" w:sz="4" w:space="0"/>
              <w:left w:val="single" w:color="auto" w:sz="4" w:space="0"/>
              <w:bottom w:val="single" w:color="auto" w:sz="4" w:space="0"/>
              <w:right w:val="single" w:color="auto" w:sz="4" w:space="0"/>
            </w:tcBorders>
          </w:tcPr>
          <w:p w14:paraId="10CE10CA">
            <w:pPr>
              <w:snapToGrid w:val="0"/>
              <w:spacing w:line="500" w:lineRule="exact"/>
              <w:ind w:firstLine="0" w:firstLineChars="0"/>
              <w:jc w:val="center"/>
              <w:rPr>
                <w:rFonts w:hint="eastAsia" w:ascii="微软雅黑" w:hAnsi="微软雅黑"/>
                <w:color w:val="auto"/>
                <w:szCs w:val="21"/>
              </w:rPr>
            </w:pPr>
          </w:p>
        </w:tc>
        <w:tc>
          <w:tcPr>
            <w:tcW w:w="3118" w:type="dxa"/>
            <w:tcBorders>
              <w:top w:val="single" w:color="auto" w:sz="4" w:space="0"/>
              <w:left w:val="single" w:color="auto" w:sz="4" w:space="0"/>
              <w:bottom w:val="single" w:color="auto" w:sz="4" w:space="0"/>
              <w:right w:val="single" w:color="auto" w:sz="4" w:space="0"/>
            </w:tcBorders>
          </w:tcPr>
          <w:p w14:paraId="4C66DB5E">
            <w:pPr>
              <w:snapToGrid w:val="0"/>
              <w:spacing w:line="500" w:lineRule="exact"/>
              <w:ind w:firstLine="0" w:firstLineChars="0"/>
              <w:jc w:val="center"/>
              <w:rPr>
                <w:rFonts w:hint="eastAsia" w:ascii="微软雅黑" w:hAnsi="微软雅黑"/>
                <w:color w:val="auto"/>
                <w:szCs w:val="21"/>
              </w:rPr>
            </w:pPr>
          </w:p>
        </w:tc>
      </w:tr>
      <w:tr w14:paraId="5F175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2E6D89A">
            <w:pPr>
              <w:snapToGrid w:val="0"/>
              <w:spacing w:line="500" w:lineRule="exact"/>
              <w:ind w:firstLine="0" w:firstLineChars="0"/>
              <w:rPr>
                <w:rFonts w:hint="eastAsia" w:ascii="微软雅黑" w:hAnsi="微软雅黑"/>
                <w:color w:val="auto"/>
                <w:szCs w:val="21"/>
              </w:rPr>
            </w:pPr>
          </w:p>
        </w:tc>
        <w:tc>
          <w:tcPr>
            <w:tcW w:w="3420" w:type="dxa"/>
            <w:tcBorders>
              <w:top w:val="single" w:color="auto" w:sz="4" w:space="0"/>
              <w:left w:val="single" w:color="auto" w:sz="4" w:space="0"/>
              <w:bottom w:val="single" w:color="auto" w:sz="4" w:space="0"/>
              <w:right w:val="single" w:color="auto" w:sz="4" w:space="0"/>
            </w:tcBorders>
          </w:tcPr>
          <w:p w14:paraId="2D1069FB">
            <w:pPr>
              <w:snapToGrid w:val="0"/>
              <w:spacing w:line="500" w:lineRule="exact"/>
              <w:ind w:firstLine="0" w:firstLineChars="0"/>
              <w:rPr>
                <w:rFonts w:hint="eastAsia" w:ascii="微软雅黑" w:hAnsi="微软雅黑"/>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69BE9A72">
            <w:pPr>
              <w:snapToGrid w:val="0"/>
              <w:spacing w:line="500" w:lineRule="exact"/>
              <w:ind w:firstLine="0" w:firstLineChars="0"/>
              <w:rPr>
                <w:rFonts w:hint="eastAsia" w:ascii="微软雅黑" w:hAnsi="微软雅黑"/>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50380691">
            <w:pPr>
              <w:snapToGrid w:val="0"/>
              <w:spacing w:line="500" w:lineRule="exact"/>
              <w:ind w:firstLine="0" w:firstLineChars="0"/>
              <w:rPr>
                <w:rFonts w:hint="eastAsia" w:ascii="微软雅黑" w:hAnsi="微软雅黑"/>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1060CBE2">
            <w:pPr>
              <w:snapToGrid w:val="0"/>
              <w:spacing w:line="500" w:lineRule="exact"/>
              <w:ind w:firstLine="0" w:firstLineChars="0"/>
              <w:rPr>
                <w:rFonts w:hint="eastAsia" w:ascii="微软雅黑" w:hAnsi="微软雅黑"/>
                <w:color w:val="auto"/>
                <w:szCs w:val="21"/>
              </w:rPr>
            </w:pPr>
          </w:p>
        </w:tc>
        <w:tc>
          <w:tcPr>
            <w:tcW w:w="1517" w:type="dxa"/>
            <w:tcBorders>
              <w:top w:val="single" w:color="auto" w:sz="4" w:space="0"/>
              <w:left w:val="single" w:color="auto" w:sz="4" w:space="0"/>
              <w:bottom w:val="single" w:color="auto" w:sz="4" w:space="0"/>
              <w:right w:val="single" w:color="auto" w:sz="4" w:space="0"/>
            </w:tcBorders>
          </w:tcPr>
          <w:p w14:paraId="6C7A6375">
            <w:pPr>
              <w:snapToGrid w:val="0"/>
              <w:spacing w:line="500" w:lineRule="exact"/>
              <w:ind w:firstLine="0" w:firstLineChars="0"/>
              <w:rPr>
                <w:rFonts w:hint="eastAsia" w:ascii="微软雅黑" w:hAnsi="微软雅黑"/>
                <w:color w:val="auto"/>
                <w:szCs w:val="21"/>
              </w:rPr>
            </w:pPr>
          </w:p>
        </w:tc>
        <w:tc>
          <w:tcPr>
            <w:tcW w:w="3118" w:type="dxa"/>
            <w:tcBorders>
              <w:top w:val="single" w:color="auto" w:sz="4" w:space="0"/>
              <w:left w:val="single" w:color="auto" w:sz="4" w:space="0"/>
              <w:bottom w:val="single" w:color="auto" w:sz="4" w:space="0"/>
              <w:right w:val="single" w:color="auto" w:sz="4" w:space="0"/>
            </w:tcBorders>
          </w:tcPr>
          <w:p w14:paraId="2E466ED9">
            <w:pPr>
              <w:snapToGrid w:val="0"/>
              <w:spacing w:line="500" w:lineRule="exact"/>
              <w:ind w:firstLine="0" w:firstLineChars="0"/>
              <w:rPr>
                <w:rFonts w:hint="eastAsia" w:ascii="微软雅黑" w:hAnsi="微软雅黑"/>
                <w:color w:val="auto"/>
                <w:szCs w:val="21"/>
              </w:rPr>
            </w:pPr>
          </w:p>
        </w:tc>
      </w:tr>
      <w:tr w14:paraId="60731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628" w:type="dxa"/>
            <w:tcBorders>
              <w:top w:val="single" w:color="auto" w:sz="4" w:space="0"/>
              <w:left w:val="single" w:color="auto" w:sz="4" w:space="0"/>
              <w:bottom w:val="single" w:color="auto" w:sz="4" w:space="0"/>
              <w:right w:val="single" w:color="auto" w:sz="4" w:space="0"/>
            </w:tcBorders>
          </w:tcPr>
          <w:p w14:paraId="1CA52155">
            <w:pPr>
              <w:snapToGrid w:val="0"/>
              <w:spacing w:line="500" w:lineRule="exact"/>
              <w:ind w:firstLine="0" w:firstLineChars="0"/>
              <w:rPr>
                <w:rFonts w:hint="eastAsia" w:ascii="微软雅黑" w:hAnsi="微软雅黑"/>
                <w:color w:val="auto"/>
                <w:szCs w:val="21"/>
              </w:rPr>
            </w:pPr>
          </w:p>
        </w:tc>
        <w:tc>
          <w:tcPr>
            <w:tcW w:w="3420" w:type="dxa"/>
            <w:tcBorders>
              <w:top w:val="single" w:color="auto" w:sz="4" w:space="0"/>
              <w:left w:val="single" w:color="auto" w:sz="4" w:space="0"/>
              <w:bottom w:val="single" w:color="auto" w:sz="4" w:space="0"/>
              <w:right w:val="single" w:color="auto" w:sz="4" w:space="0"/>
            </w:tcBorders>
          </w:tcPr>
          <w:p w14:paraId="05FC784C">
            <w:pPr>
              <w:snapToGrid w:val="0"/>
              <w:spacing w:line="500" w:lineRule="exact"/>
              <w:ind w:firstLine="0" w:firstLineChars="0"/>
              <w:rPr>
                <w:rFonts w:hint="eastAsia" w:ascii="微软雅黑" w:hAnsi="微软雅黑"/>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419FBAD9">
            <w:pPr>
              <w:snapToGrid w:val="0"/>
              <w:spacing w:line="500" w:lineRule="exact"/>
              <w:ind w:firstLine="0" w:firstLineChars="0"/>
              <w:rPr>
                <w:rFonts w:hint="eastAsia" w:ascii="微软雅黑" w:hAnsi="微软雅黑"/>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27CFFC5D">
            <w:pPr>
              <w:snapToGrid w:val="0"/>
              <w:spacing w:line="500" w:lineRule="exact"/>
              <w:ind w:firstLine="0" w:firstLineChars="0"/>
              <w:rPr>
                <w:rFonts w:hint="eastAsia" w:ascii="微软雅黑" w:hAnsi="微软雅黑"/>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711133FB">
            <w:pPr>
              <w:snapToGrid w:val="0"/>
              <w:spacing w:line="500" w:lineRule="exact"/>
              <w:ind w:firstLine="0" w:firstLineChars="0"/>
              <w:rPr>
                <w:rFonts w:hint="eastAsia" w:ascii="微软雅黑" w:hAnsi="微软雅黑"/>
                <w:color w:val="auto"/>
                <w:szCs w:val="21"/>
              </w:rPr>
            </w:pPr>
          </w:p>
        </w:tc>
        <w:tc>
          <w:tcPr>
            <w:tcW w:w="1517" w:type="dxa"/>
            <w:tcBorders>
              <w:top w:val="single" w:color="auto" w:sz="4" w:space="0"/>
              <w:left w:val="single" w:color="auto" w:sz="4" w:space="0"/>
              <w:bottom w:val="single" w:color="auto" w:sz="4" w:space="0"/>
              <w:right w:val="single" w:color="auto" w:sz="4" w:space="0"/>
            </w:tcBorders>
          </w:tcPr>
          <w:p w14:paraId="3C0406DD">
            <w:pPr>
              <w:snapToGrid w:val="0"/>
              <w:spacing w:line="500" w:lineRule="exact"/>
              <w:ind w:firstLine="0" w:firstLineChars="0"/>
              <w:rPr>
                <w:rFonts w:hint="eastAsia" w:ascii="微软雅黑" w:hAnsi="微软雅黑"/>
                <w:color w:val="auto"/>
                <w:szCs w:val="21"/>
              </w:rPr>
            </w:pPr>
          </w:p>
        </w:tc>
        <w:tc>
          <w:tcPr>
            <w:tcW w:w="3118" w:type="dxa"/>
            <w:tcBorders>
              <w:top w:val="single" w:color="auto" w:sz="4" w:space="0"/>
              <w:left w:val="single" w:color="auto" w:sz="4" w:space="0"/>
              <w:bottom w:val="single" w:color="auto" w:sz="4" w:space="0"/>
              <w:right w:val="single" w:color="auto" w:sz="4" w:space="0"/>
            </w:tcBorders>
          </w:tcPr>
          <w:p w14:paraId="01882EAC">
            <w:pPr>
              <w:snapToGrid w:val="0"/>
              <w:spacing w:line="500" w:lineRule="exact"/>
              <w:ind w:firstLine="0" w:firstLineChars="0"/>
              <w:rPr>
                <w:rFonts w:hint="eastAsia" w:ascii="微软雅黑" w:hAnsi="微软雅黑"/>
                <w:color w:val="auto"/>
                <w:szCs w:val="21"/>
              </w:rPr>
            </w:pPr>
          </w:p>
        </w:tc>
      </w:tr>
      <w:tr w14:paraId="18769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B1B4389">
            <w:pPr>
              <w:snapToGrid w:val="0"/>
              <w:spacing w:line="500" w:lineRule="exact"/>
              <w:ind w:firstLine="0" w:firstLineChars="0"/>
              <w:rPr>
                <w:rFonts w:hint="eastAsia" w:ascii="微软雅黑" w:hAnsi="微软雅黑"/>
                <w:color w:val="auto"/>
                <w:szCs w:val="21"/>
              </w:rPr>
            </w:pPr>
          </w:p>
        </w:tc>
        <w:tc>
          <w:tcPr>
            <w:tcW w:w="3420" w:type="dxa"/>
            <w:tcBorders>
              <w:top w:val="single" w:color="auto" w:sz="4" w:space="0"/>
              <w:left w:val="single" w:color="auto" w:sz="4" w:space="0"/>
              <w:bottom w:val="single" w:color="auto" w:sz="4" w:space="0"/>
              <w:right w:val="single" w:color="auto" w:sz="4" w:space="0"/>
            </w:tcBorders>
          </w:tcPr>
          <w:p w14:paraId="1FFABCCF">
            <w:pPr>
              <w:snapToGrid w:val="0"/>
              <w:spacing w:line="500" w:lineRule="exact"/>
              <w:ind w:firstLine="0" w:firstLineChars="0"/>
              <w:rPr>
                <w:rFonts w:hint="eastAsia" w:ascii="微软雅黑" w:hAnsi="微软雅黑"/>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712A0319">
            <w:pPr>
              <w:snapToGrid w:val="0"/>
              <w:spacing w:line="500" w:lineRule="exact"/>
              <w:ind w:firstLine="0" w:firstLineChars="0"/>
              <w:rPr>
                <w:rFonts w:hint="eastAsia" w:ascii="微软雅黑" w:hAnsi="微软雅黑"/>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73C5D53C">
            <w:pPr>
              <w:snapToGrid w:val="0"/>
              <w:spacing w:line="500" w:lineRule="exact"/>
              <w:ind w:firstLine="0" w:firstLineChars="0"/>
              <w:rPr>
                <w:rFonts w:hint="eastAsia" w:ascii="微软雅黑" w:hAnsi="微软雅黑"/>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07924215">
            <w:pPr>
              <w:snapToGrid w:val="0"/>
              <w:spacing w:line="500" w:lineRule="exact"/>
              <w:ind w:firstLine="0" w:firstLineChars="0"/>
              <w:rPr>
                <w:rFonts w:hint="eastAsia" w:ascii="微软雅黑" w:hAnsi="微软雅黑"/>
                <w:color w:val="auto"/>
                <w:szCs w:val="21"/>
              </w:rPr>
            </w:pPr>
          </w:p>
        </w:tc>
        <w:tc>
          <w:tcPr>
            <w:tcW w:w="1517" w:type="dxa"/>
            <w:tcBorders>
              <w:top w:val="single" w:color="auto" w:sz="4" w:space="0"/>
              <w:left w:val="single" w:color="auto" w:sz="4" w:space="0"/>
              <w:bottom w:val="single" w:color="auto" w:sz="4" w:space="0"/>
              <w:right w:val="single" w:color="auto" w:sz="4" w:space="0"/>
            </w:tcBorders>
          </w:tcPr>
          <w:p w14:paraId="10FDC6AB">
            <w:pPr>
              <w:snapToGrid w:val="0"/>
              <w:spacing w:line="500" w:lineRule="exact"/>
              <w:ind w:firstLine="0" w:firstLineChars="0"/>
              <w:rPr>
                <w:rFonts w:hint="eastAsia" w:ascii="微软雅黑" w:hAnsi="微软雅黑"/>
                <w:color w:val="auto"/>
                <w:szCs w:val="21"/>
              </w:rPr>
            </w:pPr>
          </w:p>
        </w:tc>
        <w:tc>
          <w:tcPr>
            <w:tcW w:w="3118" w:type="dxa"/>
            <w:tcBorders>
              <w:top w:val="single" w:color="auto" w:sz="4" w:space="0"/>
              <w:left w:val="single" w:color="auto" w:sz="4" w:space="0"/>
              <w:bottom w:val="single" w:color="auto" w:sz="4" w:space="0"/>
              <w:right w:val="single" w:color="auto" w:sz="4" w:space="0"/>
            </w:tcBorders>
          </w:tcPr>
          <w:p w14:paraId="72BB59F2">
            <w:pPr>
              <w:snapToGrid w:val="0"/>
              <w:spacing w:line="500" w:lineRule="exact"/>
              <w:ind w:firstLine="0" w:firstLineChars="0"/>
              <w:rPr>
                <w:rFonts w:hint="eastAsia" w:ascii="微软雅黑" w:hAnsi="微软雅黑"/>
                <w:color w:val="auto"/>
                <w:szCs w:val="21"/>
              </w:rPr>
            </w:pPr>
          </w:p>
        </w:tc>
      </w:tr>
      <w:tr w14:paraId="3733E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7D4718C">
            <w:pPr>
              <w:snapToGrid w:val="0"/>
              <w:spacing w:line="500" w:lineRule="exact"/>
              <w:ind w:firstLine="0" w:firstLineChars="0"/>
              <w:rPr>
                <w:rFonts w:hint="eastAsia" w:ascii="微软雅黑" w:hAnsi="微软雅黑"/>
                <w:color w:val="auto"/>
                <w:szCs w:val="21"/>
              </w:rPr>
            </w:pPr>
          </w:p>
        </w:tc>
        <w:tc>
          <w:tcPr>
            <w:tcW w:w="3420" w:type="dxa"/>
            <w:tcBorders>
              <w:top w:val="single" w:color="auto" w:sz="4" w:space="0"/>
              <w:left w:val="single" w:color="auto" w:sz="4" w:space="0"/>
              <w:bottom w:val="single" w:color="auto" w:sz="4" w:space="0"/>
              <w:right w:val="single" w:color="auto" w:sz="4" w:space="0"/>
            </w:tcBorders>
          </w:tcPr>
          <w:p w14:paraId="4C14BD5C">
            <w:pPr>
              <w:snapToGrid w:val="0"/>
              <w:spacing w:line="500" w:lineRule="exact"/>
              <w:ind w:firstLine="0" w:firstLineChars="0"/>
              <w:rPr>
                <w:rFonts w:hint="eastAsia" w:ascii="微软雅黑" w:hAnsi="微软雅黑"/>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52B1406C">
            <w:pPr>
              <w:snapToGrid w:val="0"/>
              <w:spacing w:line="500" w:lineRule="exact"/>
              <w:ind w:firstLine="0" w:firstLineChars="0"/>
              <w:rPr>
                <w:rFonts w:hint="eastAsia" w:ascii="微软雅黑" w:hAnsi="微软雅黑"/>
                <w:color w:val="auto"/>
                <w:szCs w:val="21"/>
              </w:rPr>
            </w:pPr>
          </w:p>
        </w:tc>
        <w:tc>
          <w:tcPr>
            <w:tcW w:w="1080" w:type="dxa"/>
            <w:tcBorders>
              <w:top w:val="single" w:color="auto" w:sz="4" w:space="0"/>
              <w:left w:val="single" w:color="auto" w:sz="4" w:space="0"/>
              <w:bottom w:val="single" w:color="auto" w:sz="4" w:space="0"/>
              <w:right w:val="single" w:color="auto" w:sz="4" w:space="0"/>
            </w:tcBorders>
          </w:tcPr>
          <w:p w14:paraId="75014C71">
            <w:pPr>
              <w:snapToGrid w:val="0"/>
              <w:spacing w:line="500" w:lineRule="exact"/>
              <w:ind w:firstLine="0" w:firstLineChars="0"/>
              <w:rPr>
                <w:rFonts w:hint="eastAsia" w:ascii="微软雅黑" w:hAnsi="微软雅黑"/>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4DDE89C1">
            <w:pPr>
              <w:snapToGrid w:val="0"/>
              <w:spacing w:line="500" w:lineRule="exact"/>
              <w:ind w:firstLine="0" w:firstLineChars="0"/>
              <w:rPr>
                <w:rFonts w:hint="eastAsia" w:ascii="微软雅黑" w:hAnsi="微软雅黑"/>
                <w:color w:val="auto"/>
                <w:szCs w:val="21"/>
              </w:rPr>
            </w:pPr>
          </w:p>
        </w:tc>
        <w:tc>
          <w:tcPr>
            <w:tcW w:w="1517" w:type="dxa"/>
            <w:tcBorders>
              <w:top w:val="single" w:color="auto" w:sz="4" w:space="0"/>
              <w:left w:val="single" w:color="auto" w:sz="4" w:space="0"/>
              <w:bottom w:val="single" w:color="auto" w:sz="4" w:space="0"/>
              <w:right w:val="single" w:color="auto" w:sz="4" w:space="0"/>
            </w:tcBorders>
          </w:tcPr>
          <w:p w14:paraId="6D5790F2">
            <w:pPr>
              <w:snapToGrid w:val="0"/>
              <w:spacing w:line="500" w:lineRule="exact"/>
              <w:ind w:firstLine="0" w:firstLineChars="0"/>
              <w:rPr>
                <w:rFonts w:hint="eastAsia" w:ascii="微软雅黑" w:hAnsi="微软雅黑"/>
                <w:color w:val="auto"/>
                <w:szCs w:val="21"/>
              </w:rPr>
            </w:pPr>
          </w:p>
        </w:tc>
        <w:tc>
          <w:tcPr>
            <w:tcW w:w="3118" w:type="dxa"/>
            <w:tcBorders>
              <w:top w:val="single" w:color="auto" w:sz="4" w:space="0"/>
              <w:left w:val="single" w:color="auto" w:sz="4" w:space="0"/>
              <w:bottom w:val="single" w:color="auto" w:sz="4" w:space="0"/>
              <w:right w:val="single" w:color="auto" w:sz="4" w:space="0"/>
            </w:tcBorders>
          </w:tcPr>
          <w:p w14:paraId="536079F7">
            <w:pPr>
              <w:snapToGrid w:val="0"/>
              <w:spacing w:line="500" w:lineRule="exact"/>
              <w:ind w:firstLine="0" w:firstLineChars="0"/>
              <w:rPr>
                <w:rFonts w:hint="eastAsia" w:ascii="微软雅黑" w:hAnsi="微软雅黑"/>
                <w:color w:val="auto"/>
                <w:szCs w:val="21"/>
              </w:rPr>
            </w:pPr>
          </w:p>
        </w:tc>
      </w:tr>
    </w:tbl>
    <w:p w14:paraId="5C6C6254">
      <w:pPr>
        <w:pStyle w:val="13"/>
        <w:snapToGrid w:val="0"/>
        <w:spacing w:before="0" w:after="0" w:line="500" w:lineRule="exact"/>
        <w:ind w:firstLine="0" w:firstLineChars="0"/>
        <w:rPr>
          <w:rFonts w:hint="eastAsia" w:ascii="微软雅黑" w:hAnsi="微软雅黑" w:eastAsia="微软雅黑"/>
          <w:color w:val="auto"/>
          <w:sz w:val="21"/>
          <w:szCs w:val="21"/>
        </w:rPr>
      </w:pPr>
    </w:p>
    <w:p w14:paraId="45050D34">
      <w:pPr>
        <w:pStyle w:val="26"/>
        <w:spacing w:line="500" w:lineRule="exact"/>
        <w:ind w:firstLine="0" w:firstLineChars="0"/>
        <w:rPr>
          <w:rFonts w:hint="eastAsia" w:ascii="微软雅黑" w:hAnsi="微软雅黑"/>
          <w:color w:val="auto"/>
          <w:szCs w:val="21"/>
        </w:rPr>
      </w:pPr>
      <w:r>
        <w:rPr>
          <w:rFonts w:hint="eastAsia" w:ascii="微软雅黑" w:hAnsi="微软雅黑"/>
          <w:color w:val="auto"/>
          <w:szCs w:val="21"/>
        </w:rPr>
        <w:t xml:space="preserve">法定代表人或其委托代理人签名（或盖章）：                </w:t>
      </w:r>
    </w:p>
    <w:p w14:paraId="6DD851D0">
      <w:pPr>
        <w:pStyle w:val="26"/>
        <w:spacing w:line="500" w:lineRule="exact"/>
        <w:ind w:firstLine="0" w:firstLineChars="0"/>
        <w:rPr>
          <w:rFonts w:hint="eastAsia" w:ascii="微软雅黑" w:hAnsi="微软雅黑"/>
          <w:color w:val="auto"/>
          <w:szCs w:val="21"/>
        </w:rPr>
      </w:pPr>
      <w:r>
        <w:rPr>
          <w:rFonts w:hint="eastAsia" w:ascii="微软雅黑" w:hAnsi="微软雅黑"/>
          <w:color w:val="auto"/>
          <w:szCs w:val="21"/>
        </w:rPr>
        <w:t>投标人：（单位公章）</w:t>
      </w:r>
    </w:p>
    <w:p w14:paraId="1EC7952C">
      <w:pPr>
        <w:pStyle w:val="26"/>
        <w:spacing w:line="500" w:lineRule="exact"/>
        <w:ind w:firstLine="0" w:firstLineChars="0"/>
        <w:rPr>
          <w:rFonts w:hint="eastAsia" w:ascii="微软雅黑" w:hAnsi="微软雅黑"/>
          <w:color w:val="auto"/>
          <w:szCs w:val="21"/>
        </w:rPr>
      </w:pPr>
      <w:r>
        <w:rPr>
          <w:rFonts w:hint="eastAsia" w:ascii="微软雅黑" w:hAnsi="微软雅黑"/>
          <w:color w:val="auto"/>
          <w:szCs w:val="21"/>
        </w:rPr>
        <w:t>日期：年月  日</w:t>
      </w:r>
    </w:p>
    <w:p w14:paraId="69B26F28">
      <w:pPr>
        <w:snapToGrid w:val="0"/>
        <w:ind w:firstLine="420"/>
        <w:rPr>
          <w:rFonts w:hint="eastAsia" w:ascii="微软雅黑" w:hAnsi="微软雅黑"/>
          <w:color w:val="auto"/>
          <w:szCs w:val="21"/>
        </w:rPr>
      </w:pPr>
    </w:p>
    <w:p w14:paraId="41A51CF9">
      <w:pPr>
        <w:snapToGrid w:val="0"/>
        <w:ind w:firstLine="420"/>
        <w:rPr>
          <w:rFonts w:hint="eastAsia" w:ascii="微软雅黑" w:hAnsi="微软雅黑"/>
          <w:color w:val="auto"/>
          <w:szCs w:val="21"/>
        </w:rPr>
        <w:sectPr>
          <w:pgSz w:w="16838" w:h="11906" w:orient="landscape"/>
          <w:pgMar w:top="1797" w:right="1474" w:bottom="1797" w:left="1247" w:header="851" w:footer="851" w:gutter="0"/>
          <w:cols w:space="720" w:num="1"/>
          <w:docGrid w:linePitch="312" w:charSpace="0"/>
        </w:sectPr>
      </w:pPr>
    </w:p>
    <w:p w14:paraId="48EFB796">
      <w:pPr>
        <w:snapToGrid w:val="0"/>
        <w:spacing w:line="600" w:lineRule="exact"/>
        <w:ind w:firstLine="420"/>
        <w:rPr>
          <w:rFonts w:hint="eastAsia" w:ascii="微软雅黑" w:hAnsi="微软雅黑"/>
          <w:b/>
          <w:color w:val="auto"/>
          <w:szCs w:val="21"/>
        </w:rPr>
      </w:pPr>
      <w:r>
        <w:rPr>
          <w:rFonts w:hint="eastAsia" w:ascii="微软雅黑" w:hAnsi="微软雅黑"/>
          <w:b/>
          <w:bCs/>
          <w:color w:val="auto"/>
          <w:szCs w:val="21"/>
        </w:rPr>
        <w:t>技术规范偏离</w:t>
      </w:r>
      <w:r>
        <w:rPr>
          <w:rFonts w:hint="eastAsia" w:ascii="微软雅黑" w:hAnsi="微软雅黑"/>
          <w:b/>
          <w:color w:val="auto"/>
          <w:szCs w:val="21"/>
        </w:rPr>
        <w:t>表格式：</w:t>
      </w:r>
    </w:p>
    <w:tbl>
      <w:tblPr>
        <w:tblStyle w:val="52"/>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2794"/>
      </w:tblGrid>
      <w:tr w14:paraId="4AE3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F62D148">
            <w:pPr>
              <w:tabs>
                <w:tab w:val="left" w:pos="0"/>
              </w:tabs>
              <w:spacing w:line="600" w:lineRule="exact"/>
              <w:ind w:firstLine="0" w:firstLineChars="0"/>
              <w:jc w:val="both"/>
              <w:rPr>
                <w:rFonts w:hint="eastAsia" w:ascii="微软雅黑" w:hAnsi="微软雅黑"/>
                <w:color w:val="auto"/>
                <w:szCs w:val="21"/>
              </w:rPr>
            </w:pPr>
            <w:r>
              <w:rPr>
                <w:rFonts w:hint="eastAsia" w:ascii="微软雅黑" w:hAnsi="微软雅黑"/>
                <w:color w:val="auto"/>
                <w:szCs w:val="21"/>
              </w:rPr>
              <w:t>序号</w:t>
            </w:r>
          </w:p>
        </w:tc>
        <w:tc>
          <w:tcPr>
            <w:tcW w:w="2415" w:type="dxa"/>
            <w:vAlign w:val="center"/>
          </w:tcPr>
          <w:p w14:paraId="7D037E2F">
            <w:pPr>
              <w:tabs>
                <w:tab w:val="left" w:pos="0"/>
              </w:tabs>
              <w:spacing w:line="600" w:lineRule="exact"/>
              <w:ind w:firstLine="0" w:firstLineChars="0"/>
              <w:jc w:val="both"/>
              <w:rPr>
                <w:rFonts w:hint="eastAsia" w:ascii="微软雅黑" w:hAnsi="微软雅黑"/>
                <w:color w:val="auto"/>
                <w:szCs w:val="21"/>
              </w:rPr>
            </w:pPr>
            <w:r>
              <w:rPr>
                <w:rFonts w:hint="eastAsia" w:ascii="微软雅黑" w:hAnsi="微软雅黑"/>
                <w:color w:val="auto"/>
                <w:szCs w:val="21"/>
              </w:rPr>
              <w:t>招标文件要求</w:t>
            </w:r>
          </w:p>
        </w:tc>
        <w:tc>
          <w:tcPr>
            <w:tcW w:w="2835" w:type="dxa"/>
            <w:vAlign w:val="center"/>
          </w:tcPr>
          <w:p w14:paraId="0A0CD8C6">
            <w:pPr>
              <w:tabs>
                <w:tab w:val="left" w:pos="0"/>
              </w:tabs>
              <w:spacing w:line="600" w:lineRule="exact"/>
              <w:ind w:firstLine="0" w:firstLineChars="0"/>
              <w:jc w:val="both"/>
              <w:rPr>
                <w:rFonts w:hint="eastAsia" w:ascii="微软雅黑" w:hAnsi="微软雅黑"/>
                <w:color w:val="auto"/>
                <w:szCs w:val="21"/>
              </w:rPr>
            </w:pPr>
            <w:r>
              <w:rPr>
                <w:rFonts w:hint="eastAsia" w:ascii="微软雅黑" w:hAnsi="微软雅黑"/>
                <w:color w:val="auto"/>
                <w:szCs w:val="21"/>
              </w:rPr>
              <w:t>投标文件情况</w:t>
            </w:r>
          </w:p>
        </w:tc>
        <w:tc>
          <w:tcPr>
            <w:tcW w:w="2794" w:type="dxa"/>
            <w:vAlign w:val="center"/>
          </w:tcPr>
          <w:p w14:paraId="29E4D59C">
            <w:pPr>
              <w:tabs>
                <w:tab w:val="left" w:pos="0"/>
              </w:tabs>
              <w:spacing w:line="600" w:lineRule="exact"/>
              <w:ind w:firstLine="0" w:firstLineChars="0"/>
              <w:jc w:val="both"/>
              <w:rPr>
                <w:rFonts w:hint="eastAsia" w:ascii="微软雅黑" w:hAnsi="微软雅黑"/>
                <w:color w:val="auto"/>
                <w:szCs w:val="21"/>
              </w:rPr>
            </w:pPr>
            <w:r>
              <w:rPr>
                <w:rFonts w:hint="eastAsia" w:ascii="微软雅黑" w:hAnsi="微软雅黑"/>
                <w:color w:val="auto"/>
                <w:szCs w:val="21"/>
              </w:rPr>
              <w:t>说明</w:t>
            </w:r>
          </w:p>
        </w:tc>
      </w:tr>
      <w:tr w14:paraId="7146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15878828">
            <w:pPr>
              <w:spacing w:line="600" w:lineRule="exact"/>
              <w:ind w:firstLine="0" w:firstLineChars="0"/>
              <w:jc w:val="center"/>
              <w:rPr>
                <w:rFonts w:hint="eastAsia" w:ascii="微软雅黑" w:hAnsi="微软雅黑"/>
                <w:color w:val="auto"/>
                <w:szCs w:val="21"/>
              </w:rPr>
            </w:pPr>
          </w:p>
        </w:tc>
        <w:tc>
          <w:tcPr>
            <w:tcW w:w="2415" w:type="dxa"/>
            <w:vAlign w:val="center"/>
          </w:tcPr>
          <w:p w14:paraId="0B7F2BC5">
            <w:pPr>
              <w:spacing w:line="600" w:lineRule="exact"/>
              <w:ind w:firstLine="0" w:firstLineChars="0"/>
              <w:jc w:val="center"/>
              <w:rPr>
                <w:rFonts w:hint="eastAsia" w:ascii="微软雅黑" w:hAnsi="微软雅黑"/>
                <w:color w:val="auto"/>
                <w:szCs w:val="21"/>
              </w:rPr>
            </w:pPr>
          </w:p>
        </w:tc>
        <w:tc>
          <w:tcPr>
            <w:tcW w:w="2835" w:type="dxa"/>
            <w:vAlign w:val="center"/>
          </w:tcPr>
          <w:p w14:paraId="28BED1C0">
            <w:pPr>
              <w:spacing w:line="600" w:lineRule="exact"/>
              <w:ind w:firstLine="0" w:firstLineChars="0"/>
              <w:jc w:val="center"/>
              <w:rPr>
                <w:rFonts w:hint="eastAsia" w:ascii="微软雅黑" w:hAnsi="微软雅黑"/>
                <w:color w:val="auto"/>
                <w:szCs w:val="21"/>
              </w:rPr>
            </w:pPr>
          </w:p>
        </w:tc>
        <w:tc>
          <w:tcPr>
            <w:tcW w:w="2794" w:type="dxa"/>
            <w:vAlign w:val="center"/>
          </w:tcPr>
          <w:p w14:paraId="3B817A88">
            <w:pPr>
              <w:spacing w:line="600" w:lineRule="exact"/>
              <w:ind w:firstLine="0" w:firstLineChars="0"/>
              <w:jc w:val="center"/>
              <w:rPr>
                <w:rFonts w:hint="eastAsia" w:ascii="微软雅黑" w:hAnsi="微软雅黑"/>
                <w:color w:val="auto"/>
                <w:szCs w:val="21"/>
              </w:rPr>
            </w:pPr>
          </w:p>
        </w:tc>
      </w:tr>
      <w:tr w14:paraId="3D9E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3AB6BAC9">
            <w:pPr>
              <w:spacing w:line="600" w:lineRule="exact"/>
              <w:ind w:firstLine="0" w:firstLineChars="0"/>
              <w:jc w:val="center"/>
              <w:rPr>
                <w:rFonts w:hint="eastAsia" w:ascii="微软雅黑" w:hAnsi="微软雅黑"/>
                <w:color w:val="auto"/>
                <w:szCs w:val="21"/>
              </w:rPr>
            </w:pPr>
          </w:p>
        </w:tc>
        <w:tc>
          <w:tcPr>
            <w:tcW w:w="2415" w:type="dxa"/>
            <w:vAlign w:val="center"/>
          </w:tcPr>
          <w:p w14:paraId="0F2871B0">
            <w:pPr>
              <w:spacing w:line="600" w:lineRule="exact"/>
              <w:ind w:firstLine="0" w:firstLineChars="0"/>
              <w:jc w:val="center"/>
              <w:rPr>
                <w:rFonts w:hint="eastAsia" w:ascii="微软雅黑" w:hAnsi="微软雅黑"/>
                <w:color w:val="auto"/>
                <w:szCs w:val="21"/>
              </w:rPr>
            </w:pPr>
          </w:p>
        </w:tc>
        <w:tc>
          <w:tcPr>
            <w:tcW w:w="2835" w:type="dxa"/>
            <w:vAlign w:val="center"/>
          </w:tcPr>
          <w:p w14:paraId="1D9E170D">
            <w:pPr>
              <w:spacing w:line="600" w:lineRule="exact"/>
              <w:ind w:firstLine="0" w:firstLineChars="0"/>
              <w:jc w:val="center"/>
              <w:rPr>
                <w:rFonts w:hint="eastAsia" w:ascii="微软雅黑" w:hAnsi="微软雅黑"/>
                <w:color w:val="auto"/>
                <w:szCs w:val="21"/>
              </w:rPr>
            </w:pPr>
          </w:p>
        </w:tc>
        <w:tc>
          <w:tcPr>
            <w:tcW w:w="2794" w:type="dxa"/>
            <w:vAlign w:val="center"/>
          </w:tcPr>
          <w:p w14:paraId="54E70458">
            <w:pPr>
              <w:spacing w:line="600" w:lineRule="exact"/>
              <w:ind w:firstLine="0" w:firstLineChars="0"/>
              <w:jc w:val="center"/>
              <w:rPr>
                <w:rFonts w:hint="eastAsia" w:ascii="微软雅黑" w:hAnsi="微软雅黑"/>
                <w:color w:val="auto"/>
                <w:szCs w:val="21"/>
              </w:rPr>
            </w:pPr>
          </w:p>
        </w:tc>
      </w:tr>
      <w:tr w14:paraId="1C42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06B18454">
            <w:pPr>
              <w:spacing w:line="600" w:lineRule="exact"/>
              <w:ind w:firstLine="0" w:firstLineChars="0"/>
              <w:jc w:val="center"/>
              <w:rPr>
                <w:rFonts w:hint="eastAsia" w:ascii="微软雅黑" w:hAnsi="微软雅黑"/>
                <w:color w:val="auto"/>
                <w:szCs w:val="21"/>
              </w:rPr>
            </w:pPr>
          </w:p>
        </w:tc>
        <w:tc>
          <w:tcPr>
            <w:tcW w:w="2415" w:type="dxa"/>
            <w:vAlign w:val="center"/>
          </w:tcPr>
          <w:p w14:paraId="632E421C">
            <w:pPr>
              <w:spacing w:line="600" w:lineRule="exact"/>
              <w:ind w:firstLine="0" w:firstLineChars="0"/>
              <w:jc w:val="center"/>
              <w:rPr>
                <w:rFonts w:hint="eastAsia" w:ascii="微软雅黑" w:hAnsi="微软雅黑"/>
                <w:color w:val="auto"/>
                <w:szCs w:val="21"/>
              </w:rPr>
            </w:pPr>
          </w:p>
        </w:tc>
        <w:tc>
          <w:tcPr>
            <w:tcW w:w="2835" w:type="dxa"/>
            <w:vAlign w:val="center"/>
          </w:tcPr>
          <w:p w14:paraId="00AB23D6">
            <w:pPr>
              <w:spacing w:line="600" w:lineRule="exact"/>
              <w:ind w:firstLine="0" w:firstLineChars="0"/>
              <w:jc w:val="center"/>
              <w:rPr>
                <w:rFonts w:hint="eastAsia" w:ascii="微软雅黑" w:hAnsi="微软雅黑"/>
                <w:color w:val="auto"/>
                <w:szCs w:val="21"/>
              </w:rPr>
            </w:pPr>
          </w:p>
        </w:tc>
        <w:tc>
          <w:tcPr>
            <w:tcW w:w="2794" w:type="dxa"/>
            <w:vAlign w:val="center"/>
          </w:tcPr>
          <w:p w14:paraId="408A7F4A">
            <w:pPr>
              <w:spacing w:line="600" w:lineRule="exact"/>
              <w:ind w:firstLine="0" w:firstLineChars="0"/>
              <w:jc w:val="center"/>
              <w:rPr>
                <w:rFonts w:hint="eastAsia" w:ascii="微软雅黑" w:hAnsi="微软雅黑"/>
                <w:color w:val="auto"/>
                <w:szCs w:val="21"/>
              </w:rPr>
            </w:pPr>
          </w:p>
        </w:tc>
      </w:tr>
      <w:tr w14:paraId="53D2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F546DD3">
            <w:pPr>
              <w:spacing w:line="600" w:lineRule="exact"/>
              <w:ind w:firstLine="0" w:firstLineChars="0"/>
              <w:jc w:val="center"/>
              <w:rPr>
                <w:rFonts w:hint="eastAsia" w:ascii="微软雅黑" w:hAnsi="微软雅黑"/>
                <w:color w:val="auto"/>
                <w:szCs w:val="21"/>
              </w:rPr>
            </w:pPr>
            <w:r>
              <w:rPr>
                <w:rFonts w:ascii="微软雅黑" w:hAnsi="微软雅黑"/>
                <w:color w:val="auto"/>
                <w:szCs w:val="21"/>
              </w:rPr>
              <w:t>…</w:t>
            </w:r>
            <w:r>
              <w:rPr>
                <w:rFonts w:hint="eastAsia" w:ascii="微软雅黑" w:hAnsi="微软雅黑"/>
                <w:color w:val="auto"/>
                <w:szCs w:val="21"/>
              </w:rPr>
              <w:t>..</w:t>
            </w:r>
          </w:p>
        </w:tc>
        <w:tc>
          <w:tcPr>
            <w:tcW w:w="2415" w:type="dxa"/>
            <w:vAlign w:val="center"/>
          </w:tcPr>
          <w:p w14:paraId="55060D38">
            <w:pPr>
              <w:spacing w:line="600" w:lineRule="exact"/>
              <w:ind w:firstLine="0" w:firstLineChars="0"/>
              <w:jc w:val="center"/>
              <w:rPr>
                <w:rFonts w:hint="eastAsia" w:ascii="微软雅黑" w:hAnsi="微软雅黑"/>
                <w:color w:val="auto"/>
                <w:szCs w:val="21"/>
              </w:rPr>
            </w:pPr>
          </w:p>
        </w:tc>
        <w:tc>
          <w:tcPr>
            <w:tcW w:w="2835" w:type="dxa"/>
            <w:vAlign w:val="center"/>
          </w:tcPr>
          <w:p w14:paraId="643607D1">
            <w:pPr>
              <w:spacing w:line="600" w:lineRule="exact"/>
              <w:ind w:firstLine="0" w:firstLineChars="0"/>
              <w:jc w:val="center"/>
              <w:rPr>
                <w:rFonts w:hint="eastAsia" w:ascii="微软雅黑" w:hAnsi="微软雅黑"/>
                <w:color w:val="auto"/>
                <w:szCs w:val="21"/>
              </w:rPr>
            </w:pPr>
          </w:p>
        </w:tc>
        <w:tc>
          <w:tcPr>
            <w:tcW w:w="2794" w:type="dxa"/>
            <w:vAlign w:val="center"/>
          </w:tcPr>
          <w:p w14:paraId="07D6BB0A">
            <w:pPr>
              <w:spacing w:line="600" w:lineRule="exact"/>
              <w:ind w:firstLine="0" w:firstLineChars="0"/>
              <w:jc w:val="center"/>
              <w:rPr>
                <w:rFonts w:hint="eastAsia" w:ascii="微软雅黑" w:hAnsi="微软雅黑"/>
                <w:color w:val="auto"/>
                <w:szCs w:val="21"/>
              </w:rPr>
            </w:pPr>
          </w:p>
        </w:tc>
      </w:tr>
    </w:tbl>
    <w:p w14:paraId="40425488">
      <w:pPr>
        <w:pStyle w:val="26"/>
        <w:spacing w:line="600" w:lineRule="exact"/>
        <w:ind w:firstLine="420"/>
        <w:rPr>
          <w:rFonts w:hint="eastAsia" w:ascii="微软雅黑" w:hAnsi="微软雅黑"/>
          <w:color w:val="auto"/>
          <w:szCs w:val="21"/>
        </w:rPr>
      </w:pPr>
      <w:r>
        <w:rPr>
          <w:rFonts w:hint="eastAsia" w:ascii="微软雅黑" w:hAnsi="微软雅黑"/>
          <w:color w:val="auto"/>
          <w:szCs w:val="21"/>
        </w:rPr>
        <w:t>注：“偏离”系指“正偏离”、“负偏离”或“无偏离”。</w:t>
      </w:r>
    </w:p>
    <w:p w14:paraId="4BB1C8FC">
      <w:pPr>
        <w:pStyle w:val="26"/>
        <w:spacing w:line="600" w:lineRule="exact"/>
        <w:ind w:firstLine="420"/>
        <w:rPr>
          <w:rFonts w:hint="eastAsia" w:ascii="微软雅黑" w:hAnsi="微软雅黑"/>
          <w:color w:val="auto"/>
          <w:szCs w:val="21"/>
        </w:rPr>
      </w:pPr>
    </w:p>
    <w:p w14:paraId="7E7854BE">
      <w:pPr>
        <w:pStyle w:val="26"/>
        <w:spacing w:line="600" w:lineRule="exact"/>
        <w:ind w:firstLine="420"/>
        <w:rPr>
          <w:rFonts w:hint="eastAsia" w:ascii="微软雅黑" w:hAnsi="微软雅黑"/>
          <w:color w:val="auto"/>
          <w:szCs w:val="21"/>
        </w:rPr>
      </w:pPr>
      <w:r>
        <w:rPr>
          <w:rFonts w:hint="eastAsia" w:ascii="微软雅黑" w:hAnsi="微软雅黑"/>
          <w:color w:val="auto"/>
          <w:szCs w:val="21"/>
        </w:rPr>
        <w:t xml:space="preserve">法定代表人或其委托代理人签名（或盖章）：                </w:t>
      </w:r>
    </w:p>
    <w:p w14:paraId="6957FE1F">
      <w:pPr>
        <w:pStyle w:val="26"/>
        <w:spacing w:line="600" w:lineRule="exact"/>
        <w:ind w:firstLine="420"/>
        <w:rPr>
          <w:rFonts w:hint="eastAsia" w:ascii="微软雅黑" w:hAnsi="微软雅黑"/>
          <w:color w:val="auto"/>
          <w:szCs w:val="21"/>
        </w:rPr>
      </w:pPr>
      <w:r>
        <w:rPr>
          <w:rFonts w:hint="eastAsia" w:ascii="微软雅黑" w:hAnsi="微软雅黑"/>
          <w:color w:val="auto"/>
          <w:szCs w:val="21"/>
        </w:rPr>
        <w:t>投标人：（单位公章）</w:t>
      </w:r>
    </w:p>
    <w:p w14:paraId="6FBCEA43">
      <w:pPr>
        <w:pStyle w:val="26"/>
        <w:spacing w:line="600" w:lineRule="exact"/>
        <w:ind w:firstLine="420"/>
        <w:rPr>
          <w:rFonts w:hint="eastAsia" w:ascii="微软雅黑" w:hAnsi="微软雅黑"/>
          <w:color w:val="auto"/>
          <w:szCs w:val="21"/>
        </w:rPr>
      </w:pPr>
      <w:r>
        <w:rPr>
          <w:rFonts w:hint="eastAsia" w:ascii="微软雅黑" w:hAnsi="微软雅黑"/>
          <w:color w:val="auto"/>
          <w:szCs w:val="21"/>
        </w:rPr>
        <w:t>日期：年月  日</w:t>
      </w:r>
    </w:p>
    <w:p w14:paraId="3D7407F9">
      <w:pPr>
        <w:snapToGrid w:val="0"/>
        <w:ind w:firstLine="420"/>
        <w:rPr>
          <w:rFonts w:hint="eastAsia" w:ascii="微软雅黑" w:hAnsi="微软雅黑"/>
          <w:color w:val="auto"/>
          <w:szCs w:val="21"/>
        </w:rPr>
      </w:pPr>
    </w:p>
    <w:p w14:paraId="2762AA35">
      <w:pPr>
        <w:pStyle w:val="18"/>
        <w:ind w:firstLine="420"/>
        <w:rPr>
          <w:color w:val="auto"/>
        </w:rPr>
      </w:pPr>
    </w:p>
    <w:p w14:paraId="0F28896D">
      <w:pPr>
        <w:pStyle w:val="18"/>
        <w:ind w:firstLine="420"/>
        <w:rPr>
          <w:color w:val="auto"/>
        </w:rPr>
      </w:pPr>
    </w:p>
    <w:p w14:paraId="212CC9BB">
      <w:pPr>
        <w:pStyle w:val="18"/>
        <w:ind w:firstLine="420"/>
        <w:rPr>
          <w:color w:val="auto"/>
        </w:rPr>
      </w:pPr>
    </w:p>
    <w:p w14:paraId="4E43C813">
      <w:pPr>
        <w:pStyle w:val="18"/>
        <w:ind w:firstLine="420"/>
        <w:rPr>
          <w:color w:val="auto"/>
        </w:rPr>
      </w:pPr>
    </w:p>
    <w:p w14:paraId="195F6323">
      <w:pPr>
        <w:pStyle w:val="18"/>
        <w:ind w:firstLine="420"/>
        <w:rPr>
          <w:color w:val="auto"/>
        </w:rPr>
      </w:pPr>
    </w:p>
    <w:p w14:paraId="7B6AEE35">
      <w:pPr>
        <w:pStyle w:val="18"/>
        <w:ind w:firstLine="420"/>
        <w:rPr>
          <w:color w:val="auto"/>
        </w:rPr>
      </w:pPr>
    </w:p>
    <w:p w14:paraId="504165CF">
      <w:pPr>
        <w:pStyle w:val="18"/>
        <w:ind w:firstLine="420"/>
        <w:rPr>
          <w:color w:val="auto"/>
        </w:rPr>
      </w:pPr>
    </w:p>
    <w:p w14:paraId="77EB8818">
      <w:pPr>
        <w:pStyle w:val="18"/>
        <w:ind w:firstLine="420"/>
        <w:rPr>
          <w:color w:val="auto"/>
        </w:rPr>
      </w:pPr>
    </w:p>
    <w:p w14:paraId="556C565C">
      <w:pPr>
        <w:snapToGrid w:val="0"/>
        <w:ind w:firstLine="420"/>
        <w:rPr>
          <w:rFonts w:hint="eastAsia" w:ascii="微软雅黑" w:hAnsi="微软雅黑"/>
          <w:b/>
          <w:color w:val="auto"/>
          <w:szCs w:val="21"/>
        </w:rPr>
        <w:sectPr>
          <w:pgSz w:w="11906" w:h="16838"/>
          <w:pgMar w:top="1474" w:right="1797" w:bottom="1247" w:left="1797" w:header="851" w:footer="992" w:gutter="0"/>
          <w:cols w:space="720" w:num="1"/>
          <w:docGrid w:linePitch="312" w:charSpace="0"/>
        </w:sectPr>
      </w:pPr>
    </w:p>
    <w:p w14:paraId="676E2E50">
      <w:pPr>
        <w:snapToGrid w:val="0"/>
        <w:ind w:firstLine="420"/>
        <w:rPr>
          <w:rFonts w:hint="eastAsia" w:ascii="微软雅黑" w:hAnsi="微软雅黑"/>
          <w:b/>
          <w:color w:val="auto"/>
          <w:szCs w:val="21"/>
        </w:rPr>
      </w:pPr>
      <w:r>
        <w:rPr>
          <w:rFonts w:hint="eastAsia" w:ascii="微软雅黑" w:hAnsi="微软雅黑"/>
          <w:b/>
          <w:color w:val="auto"/>
          <w:szCs w:val="21"/>
        </w:rPr>
        <w:t>商务响应表格式：</w:t>
      </w:r>
    </w:p>
    <w:tbl>
      <w:tblPr>
        <w:tblStyle w:val="52"/>
        <w:tblW w:w="82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3221"/>
        <w:gridCol w:w="1653"/>
        <w:gridCol w:w="2645"/>
      </w:tblGrid>
      <w:tr w14:paraId="6C387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72" w:type="dxa"/>
            <w:tcBorders>
              <w:top w:val="single" w:color="auto" w:sz="4" w:space="0"/>
              <w:left w:val="single" w:color="auto" w:sz="4" w:space="0"/>
              <w:bottom w:val="single" w:color="auto" w:sz="4" w:space="0"/>
              <w:right w:val="single" w:color="auto" w:sz="4" w:space="0"/>
            </w:tcBorders>
          </w:tcPr>
          <w:p w14:paraId="08F3A64E">
            <w:pPr>
              <w:snapToGrid w:val="0"/>
              <w:spacing w:line="600" w:lineRule="exact"/>
              <w:ind w:firstLine="0" w:firstLineChars="0"/>
              <w:rPr>
                <w:rFonts w:hint="eastAsia" w:ascii="微软雅黑" w:hAnsi="微软雅黑"/>
                <w:color w:val="auto"/>
                <w:szCs w:val="21"/>
              </w:rPr>
            </w:pPr>
            <w:r>
              <w:rPr>
                <w:rFonts w:hint="eastAsia" w:ascii="微软雅黑" w:hAnsi="微软雅黑"/>
                <w:color w:val="auto"/>
                <w:szCs w:val="21"/>
              </w:rPr>
              <w:t>项目</w:t>
            </w:r>
          </w:p>
        </w:tc>
        <w:tc>
          <w:tcPr>
            <w:tcW w:w="3221" w:type="dxa"/>
            <w:tcBorders>
              <w:top w:val="single" w:color="auto" w:sz="4" w:space="0"/>
              <w:left w:val="single" w:color="auto" w:sz="4" w:space="0"/>
              <w:bottom w:val="single" w:color="auto" w:sz="4" w:space="0"/>
              <w:right w:val="single" w:color="auto" w:sz="4" w:space="0"/>
            </w:tcBorders>
          </w:tcPr>
          <w:p w14:paraId="063FBFC1">
            <w:pPr>
              <w:snapToGrid w:val="0"/>
              <w:spacing w:line="600" w:lineRule="exact"/>
              <w:ind w:firstLine="0" w:firstLineChars="0"/>
              <w:rPr>
                <w:rFonts w:hint="eastAsia" w:ascii="微软雅黑" w:hAnsi="微软雅黑"/>
                <w:color w:val="auto"/>
                <w:szCs w:val="21"/>
              </w:rPr>
            </w:pPr>
            <w:r>
              <w:rPr>
                <w:rFonts w:hint="eastAsia" w:ascii="微软雅黑" w:hAnsi="微软雅黑"/>
                <w:color w:val="auto"/>
                <w:szCs w:val="21"/>
              </w:rPr>
              <w:t>招标文件要求</w:t>
            </w:r>
          </w:p>
        </w:tc>
        <w:tc>
          <w:tcPr>
            <w:tcW w:w="1653" w:type="dxa"/>
            <w:tcBorders>
              <w:top w:val="single" w:color="auto" w:sz="4" w:space="0"/>
              <w:left w:val="single" w:color="auto" w:sz="4" w:space="0"/>
              <w:bottom w:val="single" w:color="auto" w:sz="4" w:space="0"/>
              <w:right w:val="single" w:color="auto" w:sz="4" w:space="0"/>
            </w:tcBorders>
          </w:tcPr>
          <w:p w14:paraId="56ABF22E">
            <w:pPr>
              <w:snapToGrid w:val="0"/>
              <w:spacing w:line="600" w:lineRule="exact"/>
              <w:ind w:firstLine="0" w:firstLineChars="0"/>
              <w:rPr>
                <w:rFonts w:hint="eastAsia" w:ascii="微软雅黑" w:hAnsi="微软雅黑"/>
                <w:color w:val="auto"/>
                <w:szCs w:val="21"/>
              </w:rPr>
            </w:pPr>
            <w:r>
              <w:rPr>
                <w:rFonts w:hint="eastAsia" w:ascii="微软雅黑" w:hAnsi="微软雅黑"/>
                <w:color w:val="auto"/>
                <w:szCs w:val="21"/>
              </w:rPr>
              <w:t>是否响应</w:t>
            </w:r>
          </w:p>
        </w:tc>
        <w:tc>
          <w:tcPr>
            <w:tcW w:w="2645" w:type="dxa"/>
            <w:tcBorders>
              <w:top w:val="single" w:color="auto" w:sz="4" w:space="0"/>
              <w:left w:val="single" w:color="auto" w:sz="4" w:space="0"/>
              <w:bottom w:val="single" w:color="auto" w:sz="4" w:space="0"/>
              <w:right w:val="single" w:color="auto" w:sz="4" w:space="0"/>
            </w:tcBorders>
          </w:tcPr>
          <w:p w14:paraId="1D76A8DA">
            <w:pPr>
              <w:snapToGrid w:val="0"/>
              <w:spacing w:line="600" w:lineRule="exact"/>
              <w:ind w:firstLine="0" w:firstLineChars="0"/>
              <w:rPr>
                <w:rFonts w:hint="eastAsia" w:ascii="微软雅黑" w:hAnsi="微软雅黑"/>
                <w:color w:val="auto"/>
                <w:szCs w:val="21"/>
              </w:rPr>
            </w:pPr>
            <w:r>
              <w:rPr>
                <w:rFonts w:hint="eastAsia" w:ascii="微软雅黑" w:hAnsi="微软雅黑"/>
                <w:color w:val="auto"/>
                <w:szCs w:val="21"/>
              </w:rPr>
              <w:t>投标人的承诺或说明</w:t>
            </w:r>
          </w:p>
        </w:tc>
      </w:tr>
      <w:tr w14:paraId="523C5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2" w:type="dxa"/>
            <w:tcBorders>
              <w:top w:val="single" w:color="auto" w:sz="4" w:space="0"/>
              <w:left w:val="single" w:color="auto" w:sz="4" w:space="0"/>
              <w:bottom w:val="single" w:color="auto" w:sz="4" w:space="0"/>
              <w:right w:val="single" w:color="auto" w:sz="4" w:space="0"/>
            </w:tcBorders>
          </w:tcPr>
          <w:p w14:paraId="4DBBA425">
            <w:pPr>
              <w:snapToGrid w:val="0"/>
              <w:spacing w:line="600" w:lineRule="exact"/>
              <w:ind w:firstLine="0" w:firstLineChars="0"/>
              <w:rPr>
                <w:rFonts w:hint="eastAsia" w:ascii="微软雅黑" w:hAnsi="微软雅黑"/>
                <w:color w:val="auto"/>
                <w:szCs w:val="21"/>
              </w:rPr>
            </w:pPr>
            <w:r>
              <w:rPr>
                <w:rFonts w:hint="eastAsia" w:ascii="微软雅黑" w:hAnsi="微软雅黑"/>
                <w:color w:val="auto"/>
                <w:szCs w:val="21"/>
              </w:rPr>
              <w:t>1</w:t>
            </w:r>
          </w:p>
        </w:tc>
        <w:tc>
          <w:tcPr>
            <w:tcW w:w="3221" w:type="dxa"/>
            <w:tcBorders>
              <w:top w:val="single" w:color="auto" w:sz="4" w:space="0"/>
              <w:left w:val="single" w:color="auto" w:sz="4" w:space="0"/>
              <w:bottom w:val="single" w:color="auto" w:sz="4" w:space="0"/>
              <w:right w:val="single" w:color="auto" w:sz="4" w:space="0"/>
            </w:tcBorders>
          </w:tcPr>
          <w:p w14:paraId="3294EF3E">
            <w:pPr>
              <w:snapToGrid w:val="0"/>
              <w:spacing w:line="600" w:lineRule="exact"/>
              <w:ind w:firstLine="0" w:firstLineChars="0"/>
              <w:rPr>
                <w:rFonts w:hint="eastAsia" w:ascii="微软雅黑" w:hAnsi="微软雅黑"/>
                <w:color w:val="auto"/>
                <w:szCs w:val="21"/>
              </w:rPr>
            </w:pPr>
            <w:r>
              <w:rPr>
                <w:rFonts w:ascii="微软雅黑" w:hAnsi="微软雅黑"/>
                <w:color w:val="auto"/>
                <w:szCs w:val="21"/>
              </w:rPr>
              <w:t>服务期限</w:t>
            </w:r>
          </w:p>
        </w:tc>
        <w:tc>
          <w:tcPr>
            <w:tcW w:w="1653" w:type="dxa"/>
            <w:tcBorders>
              <w:top w:val="single" w:color="auto" w:sz="4" w:space="0"/>
              <w:left w:val="single" w:color="auto" w:sz="4" w:space="0"/>
              <w:bottom w:val="single" w:color="auto" w:sz="4" w:space="0"/>
              <w:right w:val="single" w:color="auto" w:sz="4" w:space="0"/>
            </w:tcBorders>
          </w:tcPr>
          <w:p w14:paraId="16AAE229">
            <w:pPr>
              <w:snapToGrid w:val="0"/>
              <w:spacing w:line="600" w:lineRule="exact"/>
              <w:ind w:firstLine="0" w:firstLineChars="0"/>
              <w:rPr>
                <w:rFonts w:hint="eastAsia" w:ascii="微软雅黑" w:hAnsi="微软雅黑"/>
                <w:color w:val="auto"/>
                <w:szCs w:val="21"/>
              </w:rPr>
            </w:pPr>
          </w:p>
        </w:tc>
        <w:tc>
          <w:tcPr>
            <w:tcW w:w="2645" w:type="dxa"/>
            <w:tcBorders>
              <w:top w:val="single" w:color="auto" w:sz="4" w:space="0"/>
              <w:left w:val="single" w:color="auto" w:sz="4" w:space="0"/>
              <w:bottom w:val="single" w:color="auto" w:sz="4" w:space="0"/>
              <w:right w:val="single" w:color="auto" w:sz="4" w:space="0"/>
            </w:tcBorders>
          </w:tcPr>
          <w:p w14:paraId="34B3010F">
            <w:pPr>
              <w:snapToGrid w:val="0"/>
              <w:spacing w:line="600" w:lineRule="exact"/>
              <w:ind w:firstLine="0" w:firstLineChars="0"/>
              <w:rPr>
                <w:rFonts w:hint="eastAsia" w:ascii="微软雅黑" w:hAnsi="微软雅黑"/>
                <w:color w:val="auto"/>
                <w:szCs w:val="21"/>
              </w:rPr>
            </w:pPr>
          </w:p>
        </w:tc>
      </w:tr>
      <w:tr w14:paraId="11780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710F0F08">
            <w:pPr>
              <w:snapToGrid w:val="0"/>
              <w:spacing w:line="600" w:lineRule="exact"/>
              <w:ind w:firstLine="0" w:firstLineChars="0"/>
              <w:rPr>
                <w:rFonts w:hint="eastAsia" w:ascii="微软雅黑" w:hAnsi="微软雅黑"/>
                <w:color w:val="auto"/>
                <w:szCs w:val="21"/>
              </w:rPr>
            </w:pPr>
            <w:r>
              <w:rPr>
                <w:rFonts w:hint="eastAsia" w:ascii="微软雅黑" w:hAnsi="微软雅黑"/>
                <w:color w:val="auto"/>
                <w:szCs w:val="21"/>
              </w:rPr>
              <w:t>2</w:t>
            </w:r>
          </w:p>
        </w:tc>
        <w:tc>
          <w:tcPr>
            <w:tcW w:w="3221" w:type="dxa"/>
            <w:tcBorders>
              <w:top w:val="single" w:color="auto" w:sz="4" w:space="0"/>
              <w:left w:val="single" w:color="auto" w:sz="4" w:space="0"/>
              <w:bottom w:val="single" w:color="auto" w:sz="4" w:space="0"/>
              <w:right w:val="single" w:color="auto" w:sz="4" w:space="0"/>
            </w:tcBorders>
          </w:tcPr>
          <w:p w14:paraId="69C09732">
            <w:pPr>
              <w:snapToGrid w:val="0"/>
              <w:spacing w:line="600" w:lineRule="exact"/>
              <w:ind w:firstLine="0" w:firstLineChars="0"/>
              <w:rPr>
                <w:rFonts w:hint="eastAsia" w:ascii="微软雅黑" w:hAnsi="微软雅黑"/>
                <w:color w:val="auto"/>
                <w:szCs w:val="21"/>
              </w:rPr>
            </w:pPr>
            <w:r>
              <w:rPr>
                <w:rFonts w:ascii="微软雅黑" w:hAnsi="微软雅黑"/>
                <w:color w:val="auto"/>
                <w:szCs w:val="21"/>
              </w:rPr>
              <w:t>付款方式</w:t>
            </w:r>
          </w:p>
        </w:tc>
        <w:tc>
          <w:tcPr>
            <w:tcW w:w="1653" w:type="dxa"/>
            <w:tcBorders>
              <w:top w:val="single" w:color="auto" w:sz="4" w:space="0"/>
              <w:left w:val="single" w:color="auto" w:sz="4" w:space="0"/>
              <w:bottom w:val="single" w:color="auto" w:sz="4" w:space="0"/>
              <w:right w:val="single" w:color="auto" w:sz="4" w:space="0"/>
            </w:tcBorders>
          </w:tcPr>
          <w:p w14:paraId="1C754B95">
            <w:pPr>
              <w:snapToGrid w:val="0"/>
              <w:spacing w:line="600" w:lineRule="exact"/>
              <w:ind w:firstLine="0" w:firstLineChars="0"/>
              <w:rPr>
                <w:rFonts w:hint="eastAsia" w:ascii="微软雅黑" w:hAnsi="微软雅黑"/>
                <w:color w:val="auto"/>
                <w:szCs w:val="21"/>
              </w:rPr>
            </w:pPr>
          </w:p>
        </w:tc>
        <w:tc>
          <w:tcPr>
            <w:tcW w:w="2645" w:type="dxa"/>
            <w:tcBorders>
              <w:top w:val="single" w:color="auto" w:sz="4" w:space="0"/>
              <w:left w:val="single" w:color="auto" w:sz="4" w:space="0"/>
              <w:bottom w:val="single" w:color="auto" w:sz="4" w:space="0"/>
              <w:right w:val="single" w:color="auto" w:sz="4" w:space="0"/>
            </w:tcBorders>
          </w:tcPr>
          <w:p w14:paraId="5AE1549D">
            <w:pPr>
              <w:snapToGrid w:val="0"/>
              <w:spacing w:line="600" w:lineRule="exact"/>
              <w:ind w:firstLine="0" w:firstLineChars="0"/>
              <w:rPr>
                <w:rFonts w:hint="eastAsia" w:ascii="微软雅黑" w:hAnsi="微软雅黑"/>
                <w:color w:val="auto"/>
                <w:szCs w:val="21"/>
              </w:rPr>
            </w:pPr>
          </w:p>
        </w:tc>
      </w:tr>
      <w:tr w14:paraId="2FE5F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43E9C521">
            <w:pPr>
              <w:snapToGrid w:val="0"/>
              <w:spacing w:line="600" w:lineRule="exact"/>
              <w:ind w:firstLine="0" w:firstLineChars="0"/>
              <w:rPr>
                <w:rFonts w:hint="eastAsia" w:ascii="微软雅黑" w:hAnsi="微软雅黑"/>
                <w:color w:val="auto"/>
                <w:szCs w:val="21"/>
              </w:rPr>
            </w:pPr>
            <w:r>
              <w:rPr>
                <w:rFonts w:hint="eastAsia" w:ascii="微软雅黑" w:hAnsi="微软雅黑"/>
                <w:color w:val="auto"/>
                <w:szCs w:val="21"/>
              </w:rPr>
              <w:t>3</w:t>
            </w:r>
          </w:p>
        </w:tc>
        <w:tc>
          <w:tcPr>
            <w:tcW w:w="3221" w:type="dxa"/>
            <w:tcBorders>
              <w:top w:val="single" w:color="auto" w:sz="4" w:space="0"/>
              <w:left w:val="single" w:color="auto" w:sz="4" w:space="0"/>
              <w:bottom w:val="single" w:color="auto" w:sz="4" w:space="0"/>
              <w:right w:val="single" w:color="auto" w:sz="4" w:space="0"/>
            </w:tcBorders>
          </w:tcPr>
          <w:p w14:paraId="7A3C4A8B">
            <w:pPr>
              <w:snapToGrid w:val="0"/>
              <w:spacing w:line="600" w:lineRule="exact"/>
              <w:ind w:firstLine="0" w:firstLineChars="0"/>
              <w:rPr>
                <w:rFonts w:hint="eastAsia" w:ascii="微软雅黑" w:hAnsi="微软雅黑"/>
                <w:color w:val="auto"/>
                <w:szCs w:val="21"/>
              </w:rPr>
            </w:pPr>
            <w:r>
              <w:rPr>
                <w:rFonts w:ascii="微软雅黑" w:hAnsi="微软雅黑"/>
                <w:color w:val="auto"/>
                <w:szCs w:val="21"/>
              </w:rPr>
              <w:t>考核</w:t>
            </w:r>
          </w:p>
        </w:tc>
        <w:tc>
          <w:tcPr>
            <w:tcW w:w="1653" w:type="dxa"/>
            <w:tcBorders>
              <w:top w:val="single" w:color="auto" w:sz="4" w:space="0"/>
              <w:left w:val="single" w:color="auto" w:sz="4" w:space="0"/>
              <w:bottom w:val="single" w:color="auto" w:sz="4" w:space="0"/>
              <w:right w:val="single" w:color="auto" w:sz="4" w:space="0"/>
            </w:tcBorders>
          </w:tcPr>
          <w:p w14:paraId="7604A23D">
            <w:pPr>
              <w:snapToGrid w:val="0"/>
              <w:spacing w:line="600" w:lineRule="exact"/>
              <w:ind w:firstLine="0" w:firstLineChars="0"/>
              <w:rPr>
                <w:rFonts w:hint="eastAsia" w:ascii="微软雅黑" w:hAnsi="微软雅黑"/>
                <w:color w:val="auto"/>
                <w:szCs w:val="21"/>
              </w:rPr>
            </w:pPr>
          </w:p>
        </w:tc>
        <w:tc>
          <w:tcPr>
            <w:tcW w:w="2645" w:type="dxa"/>
            <w:tcBorders>
              <w:top w:val="single" w:color="auto" w:sz="4" w:space="0"/>
              <w:left w:val="single" w:color="auto" w:sz="4" w:space="0"/>
              <w:bottom w:val="single" w:color="auto" w:sz="4" w:space="0"/>
              <w:right w:val="single" w:color="auto" w:sz="4" w:space="0"/>
            </w:tcBorders>
          </w:tcPr>
          <w:p w14:paraId="2AD10628">
            <w:pPr>
              <w:snapToGrid w:val="0"/>
              <w:spacing w:line="600" w:lineRule="exact"/>
              <w:ind w:firstLine="0" w:firstLineChars="0"/>
              <w:rPr>
                <w:rFonts w:hint="eastAsia" w:ascii="微软雅黑" w:hAnsi="微软雅黑"/>
                <w:color w:val="auto"/>
                <w:szCs w:val="21"/>
              </w:rPr>
            </w:pPr>
          </w:p>
        </w:tc>
      </w:tr>
    </w:tbl>
    <w:p w14:paraId="24B7D165">
      <w:pPr>
        <w:pStyle w:val="26"/>
        <w:spacing w:line="600" w:lineRule="exact"/>
        <w:ind w:firstLine="420"/>
        <w:rPr>
          <w:rFonts w:hint="eastAsia" w:ascii="微软雅黑" w:hAnsi="微软雅黑"/>
          <w:color w:val="auto"/>
          <w:szCs w:val="21"/>
        </w:rPr>
      </w:pPr>
      <w:r>
        <w:rPr>
          <w:rFonts w:hint="eastAsia" w:ascii="微软雅黑" w:hAnsi="微软雅黑"/>
          <w:color w:val="auto"/>
          <w:szCs w:val="21"/>
        </w:rPr>
        <w:t>注：本表不允许负偏离；</w:t>
      </w:r>
    </w:p>
    <w:p w14:paraId="3AE8DA65">
      <w:pPr>
        <w:pStyle w:val="26"/>
        <w:spacing w:line="600" w:lineRule="exact"/>
        <w:ind w:firstLine="420"/>
        <w:rPr>
          <w:rFonts w:hint="eastAsia" w:ascii="微软雅黑" w:hAnsi="微软雅黑"/>
          <w:color w:val="auto"/>
          <w:szCs w:val="21"/>
        </w:rPr>
      </w:pPr>
    </w:p>
    <w:p w14:paraId="120F3234">
      <w:pPr>
        <w:pStyle w:val="26"/>
        <w:spacing w:line="600" w:lineRule="exact"/>
        <w:ind w:firstLine="420"/>
        <w:rPr>
          <w:rFonts w:hint="eastAsia" w:ascii="微软雅黑" w:hAnsi="微软雅黑"/>
          <w:color w:val="auto"/>
          <w:szCs w:val="21"/>
        </w:rPr>
      </w:pPr>
    </w:p>
    <w:p w14:paraId="6C05C2BD">
      <w:pPr>
        <w:pStyle w:val="26"/>
        <w:spacing w:line="600" w:lineRule="exact"/>
        <w:ind w:firstLine="420"/>
        <w:rPr>
          <w:rFonts w:hint="eastAsia" w:ascii="微软雅黑" w:hAnsi="微软雅黑"/>
          <w:color w:val="auto"/>
          <w:szCs w:val="21"/>
        </w:rPr>
      </w:pPr>
      <w:r>
        <w:rPr>
          <w:rFonts w:hint="eastAsia" w:ascii="微软雅黑" w:hAnsi="微软雅黑"/>
          <w:color w:val="auto"/>
          <w:szCs w:val="21"/>
        </w:rPr>
        <w:t xml:space="preserve">法定代表人或其委托代理人签名（或盖章）：                </w:t>
      </w:r>
    </w:p>
    <w:p w14:paraId="340CC24C">
      <w:pPr>
        <w:pStyle w:val="26"/>
        <w:spacing w:line="600" w:lineRule="exact"/>
        <w:ind w:firstLine="420"/>
        <w:rPr>
          <w:rFonts w:hint="eastAsia" w:ascii="微软雅黑" w:hAnsi="微软雅黑"/>
          <w:color w:val="auto"/>
          <w:szCs w:val="21"/>
        </w:rPr>
      </w:pPr>
      <w:r>
        <w:rPr>
          <w:rFonts w:hint="eastAsia" w:ascii="微软雅黑" w:hAnsi="微软雅黑"/>
          <w:color w:val="auto"/>
          <w:szCs w:val="21"/>
        </w:rPr>
        <w:t>投标人：（单位公章）</w:t>
      </w:r>
    </w:p>
    <w:p w14:paraId="6886BE57">
      <w:pPr>
        <w:pStyle w:val="26"/>
        <w:spacing w:line="600" w:lineRule="exact"/>
        <w:ind w:firstLine="420"/>
        <w:rPr>
          <w:rFonts w:hint="eastAsia" w:ascii="微软雅黑" w:hAnsi="微软雅黑"/>
          <w:color w:val="auto"/>
          <w:szCs w:val="21"/>
        </w:rPr>
      </w:pPr>
      <w:r>
        <w:rPr>
          <w:rFonts w:hint="eastAsia" w:ascii="微软雅黑" w:hAnsi="微软雅黑"/>
          <w:color w:val="auto"/>
          <w:szCs w:val="21"/>
        </w:rPr>
        <w:t>日期：年月  日</w:t>
      </w:r>
    </w:p>
    <w:p w14:paraId="1440FC8E">
      <w:pPr>
        <w:snapToGrid w:val="0"/>
        <w:ind w:firstLine="420"/>
        <w:rPr>
          <w:rFonts w:hint="eastAsia" w:ascii="微软雅黑" w:hAnsi="微软雅黑"/>
          <w:b/>
          <w:color w:val="auto"/>
          <w:szCs w:val="21"/>
        </w:rPr>
      </w:pPr>
      <w:r>
        <w:rPr>
          <w:rFonts w:hint="eastAsia" w:ascii="微软雅黑" w:hAnsi="微软雅黑"/>
          <w:color w:val="auto"/>
          <w:szCs w:val="21"/>
        </w:rPr>
        <w:br w:type="page"/>
      </w:r>
      <w:r>
        <w:rPr>
          <w:rFonts w:hint="eastAsia" w:ascii="微软雅黑" w:hAnsi="微软雅黑"/>
          <w:b/>
          <w:color w:val="auto"/>
          <w:szCs w:val="21"/>
        </w:rPr>
        <w:t>项目实施人员一览表格式：</w:t>
      </w:r>
    </w:p>
    <w:p w14:paraId="1C258B1C">
      <w:pPr>
        <w:snapToGrid w:val="0"/>
        <w:ind w:firstLine="420"/>
        <w:jc w:val="center"/>
        <w:rPr>
          <w:rFonts w:hint="eastAsia" w:ascii="微软雅黑" w:hAnsi="微软雅黑"/>
          <w:b/>
          <w:color w:val="auto"/>
          <w:szCs w:val="21"/>
        </w:rPr>
      </w:pPr>
      <w:r>
        <w:rPr>
          <w:rFonts w:hint="eastAsia" w:ascii="微软雅黑" w:hAnsi="微软雅黑"/>
          <w:b/>
          <w:color w:val="auto"/>
          <w:szCs w:val="21"/>
        </w:rPr>
        <w:t>项目实施人员（主要从业人员及其技术资格）一览表</w:t>
      </w:r>
    </w:p>
    <w:p w14:paraId="67567B80">
      <w:pPr>
        <w:snapToGrid w:val="0"/>
        <w:ind w:firstLine="420"/>
        <w:rPr>
          <w:rFonts w:hint="eastAsia" w:ascii="微软雅黑" w:hAnsi="微软雅黑"/>
          <w:color w:val="auto"/>
          <w:szCs w:val="21"/>
        </w:rPr>
      </w:pPr>
      <w:r>
        <w:rPr>
          <w:rFonts w:hint="eastAsia" w:ascii="微软雅黑" w:hAnsi="微软雅黑"/>
          <w:color w:val="auto"/>
          <w:szCs w:val="21"/>
        </w:rPr>
        <w:t>标项：</w:t>
      </w:r>
    </w:p>
    <w:tbl>
      <w:tblPr>
        <w:tblStyle w:val="52"/>
        <w:tblW w:w="9669"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098"/>
        <w:gridCol w:w="1819"/>
        <w:gridCol w:w="1378"/>
        <w:gridCol w:w="2248"/>
        <w:gridCol w:w="2028"/>
      </w:tblGrid>
      <w:tr w14:paraId="6450A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98" w:type="dxa"/>
            <w:tcBorders>
              <w:top w:val="single" w:color="auto" w:sz="4" w:space="0"/>
              <w:left w:val="single" w:color="auto" w:sz="4" w:space="0"/>
              <w:bottom w:val="single" w:color="auto" w:sz="4" w:space="0"/>
              <w:right w:val="single" w:color="auto" w:sz="4" w:space="0"/>
            </w:tcBorders>
            <w:vAlign w:val="bottom"/>
          </w:tcPr>
          <w:p w14:paraId="7BCCBE87">
            <w:pPr>
              <w:snapToGrid w:val="0"/>
              <w:ind w:firstLine="420"/>
              <w:rPr>
                <w:rFonts w:hint="eastAsia" w:ascii="微软雅黑" w:hAnsi="微软雅黑"/>
                <w:color w:val="auto"/>
                <w:szCs w:val="21"/>
              </w:rPr>
            </w:pPr>
            <w:r>
              <w:rPr>
                <w:rFonts w:hint="eastAsia" w:ascii="微软雅黑" w:hAnsi="微软雅黑"/>
                <w:color w:val="auto"/>
                <w:szCs w:val="21"/>
              </w:rPr>
              <w:t>姓名</w:t>
            </w:r>
          </w:p>
        </w:tc>
        <w:tc>
          <w:tcPr>
            <w:tcW w:w="1098" w:type="dxa"/>
            <w:tcBorders>
              <w:top w:val="single" w:color="auto" w:sz="4" w:space="0"/>
              <w:left w:val="single" w:color="auto" w:sz="4" w:space="0"/>
              <w:bottom w:val="single" w:color="auto" w:sz="4" w:space="0"/>
              <w:right w:val="single" w:color="auto" w:sz="4" w:space="0"/>
            </w:tcBorders>
            <w:vAlign w:val="bottom"/>
          </w:tcPr>
          <w:p w14:paraId="78B649DC">
            <w:pPr>
              <w:snapToGrid w:val="0"/>
              <w:ind w:firstLine="420"/>
              <w:rPr>
                <w:rFonts w:hint="eastAsia" w:ascii="微软雅黑" w:hAnsi="微软雅黑"/>
                <w:color w:val="auto"/>
                <w:szCs w:val="21"/>
              </w:rPr>
            </w:pPr>
            <w:r>
              <w:rPr>
                <w:rFonts w:hint="eastAsia" w:ascii="微软雅黑" w:hAnsi="微软雅黑"/>
                <w:color w:val="auto"/>
                <w:szCs w:val="21"/>
              </w:rPr>
              <w:t>职务</w:t>
            </w:r>
          </w:p>
        </w:tc>
        <w:tc>
          <w:tcPr>
            <w:tcW w:w="1819" w:type="dxa"/>
            <w:tcBorders>
              <w:top w:val="single" w:color="auto" w:sz="4" w:space="0"/>
              <w:left w:val="single" w:color="auto" w:sz="4" w:space="0"/>
              <w:bottom w:val="single" w:color="auto" w:sz="4" w:space="0"/>
              <w:right w:val="single" w:color="auto" w:sz="4" w:space="0"/>
            </w:tcBorders>
            <w:vAlign w:val="bottom"/>
          </w:tcPr>
          <w:p w14:paraId="043C70D7">
            <w:pPr>
              <w:snapToGrid w:val="0"/>
              <w:ind w:firstLine="0" w:firstLineChars="0"/>
              <w:rPr>
                <w:rFonts w:hint="eastAsia" w:ascii="微软雅黑" w:hAnsi="微软雅黑"/>
                <w:color w:val="auto"/>
                <w:szCs w:val="21"/>
              </w:rPr>
            </w:pPr>
            <w:r>
              <w:rPr>
                <w:rFonts w:hint="eastAsia" w:ascii="微软雅黑" w:hAnsi="微软雅黑"/>
                <w:color w:val="auto"/>
                <w:szCs w:val="21"/>
              </w:rPr>
              <w:t>专业技术资格</w:t>
            </w:r>
          </w:p>
        </w:tc>
        <w:tc>
          <w:tcPr>
            <w:tcW w:w="1378" w:type="dxa"/>
            <w:tcBorders>
              <w:top w:val="single" w:color="auto" w:sz="4" w:space="0"/>
              <w:left w:val="single" w:color="auto" w:sz="4" w:space="0"/>
              <w:bottom w:val="single" w:color="auto" w:sz="4" w:space="0"/>
              <w:right w:val="single" w:color="auto" w:sz="4" w:space="0"/>
            </w:tcBorders>
            <w:vAlign w:val="bottom"/>
          </w:tcPr>
          <w:p w14:paraId="1DC19B95">
            <w:pPr>
              <w:snapToGrid w:val="0"/>
              <w:ind w:firstLine="0" w:firstLineChars="0"/>
              <w:rPr>
                <w:rFonts w:hint="eastAsia" w:ascii="微软雅黑" w:hAnsi="微软雅黑"/>
                <w:color w:val="auto"/>
                <w:szCs w:val="21"/>
              </w:rPr>
            </w:pPr>
            <w:r>
              <w:rPr>
                <w:rFonts w:hint="eastAsia" w:ascii="微软雅黑" w:hAnsi="微软雅黑"/>
                <w:color w:val="auto"/>
                <w:szCs w:val="21"/>
              </w:rPr>
              <w:t>证书编号</w:t>
            </w:r>
          </w:p>
        </w:tc>
        <w:tc>
          <w:tcPr>
            <w:tcW w:w="2248" w:type="dxa"/>
            <w:tcBorders>
              <w:top w:val="single" w:color="auto" w:sz="4" w:space="0"/>
              <w:left w:val="single" w:color="auto" w:sz="4" w:space="0"/>
              <w:bottom w:val="single" w:color="auto" w:sz="4" w:space="0"/>
              <w:right w:val="single" w:color="auto" w:sz="4" w:space="0"/>
            </w:tcBorders>
            <w:vAlign w:val="bottom"/>
          </w:tcPr>
          <w:p w14:paraId="277A74CD">
            <w:pPr>
              <w:snapToGrid w:val="0"/>
              <w:ind w:firstLine="0" w:firstLineChars="0"/>
              <w:rPr>
                <w:rFonts w:hint="eastAsia" w:ascii="微软雅黑" w:hAnsi="微软雅黑"/>
                <w:bCs/>
                <w:color w:val="auto"/>
                <w:szCs w:val="21"/>
              </w:rPr>
            </w:pPr>
            <w:r>
              <w:rPr>
                <w:rFonts w:hint="eastAsia" w:ascii="微软雅黑" w:hAnsi="微软雅黑"/>
                <w:bCs/>
                <w:color w:val="auto"/>
                <w:szCs w:val="21"/>
              </w:rPr>
              <w:t>参加本单位工作时间</w:t>
            </w:r>
          </w:p>
        </w:tc>
        <w:tc>
          <w:tcPr>
            <w:tcW w:w="2028" w:type="dxa"/>
            <w:tcBorders>
              <w:top w:val="single" w:color="auto" w:sz="4" w:space="0"/>
              <w:left w:val="single" w:color="auto" w:sz="4" w:space="0"/>
              <w:bottom w:val="single" w:color="auto" w:sz="4" w:space="0"/>
              <w:right w:val="single" w:color="auto" w:sz="4" w:space="0"/>
            </w:tcBorders>
            <w:vAlign w:val="bottom"/>
          </w:tcPr>
          <w:p w14:paraId="1FDFB5DD">
            <w:pPr>
              <w:snapToGrid w:val="0"/>
              <w:ind w:firstLine="420"/>
              <w:rPr>
                <w:rFonts w:hint="eastAsia" w:ascii="微软雅黑" w:hAnsi="微软雅黑"/>
                <w:bCs/>
                <w:color w:val="auto"/>
                <w:szCs w:val="21"/>
              </w:rPr>
            </w:pPr>
            <w:r>
              <w:rPr>
                <w:rFonts w:hint="eastAsia" w:ascii="微软雅黑" w:hAnsi="微软雅黑"/>
                <w:bCs/>
                <w:color w:val="auto"/>
                <w:szCs w:val="21"/>
              </w:rPr>
              <w:t>劳动合同编号</w:t>
            </w:r>
          </w:p>
        </w:tc>
      </w:tr>
      <w:tr w14:paraId="3B328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061D4659">
            <w:pPr>
              <w:snapToGrid w:val="0"/>
              <w:ind w:firstLine="420"/>
              <w:rPr>
                <w:rFonts w:hint="eastAsia" w:ascii="微软雅黑" w:hAnsi="微软雅黑"/>
                <w:color w:val="auto"/>
                <w:szCs w:val="21"/>
              </w:rPr>
            </w:pPr>
          </w:p>
        </w:tc>
        <w:tc>
          <w:tcPr>
            <w:tcW w:w="1098" w:type="dxa"/>
            <w:tcBorders>
              <w:top w:val="single" w:color="auto" w:sz="4" w:space="0"/>
              <w:left w:val="single" w:color="auto" w:sz="4" w:space="0"/>
              <w:bottom w:val="single" w:color="auto" w:sz="4" w:space="0"/>
              <w:right w:val="single" w:color="auto" w:sz="4" w:space="0"/>
            </w:tcBorders>
          </w:tcPr>
          <w:p w14:paraId="2C2069F3">
            <w:pPr>
              <w:snapToGrid w:val="0"/>
              <w:ind w:firstLine="420"/>
              <w:rPr>
                <w:rFonts w:hint="eastAsia" w:ascii="微软雅黑" w:hAnsi="微软雅黑"/>
                <w:color w:val="auto"/>
                <w:szCs w:val="21"/>
              </w:rPr>
            </w:pPr>
          </w:p>
        </w:tc>
        <w:tc>
          <w:tcPr>
            <w:tcW w:w="1819" w:type="dxa"/>
            <w:tcBorders>
              <w:top w:val="single" w:color="auto" w:sz="4" w:space="0"/>
              <w:left w:val="single" w:color="auto" w:sz="4" w:space="0"/>
              <w:bottom w:val="single" w:color="auto" w:sz="4" w:space="0"/>
              <w:right w:val="single" w:color="auto" w:sz="4" w:space="0"/>
            </w:tcBorders>
          </w:tcPr>
          <w:p w14:paraId="728D49CB">
            <w:pPr>
              <w:snapToGrid w:val="0"/>
              <w:ind w:firstLine="420"/>
              <w:rPr>
                <w:rFonts w:hint="eastAsia" w:ascii="微软雅黑" w:hAnsi="微软雅黑"/>
                <w:color w:val="auto"/>
                <w:szCs w:val="21"/>
              </w:rPr>
            </w:pPr>
          </w:p>
        </w:tc>
        <w:tc>
          <w:tcPr>
            <w:tcW w:w="1378" w:type="dxa"/>
            <w:tcBorders>
              <w:top w:val="single" w:color="auto" w:sz="4" w:space="0"/>
              <w:left w:val="single" w:color="auto" w:sz="4" w:space="0"/>
              <w:bottom w:val="single" w:color="auto" w:sz="4" w:space="0"/>
              <w:right w:val="single" w:color="auto" w:sz="4" w:space="0"/>
            </w:tcBorders>
          </w:tcPr>
          <w:p w14:paraId="3154EBA1">
            <w:pPr>
              <w:snapToGrid w:val="0"/>
              <w:ind w:firstLine="420"/>
              <w:rPr>
                <w:rFonts w:hint="eastAsia" w:ascii="微软雅黑" w:hAnsi="微软雅黑"/>
                <w:color w:val="auto"/>
                <w:szCs w:val="21"/>
              </w:rPr>
            </w:pPr>
          </w:p>
        </w:tc>
        <w:tc>
          <w:tcPr>
            <w:tcW w:w="2248" w:type="dxa"/>
            <w:tcBorders>
              <w:top w:val="single" w:color="auto" w:sz="4" w:space="0"/>
              <w:left w:val="single" w:color="auto" w:sz="4" w:space="0"/>
              <w:bottom w:val="single" w:color="auto" w:sz="4" w:space="0"/>
              <w:right w:val="single" w:color="auto" w:sz="4" w:space="0"/>
            </w:tcBorders>
          </w:tcPr>
          <w:p w14:paraId="21E05522">
            <w:pPr>
              <w:snapToGrid w:val="0"/>
              <w:ind w:firstLine="420"/>
              <w:rPr>
                <w:rFonts w:hint="eastAsia" w:ascii="微软雅黑" w:hAnsi="微软雅黑"/>
                <w:color w:val="auto"/>
                <w:szCs w:val="21"/>
              </w:rPr>
            </w:pPr>
          </w:p>
        </w:tc>
        <w:tc>
          <w:tcPr>
            <w:tcW w:w="2028" w:type="dxa"/>
            <w:tcBorders>
              <w:top w:val="single" w:color="auto" w:sz="4" w:space="0"/>
              <w:left w:val="single" w:color="auto" w:sz="4" w:space="0"/>
              <w:bottom w:val="single" w:color="auto" w:sz="4" w:space="0"/>
              <w:right w:val="single" w:color="auto" w:sz="4" w:space="0"/>
            </w:tcBorders>
          </w:tcPr>
          <w:p w14:paraId="362EC46E">
            <w:pPr>
              <w:snapToGrid w:val="0"/>
              <w:ind w:firstLine="420"/>
              <w:rPr>
                <w:rFonts w:hint="eastAsia" w:ascii="微软雅黑" w:hAnsi="微软雅黑"/>
                <w:color w:val="auto"/>
                <w:szCs w:val="21"/>
              </w:rPr>
            </w:pPr>
          </w:p>
        </w:tc>
      </w:tr>
      <w:tr w14:paraId="1F3B1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1CE30EE3">
            <w:pPr>
              <w:snapToGrid w:val="0"/>
              <w:ind w:firstLine="420"/>
              <w:rPr>
                <w:rFonts w:hint="eastAsia" w:ascii="微软雅黑" w:hAnsi="微软雅黑"/>
                <w:color w:val="auto"/>
                <w:szCs w:val="21"/>
              </w:rPr>
            </w:pPr>
          </w:p>
        </w:tc>
        <w:tc>
          <w:tcPr>
            <w:tcW w:w="1098" w:type="dxa"/>
            <w:tcBorders>
              <w:top w:val="single" w:color="auto" w:sz="4" w:space="0"/>
              <w:left w:val="single" w:color="auto" w:sz="4" w:space="0"/>
              <w:bottom w:val="single" w:color="auto" w:sz="4" w:space="0"/>
              <w:right w:val="single" w:color="auto" w:sz="4" w:space="0"/>
            </w:tcBorders>
          </w:tcPr>
          <w:p w14:paraId="4DBEEB9D">
            <w:pPr>
              <w:snapToGrid w:val="0"/>
              <w:ind w:firstLine="420"/>
              <w:rPr>
                <w:rFonts w:hint="eastAsia" w:ascii="微软雅黑" w:hAnsi="微软雅黑"/>
                <w:color w:val="auto"/>
                <w:szCs w:val="21"/>
              </w:rPr>
            </w:pPr>
          </w:p>
        </w:tc>
        <w:tc>
          <w:tcPr>
            <w:tcW w:w="1819" w:type="dxa"/>
            <w:tcBorders>
              <w:top w:val="single" w:color="auto" w:sz="4" w:space="0"/>
              <w:left w:val="single" w:color="auto" w:sz="4" w:space="0"/>
              <w:bottom w:val="single" w:color="auto" w:sz="4" w:space="0"/>
              <w:right w:val="single" w:color="auto" w:sz="4" w:space="0"/>
            </w:tcBorders>
          </w:tcPr>
          <w:p w14:paraId="3061B503">
            <w:pPr>
              <w:snapToGrid w:val="0"/>
              <w:ind w:firstLine="420"/>
              <w:rPr>
                <w:rFonts w:hint="eastAsia" w:ascii="微软雅黑" w:hAnsi="微软雅黑"/>
                <w:color w:val="auto"/>
                <w:szCs w:val="21"/>
              </w:rPr>
            </w:pPr>
          </w:p>
        </w:tc>
        <w:tc>
          <w:tcPr>
            <w:tcW w:w="1378" w:type="dxa"/>
            <w:tcBorders>
              <w:top w:val="single" w:color="auto" w:sz="4" w:space="0"/>
              <w:left w:val="single" w:color="auto" w:sz="4" w:space="0"/>
              <w:bottom w:val="single" w:color="auto" w:sz="4" w:space="0"/>
              <w:right w:val="single" w:color="auto" w:sz="4" w:space="0"/>
            </w:tcBorders>
          </w:tcPr>
          <w:p w14:paraId="2F69F8CD">
            <w:pPr>
              <w:snapToGrid w:val="0"/>
              <w:ind w:firstLine="420"/>
              <w:rPr>
                <w:rFonts w:hint="eastAsia" w:ascii="微软雅黑" w:hAnsi="微软雅黑"/>
                <w:color w:val="auto"/>
                <w:szCs w:val="21"/>
              </w:rPr>
            </w:pPr>
          </w:p>
        </w:tc>
        <w:tc>
          <w:tcPr>
            <w:tcW w:w="2248" w:type="dxa"/>
            <w:tcBorders>
              <w:top w:val="single" w:color="auto" w:sz="4" w:space="0"/>
              <w:left w:val="single" w:color="auto" w:sz="4" w:space="0"/>
              <w:bottom w:val="single" w:color="auto" w:sz="4" w:space="0"/>
              <w:right w:val="single" w:color="auto" w:sz="4" w:space="0"/>
            </w:tcBorders>
          </w:tcPr>
          <w:p w14:paraId="0F7A999B">
            <w:pPr>
              <w:snapToGrid w:val="0"/>
              <w:ind w:firstLine="420"/>
              <w:rPr>
                <w:rFonts w:hint="eastAsia" w:ascii="微软雅黑" w:hAnsi="微软雅黑"/>
                <w:color w:val="auto"/>
                <w:szCs w:val="21"/>
              </w:rPr>
            </w:pPr>
          </w:p>
        </w:tc>
        <w:tc>
          <w:tcPr>
            <w:tcW w:w="2028" w:type="dxa"/>
            <w:tcBorders>
              <w:top w:val="single" w:color="auto" w:sz="4" w:space="0"/>
              <w:left w:val="single" w:color="auto" w:sz="4" w:space="0"/>
              <w:bottom w:val="single" w:color="auto" w:sz="4" w:space="0"/>
              <w:right w:val="single" w:color="auto" w:sz="4" w:space="0"/>
            </w:tcBorders>
          </w:tcPr>
          <w:p w14:paraId="6D638D92">
            <w:pPr>
              <w:snapToGrid w:val="0"/>
              <w:ind w:firstLine="420"/>
              <w:rPr>
                <w:rFonts w:hint="eastAsia" w:ascii="微软雅黑" w:hAnsi="微软雅黑"/>
                <w:color w:val="auto"/>
                <w:szCs w:val="21"/>
              </w:rPr>
            </w:pPr>
          </w:p>
        </w:tc>
      </w:tr>
      <w:tr w14:paraId="29456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39173219">
            <w:pPr>
              <w:snapToGrid w:val="0"/>
              <w:ind w:firstLine="420"/>
              <w:rPr>
                <w:rFonts w:hint="eastAsia" w:ascii="微软雅黑" w:hAnsi="微软雅黑"/>
                <w:color w:val="auto"/>
                <w:szCs w:val="21"/>
              </w:rPr>
            </w:pPr>
          </w:p>
        </w:tc>
        <w:tc>
          <w:tcPr>
            <w:tcW w:w="1098" w:type="dxa"/>
            <w:tcBorders>
              <w:top w:val="single" w:color="auto" w:sz="4" w:space="0"/>
              <w:left w:val="single" w:color="auto" w:sz="4" w:space="0"/>
              <w:bottom w:val="single" w:color="auto" w:sz="4" w:space="0"/>
              <w:right w:val="single" w:color="auto" w:sz="4" w:space="0"/>
            </w:tcBorders>
          </w:tcPr>
          <w:p w14:paraId="49E9AE77">
            <w:pPr>
              <w:snapToGrid w:val="0"/>
              <w:ind w:firstLine="420"/>
              <w:rPr>
                <w:rFonts w:hint="eastAsia" w:ascii="微软雅黑" w:hAnsi="微软雅黑"/>
                <w:color w:val="auto"/>
                <w:szCs w:val="21"/>
              </w:rPr>
            </w:pPr>
          </w:p>
        </w:tc>
        <w:tc>
          <w:tcPr>
            <w:tcW w:w="1819" w:type="dxa"/>
            <w:tcBorders>
              <w:top w:val="single" w:color="auto" w:sz="4" w:space="0"/>
              <w:left w:val="single" w:color="auto" w:sz="4" w:space="0"/>
              <w:bottom w:val="single" w:color="auto" w:sz="4" w:space="0"/>
              <w:right w:val="single" w:color="auto" w:sz="4" w:space="0"/>
            </w:tcBorders>
          </w:tcPr>
          <w:p w14:paraId="24D6ECB7">
            <w:pPr>
              <w:pStyle w:val="28"/>
              <w:snapToGrid w:val="0"/>
              <w:ind w:left="5250" w:firstLine="640"/>
              <w:rPr>
                <w:rFonts w:hint="eastAsia" w:ascii="微软雅黑" w:hAnsi="微软雅黑" w:eastAsia="微软雅黑"/>
                <w:color w:val="auto"/>
                <w:szCs w:val="21"/>
              </w:rPr>
            </w:pPr>
          </w:p>
        </w:tc>
        <w:tc>
          <w:tcPr>
            <w:tcW w:w="1378" w:type="dxa"/>
            <w:tcBorders>
              <w:top w:val="single" w:color="auto" w:sz="4" w:space="0"/>
              <w:left w:val="single" w:color="auto" w:sz="4" w:space="0"/>
              <w:bottom w:val="single" w:color="auto" w:sz="4" w:space="0"/>
              <w:right w:val="single" w:color="auto" w:sz="4" w:space="0"/>
            </w:tcBorders>
          </w:tcPr>
          <w:p w14:paraId="6443E805">
            <w:pPr>
              <w:snapToGrid w:val="0"/>
              <w:ind w:firstLine="420"/>
              <w:rPr>
                <w:rFonts w:hint="eastAsia" w:ascii="微软雅黑" w:hAnsi="微软雅黑"/>
                <w:color w:val="auto"/>
                <w:szCs w:val="21"/>
              </w:rPr>
            </w:pPr>
          </w:p>
        </w:tc>
        <w:tc>
          <w:tcPr>
            <w:tcW w:w="2248" w:type="dxa"/>
            <w:tcBorders>
              <w:top w:val="single" w:color="auto" w:sz="4" w:space="0"/>
              <w:left w:val="single" w:color="auto" w:sz="4" w:space="0"/>
              <w:bottom w:val="single" w:color="auto" w:sz="4" w:space="0"/>
              <w:right w:val="single" w:color="auto" w:sz="4" w:space="0"/>
            </w:tcBorders>
          </w:tcPr>
          <w:p w14:paraId="1C28E2DB">
            <w:pPr>
              <w:snapToGrid w:val="0"/>
              <w:ind w:firstLine="420"/>
              <w:rPr>
                <w:rFonts w:hint="eastAsia" w:ascii="微软雅黑" w:hAnsi="微软雅黑"/>
                <w:color w:val="auto"/>
                <w:szCs w:val="21"/>
              </w:rPr>
            </w:pPr>
          </w:p>
        </w:tc>
        <w:tc>
          <w:tcPr>
            <w:tcW w:w="2028" w:type="dxa"/>
            <w:tcBorders>
              <w:top w:val="single" w:color="auto" w:sz="4" w:space="0"/>
              <w:left w:val="single" w:color="auto" w:sz="4" w:space="0"/>
              <w:bottom w:val="single" w:color="auto" w:sz="4" w:space="0"/>
              <w:right w:val="single" w:color="auto" w:sz="4" w:space="0"/>
            </w:tcBorders>
          </w:tcPr>
          <w:p w14:paraId="6793B9A2">
            <w:pPr>
              <w:snapToGrid w:val="0"/>
              <w:ind w:firstLine="420"/>
              <w:rPr>
                <w:rFonts w:hint="eastAsia" w:ascii="微软雅黑" w:hAnsi="微软雅黑"/>
                <w:color w:val="auto"/>
                <w:szCs w:val="21"/>
              </w:rPr>
            </w:pPr>
          </w:p>
        </w:tc>
      </w:tr>
      <w:tr w14:paraId="4A050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6581E720">
            <w:pPr>
              <w:snapToGrid w:val="0"/>
              <w:ind w:firstLine="420"/>
              <w:rPr>
                <w:rFonts w:hint="eastAsia" w:ascii="微软雅黑" w:hAnsi="微软雅黑"/>
                <w:color w:val="auto"/>
                <w:szCs w:val="21"/>
              </w:rPr>
            </w:pPr>
          </w:p>
        </w:tc>
        <w:tc>
          <w:tcPr>
            <w:tcW w:w="1098" w:type="dxa"/>
            <w:tcBorders>
              <w:top w:val="single" w:color="auto" w:sz="4" w:space="0"/>
              <w:left w:val="single" w:color="auto" w:sz="4" w:space="0"/>
              <w:bottom w:val="single" w:color="auto" w:sz="4" w:space="0"/>
              <w:right w:val="single" w:color="auto" w:sz="4" w:space="0"/>
            </w:tcBorders>
          </w:tcPr>
          <w:p w14:paraId="438C96C2">
            <w:pPr>
              <w:snapToGrid w:val="0"/>
              <w:ind w:firstLine="420"/>
              <w:rPr>
                <w:rFonts w:hint="eastAsia" w:ascii="微软雅黑" w:hAnsi="微软雅黑"/>
                <w:color w:val="auto"/>
                <w:szCs w:val="21"/>
              </w:rPr>
            </w:pPr>
          </w:p>
        </w:tc>
        <w:tc>
          <w:tcPr>
            <w:tcW w:w="1819" w:type="dxa"/>
            <w:tcBorders>
              <w:top w:val="single" w:color="auto" w:sz="4" w:space="0"/>
              <w:left w:val="single" w:color="auto" w:sz="4" w:space="0"/>
              <w:bottom w:val="single" w:color="auto" w:sz="4" w:space="0"/>
              <w:right w:val="single" w:color="auto" w:sz="4" w:space="0"/>
            </w:tcBorders>
          </w:tcPr>
          <w:p w14:paraId="03806C0B">
            <w:pPr>
              <w:snapToGrid w:val="0"/>
              <w:ind w:firstLine="420"/>
              <w:rPr>
                <w:rFonts w:hint="eastAsia" w:ascii="微软雅黑" w:hAnsi="微软雅黑"/>
                <w:color w:val="auto"/>
                <w:szCs w:val="21"/>
              </w:rPr>
            </w:pPr>
          </w:p>
        </w:tc>
        <w:tc>
          <w:tcPr>
            <w:tcW w:w="1378" w:type="dxa"/>
            <w:tcBorders>
              <w:top w:val="single" w:color="auto" w:sz="4" w:space="0"/>
              <w:left w:val="single" w:color="auto" w:sz="4" w:space="0"/>
              <w:bottom w:val="single" w:color="auto" w:sz="4" w:space="0"/>
              <w:right w:val="single" w:color="auto" w:sz="4" w:space="0"/>
            </w:tcBorders>
          </w:tcPr>
          <w:p w14:paraId="70BD941F">
            <w:pPr>
              <w:snapToGrid w:val="0"/>
              <w:ind w:firstLine="420"/>
              <w:rPr>
                <w:rFonts w:hint="eastAsia" w:ascii="微软雅黑" w:hAnsi="微软雅黑"/>
                <w:color w:val="auto"/>
                <w:szCs w:val="21"/>
              </w:rPr>
            </w:pPr>
          </w:p>
        </w:tc>
        <w:tc>
          <w:tcPr>
            <w:tcW w:w="2248" w:type="dxa"/>
            <w:tcBorders>
              <w:top w:val="single" w:color="auto" w:sz="4" w:space="0"/>
              <w:left w:val="single" w:color="auto" w:sz="4" w:space="0"/>
              <w:bottom w:val="single" w:color="auto" w:sz="4" w:space="0"/>
              <w:right w:val="single" w:color="auto" w:sz="4" w:space="0"/>
            </w:tcBorders>
          </w:tcPr>
          <w:p w14:paraId="33E856F5">
            <w:pPr>
              <w:snapToGrid w:val="0"/>
              <w:ind w:firstLine="420"/>
              <w:rPr>
                <w:rFonts w:hint="eastAsia" w:ascii="微软雅黑" w:hAnsi="微软雅黑"/>
                <w:color w:val="auto"/>
                <w:szCs w:val="21"/>
              </w:rPr>
            </w:pPr>
          </w:p>
        </w:tc>
        <w:tc>
          <w:tcPr>
            <w:tcW w:w="2028" w:type="dxa"/>
            <w:tcBorders>
              <w:top w:val="single" w:color="auto" w:sz="4" w:space="0"/>
              <w:left w:val="single" w:color="auto" w:sz="4" w:space="0"/>
              <w:bottom w:val="single" w:color="auto" w:sz="4" w:space="0"/>
              <w:right w:val="single" w:color="auto" w:sz="4" w:space="0"/>
            </w:tcBorders>
          </w:tcPr>
          <w:p w14:paraId="735CCBD8">
            <w:pPr>
              <w:snapToGrid w:val="0"/>
              <w:ind w:firstLine="420"/>
              <w:rPr>
                <w:rFonts w:hint="eastAsia" w:ascii="微软雅黑" w:hAnsi="微软雅黑"/>
                <w:color w:val="auto"/>
                <w:szCs w:val="21"/>
              </w:rPr>
            </w:pPr>
          </w:p>
        </w:tc>
      </w:tr>
      <w:tr w14:paraId="046A3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3E8FE0FE">
            <w:pPr>
              <w:snapToGrid w:val="0"/>
              <w:ind w:firstLine="420"/>
              <w:rPr>
                <w:rFonts w:hint="eastAsia" w:ascii="微软雅黑" w:hAnsi="微软雅黑"/>
                <w:color w:val="auto"/>
                <w:szCs w:val="21"/>
              </w:rPr>
            </w:pPr>
          </w:p>
        </w:tc>
        <w:tc>
          <w:tcPr>
            <w:tcW w:w="1098" w:type="dxa"/>
            <w:tcBorders>
              <w:top w:val="single" w:color="auto" w:sz="4" w:space="0"/>
              <w:left w:val="single" w:color="auto" w:sz="4" w:space="0"/>
              <w:bottom w:val="single" w:color="auto" w:sz="4" w:space="0"/>
              <w:right w:val="single" w:color="auto" w:sz="4" w:space="0"/>
            </w:tcBorders>
          </w:tcPr>
          <w:p w14:paraId="30B73D73">
            <w:pPr>
              <w:snapToGrid w:val="0"/>
              <w:ind w:firstLine="420"/>
              <w:rPr>
                <w:rFonts w:hint="eastAsia" w:ascii="微软雅黑" w:hAnsi="微软雅黑"/>
                <w:color w:val="auto"/>
                <w:szCs w:val="21"/>
              </w:rPr>
            </w:pPr>
          </w:p>
        </w:tc>
        <w:tc>
          <w:tcPr>
            <w:tcW w:w="1819" w:type="dxa"/>
            <w:tcBorders>
              <w:top w:val="single" w:color="auto" w:sz="4" w:space="0"/>
              <w:left w:val="single" w:color="auto" w:sz="4" w:space="0"/>
              <w:bottom w:val="single" w:color="auto" w:sz="4" w:space="0"/>
              <w:right w:val="single" w:color="auto" w:sz="4" w:space="0"/>
            </w:tcBorders>
          </w:tcPr>
          <w:p w14:paraId="00BD4211">
            <w:pPr>
              <w:snapToGrid w:val="0"/>
              <w:ind w:firstLine="420"/>
              <w:rPr>
                <w:rFonts w:hint="eastAsia" w:ascii="微软雅黑" w:hAnsi="微软雅黑"/>
                <w:color w:val="auto"/>
                <w:szCs w:val="21"/>
              </w:rPr>
            </w:pPr>
          </w:p>
        </w:tc>
        <w:tc>
          <w:tcPr>
            <w:tcW w:w="1378" w:type="dxa"/>
            <w:tcBorders>
              <w:top w:val="single" w:color="auto" w:sz="4" w:space="0"/>
              <w:left w:val="single" w:color="auto" w:sz="4" w:space="0"/>
              <w:bottom w:val="single" w:color="auto" w:sz="4" w:space="0"/>
              <w:right w:val="single" w:color="auto" w:sz="4" w:space="0"/>
            </w:tcBorders>
          </w:tcPr>
          <w:p w14:paraId="779C3F1E">
            <w:pPr>
              <w:snapToGrid w:val="0"/>
              <w:ind w:firstLine="420"/>
              <w:rPr>
                <w:rFonts w:hint="eastAsia" w:ascii="微软雅黑" w:hAnsi="微软雅黑"/>
                <w:color w:val="auto"/>
                <w:szCs w:val="21"/>
              </w:rPr>
            </w:pPr>
          </w:p>
        </w:tc>
        <w:tc>
          <w:tcPr>
            <w:tcW w:w="2248" w:type="dxa"/>
            <w:tcBorders>
              <w:top w:val="single" w:color="auto" w:sz="4" w:space="0"/>
              <w:left w:val="single" w:color="auto" w:sz="4" w:space="0"/>
              <w:bottom w:val="single" w:color="auto" w:sz="4" w:space="0"/>
              <w:right w:val="single" w:color="auto" w:sz="4" w:space="0"/>
            </w:tcBorders>
          </w:tcPr>
          <w:p w14:paraId="402E63E7">
            <w:pPr>
              <w:snapToGrid w:val="0"/>
              <w:ind w:firstLine="420"/>
              <w:rPr>
                <w:rFonts w:hint="eastAsia" w:ascii="微软雅黑" w:hAnsi="微软雅黑"/>
                <w:color w:val="auto"/>
                <w:szCs w:val="21"/>
              </w:rPr>
            </w:pPr>
          </w:p>
        </w:tc>
        <w:tc>
          <w:tcPr>
            <w:tcW w:w="2028" w:type="dxa"/>
            <w:tcBorders>
              <w:top w:val="single" w:color="auto" w:sz="4" w:space="0"/>
              <w:left w:val="single" w:color="auto" w:sz="4" w:space="0"/>
              <w:bottom w:val="single" w:color="auto" w:sz="4" w:space="0"/>
              <w:right w:val="single" w:color="auto" w:sz="4" w:space="0"/>
            </w:tcBorders>
          </w:tcPr>
          <w:p w14:paraId="4EBB59A0">
            <w:pPr>
              <w:snapToGrid w:val="0"/>
              <w:ind w:firstLine="420"/>
              <w:rPr>
                <w:rFonts w:hint="eastAsia" w:ascii="微软雅黑" w:hAnsi="微软雅黑"/>
                <w:color w:val="auto"/>
                <w:szCs w:val="21"/>
              </w:rPr>
            </w:pPr>
          </w:p>
        </w:tc>
      </w:tr>
      <w:tr w14:paraId="2A4A7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7AF11806">
            <w:pPr>
              <w:snapToGrid w:val="0"/>
              <w:ind w:firstLine="420"/>
              <w:rPr>
                <w:rFonts w:hint="eastAsia" w:ascii="微软雅黑" w:hAnsi="微软雅黑"/>
                <w:color w:val="auto"/>
                <w:szCs w:val="21"/>
              </w:rPr>
            </w:pPr>
          </w:p>
        </w:tc>
        <w:tc>
          <w:tcPr>
            <w:tcW w:w="1098" w:type="dxa"/>
            <w:tcBorders>
              <w:top w:val="single" w:color="auto" w:sz="4" w:space="0"/>
              <w:left w:val="single" w:color="auto" w:sz="4" w:space="0"/>
              <w:bottom w:val="single" w:color="auto" w:sz="4" w:space="0"/>
              <w:right w:val="single" w:color="auto" w:sz="4" w:space="0"/>
            </w:tcBorders>
          </w:tcPr>
          <w:p w14:paraId="0E339C36">
            <w:pPr>
              <w:snapToGrid w:val="0"/>
              <w:ind w:firstLine="420"/>
              <w:rPr>
                <w:rFonts w:hint="eastAsia" w:ascii="微软雅黑" w:hAnsi="微软雅黑"/>
                <w:color w:val="auto"/>
                <w:szCs w:val="21"/>
              </w:rPr>
            </w:pPr>
          </w:p>
        </w:tc>
        <w:tc>
          <w:tcPr>
            <w:tcW w:w="1819" w:type="dxa"/>
            <w:tcBorders>
              <w:top w:val="single" w:color="auto" w:sz="4" w:space="0"/>
              <w:left w:val="single" w:color="auto" w:sz="4" w:space="0"/>
              <w:bottom w:val="single" w:color="auto" w:sz="4" w:space="0"/>
              <w:right w:val="single" w:color="auto" w:sz="4" w:space="0"/>
            </w:tcBorders>
          </w:tcPr>
          <w:p w14:paraId="6CFC8B2C">
            <w:pPr>
              <w:snapToGrid w:val="0"/>
              <w:ind w:firstLine="420"/>
              <w:rPr>
                <w:rFonts w:hint="eastAsia" w:ascii="微软雅黑" w:hAnsi="微软雅黑"/>
                <w:color w:val="auto"/>
                <w:szCs w:val="21"/>
              </w:rPr>
            </w:pPr>
          </w:p>
        </w:tc>
        <w:tc>
          <w:tcPr>
            <w:tcW w:w="1378" w:type="dxa"/>
            <w:tcBorders>
              <w:top w:val="single" w:color="auto" w:sz="4" w:space="0"/>
              <w:left w:val="single" w:color="auto" w:sz="4" w:space="0"/>
              <w:bottom w:val="single" w:color="auto" w:sz="4" w:space="0"/>
              <w:right w:val="single" w:color="auto" w:sz="4" w:space="0"/>
            </w:tcBorders>
          </w:tcPr>
          <w:p w14:paraId="2F7402BC">
            <w:pPr>
              <w:snapToGrid w:val="0"/>
              <w:ind w:firstLine="420"/>
              <w:rPr>
                <w:rFonts w:hint="eastAsia" w:ascii="微软雅黑" w:hAnsi="微软雅黑"/>
                <w:color w:val="auto"/>
                <w:szCs w:val="21"/>
              </w:rPr>
            </w:pPr>
          </w:p>
        </w:tc>
        <w:tc>
          <w:tcPr>
            <w:tcW w:w="2248" w:type="dxa"/>
            <w:tcBorders>
              <w:top w:val="single" w:color="auto" w:sz="4" w:space="0"/>
              <w:left w:val="single" w:color="auto" w:sz="4" w:space="0"/>
              <w:bottom w:val="single" w:color="auto" w:sz="4" w:space="0"/>
              <w:right w:val="single" w:color="auto" w:sz="4" w:space="0"/>
            </w:tcBorders>
          </w:tcPr>
          <w:p w14:paraId="1099A192">
            <w:pPr>
              <w:snapToGrid w:val="0"/>
              <w:ind w:firstLine="420"/>
              <w:rPr>
                <w:rFonts w:hint="eastAsia" w:ascii="微软雅黑" w:hAnsi="微软雅黑"/>
                <w:color w:val="auto"/>
                <w:szCs w:val="21"/>
              </w:rPr>
            </w:pPr>
          </w:p>
        </w:tc>
        <w:tc>
          <w:tcPr>
            <w:tcW w:w="2028" w:type="dxa"/>
            <w:tcBorders>
              <w:top w:val="single" w:color="auto" w:sz="4" w:space="0"/>
              <w:left w:val="single" w:color="auto" w:sz="4" w:space="0"/>
              <w:bottom w:val="single" w:color="auto" w:sz="4" w:space="0"/>
              <w:right w:val="single" w:color="auto" w:sz="4" w:space="0"/>
            </w:tcBorders>
          </w:tcPr>
          <w:p w14:paraId="70D80526">
            <w:pPr>
              <w:snapToGrid w:val="0"/>
              <w:ind w:firstLine="420"/>
              <w:rPr>
                <w:rFonts w:hint="eastAsia" w:ascii="微软雅黑" w:hAnsi="微软雅黑"/>
                <w:color w:val="auto"/>
                <w:szCs w:val="21"/>
              </w:rPr>
            </w:pPr>
          </w:p>
        </w:tc>
      </w:tr>
      <w:tr w14:paraId="0ECDC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068281A2">
            <w:pPr>
              <w:snapToGrid w:val="0"/>
              <w:ind w:firstLine="420"/>
              <w:rPr>
                <w:rFonts w:hint="eastAsia" w:ascii="微软雅黑" w:hAnsi="微软雅黑"/>
                <w:color w:val="auto"/>
                <w:szCs w:val="21"/>
              </w:rPr>
            </w:pPr>
          </w:p>
        </w:tc>
        <w:tc>
          <w:tcPr>
            <w:tcW w:w="1098" w:type="dxa"/>
            <w:tcBorders>
              <w:top w:val="single" w:color="auto" w:sz="4" w:space="0"/>
              <w:left w:val="single" w:color="auto" w:sz="4" w:space="0"/>
              <w:bottom w:val="single" w:color="auto" w:sz="4" w:space="0"/>
              <w:right w:val="single" w:color="auto" w:sz="4" w:space="0"/>
            </w:tcBorders>
          </w:tcPr>
          <w:p w14:paraId="57B3E197">
            <w:pPr>
              <w:snapToGrid w:val="0"/>
              <w:ind w:firstLine="420"/>
              <w:rPr>
                <w:rFonts w:hint="eastAsia" w:ascii="微软雅黑" w:hAnsi="微软雅黑"/>
                <w:color w:val="auto"/>
                <w:szCs w:val="21"/>
              </w:rPr>
            </w:pPr>
          </w:p>
        </w:tc>
        <w:tc>
          <w:tcPr>
            <w:tcW w:w="1819" w:type="dxa"/>
            <w:tcBorders>
              <w:top w:val="single" w:color="auto" w:sz="4" w:space="0"/>
              <w:left w:val="single" w:color="auto" w:sz="4" w:space="0"/>
              <w:bottom w:val="single" w:color="auto" w:sz="4" w:space="0"/>
              <w:right w:val="single" w:color="auto" w:sz="4" w:space="0"/>
            </w:tcBorders>
          </w:tcPr>
          <w:p w14:paraId="2AE25179">
            <w:pPr>
              <w:snapToGrid w:val="0"/>
              <w:ind w:firstLine="420"/>
              <w:rPr>
                <w:rFonts w:hint="eastAsia" w:ascii="微软雅黑" w:hAnsi="微软雅黑"/>
                <w:color w:val="auto"/>
                <w:szCs w:val="21"/>
              </w:rPr>
            </w:pPr>
          </w:p>
        </w:tc>
        <w:tc>
          <w:tcPr>
            <w:tcW w:w="1378" w:type="dxa"/>
            <w:tcBorders>
              <w:top w:val="single" w:color="auto" w:sz="4" w:space="0"/>
              <w:left w:val="single" w:color="auto" w:sz="4" w:space="0"/>
              <w:bottom w:val="single" w:color="auto" w:sz="4" w:space="0"/>
              <w:right w:val="single" w:color="auto" w:sz="4" w:space="0"/>
            </w:tcBorders>
          </w:tcPr>
          <w:p w14:paraId="475C4CD9">
            <w:pPr>
              <w:snapToGrid w:val="0"/>
              <w:ind w:firstLine="420"/>
              <w:rPr>
                <w:rFonts w:hint="eastAsia" w:ascii="微软雅黑" w:hAnsi="微软雅黑"/>
                <w:color w:val="auto"/>
                <w:szCs w:val="21"/>
              </w:rPr>
            </w:pPr>
          </w:p>
        </w:tc>
        <w:tc>
          <w:tcPr>
            <w:tcW w:w="2248" w:type="dxa"/>
            <w:tcBorders>
              <w:top w:val="single" w:color="auto" w:sz="4" w:space="0"/>
              <w:left w:val="single" w:color="auto" w:sz="4" w:space="0"/>
              <w:bottom w:val="single" w:color="auto" w:sz="4" w:space="0"/>
              <w:right w:val="single" w:color="auto" w:sz="4" w:space="0"/>
            </w:tcBorders>
          </w:tcPr>
          <w:p w14:paraId="3AFCFC05">
            <w:pPr>
              <w:snapToGrid w:val="0"/>
              <w:ind w:firstLine="420"/>
              <w:rPr>
                <w:rFonts w:hint="eastAsia" w:ascii="微软雅黑" w:hAnsi="微软雅黑"/>
                <w:color w:val="auto"/>
                <w:szCs w:val="21"/>
              </w:rPr>
            </w:pPr>
          </w:p>
        </w:tc>
        <w:tc>
          <w:tcPr>
            <w:tcW w:w="2028" w:type="dxa"/>
            <w:tcBorders>
              <w:top w:val="single" w:color="auto" w:sz="4" w:space="0"/>
              <w:left w:val="single" w:color="auto" w:sz="4" w:space="0"/>
              <w:bottom w:val="single" w:color="auto" w:sz="4" w:space="0"/>
              <w:right w:val="single" w:color="auto" w:sz="4" w:space="0"/>
            </w:tcBorders>
          </w:tcPr>
          <w:p w14:paraId="165D27D5">
            <w:pPr>
              <w:snapToGrid w:val="0"/>
              <w:ind w:firstLine="420"/>
              <w:rPr>
                <w:rFonts w:hint="eastAsia" w:ascii="微软雅黑" w:hAnsi="微软雅黑"/>
                <w:color w:val="auto"/>
                <w:szCs w:val="21"/>
              </w:rPr>
            </w:pPr>
          </w:p>
        </w:tc>
      </w:tr>
      <w:tr w14:paraId="4858F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0816249D">
            <w:pPr>
              <w:snapToGrid w:val="0"/>
              <w:ind w:firstLine="420"/>
              <w:rPr>
                <w:rFonts w:hint="eastAsia" w:ascii="微软雅黑" w:hAnsi="微软雅黑"/>
                <w:color w:val="auto"/>
                <w:szCs w:val="21"/>
              </w:rPr>
            </w:pPr>
          </w:p>
        </w:tc>
        <w:tc>
          <w:tcPr>
            <w:tcW w:w="1098" w:type="dxa"/>
            <w:tcBorders>
              <w:top w:val="single" w:color="auto" w:sz="4" w:space="0"/>
              <w:left w:val="single" w:color="auto" w:sz="4" w:space="0"/>
              <w:bottom w:val="single" w:color="auto" w:sz="4" w:space="0"/>
              <w:right w:val="single" w:color="auto" w:sz="4" w:space="0"/>
            </w:tcBorders>
          </w:tcPr>
          <w:p w14:paraId="54874DC3">
            <w:pPr>
              <w:snapToGrid w:val="0"/>
              <w:ind w:firstLine="420"/>
              <w:rPr>
                <w:rFonts w:hint="eastAsia" w:ascii="微软雅黑" w:hAnsi="微软雅黑"/>
                <w:color w:val="auto"/>
                <w:szCs w:val="21"/>
              </w:rPr>
            </w:pPr>
          </w:p>
        </w:tc>
        <w:tc>
          <w:tcPr>
            <w:tcW w:w="1819" w:type="dxa"/>
            <w:tcBorders>
              <w:top w:val="single" w:color="auto" w:sz="4" w:space="0"/>
              <w:left w:val="single" w:color="auto" w:sz="4" w:space="0"/>
              <w:bottom w:val="single" w:color="auto" w:sz="4" w:space="0"/>
              <w:right w:val="single" w:color="auto" w:sz="4" w:space="0"/>
            </w:tcBorders>
          </w:tcPr>
          <w:p w14:paraId="65BF0A8E">
            <w:pPr>
              <w:snapToGrid w:val="0"/>
              <w:ind w:firstLine="420"/>
              <w:rPr>
                <w:rFonts w:hint="eastAsia" w:ascii="微软雅黑" w:hAnsi="微软雅黑"/>
                <w:color w:val="auto"/>
                <w:szCs w:val="21"/>
              </w:rPr>
            </w:pPr>
          </w:p>
        </w:tc>
        <w:tc>
          <w:tcPr>
            <w:tcW w:w="1378" w:type="dxa"/>
            <w:tcBorders>
              <w:top w:val="single" w:color="auto" w:sz="4" w:space="0"/>
              <w:left w:val="single" w:color="auto" w:sz="4" w:space="0"/>
              <w:bottom w:val="single" w:color="auto" w:sz="4" w:space="0"/>
              <w:right w:val="single" w:color="auto" w:sz="4" w:space="0"/>
            </w:tcBorders>
          </w:tcPr>
          <w:p w14:paraId="6D04C5D2">
            <w:pPr>
              <w:snapToGrid w:val="0"/>
              <w:ind w:firstLine="420"/>
              <w:rPr>
                <w:rFonts w:hint="eastAsia" w:ascii="微软雅黑" w:hAnsi="微软雅黑"/>
                <w:color w:val="auto"/>
                <w:szCs w:val="21"/>
              </w:rPr>
            </w:pPr>
          </w:p>
        </w:tc>
        <w:tc>
          <w:tcPr>
            <w:tcW w:w="2248" w:type="dxa"/>
            <w:tcBorders>
              <w:top w:val="single" w:color="auto" w:sz="4" w:space="0"/>
              <w:left w:val="single" w:color="auto" w:sz="4" w:space="0"/>
              <w:bottom w:val="single" w:color="auto" w:sz="4" w:space="0"/>
              <w:right w:val="single" w:color="auto" w:sz="4" w:space="0"/>
            </w:tcBorders>
          </w:tcPr>
          <w:p w14:paraId="6B25FA21">
            <w:pPr>
              <w:snapToGrid w:val="0"/>
              <w:ind w:firstLine="420"/>
              <w:rPr>
                <w:rFonts w:hint="eastAsia" w:ascii="微软雅黑" w:hAnsi="微软雅黑"/>
                <w:color w:val="auto"/>
                <w:szCs w:val="21"/>
              </w:rPr>
            </w:pPr>
          </w:p>
        </w:tc>
        <w:tc>
          <w:tcPr>
            <w:tcW w:w="2028" w:type="dxa"/>
            <w:tcBorders>
              <w:top w:val="single" w:color="auto" w:sz="4" w:space="0"/>
              <w:left w:val="single" w:color="auto" w:sz="4" w:space="0"/>
              <w:bottom w:val="single" w:color="auto" w:sz="4" w:space="0"/>
              <w:right w:val="single" w:color="auto" w:sz="4" w:space="0"/>
            </w:tcBorders>
          </w:tcPr>
          <w:p w14:paraId="2AF9B31C">
            <w:pPr>
              <w:snapToGrid w:val="0"/>
              <w:ind w:firstLine="420"/>
              <w:rPr>
                <w:rFonts w:hint="eastAsia" w:ascii="微软雅黑" w:hAnsi="微软雅黑"/>
                <w:color w:val="auto"/>
                <w:szCs w:val="21"/>
              </w:rPr>
            </w:pPr>
          </w:p>
        </w:tc>
      </w:tr>
      <w:tr w14:paraId="6F048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18A35526">
            <w:pPr>
              <w:snapToGrid w:val="0"/>
              <w:ind w:firstLine="420"/>
              <w:rPr>
                <w:rFonts w:hint="eastAsia" w:ascii="微软雅黑" w:hAnsi="微软雅黑"/>
                <w:color w:val="auto"/>
                <w:szCs w:val="21"/>
              </w:rPr>
            </w:pPr>
          </w:p>
        </w:tc>
        <w:tc>
          <w:tcPr>
            <w:tcW w:w="1098" w:type="dxa"/>
            <w:tcBorders>
              <w:top w:val="single" w:color="auto" w:sz="4" w:space="0"/>
              <w:left w:val="single" w:color="auto" w:sz="4" w:space="0"/>
              <w:bottom w:val="single" w:color="auto" w:sz="4" w:space="0"/>
              <w:right w:val="single" w:color="auto" w:sz="4" w:space="0"/>
            </w:tcBorders>
          </w:tcPr>
          <w:p w14:paraId="4D065437">
            <w:pPr>
              <w:snapToGrid w:val="0"/>
              <w:ind w:firstLine="420"/>
              <w:rPr>
                <w:rFonts w:hint="eastAsia" w:ascii="微软雅黑" w:hAnsi="微软雅黑"/>
                <w:color w:val="auto"/>
                <w:szCs w:val="21"/>
              </w:rPr>
            </w:pPr>
          </w:p>
        </w:tc>
        <w:tc>
          <w:tcPr>
            <w:tcW w:w="1819" w:type="dxa"/>
            <w:tcBorders>
              <w:top w:val="single" w:color="auto" w:sz="4" w:space="0"/>
              <w:left w:val="single" w:color="auto" w:sz="4" w:space="0"/>
              <w:bottom w:val="single" w:color="auto" w:sz="4" w:space="0"/>
              <w:right w:val="single" w:color="auto" w:sz="4" w:space="0"/>
            </w:tcBorders>
          </w:tcPr>
          <w:p w14:paraId="06D9B1C7">
            <w:pPr>
              <w:snapToGrid w:val="0"/>
              <w:ind w:firstLine="420"/>
              <w:rPr>
                <w:rFonts w:hint="eastAsia" w:ascii="微软雅黑" w:hAnsi="微软雅黑"/>
                <w:color w:val="auto"/>
                <w:szCs w:val="21"/>
              </w:rPr>
            </w:pPr>
          </w:p>
        </w:tc>
        <w:tc>
          <w:tcPr>
            <w:tcW w:w="1378" w:type="dxa"/>
            <w:tcBorders>
              <w:top w:val="single" w:color="auto" w:sz="4" w:space="0"/>
              <w:left w:val="single" w:color="auto" w:sz="4" w:space="0"/>
              <w:bottom w:val="single" w:color="auto" w:sz="4" w:space="0"/>
              <w:right w:val="single" w:color="auto" w:sz="4" w:space="0"/>
            </w:tcBorders>
          </w:tcPr>
          <w:p w14:paraId="6885D311">
            <w:pPr>
              <w:snapToGrid w:val="0"/>
              <w:ind w:firstLine="420"/>
              <w:rPr>
                <w:rFonts w:hint="eastAsia" w:ascii="微软雅黑" w:hAnsi="微软雅黑"/>
                <w:color w:val="auto"/>
                <w:szCs w:val="21"/>
              </w:rPr>
            </w:pPr>
          </w:p>
        </w:tc>
        <w:tc>
          <w:tcPr>
            <w:tcW w:w="2248" w:type="dxa"/>
            <w:tcBorders>
              <w:top w:val="single" w:color="auto" w:sz="4" w:space="0"/>
              <w:left w:val="single" w:color="auto" w:sz="4" w:space="0"/>
              <w:bottom w:val="single" w:color="auto" w:sz="4" w:space="0"/>
              <w:right w:val="single" w:color="auto" w:sz="4" w:space="0"/>
            </w:tcBorders>
          </w:tcPr>
          <w:p w14:paraId="70FF20B8">
            <w:pPr>
              <w:snapToGrid w:val="0"/>
              <w:ind w:firstLine="420"/>
              <w:rPr>
                <w:rFonts w:hint="eastAsia" w:ascii="微软雅黑" w:hAnsi="微软雅黑"/>
                <w:color w:val="auto"/>
                <w:szCs w:val="21"/>
              </w:rPr>
            </w:pPr>
          </w:p>
        </w:tc>
        <w:tc>
          <w:tcPr>
            <w:tcW w:w="2028" w:type="dxa"/>
            <w:tcBorders>
              <w:top w:val="single" w:color="auto" w:sz="4" w:space="0"/>
              <w:left w:val="single" w:color="auto" w:sz="4" w:space="0"/>
              <w:bottom w:val="single" w:color="auto" w:sz="4" w:space="0"/>
              <w:right w:val="single" w:color="auto" w:sz="4" w:space="0"/>
            </w:tcBorders>
          </w:tcPr>
          <w:p w14:paraId="0697221E">
            <w:pPr>
              <w:snapToGrid w:val="0"/>
              <w:ind w:firstLine="420"/>
              <w:rPr>
                <w:rFonts w:hint="eastAsia" w:ascii="微软雅黑" w:hAnsi="微软雅黑"/>
                <w:color w:val="auto"/>
                <w:szCs w:val="21"/>
              </w:rPr>
            </w:pPr>
          </w:p>
        </w:tc>
      </w:tr>
    </w:tbl>
    <w:p w14:paraId="1B08E1E1">
      <w:pPr>
        <w:snapToGrid w:val="0"/>
        <w:ind w:firstLine="420"/>
        <w:rPr>
          <w:rFonts w:hint="eastAsia" w:ascii="微软雅黑" w:hAnsi="微软雅黑"/>
          <w:color w:val="auto"/>
          <w:szCs w:val="21"/>
        </w:rPr>
      </w:pPr>
      <w:r>
        <w:rPr>
          <w:rFonts w:hint="eastAsia" w:ascii="微软雅黑" w:hAnsi="微软雅黑"/>
          <w:color w:val="auto"/>
          <w:szCs w:val="21"/>
        </w:rPr>
        <w:t>注：在填写时，如本表格不适合投标单位的实际情况，可根据本表格式自行划表填写。</w:t>
      </w:r>
    </w:p>
    <w:p w14:paraId="3ECE36E6">
      <w:pPr>
        <w:pStyle w:val="26"/>
        <w:ind w:firstLine="420"/>
        <w:rPr>
          <w:rFonts w:hint="eastAsia" w:ascii="微软雅黑" w:hAnsi="微软雅黑"/>
          <w:color w:val="auto"/>
          <w:szCs w:val="21"/>
        </w:rPr>
      </w:pPr>
      <w:r>
        <w:rPr>
          <w:rFonts w:hint="eastAsia" w:ascii="微软雅黑" w:hAnsi="微软雅黑"/>
          <w:color w:val="auto"/>
          <w:szCs w:val="21"/>
        </w:rPr>
        <w:t xml:space="preserve">法定代表人或其委托代理人签名（或盖章）：                </w:t>
      </w:r>
    </w:p>
    <w:p w14:paraId="081CFE4F">
      <w:pPr>
        <w:pStyle w:val="26"/>
        <w:ind w:firstLine="420"/>
        <w:rPr>
          <w:rFonts w:hint="eastAsia" w:ascii="微软雅黑" w:hAnsi="微软雅黑"/>
          <w:color w:val="auto"/>
          <w:szCs w:val="21"/>
        </w:rPr>
      </w:pPr>
      <w:r>
        <w:rPr>
          <w:rFonts w:hint="eastAsia" w:ascii="微软雅黑" w:hAnsi="微软雅黑"/>
          <w:color w:val="auto"/>
          <w:szCs w:val="21"/>
        </w:rPr>
        <w:t>投标人：（单位公章）</w:t>
      </w:r>
    </w:p>
    <w:p w14:paraId="5B54CDA0">
      <w:pPr>
        <w:pStyle w:val="26"/>
        <w:ind w:firstLine="420"/>
        <w:rPr>
          <w:rFonts w:hint="eastAsia" w:ascii="微软雅黑" w:hAnsi="微软雅黑"/>
          <w:color w:val="auto"/>
          <w:szCs w:val="21"/>
        </w:rPr>
      </w:pPr>
    </w:p>
    <w:p w14:paraId="5F61646A">
      <w:pPr>
        <w:pStyle w:val="26"/>
        <w:ind w:firstLine="420"/>
        <w:rPr>
          <w:rFonts w:hint="eastAsia" w:ascii="微软雅黑" w:hAnsi="微软雅黑"/>
          <w:color w:val="auto"/>
          <w:szCs w:val="21"/>
        </w:rPr>
      </w:pPr>
      <w:r>
        <w:rPr>
          <w:rFonts w:hint="eastAsia" w:ascii="微软雅黑" w:hAnsi="微软雅黑"/>
          <w:color w:val="auto"/>
          <w:szCs w:val="21"/>
        </w:rPr>
        <w:t>日期：年月  日</w:t>
      </w:r>
    </w:p>
    <w:p w14:paraId="365628ED">
      <w:pPr>
        <w:snapToGrid w:val="0"/>
        <w:ind w:firstLine="420"/>
        <w:rPr>
          <w:rFonts w:hint="eastAsia" w:ascii="微软雅黑" w:hAnsi="微软雅黑" w:cs="微软雅黑"/>
          <w:color w:val="auto"/>
          <w:szCs w:val="21"/>
        </w:rPr>
      </w:pPr>
      <w:r>
        <w:rPr>
          <w:rFonts w:hint="eastAsia" w:ascii="微软雅黑" w:hAnsi="微软雅黑"/>
          <w:color w:val="auto"/>
          <w:szCs w:val="21"/>
        </w:rPr>
        <w:br w:type="page"/>
      </w:r>
    </w:p>
    <w:p w14:paraId="226CCD96">
      <w:pPr>
        <w:pStyle w:val="26"/>
        <w:snapToGrid w:val="0"/>
        <w:ind w:left="5250" w:firstLine="420"/>
        <w:rPr>
          <w:rFonts w:hint="eastAsia" w:ascii="微软雅黑" w:hAnsi="微软雅黑"/>
          <w:b/>
          <w:color w:val="auto"/>
          <w:szCs w:val="21"/>
        </w:rPr>
      </w:pPr>
    </w:p>
    <w:p w14:paraId="4317C3E4">
      <w:pPr>
        <w:snapToGrid w:val="0"/>
        <w:ind w:firstLine="420"/>
        <w:rPr>
          <w:rFonts w:hint="eastAsia" w:ascii="微软雅黑" w:hAnsi="微软雅黑"/>
          <w:b/>
          <w:color w:val="auto"/>
          <w:szCs w:val="21"/>
        </w:rPr>
      </w:pPr>
      <w:r>
        <w:rPr>
          <w:rFonts w:hint="eastAsia" w:ascii="微软雅黑" w:hAnsi="微软雅黑"/>
          <w:b/>
          <w:color w:val="auto"/>
          <w:szCs w:val="21"/>
        </w:rPr>
        <w:t>投标函格式：</w:t>
      </w:r>
    </w:p>
    <w:p w14:paraId="01C2D7DA">
      <w:pPr>
        <w:snapToGrid w:val="0"/>
        <w:ind w:firstLine="420"/>
        <w:jc w:val="center"/>
        <w:rPr>
          <w:rFonts w:hint="eastAsia" w:ascii="微软雅黑" w:hAnsi="微软雅黑"/>
          <w:b/>
          <w:color w:val="auto"/>
          <w:szCs w:val="21"/>
        </w:rPr>
      </w:pPr>
      <w:r>
        <w:rPr>
          <w:rFonts w:hint="eastAsia" w:ascii="微软雅黑" w:hAnsi="微软雅黑"/>
          <w:b/>
          <w:color w:val="auto"/>
          <w:szCs w:val="21"/>
        </w:rPr>
        <w:t>投标函</w:t>
      </w:r>
    </w:p>
    <w:p w14:paraId="2ADF6764">
      <w:pPr>
        <w:snapToGrid w:val="0"/>
        <w:ind w:firstLine="420"/>
        <w:rPr>
          <w:rFonts w:hint="eastAsia" w:ascii="微软雅黑" w:hAnsi="微软雅黑"/>
          <w:color w:val="auto"/>
          <w:szCs w:val="21"/>
        </w:rPr>
      </w:pPr>
      <w:r>
        <w:rPr>
          <w:rFonts w:hint="eastAsia" w:ascii="微软雅黑" w:hAnsi="微软雅黑"/>
          <w:color w:val="auto"/>
          <w:szCs w:val="21"/>
        </w:rPr>
        <w:t>致：</w:t>
      </w:r>
      <w:r>
        <w:rPr>
          <w:rFonts w:hint="eastAsia" w:ascii="微软雅黑" w:hAnsi="微软雅黑"/>
          <w:color w:val="auto"/>
          <w:szCs w:val="21"/>
          <w:u w:val="single"/>
        </w:rPr>
        <w:t>嘉兴市公安局南湖区分局</w:t>
      </w:r>
      <w:r>
        <w:rPr>
          <w:rFonts w:hint="eastAsia" w:ascii="微软雅黑" w:hAnsi="微软雅黑"/>
          <w:color w:val="auto"/>
          <w:szCs w:val="21"/>
        </w:rPr>
        <w:t>：</w:t>
      </w:r>
    </w:p>
    <w:p w14:paraId="578E2CB7">
      <w:pPr>
        <w:snapToGrid w:val="0"/>
        <w:ind w:firstLine="420"/>
        <w:rPr>
          <w:rFonts w:hint="eastAsia" w:ascii="微软雅黑" w:hAnsi="微软雅黑"/>
          <w:color w:val="auto"/>
          <w:szCs w:val="21"/>
        </w:rPr>
      </w:pPr>
      <w:r>
        <w:rPr>
          <w:rFonts w:hint="eastAsia" w:ascii="微软雅黑" w:hAnsi="微软雅黑"/>
          <w:color w:val="auto"/>
          <w:szCs w:val="21"/>
        </w:rPr>
        <w:t>根据贵方为项目的招标公告</w:t>
      </w:r>
      <w:r>
        <w:rPr>
          <w:rFonts w:ascii="微软雅黑" w:hAnsi="微软雅黑"/>
          <w:color w:val="auto"/>
          <w:szCs w:val="21"/>
        </w:rPr>
        <w:t>/</w:t>
      </w:r>
      <w:r>
        <w:rPr>
          <w:rFonts w:hint="eastAsia" w:ascii="微软雅黑" w:hAnsi="微软雅黑"/>
          <w:color w:val="auto"/>
          <w:szCs w:val="21"/>
        </w:rPr>
        <w:t>投标邀请书</w:t>
      </w:r>
    </w:p>
    <w:p w14:paraId="04563A9B">
      <w:pPr>
        <w:snapToGrid w:val="0"/>
        <w:ind w:firstLine="420"/>
        <w:rPr>
          <w:rFonts w:hint="eastAsia" w:ascii="微软雅黑" w:hAnsi="微软雅黑"/>
          <w:color w:val="auto"/>
          <w:szCs w:val="21"/>
        </w:rPr>
      </w:pPr>
      <w:r>
        <w:rPr>
          <w:rFonts w:hint="eastAsia" w:ascii="微软雅黑" w:hAnsi="微软雅黑"/>
          <w:color w:val="auto"/>
          <w:szCs w:val="21"/>
        </w:rPr>
        <w:t>（项目编号：），签字代表（全名）经正式授权并代表投标人（投标人名称）提交资信商务文件、技术文件及投标报价文件电子投标各一份。</w:t>
      </w:r>
    </w:p>
    <w:p w14:paraId="7B1302C7">
      <w:pPr>
        <w:snapToGrid w:val="0"/>
        <w:ind w:firstLine="420"/>
        <w:rPr>
          <w:rFonts w:hint="eastAsia" w:ascii="微软雅黑" w:hAnsi="微软雅黑"/>
          <w:color w:val="auto"/>
          <w:szCs w:val="21"/>
        </w:rPr>
      </w:pPr>
      <w:r>
        <w:rPr>
          <w:rFonts w:hint="eastAsia" w:ascii="微软雅黑" w:hAnsi="微软雅黑"/>
          <w:color w:val="auto"/>
          <w:szCs w:val="21"/>
        </w:rPr>
        <w:t>据此函，签字代表宣布同意如下：</w:t>
      </w:r>
    </w:p>
    <w:p w14:paraId="235E8E85">
      <w:pPr>
        <w:snapToGrid w:val="0"/>
        <w:ind w:firstLine="420"/>
        <w:rPr>
          <w:rFonts w:hint="eastAsia" w:ascii="微软雅黑" w:hAnsi="微软雅黑"/>
          <w:color w:val="auto"/>
          <w:szCs w:val="21"/>
        </w:rPr>
      </w:pPr>
      <w:r>
        <w:rPr>
          <w:rFonts w:ascii="微软雅黑" w:hAnsi="微软雅黑"/>
          <w:color w:val="auto"/>
          <w:szCs w:val="21"/>
        </w:rPr>
        <w:t>1</w:t>
      </w:r>
      <w:r>
        <w:rPr>
          <w:rFonts w:hint="eastAsia" w:ascii="微软雅黑" w:hAnsi="微软雅黑"/>
          <w:color w:val="auto"/>
          <w:szCs w:val="21"/>
        </w:rPr>
        <w:t>、投标人已详细审查全部“招标文件”，包括修改文件（如有的话）以及全部参考资料和有关附件，已经了解我方对于招标文件、采购过程、采购结果有依法进行询问、质疑、投诉的权利及相关渠道和要求。</w:t>
      </w:r>
    </w:p>
    <w:p w14:paraId="7D8E5277">
      <w:pPr>
        <w:snapToGrid w:val="0"/>
        <w:ind w:firstLine="420"/>
        <w:rPr>
          <w:rFonts w:hint="eastAsia" w:ascii="微软雅黑" w:hAnsi="微软雅黑"/>
          <w:color w:val="auto"/>
          <w:szCs w:val="21"/>
        </w:rPr>
      </w:pPr>
      <w:r>
        <w:rPr>
          <w:rFonts w:ascii="微软雅黑" w:hAnsi="微软雅黑"/>
          <w:color w:val="auto"/>
          <w:szCs w:val="21"/>
        </w:rPr>
        <w:t>2</w:t>
      </w:r>
      <w:r>
        <w:rPr>
          <w:rFonts w:hint="eastAsia" w:ascii="微软雅黑" w:hAnsi="微软雅黑"/>
          <w:color w:val="auto"/>
          <w:szCs w:val="21"/>
        </w:rPr>
        <w:t>、投标人在投标之前已经与贵方进行了充分的沟通，完全理解并接受招标文件的各项规定和要求，对招标文件的合理性、合法性不再有异议。</w:t>
      </w:r>
    </w:p>
    <w:p w14:paraId="57FE8A60">
      <w:pPr>
        <w:snapToGrid w:val="0"/>
        <w:ind w:firstLine="420"/>
        <w:rPr>
          <w:rFonts w:hint="eastAsia" w:ascii="微软雅黑" w:hAnsi="微软雅黑"/>
          <w:color w:val="auto"/>
          <w:szCs w:val="21"/>
        </w:rPr>
      </w:pPr>
      <w:r>
        <w:rPr>
          <w:rFonts w:ascii="微软雅黑" w:hAnsi="微软雅黑"/>
          <w:color w:val="auto"/>
          <w:szCs w:val="21"/>
        </w:rPr>
        <w:t>3</w:t>
      </w:r>
      <w:r>
        <w:rPr>
          <w:rFonts w:hint="eastAsia" w:ascii="微软雅黑" w:hAnsi="微软雅黑"/>
          <w:color w:val="auto"/>
          <w:szCs w:val="21"/>
        </w:rPr>
        <w:t>、本投标有效期自开标日起</w:t>
      </w:r>
      <w:r>
        <w:rPr>
          <w:rFonts w:ascii="微软雅黑" w:hAnsi="微软雅黑"/>
          <w:color w:val="auto"/>
          <w:szCs w:val="21"/>
        </w:rPr>
        <w:t xml:space="preserve"> ______</w:t>
      </w:r>
      <w:r>
        <w:rPr>
          <w:rFonts w:hint="eastAsia" w:ascii="微软雅黑" w:hAnsi="微软雅黑"/>
          <w:color w:val="auto"/>
          <w:szCs w:val="21"/>
        </w:rPr>
        <w:t>个日。</w:t>
      </w:r>
    </w:p>
    <w:p w14:paraId="5B0F7B7C">
      <w:pPr>
        <w:snapToGrid w:val="0"/>
        <w:ind w:firstLine="420"/>
        <w:rPr>
          <w:rFonts w:hint="eastAsia" w:ascii="微软雅黑" w:hAnsi="微软雅黑"/>
          <w:color w:val="auto"/>
          <w:szCs w:val="21"/>
        </w:rPr>
      </w:pPr>
      <w:r>
        <w:rPr>
          <w:rFonts w:ascii="微软雅黑" w:hAnsi="微软雅黑"/>
          <w:color w:val="auto"/>
          <w:szCs w:val="21"/>
        </w:rPr>
        <w:t>4</w:t>
      </w:r>
      <w:r>
        <w:rPr>
          <w:rFonts w:hint="eastAsia" w:ascii="微软雅黑" w:hAnsi="微软雅黑"/>
          <w:color w:val="auto"/>
          <w:szCs w:val="21"/>
        </w:rPr>
        <w:t>、如中标，本投标文件至本项目合同履行完毕止均保持有效，本投标人将按“招标文件”及政府采购法律、法规的规定履行合同责任和义务。</w:t>
      </w:r>
    </w:p>
    <w:p w14:paraId="7C01327D">
      <w:pPr>
        <w:snapToGrid w:val="0"/>
        <w:ind w:firstLine="420"/>
        <w:rPr>
          <w:rFonts w:hint="eastAsia" w:ascii="微软雅黑" w:hAnsi="微软雅黑"/>
          <w:color w:val="auto"/>
          <w:szCs w:val="21"/>
        </w:rPr>
      </w:pPr>
      <w:r>
        <w:rPr>
          <w:rFonts w:ascii="微软雅黑" w:hAnsi="微软雅黑"/>
          <w:color w:val="auto"/>
          <w:szCs w:val="21"/>
        </w:rPr>
        <w:t>5</w:t>
      </w:r>
      <w:r>
        <w:rPr>
          <w:rFonts w:hint="eastAsia" w:ascii="微软雅黑" w:hAnsi="微软雅黑"/>
          <w:color w:val="auto"/>
          <w:szCs w:val="21"/>
        </w:rPr>
        <w:t>、投标人同意按照贵方要求提供与投标有关的一切数据或资料。</w:t>
      </w:r>
    </w:p>
    <w:p w14:paraId="54FADB92">
      <w:pPr>
        <w:snapToGrid w:val="0"/>
        <w:ind w:firstLine="420"/>
        <w:rPr>
          <w:rFonts w:hint="eastAsia" w:ascii="微软雅黑" w:hAnsi="微软雅黑"/>
          <w:color w:val="auto"/>
          <w:szCs w:val="21"/>
        </w:rPr>
      </w:pPr>
      <w:r>
        <w:rPr>
          <w:rFonts w:ascii="微软雅黑" w:hAnsi="微软雅黑"/>
          <w:color w:val="auto"/>
          <w:szCs w:val="21"/>
        </w:rPr>
        <w:t>6</w:t>
      </w:r>
      <w:r>
        <w:rPr>
          <w:rFonts w:hint="eastAsia" w:ascii="微软雅黑" w:hAnsi="微软雅黑"/>
          <w:color w:val="auto"/>
          <w:szCs w:val="21"/>
        </w:rPr>
        <w:t>、与本投标有关的一切正式往来信函请寄：</w:t>
      </w:r>
    </w:p>
    <w:p w14:paraId="36C65B1D">
      <w:pPr>
        <w:snapToGrid w:val="0"/>
        <w:ind w:firstLine="420"/>
        <w:rPr>
          <w:rFonts w:hint="eastAsia" w:ascii="微软雅黑" w:hAnsi="微软雅黑"/>
          <w:color w:val="auto"/>
          <w:szCs w:val="21"/>
        </w:rPr>
      </w:pPr>
    </w:p>
    <w:p w14:paraId="72A230AA">
      <w:pPr>
        <w:snapToGrid w:val="0"/>
        <w:ind w:firstLine="420"/>
        <w:rPr>
          <w:rFonts w:hint="eastAsia" w:ascii="微软雅黑" w:hAnsi="微软雅黑"/>
          <w:color w:val="auto"/>
          <w:szCs w:val="21"/>
        </w:rPr>
      </w:pPr>
      <w:r>
        <w:rPr>
          <w:rFonts w:hint="eastAsia" w:ascii="微软雅黑" w:hAnsi="微软雅黑"/>
          <w:color w:val="auto"/>
          <w:szCs w:val="21"/>
        </w:rPr>
        <w:t>地址： 邮编：电话：</w:t>
      </w:r>
    </w:p>
    <w:p w14:paraId="5331CE63">
      <w:pPr>
        <w:snapToGrid w:val="0"/>
        <w:ind w:firstLine="420"/>
        <w:rPr>
          <w:rFonts w:hint="eastAsia" w:ascii="微软雅黑" w:hAnsi="微软雅黑"/>
          <w:color w:val="auto"/>
          <w:szCs w:val="21"/>
        </w:rPr>
      </w:pPr>
      <w:r>
        <w:rPr>
          <w:rFonts w:hint="eastAsia" w:ascii="微软雅黑" w:hAnsi="微软雅黑"/>
          <w:color w:val="auto"/>
          <w:szCs w:val="21"/>
        </w:rPr>
        <w:t>传真：投标人代表姓名职务：</w:t>
      </w:r>
      <w:r>
        <w:rPr>
          <w:rFonts w:ascii="微软雅黑" w:hAnsi="微软雅黑"/>
          <w:color w:val="auto"/>
          <w:szCs w:val="21"/>
        </w:rPr>
        <w:t>_____________</w:t>
      </w:r>
    </w:p>
    <w:p w14:paraId="38C783B5">
      <w:pPr>
        <w:snapToGrid w:val="0"/>
        <w:ind w:firstLine="420"/>
        <w:rPr>
          <w:rFonts w:hint="eastAsia" w:ascii="微软雅黑" w:hAnsi="微软雅黑"/>
          <w:color w:val="auto"/>
          <w:szCs w:val="21"/>
        </w:rPr>
      </w:pPr>
      <w:r>
        <w:rPr>
          <w:rFonts w:hint="eastAsia" w:ascii="微软雅黑" w:hAnsi="微软雅黑"/>
          <w:color w:val="auto"/>
          <w:szCs w:val="21"/>
        </w:rPr>
        <w:t>投标人名称</w:t>
      </w:r>
      <w:r>
        <w:rPr>
          <w:rFonts w:ascii="微软雅黑" w:hAnsi="微软雅黑"/>
          <w:color w:val="auto"/>
          <w:szCs w:val="21"/>
        </w:rPr>
        <w:t>(</w:t>
      </w:r>
      <w:r>
        <w:rPr>
          <w:rFonts w:hint="eastAsia" w:ascii="微软雅黑" w:hAnsi="微软雅黑"/>
          <w:color w:val="auto"/>
          <w:szCs w:val="21"/>
        </w:rPr>
        <w:t>公章</w:t>
      </w:r>
      <w:r>
        <w:rPr>
          <w:rFonts w:ascii="微软雅黑" w:hAnsi="微软雅黑"/>
          <w:color w:val="auto"/>
          <w:szCs w:val="21"/>
        </w:rPr>
        <w:t>):</w:t>
      </w:r>
    </w:p>
    <w:p w14:paraId="59148521">
      <w:pPr>
        <w:snapToGrid w:val="0"/>
        <w:ind w:firstLine="420"/>
        <w:rPr>
          <w:rFonts w:hint="eastAsia" w:ascii="微软雅黑" w:hAnsi="微软雅黑"/>
          <w:color w:val="auto"/>
          <w:szCs w:val="21"/>
        </w:rPr>
      </w:pPr>
      <w:r>
        <w:rPr>
          <w:rFonts w:hint="eastAsia" w:ascii="微软雅黑" w:hAnsi="微软雅黑"/>
          <w:color w:val="auto"/>
          <w:szCs w:val="21"/>
        </w:rPr>
        <w:t>开户银行：银行帐号：</w:t>
      </w:r>
    </w:p>
    <w:p w14:paraId="03441CAE">
      <w:pPr>
        <w:ind w:firstLine="420"/>
        <w:rPr>
          <w:color w:val="auto"/>
        </w:rPr>
      </w:pPr>
      <w:bookmarkStart w:id="212" w:name="_Toc10894"/>
      <w:bookmarkStart w:id="213" w:name="_Toc9104"/>
      <w:r>
        <w:rPr>
          <w:rFonts w:hint="eastAsia"/>
          <w:color w:val="auto"/>
        </w:rPr>
        <w:t>授权代表签字</w:t>
      </w:r>
      <w:r>
        <w:rPr>
          <w:color w:val="auto"/>
        </w:rPr>
        <w:t>:</w:t>
      </w:r>
      <w:r>
        <w:rPr>
          <w:rFonts w:hint="eastAsia"/>
          <w:color w:val="auto"/>
        </w:rPr>
        <w:t>日期</w:t>
      </w:r>
      <w:r>
        <w:rPr>
          <w:color w:val="auto"/>
        </w:rPr>
        <w:t>:_____</w:t>
      </w:r>
      <w:r>
        <w:rPr>
          <w:rFonts w:hint="eastAsia"/>
          <w:color w:val="auto"/>
        </w:rPr>
        <w:t>年</w:t>
      </w:r>
      <w:r>
        <w:rPr>
          <w:color w:val="auto"/>
        </w:rPr>
        <w:t>___</w:t>
      </w:r>
      <w:r>
        <w:rPr>
          <w:rFonts w:hint="eastAsia"/>
          <w:color w:val="auto"/>
        </w:rPr>
        <w:t>月</w:t>
      </w:r>
      <w:r>
        <w:rPr>
          <w:color w:val="auto"/>
        </w:rPr>
        <w:t>___</w:t>
      </w:r>
      <w:r>
        <w:rPr>
          <w:rFonts w:hint="eastAsia"/>
          <w:color w:val="auto"/>
        </w:rPr>
        <w:t>日</w:t>
      </w:r>
      <w:bookmarkEnd w:id="212"/>
      <w:bookmarkEnd w:id="213"/>
    </w:p>
    <w:p w14:paraId="670D02F2">
      <w:pPr>
        <w:snapToGrid w:val="0"/>
        <w:ind w:firstLine="420"/>
        <w:rPr>
          <w:rFonts w:hint="eastAsia" w:ascii="微软雅黑" w:hAnsi="微软雅黑"/>
          <w:b/>
          <w:color w:val="auto"/>
          <w:szCs w:val="21"/>
        </w:rPr>
      </w:pPr>
      <w:r>
        <w:rPr>
          <w:rFonts w:hint="eastAsia" w:ascii="微软雅黑" w:hAnsi="微软雅黑"/>
          <w:b/>
          <w:color w:val="auto"/>
          <w:szCs w:val="21"/>
        </w:rPr>
        <w:br w:type="page"/>
      </w:r>
    </w:p>
    <w:p w14:paraId="7936DF8B">
      <w:pPr>
        <w:snapToGrid w:val="0"/>
        <w:ind w:firstLine="420"/>
        <w:rPr>
          <w:rFonts w:hint="eastAsia" w:ascii="微软雅黑" w:hAnsi="微软雅黑"/>
          <w:color w:val="auto"/>
          <w:szCs w:val="21"/>
        </w:rPr>
      </w:pPr>
      <w:r>
        <w:rPr>
          <w:rFonts w:hint="eastAsia" w:ascii="微软雅黑" w:hAnsi="微软雅黑"/>
          <w:color w:val="auto"/>
          <w:szCs w:val="21"/>
        </w:rPr>
        <w:t>开标一览表</w:t>
      </w:r>
    </w:p>
    <w:p w14:paraId="492AE257">
      <w:pPr>
        <w:ind w:firstLine="420"/>
        <w:jc w:val="center"/>
        <w:rPr>
          <w:rFonts w:hint="eastAsia" w:ascii="微软雅黑" w:hAnsi="微软雅黑"/>
          <w:color w:val="auto"/>
          <w:szCs w:val="21"/>
        </w:rPr>
      </w:pPr>
      <w:bookmarkStart w:id="214" w:name="_Toc30181"/>
      <w:bookmarkStart w:id="215" w:name="_Toc21605"/>
      <w:r>
        <w:rPr>
          <w:rFonts w:hint="eastAsia" w:ascii="微软雅黑" w:hAnsi="微软雅黑"/>
          <w:color w:val="auto"/>
          <w:szCs w:val="21"/>
        </w:rPr>
        <w:t>开标一览表</w:t>
      </w:r>
      <w:bookmarkEnd w:id="214"/>
      <w:bookmarkEnd w:id="215"/>
    </w:p>
    <w:p w14:paraId="0D39ED6A">
      <w:pPr>
        <w:snapToGrid w:val="0"/>
        <w:ind w:firstLine="420"/>
        <w:jc w:val="center"/>
        <w:rPr>
          <w:rFonts w:hint="eastAsia" w:ascii="微软雅黑" w:hAnsi="微软雅黑"/>
          <w:color w:val="auto"/>
          <w:szCs w:val="21"/>
        </w:rPr>
      </w:pPr>
    </w:p>
    <w:p w14:paraId="0255ABC4">
      <w:pPr>
        <w:snapToGrid w:val="0"/>
        <w:ind w:firstLine="420"/>
        <w:rPr>
          <w:rFonts w:hint="eastAsia" w:ascii="微软雅黑" w:hAnsi="微软雅黑"/>
          <w:color w:val="auto"/>
          <w:szCs w:val="21"/>
        </w:rPr>
      </w:pPr>
      <w:r>
        <w:rPr>
          <w:rFonts w:hint="eastAsia" w:ascii="微软雅黑" w:hAnsi="微软雅黑"/>
          <w:color w:val="auto"/>
          <w:szCs w:val="21"/>
        </w:rPr>
        <w:t>招标编号： 投标人名称：</w:t>
      </w:r>
    </w:p>
    <w:tbl>
      <w:tblPr>
        <w:tblStyle w:val="52"/>
        <w:tblW w:w="93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3883"/>
        <w:gridCol w:w="833"/>
        <w:gridCol w:w="1803"/>
        <w:gridCol w:w="1803"/>
      </w:tblGrid>
      <w:tr w14:paraId="0551C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BAB30C8">
            <w:pPr>
              <w:snapToGrid w:val="0"/>
              <w:ind w:firstLine="0" w:firstLineChars="0"/>
              <w:jc w:val="center"/>
              <w:rPr>
                <w:rFonts w:hint="eastAsia" w:ascii="微软雅黑" w:hAnsi="微软雅黑"/>
                <w:color w:val="auto"/>
                <w:szCs w:val="21"/>
              </w:rPr>
            </w:pPr>
            <w:r>
              <w:rPr>
                <w:rFonts w:hint="eastAsia" w:ascii="微软雅黑" w:hAnsi="微软雅黑"/>
                <w:color w:val="auto"/>
                <w:szCs w:val="21"/>
              </w:rPr>
              <w:t>序号</w:t>
            </w:r>
          </w:p>
        </w:tc>
        <w:tc>
          <w:tcPr>
            <w:tcW w:w="3883" w:type="dxa"/>
            <w:tcBorders>
              <w:top w:val="single" w:color="auto" w:sz="4" w:space="0"/>
              <w:left w:val="single" w:color="auto" w:sz="4" w:space="0"/>
              <w:bottom w:val="single" w:color="auto" w:sz="4" w:space="0"/>
              <w:right w:val="single" w:color="auto" w:sz="4" w:space="0"/>
            </w:tcBorders>
            <w:vAlign w:val="center"/>
          </w:tcPr>
          <w:p w14:paraId="617B336F">
            <w:pPr>
              <w:snapToGrid w:val="0"/>
              <w:ind w:firstLine="0" w:firstLineChars="0"/>
              <w:jc w:val="center"/>
              <w:rPr>
                <w:rFonts w:hint="eastAsia" w:ascii="微软雅黑" w:hAnsi="微软雅黑"/>
                <w:color w:val="auto"/>
                <w:szCs w:val="21"/>
              </w:rPr>
            </w:pPr>
            <w:r>
              <w:rPr>
                <w:rFonts w:hint="eastAsia" w:ascii="微软雅黑" w:hAnsi="微软雅黑"/>
                <w:color w:val="auto"/>
                <w:szCs w:val="21"/>
              </w:rPr>
              <w:t>名称</w:t>
            </w:r>
          </w:p>
        </w:tc>
        <w:tc>
          <w:tcPr>
            <w:tcW w:w="833" w:type="dxa"/>
            <w:tcBorders>
              <w:top w:val="single" w:color="auto" w:sz="4" w:space="0"/>
              <w:left w:val="single" w:color="auto" w:sz="4" w:space="0"/>
              <w:bottom w:val="single" w:color="auto" w:sz="4" w:space="0"/>
              <w:right w:val="single" w:color="auto" w:sz="4" w:space="0"/>
            </w:tcBorders>
            <w:vAlign w:val="center"/>
          </w:tcPr>
          <w:p w14:paraId="4E7124CE">
            <w:pPr>
              <w:snapToGrid w:val="0"/>
              <w:ind w:firstLine="0" w:firstLineChars="0"/>
              <w:jc w:val="center"/>
              <w:rPr>
                <w:rFonts w:hint="eastAsia" w:ascii="微软雅黑" w:hAnsi="微软雅黑"/>
                <w:color w:val="auto"/>
                <w:szCs w:val="21"/>
              </w:rPr>
            </w:pPr>
            <w:r>
              <w:rPr>
                <w:rFonts w:hint="eastAsia" w:ascii="微软雅黑" w:hAnsi="微软雅黑"/>
                <w:color w:val="auto"/>
                <w:szCs w:val="21"/>
              </w:rPr>
              <w:t>数量</w:t>
            </w:r>
          </w:p>
        </w:tc>
        <w:tc>
          <w:tcPr>
            <w:tcW w:w="1803" w:type="dxa"/>
            <w:tcBorders>
              <w:top w:val="single" w:color="auto" w:sz="4" w:space="0"/>
              <w:left w:val="single" w:color="auto" w:sz="4" w:space="0"/>
              <w:bottom w:val="single" w:color="auto" w:sz="4" w:space="0"/>
              <w:right w:val="single" w:color="auto" w:sz="4" w:space="0"/>
            </w:tcBorders>
            <w:vAlign w:val="center"/>
          </w:tcPr>
          <w:p w14:paraId="659DD9DC">
            <w:pPr>
              <w:snapToGrid w:val="0"/>
              <w:ind w:firstLine="0" w:firstLineChars="0"/>
              <w:jc w:val="center"/>
              <w:rPr>
                <w:rFonts w:hint="eastAsia" w:ascii="微软雅黑" w:hAnsi="微软雅黑"/>
                <w:color w:val="auto"/>
                <w:szCs w:val="21"/>
              </w:rPr>
            </w:pPr>
            <w:r>
              <w:rPr>
                <w:rFonts w:hint="eastAsia" w:ascii="微软雅黑" w:hAnsi="微软雅黑"/>
                <w:color w:val="auto"/>
                <w:szCs w:val="21"/>
              </w:rPr>
              <w:t>单位</w:t>
            </w:r>
          </w:p>
        </w:tc>
        <w:tc>
          <w:tcPr>
            <w:tcW w:w="1803" w:type="dxa"/>
            <w:tcBorders>
              <w:top w:val="single" w:color="auto" w:sz="4" w:space="0"/>
              <w:left w:val="single" w:color="auto" w:sz="4" w:space="0"/>
              <w:bottom w:val="single" w:color="auto" w:sz="4" w:space="0"/>
              <w:right w:val="single" w:color="auto" w:sz="4" w:space="0"/>
            </w:tcBorders>
            <w:vAlign w:val="center"/>
          </w:tcPr>
          <w:p w14:paraId="73BBC3C1">
            <w:pPr>
              <w:snapToGrid w:val="0"/>
              <w:ind w:firstLine="0" w:firstLineChars="0"/>
              <w:jc w:val="center"/>
              <w:rPr>
                <w:rFonts w:hint="eastAsia" w:ascii="微软雅黑" w:hAnsi="微软雅黑"/>
                <w:color w:val="auto"/>
                <w:szCs w:val="21"/>
              </w:rPr>
            </w:pPr>
            <w:r>
              <w:rPr>
                <w:rFonts w:hint="eastAsia" w:ascii="微软雅黑" w:hAnsi="微软雅黑"/>
                <w:color w:val="auto"/>
                <w:szCs w:val="21"/>
              </w:rPr>
              <w:t>投标报价（元）</w:t>
            </w:r>
          </w:p>
        </w:tc>
      </w:tr>
      <w:tr w14:paraId="1E63B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D3786BE">
            <w:pPr>
              <w:spacing w:line="276" w:lineRule="auto"/>
              <w:ind w:firstLine="0" w:firstLineChars="0"/>
              <w:jc w:val="center"/>
              <w:rPr>
                <w:rFonts w:hint="eastAsia" w:ascii="微软雅黑" w:hAnsi="微软雅黑"/>
                <w:color w:val="auto"/>
                <w:szCs w:val="21"/>
              </w:rPr>
            </w:pPr>
            <w:r>
              <w:rPr>
                <w:rFonts w:hint="eastAsia" w:ascii="微软雅黑" w:hAnsi="微软雅黑"/>
                <w:color w:val="auto"/>
                <w:szCs w:val="21"/>
              </w:rPr>
              <w:t>1</w:t>
            </w:r>
          </w:p>
        </w:tc>
        <w:tc>
          <w:tcPr>
            <w:tcW w:w="3883" w:type="dxa"/>
            <w:tcBorders>
              <w:top w:val="single" w:color="auto" w:sz="4" w:space="0"/>
              <w:left w:val="single" w:color="auto" w:sz="4" w:space="0"/>
              <w:bottom w:val="single" w:color="auto" w:sz="4" w:space="0"/>
              <w:right w:val="single" w:color="auto" w:sz="4" w:space="0"/>
            </w:tcBorders>
            <w:vAlign w:val="center"/>
          </w:tcPr>
          <w:p w14:paraId="4638F3C0">
            <w:pPr>
              <w:snapToGrid w:val="0"/>
              <w:ind w:firstLine="0" w:firstLineChars="0"/>
              <w:jc w:val="center"/>
              <w:rPr>
                <w:rFonts w:hint="eastAsia" w:ascii="微软雅黑" w:hAnsi="微软雅黑"/>
                <w:color w:val="auto"/>
                <w:szCs w:val="21"/>
              </w:rPr>
            </w:pPr>
            <w:r>
              <w:rPr>
                <w:rFonts w:hint="eastAsia" w:ascii="微软雅黑" w:hAnsi="微软雅黑"/>
                <w:color w:val="auto"/>
                <w:szCs w:val="21"/>
              </w:rPr>
              <w:t>局端账户</w:t>
            </w:r>
          </w:p>
        </w:tc>
        <w:tc>
          <w:tcPr>
            <w:tcW w:w="833" w:type="dxa"/>
            <w:tcBorders>
              <w:top w:val="single" w:color="auto" w:sz="4" w:space="0"/>
              <w:left w:val="single" w:color="auto" w:sz="4" w:space="0"/>
              <w:bottom w:val="single" w:color="auto" w:sz="4" w:space="0"/>
              <w:right w:val="single" w:color="auto" w:sz="4" w:space="0"/>
            </w:tcBorders>
            <w:vAlign w:val="center"/>
          </w:tcPr>
          <w:p w14:paraId="11EBE698">
            <w:pPr>
              <w:snapToGrid w:val="0"/>
              <w:ind w:firstLine="0" w:firstLineChars="0"/>
              <w:jc w:val="center"/>
              <w:rPr>
                <w:rFonts w:hint="eastAsia" w:ascii="微软雅黑" w:hAnsi="微软雅黑"/>
                <w:color w:val="auto"/>
                <w:szCs w:val="21"/>
              </w:rPr>
            </w:pPr>
            <w:r>
              <w:rPr>
                <w:rFonts w:hint="eastAsia" w:ascii="微软雅黑" w:hAnsi="微软雅黑"/>
                <w:color w:val="auto"/>
                <w:szCs w:val="21"/>
              </w:rPr>
              <w:t>1</w:t>
            </w:r>
          </w:p>
        </w:tc>
        <w:tc>
          <w:tcPr>
            <w:tcW w:w="1803" w:type="dxa"/>
            <w:tcBorders>
              <w:top w:val="single" w:color="auto" w:sz="4" w:space="0"/>
              <w:left w:val="single" w:color="auto" w:sz="4" w:space="0"/>
              <w:bottom w:val="single" w:color="auto" w:sz="4" w:space="0"/>
              <w:right w:val="single" w:color="auto" w:sz="4" w:space="0"/>
            </w:tcBorders>
            <w:vAlign w:val="center"/>
          </w:tcPr>
          <w:p w14:paraId="21FA0088">
            <w:pPr>
              <w:snapToGrid w:val="0"/>
              <w:ind w:firstLine="0" w:firstLineChars="0"/>
              <w:jc w:val="center"/>
              <w:rPr>
                <w:rFonts w:hint="eastAsia" w:ascii="微软雅黑" w:hAnsi="微软雅黑"/>
                <w:color w:val="auto"/>
                <w:szCs w:val="21"/>
              </w:rPr>
            </w:pPr>
            <w:r>
              <w:rPr>
                <w:rFonts w:hint="eastAsia" w:ascii="微软雅黑" w:hAnsi="微软雅黑"/>
                <w:color w:val="auto"/>
                <w:szCs w:val="21"/>
              </w:rPr>
              <w:t>项</w:t>
            </w:r>
          </w:p>
        </w:tc>
        <w:tc>
          <w:tcPr>
            <w:tcW w:w="1803" w:type="dxa"/>
            <w:tcBorders>
              <w:top w:val="single" w:color="auto" w:sz="4" w:space="0"/>
              <w:left w:val="single" w:color="auto" w:sz="4" w:space="0"/>
              <w:bottom w:val="single" w:color="auto" w:sz="4" w:space="0"/>
              <w:right w:val="single" w:color="auto" w:sz="4" w:space="0"/>
            </w:tcBorders>
            <w:vAlign w:val="center"/>
          </w:tcPr>
          <w:p w14:paraId="0EF31470">
            <w:pPr>
              <w:snapToGrid w:val="0"/>
              <w:ind w:firstLine="0" w:firstLineChars="0"/>
              <w:jc w:val="center"/>
              <w:rPr>
                <w:rFonts w:hint="eastAsia" w:ascii="微软雅黑" w:hAnsi="微软雅黑"/>
                <w:color w:val="auto"/>
                <w:szCs w:val="21"/>
              </w:rPr>
            </w:pPr>
          </w:p>
        </w:tc>
      </w:tr>
      <w:tr w14:paraId="7E8D3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721250F9">
            <w:pPr>
              <w:spacing w:line="276" w:lineRule="auto"/>
              <w:ind w:firstLine="0" w:firstLineChars="0"/>
              <w:jc w:val="center"/>
              <w:rPr>
                <w:rFonts w:hint="eastAsia" w:ascii="微软雅黑" w:hAnsi="微软雅黑" w:cs="微软雅黑"/>
                <w:color w:val="auto"/>
                <w:szCs w:val="21"/>
              </w:rPr>
            </w:pPr>
            <w:r>
              <w:rPr>
                <w:rFonts w:hint="eastAsia" w:ascii="微软雅黑" w:hAnsi="微软雅黑" w:cs="微软雅黑"/>
                <w:color w:val="auto"/>
                <w:szCs w:val="21"/>
              </w:rPr>
              <w:t>2</w:t>
            </w:r>
          </w:p>
        </w:tc>
        <w:tc>
          <w:tcPr>
            <w:tcW w:w="3883" w:type="dxa"/>
            <w:tcBorders>
              <w:top w:val="single" w:color="auto" w:sz="4" w:space="0"/>
              <w:left w:val="single" w:color="auto" w:sz="4" w:space="0"/>
              <w:bottom w:val="single" w:color="auto" w:sz="4" w:space="0"/>
              <w:right w:val="single" w:color="auto" w:sz="4" w:space="0"/>
            </w:tcBorders>
            <w:vAlign w:val="center"/>
          </w:tcPr>
          <w:p w14:paraId="43B952CC">
            <w:pPr>
              <w:snapToGrid w:val="0"/>
              <w:ind w:firstLine="0" w:firstLineChars="0"/>
              <w:jc w:val="center"/>
              <w:rPr>
                <w:rFonts w:hint="eastAsia" w:ascii="微软雅黑" w:hAnsi="微软雅黑"/>
                <w:color w:val="auto"/>
                <w:szCs w:val="21"/>
              </w:rPr>
            </w:pPr>
            <w:r>
              <w:rPr>
                <w:rFonts w:hint="eastAsia" w:ascii="微软雅黑" w:hAnsi="微软雅黑"/>
                <w:color w:val="auto"/>
                <w:szCs w:val="21"/>
              </w:rPr>
              <w:t>所端账户</w:t>
            </w:r>
          </w:p>
        </w:tc>
        <w:tc>
          <w:tcPr>
            <w:tcW w:w="833" w:type="dxa"/>
            <w:tcBorders>
              <w:top w:val="single" w:color="auto" w:sz="4" w:space="0"/>
              <w:left w:val="single" w:color="auto" w:sz="4" w:space="0"/>
              <w:bottom w:val="single" w:color="auto" w:sz="4" w:space="0"/>
              <w:right w:val="single" w:color="auto" w:sz="4" w:space="0"/>
            </w:tcBorders>
            <w:vAlign w:val="center"/>
          </w:tcPr>
          <w:p w14:paraId="37AA3D24">
            <w:pPr>
              <w:snapToGrid w:val="0"/>
              <w:ind w:firstLine="0" w:firstLineChars="0"/>
              <w:jc w:val="center"/>
              <w:rPr>
                <w:rFonts w:hint="eastAsia" w:ascii="微软雅黑" w:hAnsi="微软雅黑"/>
                <w:color w:val="auto"/>
                <w:szCs w:val="21"/>
              </w:rPr>
            </w:pPr>
            <w:r>
              <w:rPr>
                <w:rFonts w:hint="eastAsia" w:ascii="微软雅黑" w:hAnsi="微软雅黑"/>
                <w:color w:val="auto"/>
                <w:szCs w:val="21"/>
              </w:rPr>
              <w:t>11</w:t>
            </w:r>
          </w:p>
        </w:tc>
        <w:tc>
          <w:tcPr>
            <w:tcW w:w="1803" w:type="dxa"/>
            <w:tcBorders>
              <w:top w:val="single" w:color="auto" w:sz="4" w:space="0"/>
              <w:left w:val="single" w:color="auto" w:sz="4" w:space="0"/>
              <w:bottom w:val="single" w:color="auto" w:sz="4" w:space="0"/>
              <w:right w:val="single" w:color="auto" w:sz="4" w:space="0"/>
            </w:tcBorders>
            <w:vAlign w:val="center"/>
          </w:tcPr>
          <w:p w14:paraId="18F87089">
            <w:pPr>
              <w:snapToGrid w:val="0"/>
              <w:ind w:firstLine="0" w:firstLineChars="0"/>
              <w:jc w:val="center"/>
              <w:rPr>
                <w:rFonts w:hint="eastAsia" w:ascii="微软雅黑" w:hAnsi="微软雅黑"/>
                <w:color w:val="auto"/>
                <w:szCs w:val="21"/>
              </w:rPr>
            </w:pPr>
            <w:r>
              <w:rPr>
                <w:rFonts w:hint="eastAsia" w:ascii="微软雅黑" w:hAnsi="微软雅黑"/>
                <w:color w:val="auto"/>
                <w:szCs w:val="21"/>
              </w:rPr>
              <w:t>项</w:t>
            </w:r>
          </w:p>
        </w:tc>
        <w:tc>
          <w:tcPr>
            <w:tcW w:w="1803" w:type="dxa"/>
            <w:tcBorders>
              <w:top w:val="single" w:color="auto" w:sz="4" w:space="0"/>
              <w:left w:val="single" w:color="auto" w:sz="4" w:space="0"/>
              <w:bottom w:val="single" w:color="auto" w:sz="4" w:space="0"/>
              <w:right w:val="single" w:color="auto" w:sz="4" w:space="0"/>
            </w:tcBorders>
            <w:vAlign w:val="center"/>
          </w:tcPr>
          <w:p w14:paraId="0E02052D">
            <w:pPr>
              <w:snapToGrid w:val="0"/>
              <w:ind w:firstLine="0" w:firstLineChars="0"/>
              <w:jc w:val="center"/>
              <w:rPr>
                <w:rFonts w:hint="eastAsia" w:ascii="微软雅黑" w:hAnsi="微软雅黑"/>
                <w:color w:val="auto"/>
                <w:szCs w:val="21"/>
              </w:rPr>
            </w:pPr>
          </w:p>
        </w:tc>
      </w:tr>
      <w:tr w14:paraId="3A51A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7578" w:type="dxa"/>
            <w:gridSpan w:val="4"/>
            <w:tcBorders>
              <w:top w:val="single" w:color="auto" w:sz="4" w:space="0"/>
              <w:left w:val="single" w:color="auto" w:sz="4" w:space="0"/>
              <w:bottom w:val="single" w:color="auto" w:sz="4" w:space="0"/>
              <w:right w:val="single" w:color="auto" w:sz="4" w:space="0"/>
            </w:tcBorders>
            <w:vAlign w:val="center"/>
          </w:tcPr>
          <w:p w14:paraId="0A2FE283">
            <w:pPr>
              <w:snapToGrid w:val="0"/>
              <w:ind w:firstLine="420"/>
              <w:jc w:val="center"/>
              <w:rPr>
                <w:rFonts w:hint="eastAsia" w:ascii="微软雅黑" w:hAnsi="微软雅黑"/>
                <w:color w:val="auto"/>
                <w:szCs w:val="21"/>
              </w:rPr>
            </w:pPr>
            <w:r>
              <w:rPr>
                <w:rFonts w:hint="eastAsia" w:ascii="微软雅黑" w:hAnsi="微软雅黑"/>
                <w:color w:val="auto"/>
                <w:szCs w:val="21"/>
              </w:rPr>
              <w:t>总</w:t>
            </w:r>
            <w:r>
              <w:rPr>
                <w:rFonts w:hint="eastAsia" w:ascii="微软雅黑" w:hAnsi="微软雅黑"/>
                <w:color w:val="auto"/>
                <w:szCs w:val="21"/>
                <w:lang w:val="en-US" w:eastAsia="zh-CN"/>
              </w:rPr>
              <w:t>投标</w:t>
            </w:r>
            <w:r>
              <w:rPr>
                <w:rFonts w:hint="eastAsia" w:ascii="微软雅黑" w:hAnsi="微软雅黑"/>
                <w:color w:val="auto"/>
                <w:szCs w:val="21"/>
              </w:rPr>
              <w:t>价</w:t>
            </w:r>
          </w:p>
        </w:tc>
        <w:tc>
          <w:tcPr>
            <w:tcW w:w="1803" w:type="dxa"/>
            <w:tcBorders>
              <w:top w:val="single" w:color="auto" w:sz="4" w:space="0"/>
              <w:left w:val="single" w:color="auto" w:sz="4" w:space="0"/>
              <w:bottom w:val="single" w:color="auto" w:sz="4" w:space="0"/>
              <w:right w:val="single" w:color="auto" w:sz="4" w:space="0"/>
            </w:tcBorders>
            <w:vAlign w:val="center"/>
          </w:tcPr>
          <w:p w14:paraId="6A11720F">
            <w:pPr>
              <w:snapToGrid w:val="0"/>
              <w:ind w:firstLine="420"/>
              <w:jc w:val="center"/>
              <w:rPr>
                <w:rFonts w:hint="eastAsia" w:ascii="微软雅黑" w:hAnsi="微软雅黑"/>
                <w:color w:val="auto"/>
                <w:szCs w:val="21"/>
              </w:rPr>
            </w:pPr>
          </w:p>
        </w:tc>
      </w:tr>
    </w:tbl>
    <w:p w14:paraId="6A33D9D9">
      <w:pPr>
        <w:snapToGrid w:val="0"/>
        <w:ind w:firstLine="420"/>
        <w:rPr>
          <w:rFonts w:hint="eastAsia" w:ascii="微软雅黑" w:hAnsi="微软雅黑"/>
          <w:color w:val="auto"/>
          <w:szCs w:val="21"/>
        </w:rPr>
      </w:pPr>
    </w:p>
    <w:p w14:paraId="6239370B">
      <w:pPr>
        <w:snapToGrid w:val="0"/>
        <w:ind w:firstLine="420"/>
        <w:rPr>
          <w:rFonts w:hint="eastAsia" w:ascii="微软雅黑" w:hAnsi="微软雅黑"/>
          <w:color w:val="auto"/>
          <w:szCs w:val="21"/>
        </w:rPr>
      </w:pPr>
      <w:r>
        <w:rPr>
          <w:rFonts w:hint="eastAsia" w:ascii="微软雅黑" w:hAnsi="微软雅黑"/>
          <w:color w:val="auto"/>
          <w:szCs w:val="21"/>
        </w:rPr>
        <w:t>注</w:t>
      </w:r>
      <w:r>
        <w:rPr>
          <w:rFonts w:ascii="微软雅黑" w:hAnsi="微软雅黑"/>
          <w:color w:val="auto"/>
          <w:szCs w:val="21"/>
        </w:rPr>
        <w:t>: 1</w:t>
      </w:r>
      <w:r>
        <w:rPr>
          <w:rFonts w:hint="eastAsia" w:ascii="微软雅黑" w:hAnsi="微软雅黑"/>
          <w:color w:val="auto"/>
          <w:szCs w:val="21"/>
        </w:rPr>
        <w:t>、报价一经涂改，应在涂改处加盖单位公章或者由法定代表人或授权委托人签字或盖章，否则其投标作无效标处理。</w:t>
      </w:r>
    </w:p>
    <w:p w14:paraId="48017956">
      <w:pPr>
        <w:pStyle w:val="26"/>
        <w:snapToGrid w:val="0"/>
        <w:ind w:firstLine="420"/>
        <w:rPr>
          <w:rFonts w:hint="eastAsia" w:ascii="微软雅黑" w:hAnsi="微软雅黑"/>
          <w:color w:val="auto"/>
          <w:szCs w:val="21"/>
        </w:rPr>
      </w:pPr>
      <w:r>
        <w:rPr>
          <w:rFonts w:ascii="微软雅黑" w:hAnsi="微软雅黑"/>
          <w:color w:val="auto"/>
          <w:szCs w:val="21"/>
        </w:rPr>
        <w:t>▲</w:t>
      </w:r>
      <w:r>
        <w:rPr>
          <w:rFonts w:hint="eastAsia" w:ascii="微软雅黑" w:hAnsi="微软雅黑"/>
          <w:color w:val="auto"/>
          <w:szCs w:val="21"/>
        </w:rPr>
        <w:t>2</w:t>
      </w:r>
      <w:r>
        <w:rPr>
          <w:rFonts w:ascii="微软雅黑" w:hAnsi="微软雅黑"/>
          <w:color w:val="auto"/>
          <w:szCs w:val="21"/>
        </w:rPr>
        <w:t>、以上报价不得超过上限价，任何超过上限价的报价均导致投标被否决。</w:t>
      </w:r>
    </w:p>
    <w:p w14:paraId="7B98B7FF">
      <w:pPr>
        <w:snapToGrid w:val="0"/>
        <w:ind w:firstLine="420"/>
        <w:rPr>
          <w:rFonts w:hint="eastAsia" w:ascii="微软雅黑" w:hAnsi="微软雅黑"/>
          <w:color w:val="auto"/>
          <w:szCs w:val="21"/>
        </w:rPr>
      </w:pPr>
    </w:p>
    <w:p w14:paraId="2CD7B716">
      <w:pPr>
        <w:snapToGrid w:val="0"/>
        <w:ind w:left="-46" w:leftChars="-22" w:right="-817" w:rightChars="-389" w:firstLine="105" w:firstLineChars="50"/>
        <w:rPr>
          <w:rFonts w:hint="eastAsia" w:ascii="微软雅黑" w:hAnsi="微软雅黑"/>
          <w:color w:val="auto"/>
          <w:szCs w:val="21"/>
        </w:rPr>
      </w:pPr>
      <w:r>
        <w:rPr>
          <w:rFonts w:hint="eastAsia" w:ascii="微软雅黑" w:hAnsi="微软雅黑"/>
          <w:color w:val="auto"/>
          <w:szCs w:val="21"/>
        </w:rPr>
        <w:t>法定代表人或授权代表（签字或盖章）：</w:t>
      </w:r>
    </w:p>
    <w:p w14:paraId="6A978DCC">
      <w:pPr>
        <w:ind w:firstLine="420"/>
        <w:rPr>
          <w:rFonts w:hint="eastAsia" w:ascii="微软雅黑" w:hAnsi="微软雅黑"/>
          <w:color w:val="auto"/>
          <w:szCs w:val="21"/>
        </w:rPr>
      </w:pPr>
      <w:r>
        <w:rPr>
          <w:rFonts w:hint="eastAsia" w:ascii="微软雅黑" w:hAnsi="微软雅黑"/>
          <w:color w:val="auto"/>
          <w:szCs w:val="21"/>
        </w:rPr>
        <w:t>投标人名称（盖章）：</w:t>
      </w:r>
    </w:p>
    <w:p w14:paraId="5327BDE6">
      <w:pPr>
        <w:ind w:firstLine="420"/>
        <w:rPr>
          <w:rFonts w:hint="eastAsia" w:ascii="微软雅黑" w:hAnsi="微软雅黑"/>
          <w:color w:val="auto"/>
          <w:szCs w:val="21"/>
        </w:rPr>
      </w:pPr>
      <w:r>
        <w:rPr>
          <w:rFonts w:hint="eastAsia" w:ascii="微软雅黑" w:hAnsi="微软雅黑"/>
          <w:color w:val="auto"/>
          <w:szCs w:val="21"/>
        </w:rPr>
        <w:t>日期：年月日</w:t>
      </w:r>
    </w:p>
    <w:p w14:paraId="36AD04E2">
      <w:pPr>
        <w:pStyle w:val="26"/>
        <w:snapToGrid w:val="0"/>
        <w:ind w:firstLine="420"/>
        <w:rPr>
          <w:rFonts w:hint="eastAsia" w:ascii="微软雅黑" w:hAnsi="微软雅黑"/>
          <w:b/>
          <w:color w:val="auto"/>
          <w:szCs w:val="21"/>
        </w:rPr>
      </w:pPr>
    </w:p>
    <w:p w14:paraId="26A13442">
      <w:pPr>
        <w:pStyle w:val="26"/>
        <w:snapToGrid w:val="0"/>
        <w:ind w:firstLine="420"/>
        <w:rPr>
          <w:rFonts w:hint="eastAsia" w:ascii="微软雅黑" w:hAnsi="微软雅黑"/>
          <w:b/>
          <w:color w:val="auto"/>
          <w:szCs w:val="21"/>
        </w:rPr>
      </w:pPr>
    </w:p>
    <w:p w14:paraId="115E9FDF">
      <w:pPr>
        <w:snapToGrid w:val="0"/>
        <w:ind w:firstLine="420"/>
        <w:rPr>
          <w:rFonts w:hint="eastAsia" w:ascii="微软雅黑" w:hAnsi="微软雅黑"/>
          <w:b/>
          <w:color w:val="auto"/>
          <w:szCs w:val="21"/>
        </w:rPr>
      </w:pPr>
      <w:r>
        <w:rPr>
          <w:rFonts w:hint="eastAsia" w:ascii="微软雅黑" w:hAnsi="微软雅黑"/>
          <w:b/>
          <w:color w:val="auto"/>
          <w:szCs w:val="21"/>
        </w:rPr>
        <w:br w:type="page"/>
      </w:r>
      <w:r>
        <w:rPr>
          <w:rFonts w:hint="eastAsia" w:ascii="微软雅黑" w:hAnsi="微软雅黑"/>
          <w:b/>
          <w:color w:val="auto"/>
          <w:szCs w:val="21"/>
        </w:rPr>
        <w:t>中小企业声明函</w:t>
      </w:r>
    </w:p>
    <w:p w14:paraId="7627E3F5">
      <w:pPr>
        <w:snapToGrid w:val="0"/>
        <w:spacing w:before="50" w:after="50"/>
        <w:ind w:firstLine="420"/>
        <w:jc w:val="center"/>
        <w:rPr>
          <w:rFonts w:hint="eastAsia" w:ascii="微软雅黑" w:hAnsi="微软雅黑"/>
          <w:b/>
          <w:color w:val="auto"/>
          <w:szCs w:val="21"/>
        </w:rPr>
      </w:pPr>
      <w:r>
        <w:rPr>
          <w:rFonts w:hint="eastAsia" w:ascii="微软雅黑" w:hAnsi="微软雅黑"/>
          <w:b/>
          <w:color w:val="auto"/>
          <w:szCs w:val="21"/>
        </w:rPr>
        <w:t>中小企业声明函（工程、服务）</w:t>
      </w:r>
    </w:p>
    <w:p w14:paraId="736125D0">
      <w:pPr>
        <w:pStyle w:val="140"/>
        <w:spacing w:line="360" w:lineRule="auto"/>
        <w:ind w:right="157" w:firstLine="875" w:firstLineChars="417"/>
        <w:rPr>
          <w:rFonts w:ascii="微软雅黑" w:hAnsi="微软雅黑" w:eastAsia="微软雅黑"/>
          <w:color w:val="auto"/>
          <w:sz w:val="21"/>
          <w:szCs w:val="21"/>
        </w:rPr>
      </w:pPr>
      <w:r>
        <w:rPr>
          <w:rFonts w:ascii="微软雅黑" w:hAnsi="微软雅黑" w:eastAsia="微软雅黑"/>
          <w:color w:val="auto"/>
          <w:sz w:val="21"/>
          <w:szCs w:val="21"/>
        </w:rPr>
        <w:t>本公司（联合体）郑重声明，根据《政府采购促进中小企业发展管理办法》（财库﹝2020﹞46 号）的规定，本公司（联合体）参加</w:t>
      </w:r>
      <w:r>
        <w:rPr>
          <w:rFonts w:ascii="微软雅黑" w:hAnsi="微软雅黑" w:eastAsia="微软雅黑"/>
          <w:color w:val="auto"/>
          <w:sz w:val="21"/>
          <w:szCs w:val="21"/>
          <w:u w:val="single"/>
        </w:rPr>
        <w:t>（单位名称）</w:t>
      </w:r>
      <w:r>
        <w:rPr>
          <w:rFonts w:ascii="微软雅黑" w:hAnsi="微软雅黑" w:eastAsia="微软雅黑"/>
          <w:color w:val="auto"/>
          <w:sz w:val="21"/>
          <w:szCs w:val="21"/>
        </w:rPr>
        <w:t>的</w:t>
      </w:r>
      <w:r>
        <w:rPr>
          <w:rFonts w:ascii="微软雅黑" w:hAnsi="微软雅黑" w:eastAsia="微软雅黑"/>
          <w:color w:val="auto"/>
          <w:sz w:val="21"/>
          <w:szCs w:val="21"/>
          <w:u w:val="single"/>
        </w:rPr>
        <w:t>（项目名称）</w:t>
      </w:r>
      <w:r>
        <w:rPr>
          <w:rFonts w:ascii="微软雅黑" w:hAnsi="微软雅黑" w:eastAsia="微软雅黑"/>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0F4877C">
      <w:pPr>
        <w:pStyle w:val="140"/>
        <w:spacing w:line="360" w:lineRule="auto"/>
        <w:ind w:right="157" w:firstLine="875" w:firstLineChars="417"/>
        <w:rPr>
          <w:rFonts w:ascii="微软雅黑" w:hAnsi="微软雅黑" w:eastAsia="微软雅黑"/>
          <w:color w:val="auto"/>
          <w:sz w:val="21"/>
          <w:szCs w:val="21"/>
        </w:rPr>
      </w:pPr>
      <w:r>
        <w:rPr>
          <w:rFonts w:ascii="微软雅黑" w:hAnsi="微软雅黑" w:eastAsia="微软雅黑"/>
          <w:color w:val="auto"/>
          <w:sz w:val="21"/>
          <w:szCs w:val="21"/>
        </w:rPr>
        <w:t xml:space="preserve">1. </w:t>
      </w:r>
      <w:r>
        <w:rPr>
          <w:rFonts w:ascii="微软雅黑" w:hAnsi="微软雅黑" w:eastAsia="微软雅黑"/>
          <w:color w:val="auto"/>
          <w:sz w:val="21"/>
          <w:szCs w:val="21"/>
          <w:u w:val="single"/>
        </w:rPr>
        <w:t>（标的名称）</w:t>
      </w:r>
      <w:r>
        <w:rPr>
          <w:rFonts w:ascii="微软雅黑" w:hAnsi="微软雅黑" w:eastAsia="微软雅黑"/>
          <w:color w:val="auto"/>
          <w:sz w:val="21"/>
          <w:szCs w:val="21"/>
        </w:rPr>
        <w:t>，属于</w:t>
      </w:r>
      <w:r>
        <w:rPr>
          <w:rFonts w:ascii="微软雅黑" w:hAnsi="微软雅黑" w:eastAsia="微软雅黑"/>
          <w:color w:val="auto"/>
          <w:sz w:val="21"/>
          <w:szCs w:val="21"/>
          <w:u w:val="single"/>
        </w:rPr>
        <w:t>（采购文件中明确的所属行业）</w:t>
      </w:r>
      <w:r>
        <w:rPr>
          <w:rFonts w:ascii="微软雅黑" w:hAnsi="微软雅黑" w:eastAsia="微软雅黑"/>
          <w:color w:val="auto"/>
          <w:sz w:val="21"/>
          <w:szCs w:val="21"/>
        </w:rPr>
        <w:t>；承建（承接）企业为</w:t>
      </w:r>
      <w:r>
        <w:rPr>
          <w:rFonts w:ascii="微软雅黑" w:hAnsi="微软雅黑" w:eastAsia="微软雅黑"/>
          <w:color w:val="auto"/>
          <w:sz w:val="21"/>
          <w:szCs w:val="21"/>
          <w:u w:val="single"/>
        </w:rPr>
        <w:t>（企业名称）</w:t>
      </w:r>
      <w:r>
        <w:rPr>
          <w:rFonts w:ascii="微软雅黑" w:hAnsi="微软雅黑" w:eastAsia="微软雅黑"/>
          <w:color w:val="auto"/>
          <w:sz w:val="21"/>
          <w:szCs w:val="21"/>
        </w:rPr>
        <w:t>，从业人员人，营业收入为万元，资产总额为万元，属于（中型企业、小型企业、微型企业）；</w:t>
      </w:r>
    </w:p>
    <w:p w14:paraId="6FFE81AD">
      <w:pPr>
        <w:pStyle w:val="140"/>
        <w:spacing w:line="360" w:lineRule="auto"/>
        <w:ind w:right="157" w:firstLine="875" w:firstLineChars="417"/>
        <w:rPr>
          <w:rFonts w:ascii="微软雅黑" w:hAnsi="微软雅黑" w:eastAsia="微软雅黑"/>
          <w:color w:val="auto"/>
          <w:sz w:val="21"/>
          <w:szCs w:val="21"/>
        </w:rPr>
      </w:pPr>
      <w:r>
        <w:rPr>
          <w:rFonts w:ascii="微软雅黑" w:hAnsi="微软雅黑" w:eastAsia="微软雅黑"/>
          <w:color w:val="auto"/>
          <w:sz w:val="21"/>
          <w:szCs w:val="21"/>
        </w:rPr>
        <w:t xml:space="preserve">2. </w:t>
      </w:r>
      <w:r>
        <w:rPr>
          <w:rFonts w:ascii="微软雅黑" w:hAnsi="微软雅黑" w:eastAsia="微软雅黑"/>
          <w:color w:val="auto"/>
          <w:sz w:val="21"/>
          <w:szCs w:val="21"/>
          <w:u w:val="single"/>
        </w:rPr>
        <w:t>（标的名称）</w:t>
      </w:r>
      <w:r>
        <w:rPr>
          <w:rFonts w:ascii="微软雅黑" w:hAnsi="微软雅黑" w:eastAsia="微软雅黑"/>
          <w:color w:val="auto"/>
          <w:sz w:val="21"/>
          <w:szCs w:val="21"/>
        </w:rPr>
        <w:t>，属于</w:t>
      </w:r>
      <w:r>
        <w:rPr>
          <w:rFonts w:ascii="微软雅黑" w:hAnsi="微软雅黑" w:eastAsia="微软雅黑"/>
          <w:color w:val="auto"/>
          <w:sz w:val="21"/>
          <w:szCs w:val="21"/>
          <w:u w:val="single"/>
        </w:rPr>
        <w:t>（采购文件中明确的所属行业）</w:t>
      </w:r>
      <w:r>
        <w:rPr>
          <w:rFonts w:ascii="微软雅黑" w:hAnsi="微软雅黑" w:eastAsia="微软雅黑"/>
          <w:color w:val="auto"/>
          <w:sz w:val="21"/>
          <w:szCs w:val="21"/>
        </w:rPr>
        <w:t>；承建（承接）企业为</w:t>
      </w:r>
      <w:r>
        <w:rPr>
          <w:rFonts w:ascii="微软雅黑" w:hAnsi="微软雅黑" w:eastAsia="微软雅黑"/>
          <w:color w:val="auto"/>
          <w:sz w:val="21"/>
          <w:szCs w:val="21"/>
          <w:u w:val="single"/>
        </w:rPr>
        <w:t>（企业名称）</w:t>
      </w:r>
      <w:r>
        <w:rPr>
          <w:rFonts w:ascii="微软雅黑" w:hAnsi="微软雅黑" w:eastAsia="微软雅黑"/>
          <w:color w:val="auto"/>
          <w:sz w:val="21"/>
          <w:szCs w:val="21"/>
        </w:rPr>
        <w:t>，从业人员人，营业收入为万元，资产总额为万元，属于</w:t>
      </w:r>
      <w:r>
        <w:rPr>
          <w:rFonts w:ascii="微软雅黑" w:hAnsi="微软雅黑" w:eastAsia="微软雅黑"/>
          <w:color w:val="auto"/>
          <w:sz w:val="21"/>
          <w:szCs w:val="21"/>
          <w:u w:val="single"/>
        </w:rPr>
        <w:t>（中型企业、小型企业、微型企业）</w:t>
      </w:r>
      <w:r>
        <w:rPr>
          <w:rFonts w:ascii="微软雅黑" w:hAnsi="微软雅黑" w:eastAsia="微软雅黑"/>
          <w:color w:val="auto"/>
          <w:sz w:val="21"/>
          <w:szCs w:val="21"/>
        </w:rPr>
        <w:t>；</w:t>
      </w:r>
    </w:p>
    <w:p w14:paraId="11C1BDC4">
      <w:pPr>
        <w:pStyle w:val="126"/>
        <w:rPr>
          <w:rFonts w:ascii="微软雅黑" w:hAnsi="微软雅黑" w:eastAsia="微软雅黑"/>
          <w:color w:val="auto"/>
          <w:sz w:val="21"/>
          <w:szCs w:val="21"/>
        </w:rPr>
      </w:pPr>
    </w:p>
    <w:p w14:paraId="5099BBAE">
      <w:pPr>
        <w:pStyle w:val="126"/>
        <w:rPr>
          <w:rFonts w:ascii="微软雅黑" w:hAnsi="微软雅黑" w:eastAsia="微软雅黑"/>
          <w:color w:val="auto"/>
          <w:sz w:val="21"/>
          <w:szCs w:val="21"/>
        </w:rPr>
      </w:pPr>
    </w:p>
    <w:p w14:paraId="34C1D3E2">
      <w:pPr>
        <w:pStyle w:val="140"/>
        <w:spacing w:line="360" w:lineRule="auto"/>
        <w:ind w:right="157" w:firstLine="875" w:firstLineChars="417"/>
        <w:rPr>
          <w:rFonts w:ascii="微软雅黑" w:hAnsi="微软雅黑" w:eastAsia="微软雅黑"/>
          <w:color w:val="auto"/>
          <w:sz w:val="21"/>
          <w:szCs w:val="21"/>
        </w:rPr>
      </w:pPr>
      <w:r>
        <w:rPr>
          <w:rFonts w:ascii="微软雅黑" w:hAnsi="微软雅黑" w:eastAsia="微软雅黑"/>
          <w:color w:val="auto"/>
          <w:sz w:val="21"/>
          <w:szCs w:val="21"/>
        </w:rPr>
        <w:t>……</w:t>
      </w:r>
    </w:p>
    <w:p w14:paraId="0AEA5E7F">
      <w:pPr>
        <w:pStyle w:val="140"/>
        <w:spacing w:line="360" w:lineRule="auto"/>
        <w:ind w:right="157" w:firstLine="642"/>
        <w:rPr>
          <w:rFonts w:ascii="微软雅黑" w:hAnsi="微软雅黑" w:eastAsia="微软雅黑"/>
          <w:color w:val="auto"/>
          <w:sz w:val="21"/>
          <w:szCs w:val="21"/>
        </w:rPr>
      </w:pPr>
      <w:r>
        <w:rPr>
          <w:rFonts w:ascii="微软雅黑" w:hAnsi="微软雅黑" w:eastAsia="微软雅黑"/>
          <w:color w:val="auto"/>
          <w:sz w:val="21"/>
          <w:szCs w:val="21"/>
        </w:rPr>
        <w:t>以上企业，不属于大企业的分支机构，不存在控股股东为大企业的情形，也不存在与大企业的负责人为同一人的情形。</w:t>
      </w:r>
    </w:p>
    <w:p w14:paraId="5C37D5FF">
      <w:pPr>
        <w:pStyle w:val="140"/>
        <w:spacing w:line="360" w:lineRule="auto"/>
        <w:ind w:right="157" w:firstLine="642"/>
        <w:rPr>
          <w:rFonts w:ascii="微软雅黑" w:hAnsi="微软雅黑" w:eastAsia="微软雅黑"/>
          <w:color w:val="auto"/>
          <w:sz w:val="21"/>
          <w:szCs w:val="21"/>
        </w:rPr>
      </w:pPr>
      <w:r>
        <w:rPr>
          <w:rFonts w:ascii="微软雅黑" w:hAnsi="微软雅黑" w:eastAsia="微软雅黑"/>
          <w:color w:val="auto"/>
          <w:sz w:val="21"/>
          <w:szCs w:val="21"/>
        </w:rPr>
        <w:t>本企业对上述声明内容的真实性负责。如有虚假，将依法承担相应责任。</w:t>
      </w:r>
    </w:p>
    <w:p w14:paraId="651989C0">
      <w:pPr>
        <w:pStyle w:val="126"/>
        <w:rPr>
          <w:rFonts w:ascii="微软雅黑" w:hAnsi="微软雅黑" w:eastAsia="微软雅黑"/>
          <w:color w:val="auto"/>
          <w:sz w:val="21"/>
          <w:szCs w:val="21"/>
        </w:rPr>
      </w:pPr>
    </w:p>
    <w:p w14:paraId="1FC67D18">
      <w:pPr>
        <w:pStyle w:val="126"/>
        <w:rPr>
          <w:rFonts w:ascii="微软雅黑" w:hAnsi="微软雅黑" w:eastAsia="微软雅黑"/>
          <w:color w:val="auto"/>
          <w:sz w:val="21"/>
          <w:szCs w:val="21"/>
        </w:rPr>
      </w:pPr>
    </w:p>
    <w:p w14:paraId="1CB9BC3D">
      <w:pPr>
        <w:pStyle w:val="140"/>
        <w:spacing w:line="360" w:lineRule="auto"/>
        <w:ind w:right="157" w:firstLine="642"/>
        <w:rPr>
          <w:rFonts w:ascii="微软雅黑" w:hAnsi="微软雅黑" w:eastAsia="微软雅黑"/>
          <w:color w:val="auto"/>
          <w:spacing w:val="20"/>
          <w:sz w:val="21"/>
          <w:szCs w:val="21"/>
          <w:u w:val="single"/>
        </w:rPr>
      </w:pPr>
      <w:r>
        <w:rPr>
          <w:rFonts w:ascii="微软雅黑" w:hAnsi="微软雅黑" w:eastAsia="微软雅黑"/>
          <w:color w:val="auto"/>
          <w:spacing w:val="20"/>
          <w:sz w:val="21"/>
          <w:szCs w:val="21"/>
        </w:rPr>
        <w:t>供应商名称：</w:t>
      </w:r>
      <w:r>
        <w:rPr>
          <w:rFonts w:ascii="微软雅黑" w:hAnsi="微软雅黑" w:eastAsia="微软雅黑"/>
          <w:color w:val="auto"/>
          <w:spacing w:val="20"/>
          <w:sz w:val="21"/>
          <w:szCs w:val="21"/>
          <w:u w:val="single"/>
        </w:rPr>
        <w:t>（盖章）</w:t>
      </w:r>
      <w:r>
        <w:rPr>
          <w:rFonts w:ascii="微软雅黑" w:hAnsi="微软雅黑" w:eastAsia="微软雅黑"/>
          <w:color w:val="auto"/>
          <w:spacing w:val="20"/>
          <w:sz w:val="21"/>
          <w:szCs w:val="21"/>
        </w:rPr>
        <w:t>日期：</w:t>
      </w:r>
    </w:p>
    <w:p w14:paraId="1C7744AF">
      <w:pPr>
        <w:pStyle w:val="126"/>
        <w:ind w:firstLine="420"/>
        <w:rPr>
          <w:rFonts w:ascii="微软雅黑" w:hAnsi="微软雅黑" w:eastAsia="微软雅黑"/>
          <w:color w:val="auto"/>
          <w:sz w:val="21"/>
          <w:szCs w:val="21"/>
        </w:rPr>
      </w:pPr>
    </w:p>
    <w:p w14:paraId="26929CDB">
      <w:pPr>
        <w:pStyle w:val="38"/>
        <w:ind w:firstLine="420"/>
        <w:rPr>
          <w:rFonts w:hint="eastAsia" w:ascii="微软雅黑" w:hAnsi="微软雅黑"/>
          <w:color w:val="auto"/>
          <w:sz w:val="21"/>
          <w:szCs w:val="21"/>
        </w:rPr>
      </w:pPr>
      <w:r>
        <w:rPr>
          <w:rFonts w:ascii="微软雅黑" w:hAnsi="微软雅黑"/>
          <w:color w:val="auto"/>
          <w:sz w:val="21"/>
          <w:szCs w:val="21"/>
        </w:rPr>
        <w:t>从业人员、营业收入、资产总额填报上一年度数据，无上一年度数据的新成立企业可不填报。</w:t>
      </w:r>
    </w:p>
    <w:p w14:paraId="619848A3">
      <w:pPr>
        <w:snapToGrid w:val="0"/>
        <w:spacing w:before="50" w:after="50"/>
        <w:ind w:firstLine="420"/>
        <w:jc w:val="center"/>
        <w:rPr>
          <w:rFonts w:hint="eastAsia" w:ascii="微软雅黑" w:hAnsi="微软雅黑"/>
          <w:color w:val="auto"/>
          <w:szCs w:val="21"/>
        </w:rPr>
      </w:pPr>
    </w:p>
    <w:p w14:paraId="2A276F35">
      <w:pPr>
        <w:pStyle w:val="75"/>
        <w:ind w:firstLine="400"/>
        <w:rPr>
          <w:color w:val="auto"/>
        </w:rPr>
      </w:pPr>
    </w:p>
    <w:p w14:paraId="45E1FD80">
      <w:pPr>
        <w:pStyle w:val="18"/>
        <w:ind w:firstLine="420"/>
        <w:rPr>
          <w:color w:val="auto"/>
        </w:rPr>
      </w:pPr>
    </w:p>
    <w:p w14:paraId="09C6E8A7">
      <w:pPr>
        <w:pStyle w:val="49"/>
        <w:ind w:firstLine="480"/>
        <w:rPr>
          <w:rFonts w:hint="eastAsia"/>
          <w:color w:val="auto"/>
        </w:rPr>
      </w:pPr>
    </w:p>
    <w:p w14:paraId="2ED7F748">
      <w:pPr>
        <w:pStyle w:val="26"/>
        <w:snapToGrid w:val="0"/>
        <w:ind w:firstLine="420"/>
        <w:rPr>
          <w:rFonts w:hint="eastAsia" w:ascii="微软雅黑" w:hAnsi="微软雅黑"/>
          <w:b/>
          <w:color w:val="auto"/>
          <w:szCs w:val="21"/>
        </w:rPr>
      </w:pPr>
      <w:r>
        <w:rPr>
          <w:rFonts w:hint="eastAsia" w:ascii="微软雅黑" w:hAnsi="微软雅黑"/>
          <w:b/>
          <w:color w:val="auto"/>
          <w:szCs w:val="21"/>
        </w:rPr>
        <w:t>残疾人福利性单位声明函</w:t>
      </w:r>
    </w:p>
    <w:p w14:paraId="2E3649DE">
      <w:pPr>
        <w:widowControl/>
        <w:ind w:firstLine="420"/>
        <w:rPr>
          <w:rFonts w:hint="eastAsia" w:ascii="微软雅黑" w:hAnsi="微软雅黑"/>
          <w:b/>
          <w:color w:val="auto"/>
          <w:szCs w:val="21"/>
        </w:rPr>
      </w:pPr>
    </w:p>
    <w:p w14:paraId="73BC92C7">
      <w:pPr>
        <w:widowControl/>
        <w:ind w:firstLine="420"/>
        <w:jc w:val="center"/>
        <w:rPr>
          <w:rFonts w:hint="eastAsia" w:ascii="微软雅黑" w:hAnsi="微软雅黑"/>
          <w:b/>
          <w:color w:val="auto"/>
          <w:szCs w:val="21"/>
        </w:rPr>
      </w:pPr>
      <w:r>
        <w:rPr>
          <w:rFonts w:hint="eastAsia" w:ascii="微软雅黑" w:hAnsi="微软雅黑"/>
          <w:b/>
          <w:color w:val="auto"/>
          <w:szCs w:val="21"/>
        </w:rPr>
        <w:t>残疾人福利性单位声明函</w:t>
      </w:r>
    </w:p>
    <w:p w14:paraId="2457C0EC">
      <w:pPr>
        <w:widowControl/>
        <w:ind w:firstLine="420"/>
        <w:rPr>
          <w:rFonts w:hint="eastAsia" w:ascii="微软雅黑" w:hAnsi="微软雅黑"/>
          <w:color w:val="auto"/>
          <w:szCs w:val="21"/>
        </w:rPr>
      </w:pPr>
      <w:r>
        <w:rPr>
          <w:rFonts w:hint="eastAsia" w:ascii="微软雅黑" w:hAnsi="微软雅黑"/>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90F579">
      <w:pPr>
        <w:widowControl/>
        <w:ind w:firstLine="420"/>
        <w:rPr>
          <w:rFonts w:hint="eastAsia" w:ascii="微软雅黑" w:hAnsi="微软雅黑"/>
          <w:color w:val="auto"/>
          <w:szCs w:val="21"/>
        </w:rPr>
      </w:pPr>
      <w:r>
        <w:rPr>
          <w:rFonts w:hint="eastAsia" w:ascii="微软雅黑" w:hAnsi="微软雅黑"/>
          <w:color w:val="auto"/>
          <w:szCs w:val="21"/>
        </w:rPr>
        <w:t xml:space="preserve">  本单位对上述声明的真实性负责。如有虚假，将依法承担相应责任。</w:t>
      </w:r>
    </w:p>
    <w:p w14:paraId="352617B2">
      <w:pPr>
        <w:widowControl/>
        <w:ind w:firstLine="420"/>
        <w:rPr>
          <w:rFonts w:hint="eastAsia" w:ascii="微软雅黑" w:hAnsi="微软雅黑"/>
          <w:color w:val="auto"/>
          <w:szCs w:val="21"/>
        </w:rPr>
      </w:pPr>
      <w:r>
        <w:rPr>
          <w:rFonts w:hint="eastAsia" w:ascii="微软雅黑" w:hAnsi="微软雅黑"/>
          <w:color w:val="auto"/>
          <w:szCs w:val="21"/>
        </w:rPr>
        <w:t xml:space="preserve">          投标人（盖章）：</w:t>
      </w:r>
    </w:p>
    <w:p w14:paraId="1167E15B">
      <w:pPr>
        <w:widowControl/>
        <w:ind w:firstLine="420"/>
        <w:rPr>
          <w:rFonts w:hint="eastAsia" w:ascii="微软雅黑" w:hAnsi="微软雅黑"/>
          <w:color w:val="auto"/>
          <w:szCs w:val="21"/>
        </w:rPr>
      </w:pPr>
      <w:r>
        <w:rPr>
          <w:rFonts w:hint="eastAsia" w:ascii="微软雅黑" w:hAnsi="微软雅黑"/>
          <w:color w:val="auto"/>
          <w:szCs w:val="21"/>
        </w:rPr>
        <w:t xml:space="preserve">                  日 期：</w:t>
      </w:r>
    </w:p>
    <w:p w14:paraId="593D23CB">
      <w:pPr>
        <w:pStyle w:val="18"/>
        <w:ind w:firstLine="420"/>
        <w:rPr>
          <w:color w:val="auto"/>
        </w:rPr>
      </w:pPr>
    </w:p>
    <w:p w14:paraId="19930461">
      <w:pPr>
        <w:pStyle w:val="18"/>
        <w:ind w:firstLine="420"/>
        <w:rPr>
          <w:color w:val="auto"/>
        </w:rPr>
      </w:pPr>
    </w:p>
    <w:p w14:paraId="381BCAB7">
      <w:pPr>
        <w:pStyle w:val="49"/>
        <w:ind w:firstLine="480"/>
        <w:rPr>
          <w:rFonts w:hint="eastAsia"/>
          <w:color w:val="auto"/>
        </w:rPr>
      </w:pPr>
    </w:p>
    <w:p w14:paraId="1D3CA147">
      <w:pPr>
        <w:pStyle w:val="49"/>
        <w:ind w:firstLine="480"/>
        <w:rPr>
          <w:rFonts w:hint="eastAsia"/>
          <w:color w:val="auto"/>
        </w:rPr>
      </w:pPr>
    </w:p>
    <w:p w14:paraId="3A03EF9E">
      <w:pPr>
        <w:pStyle w:val="49"/>
        <w:ind w:firstLine="480"/>
        <w:rPr>
          <w:rFonts w:hint="eastAsia"/>
          <w:color w:val="auto"/>
        </w:rPr>
      </w:pPr>
    </w:p>
    <w:p w14:paraId="440C5D89">
      <w:pPr>
        <w:pStyle w:val="49"/>
        <w:ind w:firstLine="480"/>
        <w:rPr>
          <w:rFonts w:hint="eastAsia"/>
          <w:color w:val="auto"/>
        </w:rPr>
      </w:pPr>
    </w:p>
    <w:p w14:paraId="296D2225">
      <w:pPr>
        <w:pStyle w:val="18"/>
        <w:ind w:firstLine="420"/>
        <w:rPr>
          <w:color w:val="auto"/>
        </w:rPr>
      </w:pPr>
    </w:p>
    <w:p w14:paraId="5AC3A2F5">
      <w:pPr>
        <w:pStyle w:val="49"/>
        <w:ind w:firstLine="480"/>
        <w:rPr>
          <w:rFonts w:hint="eastAsia"/>
          <w:color w:val="auto"/>
        </w:rPr>
      </w:pPr>
    </w:p>
    <w:p w14:paraId="1E4F6FB7">
      <w:pPr>
        <w:widowControl/>
        <w:spacing w:line="240" w:lineRule="auto"/>
        <w:ind w:firstLine="0" w:firstLineChars="0"/>
        <w:rPr>
          <w:color w:val="auto"/>
        </w:rPr>
      </w:pPr>
      <w:r>
        <w:rPr>
          <w:color w:val="auto"/>
        </w:rPr>
        <w:br w:type="page"/>
      </w:r>
    </w:p>
    <w:p w14:paraId="687D89BB">
      <w:pPr>
        <w:ind w:firstLine="420"/>
        <w:rPr>
          <w:color w:val="auto"/>
        </w:rPr>
      </w:pPr>
      <w:r>
        <w:rPr>
          <w:rFonts w:hint="eastAsia"/>
          <w:color w:val="auto"/>
        </w:rPr>
        <w:t>监狱企业证明文件</w:t>
      </w:r>
    </w:p>
    <w:p w14:paraId="3319CB5D">
      <w:pPr>
        <w:ind w:firstLine="420"/>
        <w:jc w:val="center"/>
        <w:rPr>
          <w:rFonts w:hint="eastAsia" w:ascii="微软雅黑" w:hAnsi="微软雅黑"/>
          <w:b/>
          <w:color w:val="auto"/>
          <w:szCs w:val="21"/>
        </w:rPr>
      </w:pPr>
      <w:r>
        <w:rPr>
          <w:rFonts w:hint="eastAsia" w:ascii="微软雅黑" w:hAnsi="微软雅黑"/>
          <w:b/>
          <w:color w:val="auto"/>
          <w:szCs w:val="21"/>
        </w:rPr>
        <w:t>监狱企业证明文件</w:t>
      </w:r>
    </w:p>
    <w:tbl>
      <w:tblPr>
        <w:tblStyle w:val="52"/>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181F7BE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7F9B6EFF">
            <w:pPr>
              <w:ind w:firstLine="420"/>
              <w:jc w:val="center"/>
              <w:rPr>
                <w:rFonts w:hint="eastAsia" w:ascii="微软雅黑" w:hAnsi="微软雅黑"/>
                <w:b/>
                <w:color w:val="auto"/>
                <w:szCs w:val="21"/>
              </w:rPr>
            </w:pPr>
            <w:r>
              <w:rPr>
                <w:rFonts w:hint="eastAsia" w:ascii="微软雅黑" w:hAnsi="微软雅黑"/>
                <w:b/>
                <w:color w:val="auto"/>
                <w:szCs w:val="21"/>
              </w:rPr>
              <w:t>相关部门出具的监狱企业证明文件</w:t>
            </w:r>
          </w:p>
          <w:p w14:paraId="08FE2008">
            <w:pPr>
              <w:ind w:firstLine="420"/>
              <w:jc w:val="center"/>
              <w:rPr>
                <w:rFonts w:hint="eastAsia" w:ascii="微软雅黑" w:hAnsi="微软雅黑" w:cs="Arial"/>
                <w:b/>
                <w:i/>
                <w:color w:val="auto"/>
                <w:kern w:val="0"/>
                <w:szCs w:val="21"/>
              </w:rPr>
            </w:pPr>
            <w:r>
              <w:rPr>
                <w:rFonts w:hint="eastAsia" w:ascii="微软雅黑" w:hAnsi="微软雅黑"/>
                <w:color w:val="auto"/>
                <w:szCs w:val="21"/>
              </w:rPr>
              <w:t>（如是，提供</w:t>
            </w:r>
            <w:r>
              <w:rPr>
                <w:rFonts w:hint="eastAsia" w:ascii="微软雅黑" w:hAnsi="微软雅黑" w:cs="Arial"/>
                <w:color w:val="auto"/>
                <w:kern w:val="0"/>
                <w:szCs w:val="21"/>
              </w:rPr>
              <w:t>复印件加盖投标供应商公章）</w:t>
            </w:r>
          </w:p>
        </w:tc>
      </w:tr>
    </w:tbl>
    <w:p w14:paraId="0AE0C162">
      <w:pPr>
        <w:ind w:firstLine="420"/>
        <w:rPr>
          <w:rFonts w:hint="eastAsia" w:ascii="微软雅黑" w:hAnsi="微软雅黑" w:cs="Arial"/>
          <w:i/>
          <w:color w:val="auto"/>
          <w:szCs w:val="21"/>
        </w:rPr>
      </w:pPr>
    </w:p>
    <w:p w14:paraId="6B678120">
      <w:pPr>
        <w:snapToGrid w:val="0"/>
        <w:ind w:firstLine="0" w:firstLineChars="0"/>
        <w:rPr>
          <w:rFonts w:hint="eastAsia" w:ascii="微软雅黑" w:hAnsi="微软雅黑"/>
          <w:color w:val="auto"/>
          <w:szCs w:val="21"/>
          <w:shd w:val="clear" w:color="auto" w:fill="FFFFFF"/>
        </w:rPr>
      </w:pPr>
      <w:r>
        <w:rPr>
          <w:rFonts w:hint="eastAsia" w:ascii="微软雅黑" w:hAnsi="微软雅黑"/>
          <w:color w:val="auto"/>
          <w:szCs w:val="21"/>
          <w:shd w:val="clear" w:color="auto" w:fill="FFFFFF"/>
        </w:rPr>
        <w:t>投标人名称：（盖章）</w:t>
      </w:r>
    </w:p>
    <w:p w14:paraId="7CD18F20">
      <w:pPr>
        <w:snapToGrid w:val="0"/>
        <w:ind w:firstLine="0" w:firstLineChars="0"/>
        <w:rPr>
          <w:rFonts w:hint="eastAsia" w:ascii="微软雅黑" w:hAnsi="微软雅黑"/>
          <w:color w:val="auto"/>
          <w:szCs w:val="21"/>
          <w:shd w:val="clear" w:color="auto" w:fill="FFFFFF"/>
        </w:rPr>
      </w:pPr>
      <w:r>
        <w:rPr>
          <w:rFonts w:hint="eastAsia" w:ascii="微软雅黑" w:hAnsi="微软雅黑"/>
          <w:color w:val="auto"/>
          <w:szCs w:val="21"/>
          <w:shd w:val="clear" w:color="auto" w:fill="FFFFFF"/>
        </w:rPr>
        <w:t>法定代表人或授权代表（签字）：</w:t>
      </w:r>
    </w:p>
    <w:p w14:paraId="3B530FE6">
      <w:pPr>
        <w:snapToGrid w:val="0"/>
        <w:ind w:firstLine="0" w:firstLineChars="0"/>
        <w:rPr>
          <w:rFonts w:hint="eastAsia" w:ascii="微软雅黑" w:hAnsi="微软雅黑"/>
          <w:color w:val="auto"/>
          <w:szCs w:val="21"/>
          <w:shd w:val="clear" w:color="auto" w:fill="FFFFFF"/>
        </w:rPr>
        <w:sectPr>
          <w:pgSz w:w="11906" w:h="16838"/>
          <w:pgMar w:top="1474" w:right="1797" w:bottom="1247" w:left="1797" w:header="851" w:footer="992" w:gutter="0"/>
          <w:cols w:space="720" w:num="1"/>
          <w:docGrid w:linePitch="312" w:charSpace="0"/>
        </w:sectPr>
      </w:pPr>
      <w:r>
        <w:rPr>
          <w:rFonts w:hint="eastAsia" w:ascii="微软雅黑" w:hAnsi="微软雅黑"/>
          <w:color w:val="auto"/>
          <w:szCs w:val="21"/>
          <w:shd w:val="clear" w:color="auto" w:fill="FFFFFF"/>
        </w:rPr>
        <w:t>投标日期： 年 月 日</w:t>
      </w:r>
    </w:p>
    <w:p w14:paraId="79EABEE7">
      <w:pPr>
        <w:pStyle w:val="2"/>
        <w:ind w:firstLine="420"/>
        <w:rPr>
          <w:rFonts w:hint="eastAsia" w:ascii="微软雅黑" w:hAnsi="微软雅黑"/>
          <w:color w:val="auto"/>
          <w:szCs w:val="21"/>
        </w:rPr>
      </w:pPr>
      <w:r>
        <w:rPr>
          <w:rFonts w:hint="eastAsia" w:ascii="微软雅黑" w:hAnsi="微软雅黑"/>
          <w:color w:val="auto"/>
          <w:szCs w:val="21"/>
        </w:rPr>
        <w:t>联合体协议书</w:t>
      </w:r>
    </w:p>
    <w:p w14:paraId="3DAA9210">
      <w:pPr>
        <w:pStyle w:val="2"/>
        <w:ind w:firstLine="420"/>
        <w:jc w:val="center"/>
        <w:rPr>
          <w:rFonts w:hint="eastAsia"/>
          <w:color w:val="auto"/>
        </w:rPr>
      </w:pPr>
      <w:r>
        <w:rPr>
          <w:rFonts w:hint="eastAsia" w:ascii="微软雅黑" w:hAnsi="微软雅黑"/>
          <w:color w:val="auto"/>
          <w:szCs w:val="21"/>
        </w:rPr>
        <w:t>联合体协议书</w:t>
      </w:r>
      <w:r>
        <w:rPr>
          <w:rFonts w:hint="eastAsia"/>
          <w:color w:val="auto"/>
        </w:rPr>
        <w:t>（格式自拟）</w:t>
      </w:r>
    </w:p>
    <w:p w14:paraId="53B24A40">
      <w:pPr>
        <w:pStyle w:val="26"/>
        <w:snapToGrid w:val="0"/>
        <w:ind w:firstLine="420"/>
        <w:rPr>
          <w:rFonts w:hint="eastAsia" w:ascii="微软雅黑" w:hAnsi="微软雅黑"/>
          <w:color w:val="auto"/>
          <w:szCs w:val="21"/>
        </w:rPr>
      </w:pP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2000019F" w:csb1="4F01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D00A">
    <w:pPr>
      <w:spacing w:line="240" w:lineRule="auto"/>
      <w:ind w:firstLine="420"/>
      <w:rPr>
        <w:rFonts w:hint="eastAsia" w:ascii="宋体" w:hAnsi="宋体"/>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51435</wp:posOffset>
              </wp:positionV>
              <wp:extent cx="5262880" cy="12065"/>
              <wp:effectExtent l="0" t="28575" r="13970" b="35560"/>
              <wp:wrapNone/>
              <wp:docPr id="4" name="自选图形 9"/>
              <wp:cNvGraphicFramePr/>
              <a:graphic xmlns:a="http://schemas.openxmlformats.org/drawingml/2006/main">
                <a:graphicData uri="http://schemas.microsoft.com/office/word/2010/wordprocessingShape">
                  <wps:wsp>
                    <wps:cNvCnPr/>
                    <wps:spPr>
                      <a:xfrm flipV="1">
                        <a:off x="0" y="0"/>
                        <a:ext cx="5262880" cy="12065"/>
                      </a:xfrm>
                      <a:prstGeom prst="straightConnector1">
                        <a:avLst/>
                      </a:prstGeom>
                      <a:ln w="57150" cap="flat" cmpd="thickThin">
                        <a:solidFill>
                          <a:srgbClr val="2E74B5"/>
                        </a:solidFill>
                        <a:prstDash val="solid"/>
                        <a:headEnd type="none" w="med" len="med"/>
                        <a:tailEnd type="none" w="med" len="med"/>
                      </a:ln>
                      <a:effectLst/>
                    </wps:spPr>
                    <wps:bodyPr/>
                  </wps:wsp>
                </a:graphicData>
              </a:graphic>
            </wp:anchor>
          </w:drawing>
        </mc:Choice>
        <mc:Fallback>
          <w:pict>
            <v:shape id="自选图形 9" o:spid="_x0000_s1026" o:spt="32" type="#_x0000_t32" style="position:absolute;left:0pt;flip:y;margin-left:-0.7pt;margin-top:4.05pt;height:0.95pt;width:414.4pt;z-index:251662336;mso-width-relative:page;mso-height-relative:page;" filled="f" stroked="t" coordsize="21600,21600" o:gfxdata="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wsA8NQAAAAHAQAADwAAAAAAAAABACAAAAAiAAAA&#10;ZHJzL2Rvd25yZXYueG1sUEsBAhQAFAAAAAgAh07iQHk6qVQLAgAABgQAAA4AAAAAAAAAAQAgAAAA&#10;IwEAAGRycy9lMm9Eb2MueG1sUEsFBgAAAAAGAAYAWQEAAKAFAAAAAA==&#10;">
              <v:fill on="f" focussize="0,0"/>
              <v:stroke weight="4.5pt" color="#2E74B5" linestyle="thickThin" joinstyle="round"/>
              <v:imagedata o:title=""/>
              <o:lock v:ext="edit" aspectratio="f"/>
            </v:shape>
          </w:pict>
        </mc:Fallback>
      </mc:AlternateContent>
    </w:r>
    <w:r>
      <w:rPr>
        <w:rFonts w:hint="eastAsia" w:ascii="宋体" w:hAnsi="宋体"/>
      </w:rPr>
      <w:drawing>
        <wp:anchor distT="0" distB="0" distL="114300" distR="114300" simplePos="0" relativeHeight="251661312" behindDoc="0" locked="0" layoutInCell="1" allowOverlap="1">
          <wp:simplePos x="0" y="0"/>
          <wp:positionH relativeFrom="column">
            <wp:posOffset>65405</wp:posOffset>
          </wp:positionH>
          <wp:positionV relativeFrom="paragraph">
            <wp:posOffset>114935</wp:posOffset>
          </wp:positionV>
          <wp:extent cx="407670" cy="415290"/>
          <wp:effectExtent l="0" t="0" r="11430" b="3810"/>
          <wp:wrapSquare wrapText="bothSides"/>
          <wp:docPr id="2"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中际徽标.jpg"/>
                  <pic:cNvPicPr>
                    <a:picLocks noChangeAspect="1"/>
                  </pic:cNvPicPr>
                </pic:nvPicPr>
                <pic:blipFill>
                  <a:blip r:embed="rId1"/>
                  <a:stretch>
                    <a:fillRect/>
                  </a:stretch>
                </pic:blipFill>
                <pic:spPr>
                  <a:xfrm>
                    <a:off x="0" y="0"/>
                    <a:ext cx="407670" cy="415290"/>
                  </a:xfrm>
                  <a:prstGeom prst="rect">
                    <a:avLst/>
                  </a:prstGeom>
                  <a:noFill/>
                  <a:ln w="9525">
                    <a:noFill/>
                  </a:ln>
                </pic:spPr>
              </pic:pic>
            </a:graphicData>
          </a:graphic>
        </wp:anchor>
      </w:drawing>
    </w:r>
  </w:p>
  <w:p w14:paraId="486CDCA9">
    <w:pPr>
      <w:pStyle w:val="32"/>
      <w:spacing w:line="240" w:lineRule="auto"/>
      <w:ind w:left="535" w:leftChars="255" w:firstLine="405" w:firstLineChars="225"/>
      <w:rPr>
        <w:rFonts w:hint="eastAsia" w:ascii="宋体" w:hAnsi="宋体"/>
        <w:color w:val="2F5597" w:themeColor="accent1" w:themeShade="BF"/>
      </w:rPr>
    </w:pPr>
    <w:r>
      <w:rPr>
        <w:rFonts w:hint="eastAsia" w:ascii="宋体" w:hAnsi="宋体"/>
        <w:color w:val="2F5597" w:themeColor="accent1" w:themeShade="BF"/>
      </w:rPr>
      <w:t>浙江中际工程项目管理有限公司</w:t>
    </w:r>
  </w:p>
  <w:p w14:paraId="135A0EBF">
    <w:pPr>
      <w:pStyle w:val="32"/>
      <w:spacing w:line="240" w:lineRule="auto"/>
      <w:ind w:firstLine="900" w:firstLineChars="500"/>
      <w:jc w:val="both"/>
    </w:pPr>
    <w:r>
      <w:rPr>
        <w:rFonts w:hint="eastAsia" w:ascii="宋体" w:hAnsi="宋体"/>
        <w:color w:val="2F5597" w:themeColor="accent1" w:themeShade="BF"/>
      </w:rPr>
      <w:t xml:space="preserve">ZHEJIANG GEOKEY ENGINEERING PROJECT MANGEMENT CO. LTD.                        </w:t>
    </w:r>
    <w:r>
      <w:fldChar w:fldCharType="begin"/>
    </w:r>
    <w:r>
      <w:instrText xml:space="preserve">PAGE   \* MERGEFORMAT</w:instrText>
    </w:r>
    <w:r>
      <w:fldChar w:fldCharType="separate"/>
    </w:r>
    <w:r>
      <w:rPr>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AE86">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507C">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B8CF">
    <w:pPr>
      <w:pStyle w:val="32"/>
      <w:ind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724E9A">
                          <w:pPr>
                            <w:pStyle w:val="32"/>
                            <w:ind w:firstLine="360"/>
                            <w:jc w:val="right"/>
                          </w:pPr>
                          <w:r>
                            <w:fldChar w:fldCharType="begin"/>
                          </w:r>
                          <w:r>
                            <w:instrText xml:space="preserve"> PAGE   \* MERGEFORMAT </w:instrText>
                          </w:r>
                          <w:r>
                            <w:fldChar w:fldCharType="separate"/>
                          </w:r>
                          <w:r>
                            <w:rPr>
                              <w:lang w:val="zh-CN"/>
                            </w:rPr>
                            <w:t>40</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r3cEBAACOAwAADgAAAAAAAAABACAAAAAeAQAAZHJzL2Uyb0RvYy54bWxQSwUG&#10;AAAAAAYABgBZAQAAUQUAAAAA&#10;">
              <v:fill on="f" focussize="0,0"/>
              <v:stroke on="f"/>
              <v:imagedata o:title=""/>
              <o:lock v:ext="edit" aspectratio="f"/>
              <v:textbox inset="0mm,0mm,0mm,0mm" style="mso-fit-shape-to-text:t;">
                <w:txbxContent>
                  <w:p w14:paraId="24724E9A">
                    <w:pPr>
                      <w:pStyle w:val="32"/>
                      <w:ind w:firstLine="360"/>
                      <w:jc w:val="right"/>
                    </w:pPr>
                    <w:r>
                      <w:fldChar w:fldCharType="begin"/>
                    </w:r>
                    <w:r>
                      <w:instrText xml:space="preserve"> PAGE   \* MERGEFORMAT </w:instrText>
                    </w:r>
                    <w:r>
                      <w:fldChar w:fldCharType="separate"/>
                    </w:r>
                    <w:r>
                      <w:rPr>
                        <w:lang w:val="zh-CN"/>
                      </w:rPr>
                      <w:t>40</w:t>
                    </w:r>
                    <w:r>
                      <w:fldChar w:fldCharType="end"/>
                    </w:r>
                  </w:p>
                </w:txbxContent>
              </v:textbox>
            </v:shape>
          </w:pict>
        </mc:Fallback>
      </mc:AlternateContent>
    </w:r>
  </w:p>
  <w:p w14:paraId="2AE2C14E">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E3EFC">
    <w:pPr>
      <w:pStyle w:val="284"/>
      <w:jc w:val="right"/>
      <w:rPr>
        <w:color w:val="2F5597" w:themeColor="accent1" w:themeShade="BF"/>
      </w:rPr>
    </w:pPr>
    <w:r>
      <w:rPr>
        <w:color w:val="2F5597" w:themeColor="accent1" w:themeShade="BF"/>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309245</wp:posOffset>
              </wp:positionV>
              <wp:extent cx="5316220" cy="12700"/>
              <wp:effectExtent l="0" t="28575" r="17780" b="34925"/>
              <wp:wrapNone/>
              <wp:docPr id="3" name="直接连接符 4"/>
              <wp:cNvGraphicFramePr/>
              <a:graphic xmlns:a="http://schemas.openxmlformats.org/drawingml/2006/main">
                <a:graphicData uri="http://schemas.microsoft.com/office/word/2010/wordprocessingShape">
                  <wps:wsp>
                    <wps:cNvCnPr/>
                    <wps:spPr>
                      <a:xfrm>
                        <a:off x="0" y="0"/>
                        <a:ext cx="5316220" cy="12700"/>
                      </a:xfrm>
                      <a:prstGeom prst="straightConnector1">
                        <a:avLst/>
                      </a:prstGeom>
                      <a:ln w="57150" cap="flat" cmpd="thinThick">
                        <a:solidFill>
                          <a:srgbClr val="2E74B5"/>
                        </a:solidFill>
                        <a:prstDash val="solid"/>
                        <a:headEnd type="none" w="med" len="med"/>
                        <a:tailEnd type="none" w="med" len="med"/>
                      </a:ln>
                      <a:effectLst/>
                    </wps:spPr>
                    <wps:bodyPr/>
                  </wps:wsp>
                </a:graphicData>
              </a:graphic>
            </wp:anchor>
          </w:drawing>
        </mc:Choice>
        <mc:Fallback>
          <w:pict>
            <v:shape id="直接连接符 4" o:spid="_x0000_s1026" o:spt="32" type="#_x0000_t32" style="position:absolute;left:0pt;margin-left:-1.7pt;margin-top:24.35pt;height:1pt;width:418.6pt;z-index:251660288;mso-width-relative:page;mso-height-relative:page;" filled="f" stroked="t" coordsize="21600,21600" o:gfxdata="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osGxrXAAAACAEAAA8AAAAAAAAAAQAgAAAAIgAA&#10;AGRycy9kb3ducmV2LnhtbFBLAQIUABQAAAAIAIdO4kBZw1dXCQIAAP8DAAAOAAAAAAAAAAEAIAAA&#10;ACYBAABkcnMvZTJvRG9jLnhtbFBLBQYAAAAABgAGAFkBAAChBQAAAAA=&#10;">
              <v:fill on="f" focussize="0,0"/>
              <v:stroke weight="4.5pt" color="#2E74B5" linestyle="thinThick" joinstyle="round"/>
              <v:imagedata o:title=""/>
              <o:lock v:ext="edit" aspectratio="f"/>
            </v:shape>
          </w:pict>
        </mc:Fallback>
      </mc:AlternateContent>
    </w:r>
    <w:r>
      <w:rPr>
        <w:rFonts w:ascii="微软雅黑" w:hAnsi="微软雅黑"/>
      </w:rPr>
      <w:pict>
        <v:shape id="PowerPlusWaterMarkObject53472" o:spid="_x0000_s1027" o:spt="136" type="#_x0000_t136" style="position:absolute;left:0pt;height:50.1pt;width:537.1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r>
      <w:rPr>
        <w:rFonts w:hint="eastAsia"/>
        <w:color w:val="2F5597" w:themeColor="accent1" w:themeShade="BF"/>
      </w:rPr>
      <w:t>嘉兴市公安局南湖区分局涉诈数据处理服务项目.公开招标采购文件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81AB7">
    <w:pPr>
      <w:pStyle w:val="33"/>
      <w:ind w:firstLine="360"/>
    </w:pPr>
    <w:r>
      <w:pict>
        <v:shape id="PowerPlusWaterMarkObject13360725" o:spid="_x0000_s1033" o:spt="136" type="#_x0000_t136" style="position:absolute;left:0pt;height:41.85pt;width:54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C04A">
    <w:pPr>
      <w:pStyle w:val="33"/>
      <w:ind w:firstLine="360"/>
    </w:pPr>
    <w:r>
      <w:pict>
        <v:shape id="PowerPlusWaterMarkObject13360724" o:spid="_x0000_s1025" o:spt="136" type="#_x0000_t136" style="position:absolute;left:0pt;height:41.85pt;width:54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72D4">
    <w:pPr>
      <w:pStyle w:val="33"/>
      <w:pBdr>
        <w:bottom w:val="none" w:color="auto" w:sz="0" w:space="1"/>
      </w:pBdr>
      <w:tabs>
        <w:tab w:val="left" w:pos="4727"/>
      </w:tabs>
      <w:ind w:firstLine="360"/>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E3D5"/>
    <w:multiLevelType w:val="multilevel"/>
    <w:tmpl w:val="8071E3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1540D6"/>
    <w:multiLevelType w:val="multilevel"/>
    <w:tmpl w:val="911540D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2A091FE"/>
    <w:multiLevelType w:val="singleLevel"/>
    <w:tmpl w:val="92A091FE"/>
    <w:lvl w:ilvl="0" w:tentative="0">
      <w:start w:val="1"/>
      <w:numFmt w:val="decimal"/>
      <w:lvlText w:val="%1."/>
      <w:lvlJc w:val="left"/>
      <w:pPr>
        <w:ind w:left="425" w:hanging="425"/>
      </w:pPr>
      <w:rPr>
        <w:rFonts w:hint="default"/>
      </w:rPr>
    </w:lvl>
  </w:abstractNum>
  <w:abstractNum w:abstractNumId="3">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9795252"/>
    <w:multiLevelType w:val="singleLevel"/>
    <w:tmpl w:val="C9795252"/>
    <w:lvl w:ilvl="0" w:tentative="0">
      <w:start w:val="1"/>
      <w:numFmt w:val="chineseCounting"/>
      <w:suff w:val="nothing"/>
      <w:lvlText w:val="%1、"/>
      <w:lvlJc w:val="left"/>
      <w:pPr>
        <w:ind w:left="0" w:firstLine="420"/>
      </w:pPr>
      <w:rPr>
        <w:rFonts w:hint="eastAsia"/>
      </w:rPr>
    </w:lvl>
  </w:abstractNum>
  <w:abstractNum w:abstractNumId="5">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6">
    <w:nsid w:val="4034AC53"/>
    <w:multiLevelType w:val="singleLevel"/>
    <w:tmpl w:val="4034AC53"/>
    <w:lvl w:ilvl="0" w:tentative="0">
      <w:start w:val="2"/>
      <w:numFmt w:val="chineseCounting"/>
      <w:suff w:val="space"/>
      <w:lvlText w:val="第%1章"/>
      <w:lvlJc w:val="left"/>
      <w:rPr>
        <w:rFonts w:hint="eastAsia"/>
      </w:rPr>
    </w:lvl>
  </w:abstractNum>
  <w:abstractNum w:abstractNumId="7">
    <w:nsid w:val="51FA1A31"/>
    <w:multiLevelType w:val="multilevel"/>
    <w:tmpl w:val="51FA1A31"/>
    <w:lvl w:ilvl="0" w:tentative="0">
      <w:start w:val="1"/>
      <w:numFmt w:val="japaneseCounting"/>
      <w:pStyle w:val="12"/>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7"/>
  </w:num>
  <w:num w:numId="2">
    <w:abstractNumId w:val="5"/>
  </w:num>
  <w:num w:numId="3">
    <w:abstractNumId w:val="1"/>
  </w:num>
  <w:num w:numId="4">
    <w:abstractNumId w:val="4"/>
  </w:num>
  <w:num w:numId="5">
    <w:abstractNumId w:val="0"/>
  </w:num>
  <w:num w:numId="6">
    <w:abstractNumId w:val="6"/>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210"/>
  <w:drawingGridHorizontalSpacing w:val="105"/>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3NGM2YjQ2ZjM5MGE4NGZiOTc2NzdlMjhlODgzYTU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62B4"/>
    <w:rsid w:val="0004692F"/>
    <w:rsid w:val="0005070C"/>
    <w:rsid w:val="00050ADC"/>
    <w:rsid w:val="000518B8"/>
    <w:rsid w:val="00051FC1"/>
    <w:rsid w:val="00052F01"/>
    <w:rsid w:val="00054E1D"/>
    <w:rsid w:val="00055D20"/>
    <w:rsid w:val="00060047"/>
    <w:rsid w:val="00061917"/>
    <w:rsid w:val="000623FD"/>
    <w:rsid w:val="00062852"/>
    <w:rsid w:val="00063364"/>
    <w:rsid w:val="000636F8"/>
    <w:rsid w:val="00063F1A"/>
    <w:rsid w:val="00064222"/>
    <w:rsid w:val="00065016"/>
    <w:rsid w:val="00066093"/>
    <w:rsid w:val="000662AD"/>
    <w:rsid w:val="00066842"/>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5E3"/>
    <w:rsid w:val="000A0027"/>
    <w:rsid w:val="000A137F"/>
    <w:rsid w:val="000A24D3"/>
    <w:rsid w:val="000A4B2A"/>
    <w:rsid w:val="000A4FF5"/>
    <w:rsid w:val="000A50C0"/>
    <w:rsid w:val="000A5FDE"/>
    <w:rsid w:val="000A6697"/>
    <w:rsid w:val="000A69C1"/>
    <w:rsid w:val="000A7F08"/>
    <w:rsid w:val="000B2E80"/>
    <w:rsid w:val="000B4EDA"/>
    <w:rsid w:val="000B55B1"/>
    <w:rsid w:val="000B60F2"/>
    <w:rsid w:val="000C0619"/>
    <w:rsid w:val="000C1788"/>
    <w:rsid w:val="000C1952"/>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29B5"/>
    <w:rsid w:val="00104A23"/>
    <w:rsid w:val="00104E7B"/>
    <w:rsid w:val="001056B0"/>
    <w:rsid w:val="00106CA0"/>
    <w:rsid w:val="00111AC6"/>
    <w:rsid w:val="00111C03"/>
    <w:rsid w:val="00112556"/>
    <w:rsid w:val="00112C9C"/>
    <w:rsid w:val="001136F2"/>
    <w:rsid w:val="0011455A"/>
    <w:rsid w:val="00114F25"/>
    <w:rsid w:val="001156CC"/>
    <w:rsid w:val="00117042"/>
    <w:rsid w:val="00124174"/>
    <w:rsid w:val="00124E28"/>
    <w:rsid w:val="00124F3C"/>
    <w:rsid w:val="0012571C"/>
    <w:rsid w:val="00131164"/>
    <w:rsid w:val="0013190C"/>
    <w:rsid w:val="00131EB3"/>
    <w:rsid w:val="0013283F"/>
    <w:rsid w:val="0013300D"/>
    <w:rsid w:val="00134816"/>
    <w:rsid w:val="0013572E"/>
    <w:rsid w:val="00136E52"/>
    <w:rsid w:val="001411A8"/>
    <w:rsid w:val="00145999"/>
    <w:rsid w:val="00146849"/>
    <w:rsid w:val="00147E8D"/>
    <w:rsid w:val="00150C59"/>
    <w:rsid w:val="001512EB"/>
    <w:rsid w:val="00152CF7"/>
    <w:rsid w:val="00155885"/>
    <w:rsid w:val="0015610D"/>
    <w:rsid w:val="0015639E"/>
    <w:rsid w:val="00157136"/>
    <w:rsid w:val="001608DD"/>
    <w:rsid w:val="00160CB6"/>
    <w:rsid w:val="001632A7"/>
    <w:rsid w:val="001663C1"/>
    <w:rsid w:val="00171130"/>
    <w:rsid w:val="001714F0"/>
    <w:rsid w:val="00171705"/>
    <w:rsid w:val="00171B2C"/>
    <w:rsid w:val="0017424B"/>
    <w:rsid w:val="001749EA"/>
    <w:rsid w:val="00175FF0"/>
    <w:rsid w:val="00176AF1"/>
    <w:rsid w:val="00180135"/>
    <w:rsid w:val="001807AC"/>
    <w:rsid w:val="00180943"/>
    <w:rsid w:val="0018285A"/>
    <w:rsid w:val="00183E56"/>
    <w:rsid w:val="00184955"/>
    <w:rsid w:val="00185BE6"/>
    <w:rsid w:val="001862F8"/>
    <w:rsid w:val="00186C73"/>
    <w:rsid w:val="00187CA1"/>
    <w:rsid w:val="001902C8"/>
    <w:rsid w:val="00190A51"/>
    <w:rsid w:val="00191C4B"/>
    <w:rsid w:val="001942A1"/>
    <w:rsid w:val="001961BA"/>
    <w:rsid w:val="001963C7"/>
    <w:rsid w:val="00196E8A"/>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585A"/>
    <w:rsid w:val="001C5F4C"/>
    <w:rsid w:val="001C6AA7"/>
    <w:rsid w:val="001D15FA"/>
    <w:rsid w:val="001D3D2D"/>
    <w:rsid w:val="001D60F8"/>
    <w:rsid w:val="001D6C3A"/>
    <w:rsid w:val="001E0DAD"/>
    <w:rsid w:val="001E0EB3"/>
    <w:rsid w:val="001E14EA"/>
    <w:rsid w:val="001E2F45"/>
    <w:rsid w:val="001E31F8"/>
    <w:rsid w:val="001E3FCE"/>
    <w:rsid w:val="001F02A5"/>
    <w:rsid w:val="001F2692"/>
    <w:rsid w:val="001F32E4"/>
    <w:rsid w:val="001F5A4E"/>
    <w:rsid w:val="001F6A15"/>
    <w:rsid w:val="001F7336"/>
    <w:rsid w:val="001F7997"/>
    <w:rsid w:val="002001BC"/>
    <w:rsid w:val="002004C0"/>
    <w:rsid w:val="00200E8E"/>
    <w:rsid w:val="002012BC"/>
    <w:rsid w:val="002033CF"/>
    <w:rsid w:val="00203D55"/>
    <w:rsid w:val="00204712"/>
    <w:rsid w:val="00205048"/>
    <w:rsid w:val="00206B06"/>
    <w:rsid w:val="00210F56"/>
    <w:rsid w:val="00211484"/>
    <w:rsid w:val="002116AA"/>
    <w:rsid w:val="00211B35"/>
    <w:rsid w:val="00211F5E"/>
    <w:rsid w:val="00212194"/>
    <w:rsid w:val="00214014"/>
    <w:rsid w:val="0021426B"/>
    <w:rsid w:val="00214F3B"/>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37FB"/>
    <w:rsid w:val="00245739"/>
    <w:rsid w:val="0024712C"/>
    <w:rsid w:val="00250561"/>
    <w:rsid w:val="00251DDD"/>
    <w:rsid w:val="00254D47"/>
    <w:rsid w:val="00255D0F"/>
    <w:rsid w:val="00257251"/>
    <w:rsid w:val="00260DF2"/>
    <w:rsid w:val="00261255"/>
    <w:rsid w:val="0026292E"/>
    <w:rsid w:val="00263176"/>
    <w:rsid w:val="00266055"/>
    <w:rsid w:val="00266D9C"/>
    <w:rsid w:val="0026746C"/>
    <w:rsid w:val="002705BE"/>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90F"/>
    <w:rsid w:val="0028632D"/>
    <w:rsid w:val="002864B8"/>
    <w:rsid w:val="0029034A"/>
    <w:rsid w:val="00290975"/>
    <w:rsid w:val="00292EB5"/>
    <w:rsid w:val="0029485F"/>
    <w:rsid w:val="002A0E86"/>
    <w:rsid w:val="002A50EB"/>
    <w:rsid w:val="002A521B"/>
    <w:rsid w:val="002A5FDC"/>
    <w:rsid w:val="002A62CD"/>
    <w:rsid w:val="002A6348"/>
    <w:rsid w:val="002A673A"/>
    <w:rsid w:val="002B0D8A"/>
    <w:rsid w:val="002B463C"/>
    <w:rsid w:val="002B5C0A"/>
    <w:rsid w:val="002B73C5"/>
    <w:rsid w:val="002B7CC9"/>
    <w:rsid w:val="002C201B"/>
    <w:rsid w:val="002C2BFF"/>
    <w:rsid w:val="002C2C79"/>
    <w:rsid w:val="002C2D68"/>
    <w:rsid w:val="002C3195"/>
    <w:rsid w:val="002C3490"/>
    <w:rsid w:val="002C4048"/>
    <w:rsid w:val="002C4195"/>
    <w:rsid w:val="002C47FB"/>
    <w:rsid w:val="002C4CA1"/>
    <w:rsid w:val="002C5920"/>
    <w:rsid w:val="002C7739"/>
    <w:rsid w:val="002D0334"/>
    <w:rsid w:val="002D1096"/>
    <w:rsid w:val="002D30D0"/>
    <w:rsid w:val="002D3A29"/>
    <w:rsid w:val="002D3DE7"/>
    <w:rsid w:val="002D3F86"/>
    <w:rsid w:val="002D40B4"/>
    <w:rsid w:val="002D4599"/>
    <w:rsid w:val="002D62B8"/>
    <w:rsid w:val="002D6ED5"/>
    <w:rsid w:val="002D7E08"/>
    <w:rsid w:val="002E3DB0"/>
    <w:rsid w:val="002E4582"/>
    <w:rsid w:val="002E49D7"/>
    <w:rsid w:val="002E608E"/>
    <w:rsid w:val="002E6D2B"/>
    <w:rsid w:val="002E7AFC"/>
    <w:rsid w:val="002E7E1D"/>
    <w:rsid w:val="002F0A31"/>
    <w:rsid w:val="002F0B10"/>
    <w:rsid w:val="002F22D6"/>
    <w:rsid w:val="002F46AD"/>
    <w:rsid w:val="002F6D21"/>
    <w:rsid w:val="003023D9"/>
    <w:rsid w:val="003034C4"/>
    <w:rsid w:val="00303B30"/>
    <w:rsid w:val="003070E6"/>
    <w:rsid w:val="00311A5D"/>
    <w:rsid w:val="00312FB3"/>
    <w:rsid w:val="0031350D"/>
    <w:rsid w:val="003146C2"/>
    <w:rsid w:val="00314A13"/>
    <w:rsid w:val="00314F8A"/>
    <w:rsid w:val="003158C1"/>
    <w:rsid w:val="00315A4D"/>
    <w:rsid w:val="003163D4"/>
    <w:rsid w:val="00316CBA"/>
    <w:rsid w:val="00320024"/>
    <w:rsid w:val="00322380"/>
    <w:rsid w:val="0032517A"/>
    <w:rsid w:val="00326214"/>
    <w:rsid w:val="0032659B"/>
    <w:rsid w:val="00326C39"/>
    <w:rsid w:val="00326F34"/>
    <w:rsid w:val="00327B44"/>
    <w:rsid w:val="00330637"/>
    <w:rsid w:val="00331439"/>
    <w:rsid w:val="0033382F"/>
    <w:rsid w:val="0033557B"/>
    <w:rsid w:val="0033750D"/>
    <w:rsid w:val="003375B0"/>
    <w:rsid w:val="00340753"/>
    <w:rsid w:val="00340EF0"/>
    <w:rsid w:val="00341BA6"/>
    <w:rsid w:val="0034299D"/>
    <w:rsid w:val="003446A7"/>
    <w:rsid w:val="0034565D"/>
    <w:rsid w:val="003462B2"/>
    <w:rsid w:val="003471ED"/>
    <w:rsid w:val="003476F2"/>
    <w:rsid w:val="00350FAA"/>
    <w:rsid w:val="00351FA7"/>
    <w:rsid w:val="0035270E"/>
    <w:rsid w:val="00353D48"/>
    <w:rsid w:val="00353D4B"/>
    <w:rsid w:val="00357213"/>
    <w:rsid w:val="00360259"/>
    <w:rsid w:val="00360275"/>
    <w:rsid w:val="00361B16"/>
    <w:rsid w:val="00361F22"/>
    <w:rsid w:val="00362B9B"/>
    <w:rsid w:val="00364900"/>
    <w:rsid w:val="00367043"/>
    <w:rsid w:val="00367868"/>
    <w:rsid w:val="003705EE"/>
    <w:rsid w:val="003726C9"/>
    <w:rsid w:val="00374661"/>
    <w:rsid w:val="00374AFA"/>
    <w:rsid w:val="0037688E"/>
    <w:rsid w:val="00376CC4"/>
    <w:rsid w:val="00376F18"/>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7632"/>
    <w:rsid w:val="00397A22"/>
    <w:rsid w:val="003A35DE"/>
    <w:rsid w:val="003A368B"/>
    <w:rsid w:val="003A55E2"/>
    <w:rsid w:val="003A65FE"/>
    <w:rsid w:val="003A7D8E"/>
    <w:rsid w:val="003B0C2A"/>
    <w:rsid w:val="003B130E"/>
    <w:rsid w:val="003B296C"/>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4400"/>
    <w:rsid w:val="00415698"/>
    <w:rsid w:val="004156B5"/>
    <w:rsid w:val="00417BE9"/>
    <w:rsid w:val="00420F8D"/>
    <w:rsid w:val="004214B5"/>
    <w:rsid w:val="004222FB"/>
    <w:rsid w:val="004225B5"/>
    <w:rsid w:val="00423ECD"/>
    <w:rsid w:val="004250BA"/>
    <w:rsid w:val="004256E8"/>
    <w:rsid w:val="004267A0"/>
    <w:rsid w:val="00430924"/>
    <w:rsid w:val="004313B2"/>
    <w:rsid w:val="00431CF0"/>
    <w:rsid w:val="0043214E"/>
    <w:rsid w:val="00437762"/>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3177"/>
    <w:rsid w:val="0045398A"/>
    <w:rsid w:val="004548E3"/>
    <w:rsid w:val="00455FB6"/>
    <w:rsid w:val="00456AB9"/>
    <w:rsid w:val="00456ABD"/>
    <w:rsid w:val="00457046"/>
    <w:rsid w:val="00457A35"/>
    <w:rsid w:val="00461435"/>
    <w:rsid w:val="004658A1"/>
    <w:rsid w:val="0046601C"/>
    <w:rsid w:val="0047000B"/>
    <w:rsid w:val="00470411"/>
    <w:rsid w:val="00470989"/>
    <w:rsid w:val="00472A6B"/>
    <w:rsid w:val="004730CD"/>
    <w:rsid w:val="00474734"/>
    <w:rsid w:val="004753EA"/>
    <w:rsid w:val="00477067"/>
    <w:rsid w:val="0047764D"/>
    <w:rsid w:val="00482362"/>
    <w:rsid w:val="00483AF6"/>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1146"/>
    <w:rsid w:val="004B5BDD"/>
    <w:rsid w:val="004C024F"/>
    <w:rsid w:val="004C19B1"/>
    <w:rsid w:val="004C1A50"/>
    <w:rsid w:val="004C1B3D"/>
    <w:rsid w:val="004C3C1F"/>
    <w:rsid w:val="004C423E"/>
    <w:rsid w:val="004D07AC"/>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5EEB"/>
    <w:rsid w:val="004F6AAA"/>
    <w:rsid w:val="004F7EA8"/>
    <w:rsid w:val="00501FF8"/>
    <w:rsid w:val="00502E02"/>
    <w:rsid w:val="00504332"/>
    <w:rsid w:val="00504E3A"/>
    <w:rsid w:val="00507566"/>
    <w:rsid w:val="005101D0"/>
    <w:rsid w:val="0051205B"/>
    <w:rsid w:val="00512C76"/>
    <w:rsid w:val="00512DE6"/>
    <w:rsid w:val="00513791"/>
    <w:rsid w:val="00513EE1"/>
    <w:rsid w:val="0051455D"/>
    <w:rsid w:val="005167B7"/>
    <w:rsid w:val="00520BD0"/>
    <w:rsid w:val="00521558"/>
    <w:rsid w:val="00521FA8"/>
    <w:rsid w:val="00521FF6"/>
    <w:rsid w:val="005229E2"/>
    <w:rsid w:val="00523056"/>
    <w:rsid w:val="005232C5"/>
    <w:rsid w:val="0052346E"/>
    <w:rsid w:val="005235A4"/>
    <w:rsid w:val="005244D0"/>
    <w:rsid w:val="0052684A"/>
    <w:rsid w:val="00526FB9"/>
    <w:rsid w:val="005309B4"/>
    <w:rsid w:val="005312BB"/>
    <w:rsid w:val="00531DB4"/>
    <w:rsid w:val="00532778"/>
    <w:rsid w:val="00532B2C"/>
    <w:rsid w:val="0053361C"/>
    <w:rsid w:val="00533812"/>
    <w:rsid w:val="005340B2"/>
    <w:rsid w:val="0053506B"/>
    <w:rsid w:val="00535AFE"/>
    <w:rsid w:val="00536684"/>
    <w:rsid w:val="00536B9E"/>
    <w:rsid w:val="00536FC0"/>
    <w:rsid w:val="00537646"/>
    <w:rsid w:val="005432E2"/>
    <w:rsid w:val="005450F7"/>
    <w:rsid w:val="00545D29"/>
    <w:rsid w:val="0054671E"/>
    <w:rsid w:val="0054707A"/>
    <w:rsid w:val="005471EA"/>
    <w:rsid w:val="005474F2"/>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700F"/>
    <w:rsid w:val="00591922"/>
    <w:rsid w:val="00594791"/>
    <w:rsid w:val="00594BD4"/>
    <w:rsid w:val="005955B8"/>
    <w:rsid w:val="00596EB2"/>
    <w:rsid w:val="00597102"/>
    <w:rsid w:val="00597843"/>
    <w:rsid w:val="005979E9"/>
    <w:rsid w:val="00597A7A"/>
    <w:rsid w:val="005A102D"/>
    <w:rsid w:val="005A23B9"/>
    <w:rsid w:val="005A422B"/>
    <w:rsid w:val="005A4EA4"/>
    <w:rsid w:val="005A7555"/>
    <w:rsid w:val="005A76B0"/>
    <w:rsid w:val="005B0DAB"/>
    <w:rsid w:val="005B26C5"/>
    <w:rsid w:val="005B432B"/>
    <w:rsid w:val="005B4A70"/>
    <w:rsid w:val="005B5A68"/>
    <w:rsid w:val="005B6616"/>
    <w:rsid w:val="005B67AE"/>
    <w:rsid w:val="005B7C00"/>
    <w:rsid w:val="005B7EB7"/>
    <w:rsid w:val="005B7F47"/>
    <w:rsid w:val="005C020F"/>
    <w:rsid w:val="005C0E52"/>
    <w:rsid w:val="005C1C87"/>
    <w:rsid w:val="005C25DD"/>
    <w:rsid w:val="005C34B9"/>
    <w:rsid w:val="005C3A36"/>
    <w:rsid w:val="005C4729"/>
    <w:rsid w:val="005C6DB7"/>
    <w:rsid w:val="005C75FA"/>
    <w:rsid w:val="005D0B4F"/>
    <w:rsid w:val="005D19DC"/>
    <w:rsid w:val="005D2A4D"/>
    <w:rsid w:val="005D3740"/>
    <w:rsid w:val="005D3A36"/>
    <w:rsid w:val="005D3D54"/>
    <w:rsid w:val="005D46E1"/>
    <w:rsid w:val="005D4DE6"/>
    <w:rsid w:val="005D5F44"/>
    <w:rsid w:val="005D6F33"/>
    <w:rsid w:val="005D799D"/>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B25"/>
    <w:rsid w:val="006003FA"/>
    <w:rsid w:val="00600451"/>
    <w:rsid w:val="006016E9"/>
    <w:rsid w:val="006018C4"/>
    <w:rsid w:val="00602636"/>
    <w:rsid w:val="0060344C"/>
    <w:rsid w:val="006034EC"/>
    <w:rsid w:val="0060465A"/>
    <w:rsid w:val="006061EE"/>
    <w:rsid w:val="00606717"/>
    <w:rsid w:val="0060733C"/>
    <w:rsid w:val="00610BBA"/>
    <w:rsid w:val="00612183"/>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D84"/>
    <w:rsid w:val="00685F3B"/>
    <w:rsid w:val="006867FE"/>
    <w:rsid w:val="00686DEF"/>
    <w:rsid w:val="00687D03"/>
    <w:rsid w:val="0069003B"/>
    <w:rsid w:val="00694C0D"/>
    <w:rsid w:val="00695242"/>
    <w:rsid w:val="00696549"/>
    <w:rsid w:val="0069674C"/>
    <w:rsid w:val="0069692F"/>
    <w:rsid w:val="00696E22"/>
    <w:rsid w:val="0069719C"/>
    <w:rsid w:val="006A0193"/>
    <w:rsid w:val="006A0516"/>
    <w:rsid w:val="006A09E2"/>
    <w:rsid w:val="006A297A"/>
    <w:rsid w:val="006A5034"/>
    <w:rsid w:val="006A506E"/>
    <w:rsid w:val="006B18DF"/>
    <w:rsid w:val="006B3051"/>
    <w:rsid w:val="006B429A"/>
    <w:rsid w:val="006B526A"/>
    <w:rsid w:val="006B721F"/>
    <w:rsid w:val="006C0ED1"/>
    <w:rsid w:val="006C119A"/>
    <w:rsid w:val="006C2D6E"/>
    <w:rsid w:val="006C2E01"/>
    <w:rsid w:val="006C3040"/>
    <w:rsid w:val="006C51AB"/>
    <w:rsid w:val="006C69B4"/>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F1882"/>
    <w:rsid w:val="006F4BE4"/>
    <w:rsid w:val="006F5954"/>
    <w:rsid w:val="006F5957"/>
    <w:rsid w:val="00700127"/>
    <w:rsid w:val="007003DE"/>
    <w:rsid w:val="00702A38"/>
    <w:rsid w:val="007047D4"/>
    <w:rsid w:val="00704857"/>
    <w:rsid w:val="00704DB1"/>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3F42"/>
    <w:rsid w:val="007444CB"/>
    <w:rsid w:val="0074472E"/>
    <w:rsid w:val="00746702"/>
    <w:rsid w:val="00747A6F"/>
    <w:rsid w:val="0075030B"/>
    <w:rsid w:val="0075085C"/>
    <w:rsid w:val="00753B59"/>
    <w:rsid w:val="007556A3"/>
    <w:rsid w:val="00755C10"/>
    <w:rsid w:val="00755EDC"/>
    <w:rsid w:val="0075681F"/>
    <w:rsid w:val="007602DE"/>
    <w:rsid w:val="00760AE5"/>
    <w:rsid w:val="00762450"/>
    <w:rsid w:val="0076277F"/>
    <w:rsid w:val="00762FD9"/>
    <w:rsid w:val="00764DD1"/>
    <w:rsid w:val="00765390"/>
    <w:rsid w:val="0076602C"/>
    <w:rsid w:val="007674A5"/>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54D"/>
    <w:rsid w:val="00794ABF"/>
    <w:rsid w:val="00796572"/>
    <w:rsid w:val="00797F4B"/>
    <w:rsid w:val="007A0048"/>
    <w:rsid w:val="007A1211"/>
    <w:rsid w:val="007A166C"/>
    <w:rsid w:val="007A29E6"/>
    <w:rsid w:val="007A2DF8"/>
    <w:rsid w:val="007A2FD5"/>
    <w:rsid w:val="007A68F9"/>
    <w:rsid w:val="007A7604"/>
    <w:rsid w:val="007B125D"/>
    <w:rsid w:val="007B158D"/>
    <w:rsid w:val="007B2033"/>
    <w:rsid w:val="007B2975"/>
    <w:rsid w:val="007B31F7"/>
    <w:rsid w:val="007B3253"/>
    <w:rsid w:val="007B33D2"/>
    <w:rsid w:val="007B3A1C"/>
    <w:rsid w:val="007B4DC3"/>
    <w:rsid w:val="007B6AE9"/>
    <w:rsid w:val="007B6DE8"/>
    <w:rsid w:val="007C17C6"/>
    <w:rsid w:val="007C3D13"/>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59D4"/>
    <w:rsid w:val="007E6EAB"/>
    <w:rsid w:val="007E7296"/>
    <w:rsid w:val="007F12CD"/>
    <w:rsid w:val="007F1C24"/>
    <w:rsid w:val="007F3706"/>
    <w:rsid w:val="007F3C74"/>
    <w:rsid w:val="007F49DD"/>
    <w:rsid w:val="007F4A8B"/>
    <w:rsid w:val="007F707D"/>
    <w:rsid w:val="007F757C"/>
    <w:rsid w:val="007F75BA"/>
    <w:rsid w:val="007F7D48"/>
    <w:rsid w:val="00800414"/>
    <w:rsid w:val="00801661"/>
    <w:rsid w:val="0080173B"/>
    <w:rsid w:val="00803D5B"/>
    <w:rsid w:val="00805DB5"/>
    <w:rsid w:val="008062BD"/>
    <w:rsid w:val="00807935"/>
    <w:rsid w:val="00807F93"/>
    <w:rsid w:val="008108E2"/>
    <w:rsid w:val="00811089"/>
    <w:rsid w:val="00812DA6"/>
    <w:rsid w:val="00814674"/>
    <w:rsid w:val="00814678"/>
    <w:rsid w:val="0081505A"/>
    <w:rsid w:val="00815B82"/>
    <w:rsid w:val="00821D23"/>
    <w:rsid w:val="008233B0"/>
    <w:rsid w:val="00826B63"/>
    <w:rsid w:val="00826EDE"/>
    <w:rsid w:val="00826F90"/>
    <w:rsid w:val="008300BD"/>
    <w:rsid w:val="008326ED"/>
    <w:rsid w:val="00832A0B"/>
    <w:rsid w:val="00832E3A"/>
    <w:rsid w:val="0083477D"/>
    <w:rsid w:val="008400FE"/>
    <w:rsid w:val="008403BC"/>
    <w:rsid w:val="0084161D"/>
    <w:rsid w:val="00844133"/>
    <w:rsid w:val="008506A3"/>
    <w:rsid w:val="0085251A"/>
    <w:rsid w:val="00852726"/>
    <w:rsid w:val="008529C4"/>
    <w:rsid w:val="00852AD5"/>
    <w:rsid w:val="00852D3F"/>
    <w:rsid w:val="00853144"/>
    <w:rsid w:val="00854F0F"/>
    <w:rsid w:val="00861FE8"/>
    <w:rsid w:val="008632BE"/>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45C"/>
    <w:rsid w:val="00885B7C"/>
    <w:rsid w:val="00885F21"/>
    <w:rsid w:val="00886208"/>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36DD"/>
    <w:rsid w:val="008A3F5A"/>
    <w:rsid w:val="008A7414"/>
    <w:rsid w:val="008B0984"/>
    <w:rsid w:val="008B1F00"/>
    <w:rsid w:val="008B2239"/>
    <w:rsid w:val="008B333D"/>
    <w:rsid w:val="008B47ED"/>
    <w:rsid w:val="008B6399"/>
    <w:rsid w:val="008B6EDB"/>
    <w:rsid w:val="008C1F09"/>
    <w:rsid w:val="008C22CA"/>
    <w:rsid w:val="008C2E7B"/>
    <w:rsid w:val="008C3389"/>
    <w:rsid w:val="008C35F5"/>
    <w:rsid w:val="008C462C"/>
    <w:rsid w:val="008C4831"/>
    <w:rsid w:val="008D3C76"/>
    <w:rsid w:val="008D40FE"/>
    <w:rsid w:val="008D44A6"/>
    <w:rsid w:val="008D5502"/>
    <w:rsid w:val="008D5B86"/>
    <w:rsid w:val="008D6AE9"/>
    <w:rsid w:val="008D6C1D"/>
    <w:rsid w:val="008D792D"/>
    <w:rsid w:val="008E3C9E"/>
    <w:rsid w:val="008E41E4"/>
    <w:rsid w:val="008E440F"/>
    <w:rsid w:val="008E459D"/>
    <w:rsid w:val="008E7754"/>
    <w:rsid w:val="008F019A"/>
    <w:rsid w:val="008F2266"/>
    <w:rsid w:val="008F2B87"/>
    <w:rsid w:val="008F2D70"/>
    <w:rsid w:val="008F3F27"/>
    <w:rsid w:val="008F6541"/>
    <w:rsid w:val="008F669A"/>
    <w:rsid w:val="008F6AFA"/>
    <w:rsid w:val="008F7C92"/>
    <w:rsid w:val="008F7D1A"/>
    <w:rsid w:val="00902097"/>
    <w:rsid w:val="00903445"/>
    <w:rsid w:val="009035A2"/>
    <w:rsid w:val="00903CAD"/>
    <w:rsid w:val="009063E7"/>
    <w:rsid w:val="00907B36"/>
    <w:rsid w:val="00911D00"/>
    <w:rsid w:val="00911E6D"/>
    <w:rsid w:val="009148B5"/>
    <w:rsid w:val="00914E44"/>
    <w:rsid w:val="009172A2"/>
    <w:rsid w:val="00917F98"/>
    <w:rsid w:val="009232BB"/>
    <w:rsid w:val="00923DFD"/>
    <w:rsid w:val="00924527"/>
    <w:rsid w:val="00924CD1"/>
    <w:rsid w:val="0092562D"/>
    <w:rsid w:val="00925D50"/>
    <w:rsid w:val="00926352"/>
    <w:rsid w:val="00926BC7"/>
    <w:rsid w:val="009301C6"/>
    <w:rsid w:val="00931291"/>
    <w:rsid w:val="00931AE8"/>
    <w:rsid w:val="00933D0C"/>
    <w:rsid w:val="00934086"/>
    <w:rsid w:val="009356E6"/>
    <w:rsid w:val="0094096B"/>
    <w:rsid w:val="00942355"/>
    <w:rsid w:val="00942A32"/>
    <w:rsid w:val="00944743"/>
    <w:rsid w:val="00944E03"/>
    <w:rsid w:val="009455C7"/>
    <w:rsid w:val="00945A5A"/>
    <w:rsid w:val="00945D37"/>
    <w:rsid w:val="009476E6"/>
    <w:rsid w:val="0095401B"/>
    <w:rsid w:val="009546FA"/>
    <w:rsid w:val="00954CC7"/>
    <w:rsid w:val="009550FB"/>
    <w:rsid w:val="009601CF"/>
    <w:rsid w:val="00960E78"/>
    <w:rsid w:val="00960F09"/>
    <w:rsid w:val="00961025"/>
    <w:rsid w:val="009621A3"/>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65AA"/>
    <w:rsid w:val="00987241"/>
    <w:rsid w:val="00987B72"/>
    <w:rsid w:val="00990ACE"/>
    <w:rsid w:val="00991C50"/>
    <w:rsid w:val="009953DA"/>
    <w:rsid w:val="009A01A1"/>
    <w:rsid w:val="009A05B4"/>
    <w:rsid w:val="009A1026"/>
    <w:rsid w:val="009A2194"/>
    <w:rsid w:val="009A26DA"/>
    <w:rsid w:val="009A3D54"/>
    <w:rsid w:val="009A5858"/>
    <w:rsid w:val="009A5B9F"/>
    <w:rsid w:val="009B07D5"/>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5F76"/>
    <w:rsid w:val="009E6421"/>
    <w:rsid w:val="009E6815"/>
    <w:rsid w:val="009E7148"/>
    <w:rsid w:val="009E7514"/>
    <w:rsid w:val="009F19C3"/>
    <w:rsid w:val="009F4180"/>
    <w:rsid w:val="009F5B28"/>
    <w:rsid w:val="009F6DBF"/>
    <w:rsid w:val="009F757B"/>
    <w:rsid w:val="009F7948"/>
    <w:rsid w:val="00A022AC"/>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4765"/>
    <w:rsid w:val="00A27898"/>
    <w:rsid w:val="00A34B44"/>
    <w:rsid w:val="00A35282"/>
    <w:rsid w:val="00A4137B"/>
    <w:rsid w:val="00A43093"/>
    <w:rsid w:val="00A43DC1"/>
    <w:rsid w:val="00A4595F"/>
    <w:rsid w:val="00A45B82"/>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7BF2"/>
    <w:rsid w:val="00A67DE3"/>
    <w:rsid w:val="00A700DC"/>
    <w:rsid w:val="00A70891"/>
    <w:rsid w:val="00A72211"/>
    <w:rsid w:val="00A73EE2"/>
    <w:rsid w:val="00A746A3"/>
    <w:rsid w:val="00A74B20"/>
    <w:rsid w:val="00A74D3D"/>
    <w:rsid w:val="00A74F9C"/>
    <w:rsid w:val="00A80F72"/>
    <w:rsid w:val="00A81798"/>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20E"/>
    <w:rsid w:val="00A97676"/>
    <w:rsid w:val="00A97CA6"/>
    <w:rsid w:val="00AA37B0"/>
    <w:rsid w:val="00AA3F9B"/>
    <w:rsid w:val="00AA586A"/>
    <w:rsid w:val="00AA66B6"/>
    <w:rsid w:val="00AA7670"/>
    <w:rsid w:val="00AB0141"/>
    <w:rsid w:val="00AB46F3"/>
    <w:rsid w:val="00AB6555"/>
    <w:rsid w:val="00AC0D28"/>
    <w:rsid w:val="00AC1327"/>
    <w:rsid w:val="00AC1A60"/>
    <w:rsid w:val="00AC424A"/>
    <w:rsid w:val="00AC4702"/>
    <w:rsid w:val="00AC4D7F"/>
    <w:rsid w:val="00AC5810"/>
    <w:rsid w:val="00AC5C00"/>
    <w:rsid w:val="00AD210E"/>
    <w:rsid w:val="00AD2370"/>
    <w:rsid w:val="00AD4FDE"/>
    <w:rsid w:val="00AD694B"/>
    <w:rsid w:val="00AE2548"/>
    <w:rsid w:val="00AE3B00"/>
    <w:rsid w:val="00AE3BC8"/>
    <w:rsid w:val="00AE42D3"/>
    <w:rsid w:val="00AE5870"/>
    <w:rsid w:val="00AE627B"/>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54FD"/>
    <w:rsid w:val="00B3578A"/>
    <w:rsid w:val="00B37252"/>
    <w:rsid w:val="00B400C5"/>
    <w:rsid w:val="00B41CCB"/>
    <w:rsid w:val="00B46B89"/>
    <w:rsid w:val="00B50697"/>
    <w:rsid w:val="00B51BFB"/>
    <w:rsid w:val="00B531F8"/>
    <w:rsid w:val="00B54B48"/>
    <w:rsid w:val="00B56E20"/>
    <w:rsid w:val="00B61D63"/>
    <w:rsid w:val="00B63CA4"/>
    <w:rsid w:val="00B64445"/>
    <w:rsid w:val="00B644CE"/>
    <w:rsid w:val="00B6478F"/>
    <w:rsid w:val="00B64E75"/>
    <w:rsid w:val="00B66126"/>
    <w:rsid w:val="00B67F9F"/>
    <w:rsid w:val="00B705B5"/>
    <w:rsid w:val="00B70C75"/>
    <w:rsid w:val="00B717DC"/>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2BB"/>
    <w:rsid w:val="00BA252C"/>
    <w:rsid w:val="00BA36F9"/>
    <w:rsid w:val="00BA45F4"/>
    <w:rsid w:val="00BA4DE2"/>
    <w:rsid w:val="00BB04E5"/>
    <w:rsid w:val="00BB146C"/>
    <w:rsid w:val="00BB27C8"/>
    <w:rsid w:val="00BB3868"/>
    <w:rsid w:val="00BB449E"/>
    <w:rsid w:val="00BB5138"/>
    <w:rsid w:val="00BB5419"/>
    <w:rsid w:val="00BB578C"/>
    <w:rsid w:val="00BB6398"/>
    <w:rsid w:val="00BB72E5"/>
    <w:rsid w:val="00BB77C6"/>
    <w:rsid w:val="00BC206C"/>
    <w:rsid w:val="00BC2C8E"/>
    <w:rsid w:val="00BC4506"/>
    <w:rsid w:val="00BC4F53"/>
    <w:rsid w:val="00BC6B41"/>
    <w:rsid w:val="00BC784D"/>
    <w:rsid w:val="00BD049D"/>
    <w:rsid w:val="00BD04F0"/>
    <w:rsid w:val="00BD11D3"/>
    <w:rsid w:val="00BD1AD3"/>
    <w:rsid w:val="00BD2170"/>
    <w:rsid w:val="00BD25B3"/>
    <w:rsid w:val="00BD3BC3"/>
    <w:rsid w:val="00BD5779"/>
    <w:rsid w:val="00BD6483"/>
    <w:rsid w:val="00BD7BDE"/>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583D"/>
    <w:rsid w:val="00C15E18"/>
    <w:rsid w:val="00C15EC4"/>
    <w:rsid w:val="00C17027"/>
    <w:rsid w:val="00C1740C"/>
    <w:rsid w:val="00C17609"/>
    <w:rsid w:val="00C17F41"/>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452D"/>
    <w:rsid w:val="00C47DC3"/>
    <w:rsid w:val="00C52765"/>
    <w:rsid w:val="00C5400C"/>
    <w:rsid w:val="00C54167"/>
    <w:rsid w:val="00C541FB"/>
    <w:rsid w:val="00C54B89"/>
    <w:rsid w:val="00C54EB8"/>
    <w:rsid w:val="00C576C5"/>
    <w:rsid w:val="00C57E71"/>
    <w:rsid w:val="00C60816"/>
    <w:rsid w:val="00C6113C"/>
    <w:rsid w:val="00C61B31"/>
    <w:rsid w:val="00C61F0D"/>
    <w:rsid w:val="00C6260C"/>
    <w:rsid w:val="00C65D18"/>
    <w:rsid w:val="00C67595"/>
    <w:rsid w:val="00C67DBB"/>
    <w:rsid w:val="00C7079A"/>
    <w:rsid w:val="00C720E4"/>
    <w:rsid w:val="00C77265"/>
    <w:rsid w:val="00C7745B"/>
    <w:rsid w:val="00C77E32"/>
    <w:rsid w:val="00C803CE"/>
    <w:rsid w:val="00C8084B"/>
    <w:rsid w:val="00C819F9"/>
    <w:rsid w:val="00C82BC8"/>
    <w:rsid w:val="00C85E77"/>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7DE"/>
    <w:rsid w:val="00CA0A89"/>
    <w:rsid w:val="00CA11F6"/>
    <w:rsid w:val="00CA1375"/>
    <w:rsid w:val="00CA179C"/>
    <w:rsid w:val="00CA1CD2"/>
    <w:rsid w:val="00CA37A8"/>
    <w:rsid w:val="00CA6B32"/>
    <w:rsid w:val="00CA7C4D"/>
    <w:rsid w:val="00CB2777"/>
    <w:rsid w:val="00CB2E1F"/>
    <w:rsid w:val="00CB478B"/>
    <w:rsid w:val="00CB5158"/>
    <w:rsid w:val="00CB728B"/>
    <w:rsid w:val="00CC027E"/>
    <w:rsid w:val="00CC1235"/>
    <w:rsid w:val="00CC26F5"/>
    <w:rsid w:val="00CC481B"/>
    <w:rsid w:val="00CC66B9"/>
    <w:rsid w:val="00CC6847"/>
    <w:rsid w:val="00CD088F"/>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D13"/>
    <w:rsid w:val="00CE6A0A"/>
    <w:rsid w:val="00CE6F12"/>
    <w:rsid w:val="00CF0EA2"/>
    <w:rsid w:val="00CF28C2"/>
    <w:rsid w:val="00CF29E3"/>
    <w:rsid w:val="00CF34B8"/>
    <w:rsid w:val="00CF4957"/>
    <w:rsid w:val="00CF5875"/>
    <w:rsid w:val="00CF648C"/>
    <w:rsid w:val="00CF6FB5"/>
    <w:rsid w:val="00CF6FCE"/>
    <w:rsid w:val="00CF77E7"/>
    <w:rsid w:val="00D00227"/>
    <w:rsid w:val="00D00988"/>
    <w:rsid w:val="00D00B5D"/>
    <w:rsid w:val="00D01CC0"/>
    <w:rsid w:val="00D02DFC"/>
    <w:rsid w:val="00D02FFE"/>
    <w:rsid w:val="00D04651"/>
    <w:rsid w:val="00D047E5"/>
    <w:rsid w:val="00D073F3"/>
    <w:rsid w:val="00D077B7"/>
    <w:rsid w:val="00D07887"/>
    <w:rsid w:val="00D07B61"/>
    <w:rsid w:val="00D07D80"/>
    <w:rsid w:val="00D10178"/>
    <w:rsid w:val="00D10A35"/>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5DF2"/>
    <w:rsid w:val="00D26BAA"/>
    <w:rsid w:val="00D2720E"/>
    <w:rsid w:val="00D273D5"/>
    <w:rsid w:val="00D3309D"/>
    <w:rsid w:val="00D36496"/>
    <w:rsid w:val="00D370DD"/>
    <w:rsid w:val="00D40186"/>
    <w:rsid w:val="00D4282D"/>
    <w:rsid w:val="00D42B99"/>
    <w:rsid w:val="00D45A23"/>
    <w:rsid w:val="00D460AC"/>
    <w:rsid w:val="00D46D80"/>
    <w:rsid w:val="00D479A4"/>
    <w:rsid w:val="00D506E1"/>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1844"/>
    <w:rsid w:val="00D943A3"/>
    <w:rsid w:val="00D9614A"/>
    <w:rsid w:val="00D97408"/>
    <w:rsid w:val="00D9761B"/>
    <w:rsid w:val="00D9780E"/>
    <w:rsid w:val="00DA049C"/>
    <w:rsid w:val="00DA2EE6"/>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48F"/>
    <w:rsid w:val="00DC05AA"/>
    <w:rsid w:val="00DC05C9"/>
    <w:rsid w:val="00DC07E6"/>
    <w:rsid w:val="00DC2245"/>
    <w:rsid w:val="00DC3758"/>
    <w:rsid w:val="00DC5EF3"/>
    <w:rsid w:val="00DD1CB4"/>
    <w:rsid w:val="00DD1D88"/>
    <w:rsid w:val="00DD25AF"/>
    <w:rsid w:val="00DD4618"/>
    <w:rsid w:val="00DD63EA"/>
    <w:rsid w:val="00DD7942"/>
    <w:rsid w:val="00DD7C9A"/>
    <w:rsid w:val="00DE0F91"/>
    <w:rsid w:val="00DE1EB2"/>
    <w:rsid w:val="00DE260A"/>
    <w:rsid w:val="00DE3126"/>
    <w:rsid w:val="00DE3142"/>
    <w:rsid w:val="00DE3877"/>
    <w:rsid w:val="00DE4E50"/>
    <w:rsid w:val="00DE4F7E"/>
    <w:rsid w:val="00DE50B8"/>
    <w:rsid w:val="00DE51AF"/>
    <w:rsid w:val="00DE6415"/>
    <w:rsid w:val="00DE6453"/>
    <w:rsid w:val="00DE75CE"/>
    <w:rsid w:val="00DE7B75"/>
    <w:rsid w:val="00DE7D89"/>
    <w:rsid w:val="00DE7DFD"/>
    <w:rsid w:val="00DF02CF"/>
    <w:rsid w:val="00DF054C"/>
    <w:rsid w:val="00DF0696"/>
    <w:rsid w:val="00DF2554"/>
    <w:rsid w:val="00DF2587"/>
    <w:rsid w:val="00DF42F2"/>
    <w:rsid w:val="00DF51F1"/>
    <w:rsid w:val="00DF521F"/>
    <w:rsid w:val="00DF5223"/>
    <w:rsid w:val="00DF7250"/>
    <w:rsid w:val="00DF72A5"/>
    <w:rsid w:val="00DF7B48"/>
    <w:rsid w:val="00E00BCE"/>
    <w:rsid w:val="00E04341"/>
    <w:rsid w:val="00E04F98"/>
    <w:rsid w:val="00E05BBE"/>
    <w:rsid w:val="00E060D6"/>
    <w:rsid w:val="00E06342"/>
    <w:rsid w:val="00E0677E"/>
    <w:rsid w:val="00E07ED7"/>
    <w:rsid w:val="00E10C8D"/>
    <w:rsid w:val="00E1153C"/>
    <w:rsid w:val="00E11A31"/>
    <w:rsid w:val="00E13035"/>
    <w:rsid w:val="00E134B3"/>
    <w:rsid w:val="00E1363E"/>
    <w:rsid w:val="00E143C7"/>
    <w:rsid w:val="00E15FF2"/>
    <w:rsid w:val="00E1624F"/>
    <w:rsid w:val="00E20949"/>
    <w:rsid w:val="00E22095"/>
    <w:rsid w:val="00E25417"/>
    <w:rsid w:val="00E26493"/>
    <w:rsid w:val="00E26FF4"/>
    <w:rsid w:val="00E271C1"/>
    <w:rsid w:val="00E27C67"/>
    <w:rsid w:val="00E27CED"/>
    <w:rsid w:val="00E3064D"/>
    <w:rsid w:val="00E33458"/>
    <w:rsid w:val="00E33C03"/>
    <w:rsid w:val="00E346D4"/>
    <w:rsid w:val="00E34D99"/>
    <w:rsid w:val="00E352DF"/>
    <w:rsid w:val="00E36CA0"/>
    <w:rsid w:val="00E37057"/>
    <w:rsid w:val="00E40836"/>
    <w:rsid w:val="00E4115A"/>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4383"/>
    <w:rsid w:val="00E674E5"/>
    <w:rsid w:val="00E675D0"/>
    <w:rsid w:val="00E677BE"/>
    <w:rsid w:val="00E702C4"/>
    <w:rsid w:val="00E71EFD"/>
    <w:rsid w:val="00E74412"/>
    <w:rsid w:val="00E74EEC"/>
    <w:rsid w:val="00E74FFA"/>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279A"/>
    <w:rsid w:val="00EA2F8B"/>
    <w:rsid w:val="00EA57D0"/>
    <w:rsid w:val="00EA6445"/>
    <w:rsid w:val="00EA70CB"/>
    <w:rsid w:val="00EA7D98"/>
    <w:rsid w:val="00EB21D4"/>
    <w:rsid w:val="00EB2483"/>
    <w:rsid w:val="00EB476A"/>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59D0"/>
    <w:rsid w:val="00EC65FD"/>
    <w:rsid w:val="00EC7FDD"/>
    <w:rsid w:val="00ED1312"/>
    <w:rsid w:val="00ED3E13"/>
    <w:rsid w:val="00ED64EE"/>
    <w:rsid w:val="00EE01D0"/>
    <w:rsid w:val="00EE0E63"/>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F02489"/>
    <w:rsid w:val="00F045F2"/>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1777"/>
    <w:rsid w:val="00F2296F"/>
    <w:rsid w:val="00F252E5"/>
    <w:rsid w:val="00F27049"/>
    <w:rsid w:val="00F30CF8"/>
    <w:rsid w:val="00F34292"/>
    <w:rsid w:val="00F362B5"/>
    <w:rsid w:val="00F36B80"/>
    <w:rsid w:val="00F405A9"/>
    <w:rsid w:val="00F41906"/>
    <w:rsid w:val="00F4375D"/>
    <w:rsid w:val="00F460F9"/>
    <w:rsid w:val="00F4723C"/>
    <w:rsid w:val="00F47F3F"/>
    <w:rsid w:val="00F520A9"/>
    <w:rsid w:val="00F52F66"/>
    <w:rsid w:val="00F534F3"/>
    <w:rsid w:val="00F53AA0"/>
    <w:rsid w:val="00F54B7A"/>
    <w:rsid w:val="00F54D98"/>
    <w:rsid w:val="00F5519F"/>
    <w:rsid w:val="00F57471"/>
    <w:rsid w:val="00F57672"/>
    <w:rsid w:val="00F608E2"/>
    <w:rsid w:val="00F61E95"/>
    <w:rsid w:val="00F63934"/>
    <w:rsid w:val="00F64F8E"/>
    <w:rsid w:val="00F7014A"/>
    <w:rsid w:val="00F715BA"/>
    <w:rsid w:val="00F72CAC"/>
    <w:rsid w:val="00F7304F"/>
    <w:rsid w:val="00F750A2"/>
    <w:rsid w:val="00F76B24"/>
    <w:rsid w:val="00F76B4C"/>
    <w:rsid w:val="00F7719C"/>
    <w:rsid w:val="00F773B6"/>
    <w:rsid w:val="00F7747B"/>
    <w:rsid w:val="00F777F3"/>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692E"/>
    <w:rsid w:val="00FD0635"/>
    <w:rsid w:val="00FD326B"/>
    <w:rsid w:val="00FD5416"/>
    <w:rsid w:val="00FD5EDE"/>
    <w:rsid w:val="00FD6FA6"/>
    <w:rsid w:val="00FD7CE2"/>
    <w:rsid w:val="00FE0490"/>
    <w:rsid w:val="00FE14CB"/>
    <w:rsid w:val="00FE224B"/>
    <w:rsid w:val="00FE25D0"/>
    <w:rsid w:val="00FE3E11"/>
    <w:rsid w:val="00FE5245"/>
    <w:rsid w:val="00FE585E"/>
    <w:rsid w:val="00FE5A74"/>
    <w:rsid w:val="00FE6905"/>
    <w:rsid w:val="00FE7EE4"/>
    <w:rsid w:val="00FF0CE4"/>
    <w:rsid w:val="00FF1496"/>
    <w:rsid w:val="00FF32A1"/>
    <w:rsid w:val="00FF37E9"/>
    <w:rsid w:val="00FF381C"/>
    <w:rsid w:val="00FF3FA1"/>
    <w:rsid w:val="00FF5D23"/>
    <w:rsid w:val="00FF615D"/>
    <w:rsid w:val="00FF6511"/>
    <w:rsid w:val="00FF7475"/>
    <w:rsid w:val="00FF7D2B"/>
    <w:rsid w:val="01B11D31"/>
    <w:rsid w:val="023A109F"/>
    <w:rsid w:val="02B52C0D"/>
    <w:rsid w:val="02EB4148"/>
    <w:rsid w:val="03AF009C"/>
    <w:rsid w:val="03D66BA6"/>
    <w:rsid w:val="04555844"/>
    <w:rsid w:val="04B067F8"/>
    <w:rsid w:val="06311428"/>
    <w:rsid w:val="06406436"/>
    <w:rsid w:val="07FC0BA5"/>
    <w:rsid w:val="08086B3E"/>
    <w:rsid w:val="096864F2"/>
    <w:rsid w:val="09811362"/>
    <w:rsid w:val="09BC328F"/>
    <w:rsid w:val="09CD0DEC"/>
    <w:rsid w:val="0A873492"/>
    <w:rsid w:val="0A9D5F75"/>
    <w:rsid w:val="0ACE6829"/>
    <w:rsid w:val="0D42677B"/>
    <w:rsid w:val="0D6D7E7A"/>
    <w:rsid w:val="0DB47164"/>
    <w:rsid w:val="0E60055D"/>
    <w:rsid w:val="0E8402F9"/>
    <w:rsid w:val="0F1F783B"/>
    <w:rsid w:val="0F225395"/>
    <w:rsid w:val="0F396355"/>
    <w:rsid w:val="0F414A90"/>
    <w:rsid w:val="0F5F6C14"/>
    <w:rsid w:val="0FF11AD6"/>
    <w:rsid w:val="0FF24D67"/>
    <w:rsid w:val="1163692A"/>
    <w:rsid w:val="117417AC"/>
    <w:rsid w:val="11A67D57"/>
    <w:rsid w:val="11E55E4B"/>
    <w:rsid w:val="129A3336"/>
    <w:rsid w:val="12F42BA4"/>
    <w:rsid w:val="13AF103F"/>
    <w:rsid w:val="13C762A4"/>
    <w:rsid w:val="14770F16"/>
    <w:rsid w:val="14F52FE5"/>
    <w:rsid w:val="16167B3B"/>
    <w:rsid w:val="16646293"/>
    <w:rsid w:val="16DC407B"/>
    <w:rsid w:val="177A3491"/>
    <w:rsid w:val="180065DE"/>
    <w:rsid w:val="1820443C"/>
    <w:rsid w:val="184B5A18"/>
    <w:rsid w:val="186802BC"/>
    <w:rsid w:val="189B6524"/>
    <w:rsid w:val="19793E03"/>
    <w:rsid w:val="19C2772D"/>
    <w:rsid w:val="19FA13E8"/>
    <w:rsid w:val="1A3102AD"/>
    <w:rsid w:val="1A6F5536"/>
    <w:rsid w:val="1A844CF5"/>
    <w:rsid w:val="1AB02A53"/>
    <w:rsid w:val="1AB1581F"/>
    <w:rsid w:val="1B662D39"/>
    <w:rsid w:val="1B957BB4"/>
    <w:rsid w:val="1BDB57BB"/>
    <w:rsid w:val="1C3D7F62"/>
    <w:rsid w:val="1C422BD3"/>
    <w:rsid w:val="1ECE4BF1"/>
    <w:rsid w:val="1F1E0E5D"/>
    <w:rsid w:val="1F35500F"/>
    <w:rsid w:val="1FE1254C"/>
    <w:rsid w:val="1FFF19CA"/>
    <w:rsid w:val="200118CD"/>
    <w:rsid w:val="204D7120"/>
    <w:rsid w:val="20931C4F"/>
    <w:rsid w:val="20DB53A4"/>
    <w:rsid w:val="20E37FD0"/>
    <w:rsid w:val="21041B4F"/>
    <w:rsid w:val="21765739"/>
    <w:rsid w:val="21F77FBB"/>
    <w:rsid w:val="22141A80"/>
    <w:rsid w:val="22B10AB2"/>
    <w:rsid w:val="23403BE4"/>
    <w:rsid w:val="239A790B"/>
    <w:rsid w:val="24085B1D"/>
    <w:rsid w:val="24255E3A"/>
    <w:rsid w:val="24F41E00"/>
    <w:rsid w:val="25284887"/>
    <w:rsid w:val="25526F88"/>
    <w:rsid w:val="25B90951"/>
    <w:rsid w:val="278A3680"/>
    <w:rsid w:val="287A53A0"/>
    <w:rsid w:val="28932B31"/>
    <w:rsid w:val="28D861AE"/>
    <w:rsid w:val="29616394"/>
    <w:rsid w:val="29BF3AB4"/>
    <w:rsid w:val="29FA4DB3"/>
    <w:rsid w:val="2B1E53FF"/>
    <w:rsid w:val="2B580267"/>
    <w:rsid w:val="2D124D22"/>
    <w:rsid w:val="2D366BBC"/>
    <w:rsid w:val="2D480285"/>
    <w:rsid w:val="2EBE3270"/>
    <w:rsid w:val="3001185E"/>
    <w:rsid w:val="308F2696"/>
    <w:rsid w:val="3121636C"/>
    <w:rsid w:val="31330A6A"/>
    <w:rsid w:val="319F2761"/>
    <w:rsid w:val="31CF708E"/>
    <w:rsid w:val="32496611"/>
    <w:rsid w:val="324E32ED"/>
    <w:rsid w:val="32681759"/>
    <w:rsid w:val="32AC6BA0"/>
    <w:rsid w:val="332D5F33"/>
    <w:rsid w:val="33351062"/>
    <w:rsid w:val="336809E1"/>
    <w:rsid w:val="352073D1"/>
    <w:rsid w:val="36BB5604"/>
    <w:rsid w:val="36E641B0"/>
    <w:rsid w:val="37340B1D"/>
    <w:rsid w:val="37EA2868"/>
    <w:rsid w:val="37F401F0"/>
    <w:rsid w:val="38B34679"/>
    <w:rsid w:val="38FA68B7"/>
    <w:rsid w:val="391D3AF5"/>
    <w:rsid w:val="39311BAD"/>
    <w:rsid w:val="397F6DBC"/>
    <w:rsid w:val="39C61DC1"/>
    <w:rsid w:val="39F17099"/>
    <w:rsid w:val="3ABF55C9"/>
    <w:rsid w:val="3B07350D"/>
    <w:rsid w:val="3B3909FF"/>
    <w:rsid w:val="3B494567"/>
    <w:rsid w:val="3C9506CC"/>
    <w:rsid w:val="3D2C1009"/>
    <w:rsid w:val="3D346109"/>
    <w:rsid w:val="3D9E4EC8"/>
    <w:rsid w:val="3E3F4D6C"/>
    <w:rsid w:val="3EE17EBF"/>
    <w:rsid w:val="40B30B18"/>
    <w:rsid w:val="40C50001"/>
    <w:rsid w:val="40E300DE"/>
    <w:rsid w:val="418D1537"/>
    <w:rsid w:val="41F36599"/>
    <w:rsid w:val="42526CE9"/>
    <w:rsid w:val="42DD0C8B"/>
    <w:rsid w:val="43AF4742"/>
    <w:rsid w:val="43D353AE"/>
    <w:rsid w:val="44DB6C4D"/>
    <w:rsid w:val="45235D66"/>
    <w:rsid w:val="455455A1"/>
    <w:rsid w:val="475C6F0F"/>
    <w:rsid w:val="479D11C6"/>
    <w:rsid w:val="482E0744"/>
    <w:rsid w:val="48CC36A0"/>
    <w:rsid w:val="490177EE"/>
    <w:rsid w:val="49172B6D"/>
    <w:rsid w:val="49CA3324"/>
    <w:rsid w:val="4A081455"/>
    <w:rsid w:val="4A127F7F"/>
    <w:rsid w:val="4A335610"/>
    <w:rsid w:val="4A4C5208"/>
    <w:rsid w:val="4AB8212E"/>
    <w:rsid w:val="4AC760EA"/>
    <w:rsid w:val="4ACE50BD"/>
    <w:rsid w:val="4AFD5D93"/>
    <w:rsid w:val="4B1C279C"/>
    <w:rsid w:val="4B3B30DB"/>
    <w:rsid w:val="4B421DA5"/>
    <w:rsid w:val="4C03562B"/>
    <w:rsid w:val="4C2D3A30"/>
    <w:rsid w:val="4CA1354D"/>
    <w:rsid w:val="4D3337E2"/>
    <w:rsid w:val="4D721D70"/>
    <w:rsid w:val="4D810EB4"/>
    <w:rsid w:val="4DB446D6"/>
    <w:rsid w:val="4FA727D4"/>
    <w:rsid w:val="4FB51E68"/>
    <w:rsid w:val="514D6513"/>
    <w:rsid w:val="5191571B"/>
    <w:rsid w:val="521F0CE5"/>
    <w:rsid w:val="524412A4"/>
    <w:rsid w:val="52F20F7E"/>
    <w:rsid w:val="543F04EF"/>
    <w:rsid w:val="54DC2EBD"/>
    <w:rsid w:val="55C0145F"/>
    <w:rsid w:val="568E0160"/>
    <w:rsid w:val="571C5DB6"/>
    <w:rsid w:val="57B27CEE"/>
    <w:rsid w:val="594B6385"/>
    <w:rsid w:val="596F3F43"/>
    <w:rsid w:val="5988305F"/>
    <w:rsid w:val="5A6E2809"/>
    <w:rsid w:val="5AEC372E"/>
    <w:rsid w:val="5BA77043"/>
    <w:rsid w:val="5BF32BE8"/>
    <w:rsid w:val="5C2E5C4B"/>
    <w:rsid w:val="5D015BB7"/>
    <w:rsid w:val="5D27015D"/>
    <w:rsid w:val="5D535CE6"/>
    <w:rsid w:val="5D7E0FB5"/>
    <w:rsid w:val="5E1F71BC"/>
    <w:rsid w:val="5E7A5CD0"/>
    <w:rsid w:val="5EB80508"/>
    <w:rsid w:val="5EC15E50"/>
    <w:rsid w:val="5EC77C0A"/>
    <w:rsid w:val="5EDC0ECF"/>
    <w:rsid w:val="5EE906B0"/>
    <w:rsid w:val="60ED2175"/>
    <w:rsid w:val="61135EB8"/>
    <w:rsid w:val="61251748"/>
    <w:rsid w:val="6131590F"/>
    <w:rsid w:val="61F53F91"/>
    <w:rsid w:val="620D46B6"/>
    <w:rsid w:val="62131CDC"/>
    <w:rsid w:val="622938A5"/>
    <w:rsid w:val="6269266B"/>
    <w:rsid w:val="63C9592A"/>
    <w:rsid w:val="64186AF6"/>
    <w:rsid w:val="644C495D"/>
    <w:rsid w:val="6483317A"/>
    <w:rsid w:val="65085118"/>
    <w:rsid w:val="650C7366"/>
    <w:rsid w:val="66171FFD"/>
    <w:rsid w:val="664647F4"/>
    <w:rsid w:val="670F0ED0"/>
    <w:rsid w:val="679C434F"/>
    <w:rsid w:val="67EB7B4E"/>
    <w:rsid w:val="67FA392E"/>
    <w:rsid w:val="68A13DAA"/>
    <w:rsid w:val="68C46AF0"/>
    <w:rsid w:val="696C387D"/>
    <w:rsid w:val="69CD2A26"/>
    <w:rsid w:val="6AA10091"/>
    <w:rsid w:val="6CC752A9"/>
    <w:rsid w:val="6D003795"/>
    <w:rsid w:val="6D4C7925"/>
    <w:rsid w:val="6F585AF5"/>
    <w:rsid w:val="70650505"/>
    <w:rsid w:val="70651D96"/>
    <w:rsid w:val="715C4214"/>
    <w:rsid w:val="71B645C9"/>
    <w:rsid w:val="71C823A7"/>
    <w:rsid w:val="71D73328"/>
    <w:rsid w:val="720F54A7"/>
    <w:rsid w:val="72877C7F"/>
    <w:rsid w:val="730F6DEB"/>
    <w:rsid w:val="734E1F93"/>
    <w:rsid w:val="734F0FD2"/>
    <w:rsid w:val="735E6A2E"/>
    <w:rsid w:val="738A21BE"/>
    <w:rsid w:val="73C3551C"/>
    <w:rsid w:val="74C268A7"/>
    <w:rsid w:val="75297777"/>
    <w:rsid w:val="76010EBA"/>
    <w:rsid w:val="77474D7B"/>
    <w:rsid w:val="782303E7"/>
    <w:rsid w:val="78752B26"/>
    <w:rsid w:val="78BF0401"/>
    <w:rsid w:val="78E424FF"/>
    <w:rsid w:val="7A2D47D1"/>
    <w:rsid w:val="7AEF0BC9"/>
    <w:rsid w:val="7B723568"/>
    <w:rsid w:val="7B7A34C4"/>
    <w:rsid w:val="7B8E4662"/>
    <w:rsid w:val="7BE90D12"/>
    <w:rsid w:val="7D2A2F98"/>
    <w:rsid w:val="7D345138"/>
    <w:rsid w:val="7D3B1CE7"/>
    <w:rsid w:val="7D5B7A91"/>
    <w:rsid w:val="7E08508A"/>
    <w:rsid w:val="7E3C152F"/>
    <w:rsid w:val="7E9A50CB"/>
    <w:rsid w:val="7EA63A70"/>
    <w:rsid w:val="7FA23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qFormat="1" w:unhideWhenUsed="0" w:uiPriority="1" w:semiHidden="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3">
    <w:name w:val="heading 1"/>
    <w:basedOn w:val="1"/>
    <w:next w:val="1"/>
    <w:link w:val="73"/>
    <w:autoRedefine/>
    <w:qFormat/>
    <w:uiPriority w:val="9"/>
    <w:pPr>
      <w:keepNext/>
      <w:keepLines/>
      <w:ind w:firstLine="0" w:firstLineChars="0"/>
      <w:jc w:val="center"/>
      <w:outlineLvl w:val="0"/>
    </w:pPr>
    <w:rPr>
      <w:b/>
      <w:bCs/>
      <w:kern w:val="44"/>
      <w:sz w:val="24"/>
      <w:szCs w:val="44"/>
    </w:rPr>
  </w:style>
  <w:style w:type="paragraph" w:styleId="2">
    <w:name w:val="heading 2"/>
    <w:basedOn w:val="1"/>
    <w:next w:val="1"/>
    <w:link w:val="74"/>
    <w:autoRedefine/>
    <w:qFormat/>
    <w:uiPriority w:val="9"/>
    <w:pPr>
      <w:keepNext/>
      <w:adjustRightInd w:val="0"/>
      <w:snapToGrid w:val="0"/>
      <w:textAlignment w:val="baseline"/>
      <w:outlineLvl w:val="1"/>
    </w:pPr>
    <w:rPr>
      <w:rFonts w:ascii="仿宋_GB2312" w:hAnsi="仿宋_GB2312"/>
      <w:b/>
      <w:kern w:val="0"/>
      <w:szCs w:val="20"/>
    </w:rPr>
  </w:style>
  <w:style w:type="paragraph" w:styleId="4">
    <w:name w:val="heading 3"/>
    <w:basedOn w:val="1"/>
    <w:next w:val="5"/>
    <w:link w:val="161"/>
    <w:autoRedefine/>
    <w:qFormat/>
    <w:uiPriority w:val="0"/>
    <w:pPr>
      <w:keepNext/>
      <w:keepLines/>
      <w:ind w:firstLine="602"/>
      <w:outlineLvl w:val="2"/>
    </w:pPr>
    <w:rPr>
      <w:rFonts w:ascii="仿宋_GB2312" w:hAnsi="仿宋_GB2312"/>
      <w:bCs/>
      <w:szCs w:val="20"/>
    </w:rPr>
  </w:style>
  <w:style w:type="paragraph" w:styleId="6">
    <w:name w:val="heading 4"/>
    <w:basedOn w:val="1"/>
    <w:next w:val="1"/>
    <w:link w:val="79"/>
    <w:autoRedefine/>
    <w:qFormat/>
    <w:uiPriority w:val="0"/>
    <w:pPr>
      <w:keepNext/>
      <w:keepLines/>
      <w:outlineLvl w:val="3"/>
    </w:pPr>
    <w:rPr>
      <w:rFonts w:ascii="等线 Light" w:hAnsi="等线 Light"/>
      <w:b/>
      <w:bCs/>
      <w:szCs w:val="28"/>
    </w:rPr>
  </w:style>
  <w:style w:type="paragraph" w:styleId="7">
    <w:name w:val="heading 5"/>
    <w:basedOn w:val="1"/>
    <w:next w:val="1"/>
    <w:link w:val="156"/>
    <w:autoRedefine/>
    <w:qFormat/>
    <w:uiPriority w:val="0"/>
    <w:pPr>
      <w:keepNext/>
      <w:keepLines/>
      <w:outlineLvl w:val="4"/>
    </w:pPr>
    <w:rPr>
      <w:b/>
      <w:bCs/>
      <w:szCs w:val="28"/>
    </w:rPr>
  </w:style>
  <w:style w:type="paragraph" w:styleId="8">
    <w:name w:val="heading 6"/>
    <w:basedOn w:val="1"/>
    <w:next w:val="1"/>
    <w:link w:val="157"/>
    <w:autoRedefine/>
    <w:qFormat/>
    <w:uiPriority w:val="0"/>
    <w:pPr>
      <w:keepNext/>
      <w:keepLines/>
      <w:spacing w:before="240" w:after="64" w:line="320" w:lineRule="auto"/>
      <w:outlineLvl w:val="5"/>
    </w:pPr>
    <w:rPr>
      <w:rFonts w:ascii="Arial" w:hAnsi="Arial" w:eastAsia="黑体"/>
      <w:b/>
      <w:bCs/>
      <w:sz w:val="24"/>
      <w:szCs w:val="20"/>
    </w:rPr>
  </w:style>
  <w:style w:type="paragraph" w:styleId="9">
    <w:name w:val="heading 7"/>
    <w:basedOn w:val="1"/>
    <w:next w:val="1"/>
    <w:link w:val="158"/>
    <w:autoRedefine/>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link w:val="159"/>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60"/>
    <w:autoRedefine/>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6">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8"/>
    <w:autoRedefine/>
    <w:qFormat/>
    <w:uiPriority w:val="0"/>
    <w:pPr>
      <w:ind w:firstLine="420"/>
    </w:pPr>
    <w:rPr>
      <w:szCs w:val="20"/>
    </w:rPr>
  </w:style>
  <w:style w:type="paragraph" w:styleId="12">
    <w:name w:val="List Number"/>
    <w:basedOn w:val="1"/>
    <w:autoRedefine/>
    <w:qFormat/>
    <w:uiPriority w:val="0"/>
    <w:pPr>
      <w:widowControl/>
      <w:numPr>
        <w:ilvl w:val="0"/>
        <w:numId w:val="1"/>
      </w:numPr>
      <w:tabs>
        <w:tab w:val="left" w:pos="454"/>
      </w:tabs>
      <w:spacing w:afterLines="50"/>
      <w:ind w:left="454" w:hanging="284"/>
    </w:pPr>
    <w:rPr>
      <w:kern w:val="0"/>
      <w:sz w:val="24"/>
      <w:szCs w:val="20"/>
    </w:r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List Bullet"/>
    <w:basedOn w:val="1"/>
    <w:autoRedefine/>
    <w:qFormat/>
    <w:uiPriority w:val="0"/>
    <w:pPr>
      <w:widowControl/>
      <w:tabs>
        <w:tab w:val="left" w:pos="900"/>
      </w:tabs>
      <w:spacing w:before="100" w:beforeAutospacing="1" w:afterLines="50" w:afterAutospacing="1"/>
      <w:ind w:left="900" w:hanging="420"/>
    </w:pPr>
    <w:rPr>
      <w:kern w:val="0"/>
      <w:szCs w:val="20"/>
    </w:rPr>
  </w:style>
  <w:style w:type="paragraph" w:styleId="15">
    <w:name w:val="Document Map"/>
    <w:basedOn w:val="1"/>
    <w:link w:val="226"/>
    <w:autoRedefine/>
    <w:semiHidden/>
    <w:qFormat/>
    <w:uiPriority w:val="0"/>
    <w:pPr>
      <w:shd w:val="clear" w:color="auto" w:fill="000080"/>
    </w:pPr>
  </w:style>
  <w:style w:type="paragraph" w:styleId="16">
    <w:name w:val="annotation text"/>
    <w:basedOn w:val="1"/>
    <w:link w:val="81"/>
    <w:autoRedefine/>
    <w:qFormat/>
    <w:uiPriority w:val="0"/>
  </w:style>
  <w:style w:type="paragraph" w:styleId="17">
    <w:name w:val="Body Text 3"/>
    <w:basedOn w:val="1"/>
    <w:link w:val="82"/>
    <w:autoRedefine/>
    <w:qFormat/>
    <w:uiPriority w:val="0"/>
    <w:pPr>
      <w:spacing w:after="120"/>
    </w:pPr>
    <w:rPr>
      <w:sz w:val="16"/>
      <w:szCs w:val="16"/>
    </w:rPr>
  </w:style>
  <w:style w:type="paragraph" w:styleId="18">
    <w:name w:val="Body Text"/>
    <w:basedOn w:val="1"/>
    <w:next w:val="1"/>
    <w:link w:val="77"/>
    <w:autoRedefine/>
    <w:qFormat/>
    <w:uiPriority w:val="0"/>
    <w:pPr>
      <w:spacing w:after="120"/>
    </w:pPr>
  </w:style>
  <w:style w:type="paragraph" w:styleId="19">
    <w:name w:val="Body Text Indent"/>
    <w:basedOn w:val="1"/>
    <w:next w:val="20"/>
    <w:link w:val="83"/>
    <w:autoRedefine/>
    <w:qFormat/>
    <w:uiPriority w:val="0"/>
    <w:pPr>
      <w:spacing w:line="200" w:lineRule="exact"/>
      <w:ind w:firstLine="301"/>
    </w:pPr>
    <w:rPr>
      <w:rFonts w:ascii="宋体" w:hAnsi="Courier New"/>
      <w:spacing w:val="-4"/>
      <w:sz w:val="18"/>
      <w:szCs w:val="20"/>
    </w:rPr>
  </w:style>
  <w:style w:type="paragraph" w:styleId="20">
    <w:name w:val="envelope return"/>
    <w:basedOn w:val="1"/>
    <w:qFormat/>
    <w:uiPriority w:val="1"/>
    <w:pPr>
      <w:snapToGrid w:val="0"/>
    </w:pPr>
    <w:rPr>
      <w:rFonts w:ascii="Segoe UI" w:hAnsi="Segoe UI" w:cs="Segoe UI"/>
    </w:rPr>
  </w:style>
  <w:style w:type="paragraph" w:styleId="21">
    <w:name w:val="List Number 3"/>
    <w:basedOn w:val="1"/>
    <w:autoRedefine/>
    <w:qFormat/>
    <w:uiPriority w:val="0"/>
    <w:pPr>
      <w:numPr>
        <w:ilvl w:val="0"/>
        <w:numId w:val="2"/>
      </w:numPr>
    </w:pPr>
  </w:style>
  <w:style w:type="paragraph" w:styleId="22">
    <w:name w:val="List 2"/>
    <w:basedOn w:val="1"/>
    <w:autoRedefine/>
    <w:qFormat/>
    <w:uiPriority w:val="0"/>
    <w:pPr>
      <w:ind w:left="566" w:hanging="283"/>
      <w:contextualSpacing/>
    </w:pPr>
  </w:style>
  <w:style w:type="paragraph" w:styleId="23">
    <w:name w:val="List Bullet 2"/>
    <w:basedOn w:val="1"/>
    <w:autoRedefine/>
    <w:qFormat/>
    <w:uiPriority w:val="0"/>
    <w:pPr>
      <w:tabs>
        <w:tab w:val="left" w:pos="360"/>
        <w:tab w:val="left" w:pos="1191"/>
      </w:tabs>
      <w:snapToGrid w:val="0"/>
      <w:ind w:left="482" w:hanging="482" w:hangingChars="200"/>
    </w:pPr>
    <w:rPr>
      <w:b/>
      <w:bCs/>
      <w:sz w:val="24"/>
      <w:szCs w:val="32"/>
    </w:rPr>
  </w:style>
  <w:style w:type="paragraph" w:styleId="24">
    <w:name w:val="toc 5"/>
    <w:basedOn w:val="1"/>
    <w:next w:val="1"/>
    <w:autoRedefine/>
    <w:semiHidden/>
    <w:qFormat/>
    <w:uiPriority w:val="0"/>
    <w:pPr>
      <w:spacing w:afterLines="50"/>
      <w:ind w:left="840"/>
    </w:pPr>
    <w:rPr>
      <w:snapToGrid w:val="0"/>
      <w:kern w:val="0"/>
      <w:sz w:val="18"/>
      <w:szCs w:val="18"/>
    </w:rPr>
  </w:style>
  <w:style w:type="paragraph" w:styleId="25">
    <w:name w:val="toc 3"/>
    <w:basedOn w:val="1"/>
    <w:next w:val="1"/>
    <w:autoRedefine/>
    <w:semiHidden/>
    <w:qFormat/>
    <w:uiPriority w:val="0"/>
    <w:pPr>
      <w:tabs>
        <w:tab w:val="right" w:leader="dot" w:pos="8296"/>
      </w:tabs>
    </w:pPr>
    <w:rPr>
      <w:b/>
      <w:bCs/>
      <w:iCs/>
    </w:rPr>
  </w:style>
  <w:style w:type="paragraph" w:styleId="26">
    <w:name w:val="Plain Text"/>
    <w:basedOn w:val="1"/>
    <w:next w:val="1"/>
    <w:link w:val="86"/>
    <w:autoRedefine/>
    <w:qFormat/>
    <w:uiPriority w:val="99"/>
    <w:rPr>
      <w:rFonts w:ascii="宋体" w:hAnsi="Courier New"/>
      <w:szCs w:val="20"/>
    </w:rPr>
  </w:style>
  <w:style w:type="paragraph" w:styleId="27">
    <w:name w:val="toc 8"/>
    <w:basedOn w:val="1"/>
    <w:next w:val="1"/>
    <w:autoRedefine/>
    <w:semiHidden/>
    <w:qFormat/>
    <w:uiPriority w:val="0"/>
    <w:pPr>
      <w:spacing w:afterLines="50"/>
      <w:ind w:left="1470"/>
    </w:pPr>
    <w:rPr>
      <w:snapToGrid w:val="0"/>
      <w:kern w:val="0"/>
      <w:sz w:val="18"/>
      <w:szCs w:val="18"/>
    </w:rPr>
  </w:style>
  <w:style w:type="paragraph" w:styleId="28">
    <w:name w:val="Date"/>
    <w:basedOn w:val="1"/>
    <w:next w:val="1"/>
    <w:link w:val="88"/>
    <w:autoRedefine/>
    <w:qFormat/>
    <w:uiPriority w:val="0"/>
    <w:pPr>
      <w:ind w:left="2500" w:leftChars="2500"/>
    </w:pPr>
    <w:rPr>
      <w:rFonts w:eastAsia="楷体_GB2312"/>
      <w:sz w:val="32"/>
      <w:szCs w:val="20"/>
    </w:rPr>
  </w:style>
  <w:style w:type="paragraph" w:styleId="29">
    <w:name w:val="Body Text Indent 2"/>
    <w:basedOn w:val="1"/>
    <w:link w:val="89"/>
    <w:autoRedefine/>
    <w:qFormat/>
    <w:uiPriority w:val="0"/>
    <w:pPr>
      <w:snapToGrid w:val="0"/>
      <w:ind w:firstLine="542" w:firstLineChars="225"/>
    </w:pPr>
    <w:rPr>
      <w:rFonts w:ascii="仿宋_GB2312" w:hAnsi="宋体"/>
      <w:b/>
      <w:bCs/>
      <w:color w:val="000000"/>
      <w:sz w:val="24"/>
    </w:rPr>
  </w:style>
  <w:style w:type="paragraph" w:styleId="30">
    <w:name w:val="endnote text"/>
    <w:basedOn w:val="1"/>
    <w:link w:val="192"/>
    <w:autoRedefine/>
    <w:semiHidden/>
    <w:qFormat/>
    <w:uiPriority w:val="0"/>
    <w:pPr>
      <w:snapToGrid w:val="0"/>
      <w:spacing w:afterLines="50"/>
    </w:pPr>
    <w:rPr>
      <w:rFonts w:ascii="宋体"/>
      <w:snapToGrid w:val="0"/>
      <w:kern w:val="0"/>
      <w:szCs w:val="20"/>
    </w:rPr>
  </w:style>
  <w:style w:type="paragraph" w:styleId="31">
    <w:name w:val="Balloon Text"/>
    <w:basedOn w:val="1"/>
    <w:link w:val="90"/>
    <w:autoRedefine/>
    <w:qFormat/>
    <w:uiPriority w:val="0"/>
    <w:rPr>
      <w:sz w:val="18"/>
      <w:szCs w:val="18"/>
    </w:rPr>
  </w:style>
  <w:style w:type="paragraph" w:styleId="32">
    <w:name w:val="footer"/>
    <w:basedOn w:val="1"/>
    <w:link w:val="91"/>
    <w:autoRedefine/>
    <w:qFormat/>
    <w:uiPriority w:val="0"/>
    <w:pPr>
      <w:tabs>
        <w:tab w:val="center" w:pos="4153"/>
        <w:tab w:val="right" w:pos="8306"/>
      </w:tabs>
      <w:snapToGrid w:val="0"/>
    </w:pPr>
    <w:rPr>
      <w:sz w:val="18"/>
      <w:szCs w:val="18"/>
    </w:rPr>
  </w:style>
  <w:style w:type="paragraph" w:styleId="33">
    <w:name w:val="header"/>
    <w:basedOn w:val="1"/>
    <w:link w:val="92"/>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5">
    <w:name w:val="toc 4"/>
    <w:basedOn w:val="1"/>
    <w:next w:val="1"/>
    <w:autoRedefine/>
    <w:semiHidden/>
    <w:qFormat/>
    <w:uiPriority w:val="0"/>
    <w:pPr>
      <w:ind w:left="629"/>
    </w:pPr>
    <w:rPr>
      <w:snapToGrid w:val="0"/>
      <w:kern w:val="0"/>
      <w:szCs w:val="18"/>
    </w:rPr>
  </w:style>
  <w:style w:type="paragraph" w:styleId="36">
    <w:name w:val="Subtitle"/>
    <w:basedOn w:val="1"/>
    <w:next w:val="1"/>
    <w:link w:val="95"/>
    <w:autoRedefine/>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83" w:hanging="283"/>
      <w:contextualSpacing/>
    </w:pPr>
  </w:style>
  <w:style w:type="paragraph" w:styleId="38">
    <w:name w:val="footnote text"/>
    <w:basedOn w:val="1"/>
    <w:link w:val="96"/>
    <w:autoRedefine/>
    <w:unhideWhenUsed/>
    <w:qFormat/>
    <w:uiPriority w:val="99"/>
    <w:pPr>
      <w:snapToGrid w:val="0"/>
    </w:pPr>
    <w:rPr>
      <w:rFonts w:ascii="Calibri" w:hAnsi="Calibri"/>
      <w:sz w:val="18"/>
    </w:rPr>
  </w:style>
  <w:style w:type="paragraph" w:styleId="39">
    <w:name w:val="toc 6"/>
    <w:basedOn w:val="1"/>
    <w:next w:val="1"/>
    <w:autoRedefine/>
    <w:semiHidden/>
    <w:unhideWhenUsed/>
    <w:qFormat/>
    <w:uiPriority w:val="39"/>
    <w:pPr>
      <w:ind w:left="2100" w:leftChars="1000"/>
    </w:pPr>
  </w:style>
  <w:style w:type="paragraph" w:styleId="40">
    <w:name w:val="Body Text Indent 3"/>
    <w:basedOn w:val="1"/>
    <w:link w:val="98"/>
    <w:autoRedefine/>
    <w:qFormat/>
    <w:uiPriority w:val="0"/>
    <w:pPr>
      <w:snapToGrid w:val="0"/>
    </w:pPr>
    <w:rPr>
      <w:rFonts w:ascii="仿宋_GB2312" w:hAnsi="宋体" w:eastAsia="仿宋_GB2312"/>
      <w:color w:val="000000"/>
      <w:sz w:val="24"/>
    </w:rPr>
  </w:style>
  <w:style w:type="paragraph" w:styleId="41">
    <w:name w:val="table of figures"/>
    <w:basedOn w:val="1"/>
    <w:next w:val="1"/>
    <w:autoRedefine/>
    <w:unhideWhenUsed/>
    <w:qFormat/>
    <w:uiPriority w:val="0"/>
    <w:pPr>
      <w:ind w:left="200" w:leftChars="200" w:hanging="200" w:hangingChars="200"/>
    </w:pPr>
  </w:style>
  <w:style w:type="paragraph" w:styleId="42">
    <w:name w:val="toc 2"/>
    <w:basedOn w:val="1"/>
    <w:next w:val="1"/>
    <w:autoRedefine/>
    <w:qFormat/>
    <w:uiPriority w:val="39"/>
    <w:pPr>
      <w:tabs>
        <w:tab w:val="right" w:leader="dot" w:pos="8296"/>
      </w:tabs>
      <w:ind w:left="210"/>
    </w:pPr>
    <w:rPr>
      <w:b/>
      <w:smallCaps/>
    </w:rPr>
  </w:style>
  <w:style w:type="paragraph" w:styleId="43">
    <w:name w:val="Body Text 2"/>
    <w:basedOn w:val="1"/>
    <w:link w:val="101"/>
    <w:autoRedefine/>
    <w:qFormat/>
    <w:uiPriority w:val="0"/>
    <w:pPr>
      <w:widowControl/>
      <w:snapToGrid w:val="0"/>
      <w:spacing w:before="50" w:afterLines="50" w:line="400" w:lineRule="exact"/>
    </w:pPr>
    <w:rPr>
      <w:rFonts w:ascii="宋体" w:hAnsi="宋体"/>
      <w:color w:val="000000"/>
      <w:sz w:val="24"/>
    </w:rPr>
  </w:style>
  <w:style w:type="paragraph" w:styleId="44">
    <w:name w:val="HTML Preformatted"/>
    <w:basedOn w:val="1"/>
    <w:link w:val="22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5">
    <w:name w:val="Normal (Web)"/>
    <w:basedOn w:val="1"/>
    <w:link w:val="102"/>
    <w:autoRedefine/>
    <w:qFormat/>
    <w:uiPriority w:val="99"/>
    <w:pPr>
      <w:widowControl/>
      <w:spacing w:before="100" w:beforeAutospacing="1" w:after="100" w:afterAutospacing="1"/>
    </w:pPr>
    <w:rPr>
      <w:rFonts w:ascii="宋体" w:hAnsi="宋体"/>
      <w:kern w:val="0"/>
      <w:sz w:val="24"/>
    </w:rPr>
  </w:style>
  <w:style w:type="paragraph" w:styleId="46">
    <w:name w:val="index 1"/>
    <w:basedOn w:val="1"/>
    <w:next w:val="1"/>
    <w:autoRedefine/>
    <w:semiHidden/>
    <w:qFormat/>
    <w:uiPriority w:val="0"/>
    <w:rPr>
      <w:szCs w:val="20"/>
    </w:rPr>
  </w:style>
  <w:style w:type="paragraph" w:styleId="47">
    <w:name w:val="Title"/>
    <w:basedOn w:val="1"/>
    <w:next w:val="1"/>
    <w:link w:val="103"/>
    <w:autoRedefine/>
    <w:qFormat/>
    <w:uiPriority w:val="0"/>
    <w:pPr>
      <w:spacing w:before="240" w:after="60"/>
      <w:jc w:val="center"/>
      <w:outlineLvl w:val="0"/>
    </w:pPr>
    <w:rPr>
      <w:rFonts w:ascii="Cambria" w:hAnsi="Cambria"/>
      <w:b/>
      <w:bCs/>
      <w:sz w:val="32"/>
      <w:szCs w:val="32"/>
    </w:rPr>
  </w:style>
  <w:style w:type="paragraph" w:styleId="48">
    <w:name w:val="annotation subject"/>
    <w:basedOn w:val="16"/>
    <w:next w:val="16"/>
    <w:link w:val="104"/>
    <w:autoRedefine/>
    <w:qFormat/>
    <w:uiPriority w:val="0"/>
    <w:rPr>
      <w:b/>
      <w:bCs/>
    </w:rPr>
  </w:style>
  <w:style w:type="paragraph" w:styleId="49">
    <w:name w:val="Body Text First Indent"/>
    <w:basedOn w:val="18"/>
    <w:next w:val="39"/>
    <w:link w:val="224"/>
    <w:autoRedefine/>
    <w:qFormat/>
    <w:uiPriority w:val="0"/>
    <w:pPr>
      <w:ind w:firstLine="200"/>
    </w:pPr>
    <w:rPr>
      <w:rFonts w:asciiTheme="minorHAnsi" w:hAnsiTheme="minorHAnsi" w:eastAsiaTheme="minorEastAsia" w:cstheme="minorBidi"/>
      <w:bCs/>
      <w:sz w:val="24"/>
    </w:rPr>
  </w:style>
  <w:style w:type="paragraph" w:styleId="50">
    <w:name w:val="Body Text First Indent 2"/>
    <w:basedOn w:val="19"/>
    <w:next w:val="51"/>
    <w:autoRedefine/>
    <w:semiHidden/>
    <w:unhideWhenUsed/>
    <w:qFormat/>
    <w:uiPriority w:val="99"/>
    <w:pPr>
      <w:ind w:firstLine="420"/>
    </w:pPr>
  </w:style>
  <w:style w:type="paragraph" w:customStyle="1" w:styleId="51">
    <w:name w:val="xl53"/>
    <w:basedOn w:val="1"/>
    <w:next w:val="1"/>
    <w:qFormat/>
    <w:uiPriority w:val="0"/>
    <w:pPr>
      <w:spacing w:before="280" w:after="280" w:line="100" w:lineRule="exact"/>
      <w:jc w:val="center"/>
    </w:pPr>
    <w:rPr>
      <w:rFonts w:eastAsia="宋体"/>
      <w:b/>
      <w:sz w:val="20"/>
    </w:rPr>
  </w:style>
  <w:style w:type="table" w:styleId="53">
    <w:name w:val="Table Grid"/>
    <w:basedOn w:val="5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Grid 1"/>
    <w:basedOn w:val="5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5">
    <w:name w:val="Table Grid 8"/>
    <w:basedOn w:val="52"/>
    <w:autoRedefine/>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7">
    <w:name w:val="Strong"/>
    <w:autoRedefine/>
    <w:qFormat/>
    <w:uiPriority w:val="0"/>
    <w:rPr>
      <w:b/>
      <w:bCs/>
    </w:rPr>
  </w:style>
  <w:style w:type="character" w:styleId="58">
    <w:name w:val="page number"/>
    <w:autoRedefine/>
    <w:qFormat/>
    <w:uiPriority w:val="0"/>
  </w:style>
  <w:style w:type="character" w:styleId="59">
    <w:name w:val="FollowedHyperlink"/>
    <w:basedOn w:val="56"/>
    <w:autoRedefine/>
    <w:semiHidden/>
    <w:unhideWhenUsed/>
    <w:qFormat/>
    <w:uiPriority w:val="99"/>
    <w:rPr>
      <w:color w:val="954F72" w:themeColor="followedHyperlink"/>
      <w:u w:val="single"/>
      <w14:textFill>
        <w14:solidFill>
          <w14:schemeClr w14:val="folHlink"/>
        </w14:solidFill>
      </w14:textFill>
    </w:rPr>
  </w:style>
  <w:style w:type="character" w:styleId="60">
    <w:name w:val="Emphasis"/>
    <w:basedOn w:val="56"/>
    <w:autoRedefine/>
    <w:qFormat/>
    <w:uiPriority w:val="0"/>
  </w:style>
  <w:style w:type="character" w:styleId="61">
    <w:name w:val="HTML Definition"/>
    <w:basedOn w:val="56"/>
    <w:autoRedefine/>
    <w:semiHidden/>
    <w:unhideWhenUsed/>
    <w:qFormat/>
    <w:uiPriority w:val="0"/>
  </w:style>
  <w:style w:type="character" w:styleId="62">
    <w:name w:val="HTML Typewriter"/>
    <w:basedOn w:val="56"/>
    <w:autoRedefine/>
    <w:semiHidden/>
    <w:unhideWhenUsed/>
    <w:qFormat/>
    <w:uiPriority w:val="0"/>
    <w:rPr>
      <w:rFonts w:hint="default" w:ascii="monospace" w:hAnsi="monospace" w:eastAsia="monospace" w:cs="monospace"/>
      <w:sz w:val="20"/>
    </w:rPr>
  </w:style>
  <w:style w:type="character" w:styleId="63">
    <w:name w:val="HTML Acronym"/>
    <w:basedOn w:val="56"/>
    <w:autoRedefine/>
    <w:semiHidden/>
    <w:unhideWhenUsed/>
    <w:qFormat/>
    <w:uiPriority w:val="0"/>
  </w:style>
  <w:style w:type="character" w:styleId="64">
    <w:name w:val="HTML Variable"/>
    <w:basedOn w:val="56"/>
    <w:autoRedefine/>
    <w:semiHidden/>
    <w:unhideWhenUsed/>
    <w:qFormat/>
    <w:uiPriority w:val="0"/>
  </w:style>
  <w:style w:type="character" w:styleId="65">
    <w:name w:val="Hyperlink"/>
    <w:autoRedefine/>
    <w:qFormat/>
    <w:uiPriority w:val="99"/>
    <w:rPr>
      <w:color w:val="0000FF"/>
      <w:u w:val="single"/>
    </w:rPr>
  </w:style>
  <w:style w:type="character" w:styleId="66">
    <w:name w:val="HTML Code"/>
    <w:basedOn w:val="56"/>
    <w:autoRedefine/>
    <w:semiHidden/>
    <w:unhideWhenUsed/>
    <w:qFormat/>
    <w:uiPriority w:val="0"/>
    <w:rPr>
      <w:rFonts w:ascii="monospace" w:hAnsi="monospace" w:eastAsia="monospace" w:cs="monospace"/>
      <w:sz w:val="20"/>
    </w:rPr>
  </w:style>
  <w:style w:type="character" w:styleId="67">
    <w:name w:val="annotation reference"/>
    <w:autoRedefine/>
    <w:qFormat/>
    <w:uiPriority w:val="0"/>
    <w:rPr>
      <w:sz w:val="21"/>
      <w:szCs w:val="21"/>
    </w:rPr>
  </w:style>
  <w:style w:type="character" w:styleId="68">
    <w:name w:val="HTML Cite"/>
    <w:basedOn w:val="56"/>
    <w:autoRedefine/>
    <w:semiHidden/>
    <w:unhideWhenUsed/>
    <w:qFormat/>
    <w:uiPriority w:val="0"/>
  </w:style>
  <w:style w:type="character" w:styleId="69">
    <w:name w:val="footnote reference"/>
    <w:autoRedefine/>
    <w:unhideWhenUsed/>
    <w:qFormat/>
    <w:uiPriority w:val="99"/>
    <w:rPr>
      <w:rFonts w:hint="default" w:ascii="Times New Roman"/>
      <w:sz w:val="24"/>
      <w:vertAlign w:val="superscript"/>
    </w:rPr>
  </w:style>
  <w:style w:type="character" w:styleId="70">
    <w:name w:val="HTML Keyboard"/>
    <w:basedOn w:val="56"/>
    <w:autoRedefine/>
    <w:semiHidden/>
    <w:unhideWhenUsed/>
    <w:qFormat/>
    <w:uiPriority w:val="0"/>
    <w:rPr>
      <w:rFonts w:hint="default" w:ascii="monospace" w:hAnsi="monospace" w:eastAsia="monospace" w:cs="monospace"/>
      <w:sz w:val="20"/>
    </w:rPr>
  </w:style>
  <w:style w:type="character" w:styleId="71">
    <w:name w:val="HTML Sample"/>
    <w:basedOn w:val="56"/>
    <w:autoRedefine/>
    <w:semiHidden/>
    <w:unhideWhenUsed/>
    <w:qFormat/>
    <w:uiPriority w:val="0"/>
    <w:rPr>
      <w:rFonts w:hint="default" w:ascii="monospace" w:hAnsi="monospace" w:eastAsia="monospace" w:cs="monospace"/>
    </w:rPr>
  </w:style>
  <w:style w:type="paragraph" w:customStyle="1" w:styleId="72">
    <w:name w:val="标准正文"/>
    <w:basedOn w:val="1"/>
    <w:autoRedefine/>
    <w:qFormat/>
    <w:uiPriority w:val="0"/>
    <w:pPr>
      <w:ind w:firstLine="200"/>
    </w:pPr>
    <w:rPr>
      <w:sz w:val="24"/>
      <w:szCs w:val="20"/>
    </w:rPr>
  </w:style>
  <w:style w:type="character" w:customStyle="1" w:styleId="73">
    <w:name w:val="标题 1 字符"/>
    <w:basedOn w:val="56"/>
    <w:link w:val="3"/>
    <w:autoRedefine/>
    <w:qFormat/>
    <w:uiPriority w:val="9"/>
    <w:rPr>
      <w:rFonts w:eastAsia="微软雅黑"/>
      <w:b/>
      <w:bCs/>
      <w:kern w:val="44"/>
      <w:sz w:val="24"/>
      <w:szCs w:val="44"/>
    </w:rPr>
  </w:style>
  <w:style w:type="character" w:customStyle="1" w:styleId="74">
    <w:name w:val="标题 2 字符"/>
    <w:basedOn w:val="56"/>
    <w:link w:val="2"/>
    <w:autoRedefine/>
    <w:qFormat/>
    <w:uiPriority w:val="9"/>
    <w:rPr>
      <w:rFonts w:ascii="仿宋_GB2312" w:hAnsi="仿宋_GB2312" w:eastAsia="微软雅黑"/>
      <w:b/>
      <w:sz w:val="21"/>
    </w:rPr>
  </w:style>
  <w:style w:type="paragraph" w:customStyle="1" w:styleId="75">
    <w:name w:val="表格文字"/>
    <w:basedOn w:val="76"/>
    <w:next w:val="18"/>
    <w:autoRedefine/>
    <w:qFormat/>
    <w:uiPriority w:val="0"/>
  </w:style>
  <w:style w:type="paragraph" w:customStyle="1" w:styleId="76">
    <w:name w:val="表格文字（两侧对齐）"/>
    <w:basedOn w:val="1"/>
    <w:autoRedefine/>
    <w:qFormat/>
    <w:uiPriority w:val="0"/>
    <w:pPr>
      <w:snapToGrid w:val="0"/>
    </w:pPr>
    <w:rPr>
      <w:rFonts w:eastAsia="宋体"/>
      <w:sz w:val="20"/>
    </w:rPr>
  </w:style>
  <w:style w:type="character" w:customStyle="1" w:styleId="77">
    <w:name w:val="正文文本 字符"/>
    <w:link w:val="18"/>
    <w:autoRedefine/>
    <w:qFormat/>
    <w:uiPriority w:val="0"/>
    <w:rPr>
      <w:kern w:val="2"/>
      <w:sz w:val="21"/>
      <w:szCs w:val="24"/>
    </w:rPr>
  </w:style>
  <w:style w:type="character" w:customStyle="1" w:styleId="78">
    <w:name w:val="正文缩进 字符1"/>
    <w:link w:val="5"/>
    <w:autoRedefine/>
    <w:qFormat/>
    <w:uiPriority w:val="0"/>
    <w:rPr>
      <w:kern w:val="2"/>
      <w:sz w:val="21"/>
    </w:rPr>
  </w:style>
  <w:style w:type="character" w:customStyle="1" w:styleId="79">
    <w:name w:val="标题 4 字符"/>
    <w:link w:val="6"/>
    <w:autoRedefine/>
    <w:qFormat/>
    <w:uiPriority w:val="0"/>
    <w:rPr>
      <w:rFonts w:ascii="等线 Light" w:hAnsi="等线 Light" w:eastAsia="微软雅黑" w:cs="Times New Roman"/>
      <w:b/>
      <w:bCs/>
      <w:kern w:val="2"/>
      <w:sz w:val="21"/>
      <w:szCs w:val="28"/>
    </w:rPr>
  </w:style>
  <w:style w:type="paragraph" w:customStyle="1" w:styleId="80">
    <w:name w:val="目录 71"/>
    <w:basedOn w:val="1"/>
    <w:next w:val="1"/>
    <w:autoRedefine/>
    <w:unhideWhenUsed/>
    <w:qFormat/>
    <w:uiPriority w:val="39"/>
    <w:pPr>
      <w:ind w:left="2520" w:leftChars="1200"/>
    </w:pPr>
    <w:rPr>
      <w:rFonts w:ascii="Calibri" w:hAnsi="Calibri"/>
      <w:szCs w:val="22"/>
    </w:rPr>
  </w:style>
  <w:style w:type="character" w:customStyle="1" w:styleId="81">
    <w:name w:val="批注文字 字符"/>
    <w:link w:val="16"/>
    <w:autoRedefine/>
    <w:qFormat/>
    <w:uiPriority w:val="0"/>
    <w:rPr>
      <w:kern w:val="2"/>
      <w:sz w:val="21"/>
      <w:szCs w:val="24"/>
    </w:rPr>
  </w:style>
  <w:style w:type="character" w:customStyle="1" w:styleId="82">
    <w:name w:val="正文文本 3 字符"/>
    <w:link w:val="17"/>
    <w:autoRedefine/>
    <w:qFormat/>
    <w:uiPriority w:val="0"/>
    <w:rPr>
      <w:kern w:val="2"/>
      <w:sz w:val="16"/>
      <w:szCs w:val="16"/>
    </w:rPr>
  </w:style>
  <w:style w:type="character" w:customStyle="1" w:styleId="83">
    <w:name w:val="正文文本缩进 字符"/>
    <w:link w:val="19"/>
    <w:autoRedefine/>
    <w:qFormat/>
    <w:uiPriority w:val="0"/>
    <w:rPr>
      <w:rFonts w:ascii="宋体" w:hAnsi="Courier New"/>
      <w:spacing w:val="-4"/>
      <w:kern w:val="2"/>
      <w:sz w:val="18"/>
    </w:rPr>
  </w:style>
  <w:style w:type="paragraph" w:customStyle="1" w:styleId="84">
    <w:name w:val="目录 51"/>
    <w:basedOn w:val="1"/>
    <w:next w:val="1"/>
    <w:autoRedefine/>
    <w:unhideWhenUsed/>
    <w:qFormat/>
    <w:uiPriority w:val="39"/>
    <w:pPr>
      <w:ind w:left="1680" w:leftChars="800"/>
    </w:pPr>
    <w:rPr>
      <w:rFonts w:ascii="Calibri" w:hAnsi="Calibri"/>
      <w:szCs w:val="22"/>
    </w:rPr>
  </w:style>
  <w:style w:type="paragraph" w:customStyle="1" w:styleId="85">
    <w:name w:val="目录 31"/>
    <w:basedOn w:val="1"/>
    <w:next w:val="1"/>
    <w:autoRedefine/>
    <w:qFormat/>
    <w:uiPriority w:val="39"/>
    <w:pPr>
      <w:ind w:left="840" w:leftChars="400"/>
    </w:pPr>
  </w:style>
  <w:style w:type="character" w:customStyle="1" w:styleId="86">
    <w:name w:val="纯文本 字符"/>
    <w:link w:val="26"/>
    <w:autoRedefine/>
    <w:qFormat/>
    <w:uiPriority w:val="99"/>
    <w:rPr>
      <w:rFonts w:ascii="宋体" w:hAnsi="Courier New"/>
      <w:kern w:val="2"/>
      <w:sz w:val="21"/>
    </w:rPr>
  </w:style>
  <w:style w:type="paragraph" w:customStyle="1" w:styleId="87">
    <w:name w:val="目录 81"/>
    <w:basedOn w:val="1"/>
    <w:next w:val="1"/>
    <w:autoRedefine/>
    <w:unhideWhenUsed/>
    <w:qFormat/>
    <w:uiPriority w:val="39"/>
    <w:pPr>
      <w:ind w:left="2940" w:leftChars="1400"/>
    </w:pPr>
    <w:rPr>
      <w:rFonts w:ascii="Calibri" w:hAnsi="Calibri"/>
      <w:szCs w:val="22"/>
    </w:rPr>
  </w:style>
  <w:style w:type="character" w:customStyle="1" w:styleId="88">
    <w:name w:val="日期 字符"/>
    <w:link w:val="28"/>
    <w:autoRedefine/>
    <w:qFormat/>
    <w:uiPriority w:val="0"/>
    <w:rPr>
      <w:rFonts w:eastAsia="楷体_GB2312"/>
      <w:kern w:val="2"/>
      <w:sz w:val="32"/>
    </w:rPr>
  </w:style>
  <w:style w:type="character" w:customStyle="1" w:styleId="89">
    <w:name w:val="正文文本缩进 2 字符"/>
    <w:link w:val="29"/>
    <w:autoRedefine/>
    <w:qFormat/>
    <w:uiPriority w:val="0"/>
    <w:rPr>
      <w:rFonts w:ascii="仿宋_GB2312" w:hAnsi="宋体" w:cs="Arial"/>
      <w:b/>
      <w:bCs/>
      <w:color w:val="000000"/>
      <w:kern w:val="2"/>
      <w:sz w:val="24"/>
      <w:szCs w:val="24"/>
    </w:rPr>
  </w:style>
  <w:style w:type="character" w:customStyle="1" w:styleId="90">
    <w:name w:val="批注框文本 字符"/>
    <w:link w:val="31"/>
    <w:autoRedefine/>
    <w:qFormat/>
    <w:uiPriority w:val="0"/>
    <w:rPr>
      <w:kern w:val="2"/>
      <w:sz w:val="18"/>
      <w:szCs w:val="18"/>
    </w:rPr>
  </w:style>
  <w:style w:type="character" w:customStyle="1" w:styleId="91">
    <w:name w:val="页脚 字符1"/>
    <w:link w:val="32"/>
    <w:autoRedefine/>
    <w:qFormat/>
    <w:locked/>
    <w:uiPriority w:val="0"/>
    <w:rPr>
      <w:kern w:val="2"/>
      <w:sz w:val="18"/>
      <w:szCs w:val="18"/>
    </w:rPr>
  </w:style>
  <w:style w:type="character" w:customStyle="1" w:styleId="92">
    <w:name w:val="页眉 字符"/>
    <w:link w:val="33"/>
    <w:autoRedefine/>
    <w:qFormat/>
    <w:uiPriority w:val="0"/>
    <w:rPr>
      <w:rFonts w:eastAsia="宋体"/>
      <w:kern w:val="2"/>
      <w:sz w:val="18"/>
      <w:szCs w:val="18"/>
      <w:lang w:val="en-US" w:eastAsia="zh-CN" w:bidi="ar-SA"/>
    </w:rPr>
  </w:style>
  <w:style w:type="paragraph" w:customStyle="1" w:styleId="93">
    <w:name w:val="目录 11"/>
    <w:basedOn w:val="1"/>
    <w:next w:val="1"/>
    <w:autoRedefine/>
    <w:qFormat/>
    <w:uiPriority w:val="39"/>
  </w:style>
  <w:style w:type="paragraph" w:customStyle="1" w:styleId="94">
    <w:name w:val="目录 41"/>
    <w:basedOn w:val="1"/>
    <w:next w:val="1"/>
    <w:autoRedefine/>
    <w:unhideWhenUsed/>
    <w:qFormat/>
    <w:uiPriority w:val="39"/>
    <w:pPr>
      <w:ind w:left="1260" w:leftChars="600"/>
    </w:pPr>
    <w:rPr>
      <w:rFonts w:ascii="Calibri" w:hAnsi="Calibri"/>
      <w:szCs w:val="22"/>
    </w:rPr>
  </w:style>
  <w:style w:type="character" w:customStyle="1" w:styleId="95">
    <w:name w:val="副标题 字符"/>
    <w:link w:val="36"/>
    <w:autoRedefine/>
    <w:qFormat/>
    <w:uiPriority w:val="0"/>
    <w:rPr>
      <w:rFonts w:ascii="Cambria" w:hAnsi="Cambria"/>
      <w:b/>
      <w:bCs/>
      <w:kern w:val="28"/>
      <w:sz w:val="32"/>
      <w:szCs w:val="32"/>
    </w:rPr>
  </w:style>
  <w:style w:type="character" w:customStyle="1" w:styleId="96">
    <w:name w:val="脚注文本 字符"/>
    <w:link w:val="38"/>
    <w:autoRedefine/>
    <w:qFormat/>
    <w:uiPriority w:val="99"/>
    <w:rPr>
      <w:rFonts w:ascii="Calibri" w:hAnsi="Calibri"/>
      <w:kern w:val="2"/>
      <w:sz w:val="18"/>
      <w:szCs w:val="24"/>
    </w:rPr>
  </w:style>
  <w:style w:type="paragraph" w:customStyle="1" w:styleId="97">
    <w:name w:val="目录 61"/>
    <w:basedOn w:val="1"/>
    <w:next w:val="1"/>
    <w:autoRedefine/>
    <w:unhideWhenUsed/>
    <w:qFormat/>
    <w:uiPriority w:val="39"/>
    <w:pPr>
      <w:ind w:left="2100" w:leftChars="1000"/>
    </w:pPr>
    <w:rPr>
      <w:rFonts w:ascii="Calibri" w:hAnsi="Calibri"/>
      <w:szCs w:val="22"/>
    </w:rPr>
  </w:style>
  <w:style w:type="character" w:customStyle="1" w:styleId="98">
    <w:name w:val="正文文本缩进 3 字符"/>
    <w:link w:val="40"/>
    <w:autoRedefine/>
    <w:qFormat/>
    <w:uiPriority w:val="0"/>
    <w:rPr>
      <w:rFonts w:ascii="仿宋_GB2312" w:hAnsi="宋体" w:eastAsia="仿宋_GB2312"/>
      <w:color w:val="000000"/>
      <w:kern w:val="2"/>
      <w:sz w:val="24"/>
      <w:szCs w:val="24"/>
    </w:rPr>
  </w:style>
  <w:style w:type="paragraph" w:customStyle="1" w:styleId="99">
    <w:name w:val="目录 21"/>
    <w:basedOn w:val="1"/>
    <w:next w:val="1"/>
    <w:autoRedefine/>
    <w:qFormat/>
    <w:uiPriority w:val="39"/>
    <w:pPr>
      <w:ind w:left="420" w:leftChars="200"/>
    </w:pPr>
  </w:style>
  <w:style w:type="paragraph" w:customStyle="1" w:styleId="100">
    <w:name w:val="目录 91"/>
    <w:basedOn w:val="1"/>
    <w:next w:val="1"/>
    <w:autoRedefine/>
    <w:unhideWhenUsed/>
    <w:qFormat/>
    <w:uiPriority w:val="39"/>
    <w:pPr>
      <w:ind w:left="3360" w:leftChars="1600"/>
    </w:pPr>
    <w:rPr>
      <w:rFonts w:ascii="Calibri" w:hAnsi="Calibri"/>
      <w:szCs w:val="22"/>
    </w:rPr>
  </w:style>
  <w:style w:type="character" w:customStyle="1" w:styleId="101">
    <w:name w:val="正文文本 2 字符"/>
    <w:link w:val="43"/>
    <w:autoRedefine/>
    <w:qFormat/>
    <w:uiPriority w:val="0"/>
    <w:rPr>
      <w:rFonts w:ascii="宋体" w:hAnsi="宋体"/>
      <w:color w:val="000000"/>
      <w:kern w:val="2"/>
      <w:sz w:val="24"/>
      <w:szCs w:val="24"/>
    </w:rPr>
  </w:style>
  <w:style w:type="character" w:customStyle="1" w:styleId="102">
    <w:name w:val="普通(网站) 字符"/>
    <w:link w:val="45"/>
    <w:autoRedefine/>
    <w:qFormat/>
    <w:locked/>
    <w:uiPriority w:val="0"/>
    <w:rPr>
      <w:rFonts w:ascii="宋体" w:hAnsi="宋体" w:cs="宋体"/>
      <w:sz w:val="24"/>
      <w:szCs w:val="24"/>
    </w:rPr>
  </w:style>
  <w:style w:type="character" w:customStyle="1" w:styleId="103">
    <w:name w:val="标题 字符"/>
    <w:link w:val="47"/>
    <w:autoRedefine/>
    <w:qFormat/>
    <w:uiPriority w:val="0"/>
    <w:rPr>
      <w:rFonts w:ascii="Cambria" w:hAnsi="Cambria"/>
      <w:b/>
      <w:bCs/>
      <w:kern w:val="2"/>
      <w:sz w:val="32"/>
      <w:szCs w:val="32"/>
    </w:rPr>
  </w:style>
  <w:style w:type="character" w:customStyle="1" w:styleId="104">
    <w:name w:val="批注主题 字符"/>
    <w:link w:val="48"/>
    <w:autoRedefine/>
    <w:qFormat/>
    <w:uiPriority w:val="0"/>
    <w:rPr>
      <w:b/>
      <w:bCs/>
      <w:kern w:val="2"/>
      <w:sz w:val="21"/>
      <w:szCs w:val="24"/>
    </w:rPr>
  </w:style>
  <w:style w:type="paragraph" w:customStyle="1" w:styleId="105">
    <w:name w:val="正文首行缩进1"/>
    <w:basedOn w:val="18"/>
    <w:link w:val="106"/>
    <w:autoRedefine/>
    <w:qFormat/>
    <w:uiPriority w:val="0"/>
    <w:pPr>
      <w:ind w:firstLine="420" w:firstLineChars="100"/>
    </w:pPr>
  </w:style>
  <w:style w:type="character" w:customStyle="1" w:styleId="106">
    <w:name w:val="正文首行缩进 Char"/>
    <w:link w:val="105"/>
    <w:autoRedefine/>
    <w:qFormat/>
    <w:uiPriority w:val="0"/>
  </w:style>
  <w:style w:type="character" w:customStyle="1" w:styleId="107">
    <w:name w:val="已访问的超链接1"/>
    <w:autoRedefine/>
    <w:qFormat/>
    <w:uiPriority w:val="0"/>
    <w:rPr>
      <w:color w:val="800080"/>
      <w:u w:val="single"/>
    </w:rPr>
  </w:style>
  <w:style w:type="character" w:customStyle="1" w:styleId="108">
    <w:name w:val="正文缩进 字符"/>
    <w:autoRedefine/>
    <w:qFormat/>
    <w:uiPriority w:val="0"/>
    <w:rPr>
      <w:snapToGrid/>
      <w:kern w:val="0"/>
      <w:sz w:val="24"/>
    </w:rPr>
  </w:style>
  <w:style w:type="character" w:customStyle="1" w:styleId="109">
    <w:name w:val="列表段落 字符1"/>
    <w:link w:val="110"/>
    <w:autoRedefine/>
    <w:qFormat/>
    <w:uiPriority w:val="99"/>
    <w:rPr>
      <w:kern w:val="2"/>
      <w:sz w:val="21"/>
      <w:szCs w:val="22"/>
    </w:rPr>
  </w:style>
  <w:style w:type="paragraph" w:styleId="110">
    <w:name w:val="List Paragraph"/>
    <w:basedOn w:val="1"/>
    <w:link w:val="109"/>
    <w:autoRedefine/>
    <w:qFormat/>
    <w:uiPriority w:val="99"/>
    <w:pPr>
      <w:ind w:firstLine="420"/>
    </w:pPr>
    <w:rPr>
      <w:szCs w:val="22"/>
    </w:rPr>
  </w:style>
  <w:style w:type="character" w:customStyle="1" w:styleId="111">
    <w:name w:val="列表段落 字符"/>
    <w:autoRedefine/>
    <w:qFormat/>
    <w:uiPriority w:val="34"/>
    <w:rPr>
      <w:rFonts w:ascii="Times New Roman" w:hAnsi="Times New Roman" w:eastAsia="宋体" w:cs="Times New Roman"/>
      <w:szCs w:val="24"/>
    </w:rPr>
  </w:style>
  <w:style w:type="character" w:customStyle="1" w:styleId="112">
    <w:name w:val="页脚 字符"/>
    <w:autoRedefine/>
    <w:qFormat/>
    <w:uiPriority w:val="99"/>
  </w:style>
  <w:style w:type="character" w:customStyle="1" w:styleId="113">
    <w:name w:val="页眉 Char1"/>
    <w:autoRedefine/>
    <w:qFormat/>
    <w:uiPriority w:val="99"/>
    <w:rPr>
      <w:kern w:val="2"/>
      <w:sz w:val="18"/>
      <w:szCs w:val="18"/>
    </w:rPr>
  </w:style>
  <w:style w:type="character" w:customStyle="1" w:styleId="114">
    <w:name w:val="普通文字 Char Char2"/>
    <w:autoRedefine/>
    <w:qFormat/>
    <w:uiPriority w:val="0"/>
    <w:rPr>
      <w:rFonts w:ascii="宋体" w:hAnsi="Courier New" w:eastAsia="宋体"/>
      <w:kern w:val="2"/>
      <w:sz w:val="24"/>
      <w:szCs w:val="24"/>
      <w:lang w:val="en-US" w:eastAsia="zh-CN" w:bidi="ar-SA"/>
    </w:rPr>
  </w:style>
  <w:style w:type="character" w:customStyle="1" w:styleId="115">
    <w:name w:val="批注文字 Char"/>
    <w:autoRedefine/>
    <w:qFormat/>
    <w:uiPriority w:val="0"/>
    <w:rPr>
      <w:kern w:val="2"/>
      <w:sz w:val="21"/>
      <w:szCs w:val="24"/>
    </w:rPr>
  </w:style>
  <w:style w:type="character" w:customStyle="1" w:styleId="116">
    <w:name w:val="ca-92"/>
    <w:autoRedefine/>
    <w:qFormat/>
    <w:uiPriority w:val="0"/>
  </w:style>
  <w:style w:type="character" w:customStyle="1" w:styleId="117">
    <w:name w:val="bookmark-item"/>
    <w:autoRedefine/>
    <w:qFormat/>
    <w:uiPriority w:val="0"/>
  </w:style>
  <w:style w:type="character" w:customStyle="1" w:styleId="118">
    <w:name w:val="纯文本 Char3"/>
    <w:autoRedefine/>
    <w:qFormat/>
    <w:uiPriority w:val="0"/>
    <w:rPr>
      <w:rFonts w:ascii="宋体" w:hAnsi="Courier New" w:eastAsia="宋体"/>
      <w:kern w:val="2"/>
      <w:sz w:val="24"/>
      <w:szCs w:val="24"/>
      <w:lang w:val="en-US" w:eastAsia="zh-CN" w:bidi="ar-SA"/>
    </w:rPr>
  </w:style>
  <w:style w:type="character" w:customStyle="1" w:styleId="119">
    <w:name w:val="sub"/>
    <w:autoRedefine/>
    <w:qFormat/>
    <w:uiPriority w:val="0"/>
  </w:style>
  <w:style w:type="character" w:customStyle="1" w:styleId="120">
    <w:name w:val="纯文本 Char1"/>
    <w:autoRedefine/>
    <w:qFormat/>
    <w:uiPriority w:val="0"/>
    <w:rPr>
      <w:rFonts w:ascii="宋体" w:hAnsi="Courier New" w:eastAsia="宋体" w:cs="Times New Roman"/>
      <w:sz w:val="24"/>
      <w:szCs w:val="24"/>
    </w:rPr>
  </w:style>
  <w:style w:type="paragraph" w:customStyle="1" w:styleId="121">
    <w:name w:val="_Style 2"/>
    <w:basedOn w:val="1"/>
    <w:autoRedefine/>
    <w:qFormat/>
    <w:uiPriority w:val="0"/>
    <w:pPr>
      <w:adjustRightInd w:val="0"/>
      <w:snapToGrid w:val="0"/>
      <w:ind w:firstLine="420"/>
    </w:pPr>
    <w:rPr>
      <w:rFonts w:ascii="Calibri" w:hAnsi="Calibri"/>
      <w:sz w:val="24"/>
    </w:rPr>
  </w:style>
  <w:style w:type="paragraph" w:customStyle="1" w:styleId="122">
    <w:name w:val="Char Char9 Char Char"/>
    <w:basedOn w:val="1"/>
    <w:autoRedefine/>
    <w:qFormat/>
    <w:uiPriority w:val="0"/>
    <w:pPr>
      <w:tabs>
        <w:tab w:val="left" w:pos="360"/>
      </w:tabs>
    </w:pPr>
  </w:style>
  <w:style w:type="paragraph" w:customStyle="1" w:styleId="123">
    <w:name w:val="样式 正文1 + 段前: 0.1 行"/>
    <w:basedOn w:val="1"/>
    <w:autoRedefine/>
    <w:qFormat/>
    <w:uiPriority w:val="0"/>
    <w:pPr>
      <w:snapToGrid w:val="0"/>
      <w:spacing w:beforeLines="10" w:line="440" w:lineRule="atLeast"/>
      <w:ind w:firstLine="510"/>
    </w:pPr>
    <w:rPr>
      <w:sz w:val="24"/>
    </w:rPr>
  </w:style>
  <w:style w:type="paragraph" w:customStyle="1" w:styleId="124">
    <w:name w:val="列表段落1"/>
    <w:basedOn w:val="1"/>
    <w:autoRedefine/>
    <w:qFormat/>
    <w:uiPriority w:val="0"/>
    <w:pPr>
      <w:ind w:firstLine="420"/>
    </w:pPr>
    <w:rPr>
      <w:szCs w:val="21"/>
    </w:rPr>
  </w:style>
  <w:style w:type="paragraph" w:customStyle="1" w:styleId="125">
    <w:name w:val="列出段落1"/>
    <w:basedOn w:val="1"/>
    <w:autoRedefine/>
    <w:qFormat/>
    <w:uiPriority w:val="34"/>
    <w:pPr>
      <w:ind w:firstLine="420"/>
    </w:pPr>
    <w:rPr>
      <w:rFonts w:ascii="Calibri" w:hAnsi="Calibri"/>
      <w:szCs w:val="20"/>
    </w:rPr>
  </w:style>
  <w:style w:type="paragraph" w:customStyle="1" w:styleId="126">
    <w:name w:val="Default"/>
    <w:autoRedefine/>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2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8">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129">
    <w:name w:val="默认段落字体 Para Char Char Char Char Char Char Char Char Char1 Char Char Char Char"/>
    <w:basedOn w:val="1"/>
    <w:autoRedefine/>
    <w:qFormat/>
    <w:uiPriority w:val="0"/>
    <w:rPr>
      <w:rFonts w:ascii="Tahoma" w:hAnsi="Tahoma"/>
      <w:sz w:val="24"/>
      <w:szCs w:val="20"/>
    </w:rPr>
  </w:style>
  <w:style w:type="paragraph" w:customStyle="1" w:styleId="130">
    <w:name w:val="表内文字"/>
    <w:basedOn w:val="1"/>
    <w:autoRedefine/>
    <w:qFormat/>
    <w:uiPriority w:val="0"/>
    <w:pPr>
      <w:jc w:val="center"/>
    </w:pPr>
    <w:rPr>
      <w:rFonts w:ascii="仿宋_GB2312" w:eastAsia="仿宋_GB2312"/>
      <w:sz w:val="24"/>
    </w:rPr>
  </w:style>
  <w:style w:type="paragraph" w:customStyle="1" w:styleId="13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2">
    <w:name w:val="1 Char Char Char Char"/>
    <w:basedOn w:val="1"/>
    <w:autoRedefine/>
    <w:qFormat/>
    <w:uiPriority w:val="0"/>
    <w:rPr>
      <w:rFonts w:ascii="Tahoma" w:hAnsi="Tahoma"/>
      <w:sz w:val="24"/>
      <w:szCs w:val="20"/>
    </w:rPr>
  </w:style>
  <w:style w:type="paragraph" w:customStyle="1" w:styleId="133">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34">
    <w:name w:val="Char Char Char Char Char Char Char"/>
    <w:basedOn w:val="1"/>
    <w:autoRedefine/>
    <w:qFormat/>
    <w:uiPriority w:val="0"/>
    <w:rPr>
      <w:szCs w:val="21"/>
    </w:rPr>
  </w:style>
  <w:style w:type="paragraph" w:customStyle="1" w:styleId="135">
    <w:name w:val="TOC 标题1"/>
    <w:basedOn w:val="3"/>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136">
    <w:name w:val="正文段"/>
    <w:basedOn w:val="1"/>
    <w:autoRedefine/>
    <w:qFormat/>
    <w:uiPriority w:val="0"/>
    <w:pPr>
      <w:widowControl/>
      <w:snapToGrid w:val="0"/>
      <w:spacing w:afterLines="50"/>
      <w:ind w:firstLine="200"/>
    </w:pPr>
    <w:rPr>
      <w:kern w:val="0"/>
      <w:sz w:val="24"/>
      <w:szCs w:val="20"/>
    </w:rPr>
  </w:style>
  <w:style w:type="paragraph" w:customStyle="1" w:styleId="137">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138">
    <w:name w:val="默认段落字体 Para Char Char Char Char"/>
    <w:basedOn w:val="1"/>
    <w:autoRedefine/>
    <w:qFormat/>
    <w:uiPriority w:val="0"/>
    <w:rPr>
      <w:rFonts w:ascii="Arial" w:hAnsi="Arial" w:cs="Arial"/>
      <w:szCs w:val="21"/>
    </w:rPr>
  </w:style>
  <w:style w:type="paragraph" w:customStyle="1" w:styleId="139">
    <w:name w:val="_Style 54"/>
    <w:basedOn w:val="1"/>
    <w:autoRedefine/>
    <w:qFormat/>
    <w:uiPriority w:val="0"/>
    <w:pPr>
      <w:adjustRightInd w:val="0"/>
      <w:snapToGrid w:val="0"/>
      <w:ind w:firstLine="420"/>
    </w:pPr>
    <w:rPr>
      <w:rFonts w:ascii="Calibri" w:hAnsi="Calibri"/>
      <w:sz w:val="24"/>
    </w:rPr>
  </w:style>
  <w:style w:type="paragraph" w:customStyle="1" w:styleId="140">
    <w:name w:val="CM11"/>
    <w:basedOn w:val="126"/>
    <w:next w:val="126"/>
    <w:autoRedefine/>
    <w:unhideWhenUsed/>
    <w:qFormat/>
    <w:uiPriority w:val="99"/>
    <w:pPr>
      <w:spacing w:line="520" w:lineRule="atLeast"/>
    </w:pPr>
  </w:style>
  <w:style w:type="paragraph" w:customStyle="1" w:styleId="141">
    <w:name w:val="WPSOffice手动目录 1"/>
    <w:autoRedefine/>
    <w:qFormat/>
    <w:uiPriority w:val="0"/>
    <w:rPr>
      <w:rFonts w:ascii="Times New Roman" w:hAnsi="Times New Roman" w:eastAsia="宋体" w:cs="Times New Roman"/>
      <w:lang w:val="en-US" w:eastAsia="zh-CN" w:bidi="ar-SA"/>
    </w:rPr>
  </w:style>
  <w:style w:type="paragraph" w:customStyle="1" w:styleId="142">
    <w:name w:val="p16"/>
    <w:basedOn w:val="1"/>
    <w:autoRedefine/>
    <w:qFormat/>
    <w:uiPriority w:val="0"/>
    <w:pPr>
      <w:widowControl/>
    </w:pPr>
    <w:rPr>
      <w:rFonts w:ascii="宋体" w:hAnsi="宋体" w:cs="宋体"/>
      <w:kern w:val="0"/>
      <w:sz w:val="27"/>
      <w:szCs w:val="27"/>
    </w:rPr>
  </w:style>
  <w:style w:type="paragraph" w:customStyle="1" w:styleId="143">
    <w:name w:val="CM13"/>
    <w:basedOn w:val="126"/>
    <w:next w:val="126"/>
    <w:autoRedefine/>
    <w:unhideWhenUsed/>
    <w:qFormat/>
    <w:uiPriority w:val="99"/>
    <w:pPr>
      <w:spacing w:line="520" w:lineRule="atLeast"/>
    </w:pPr>
  </w:style>
  <w:style w:type="paragraph" w:customStyle="1" w:styleId="144">
    <w:name w:val="CM19"/>
    <w:basedOn w:val="126"/>
    <w:next w:val="126"/>
    <w:autoRedefine/>
    <w:unhideWhenUsed/>
    <w:qFormat/>
    <w:uiPriority w:val="99"/>
  </w:style>
  <w:style w:type="character" w:customStyle="1" w:styleId="145">
    <w:name w:val="font01"/>
    <w:autoRedefine/>
    <w:qFormat/>
    <w:uiPriority w:val="0"/>
    <w:rPr>
      <w:rFonts w:hint="eastAsia" w:ascii="宋体" w:hAnsi="宋体" w:eastAsia="宋体" w:cs="宋体"/>
      <w:color w:val="000000"/>
      <w:sz w:val="21"/>
      <w:szCs w:val="21"/>
      <w:u w:val="none"/>
      <w:vertAlign w:val="superscript"/>
    </w:rPr>
  </w:style>
  <w:style w:type="character" w:customStyle="1" w:styleId="146">
    <w:name w:val="font11"/>
    <w:autoRedefine/>
    <w:qFormat/>
    <w:uiPriority w:val="0"/>
    <w:rPr>
      <w:rFonts w:hint="eastAsia" w:ascii="宋体" w:hAnsi="宋体" w:eastAsia="宋体" w:cs="宋体"/>
      <w:color w:val="000000"/>
      <w:sz w:val="21"/>
      <w:szCs w:val="21"/>
      <w:u w:val="none"/>
    </w:rPr>
  </w:style>
  <w:style w:type="paragraph" w:customStyle="1" w:styleId="147">
    <w:name w:val="--规划正文"/>
    <w:basedOn w:val="1"/>
    <w:autoRedefine/>
    <w:qFormat/>
    <w:uiPriority w:val="0"/>
    <w:pPr>
      <w:widowControl/>
      <w:suppressAutoHyphens/>
      <w:ind w:firstLine="200"/>
    </w:pPr>
    <w:rPr>
      <w:kern w:val="1"/>
      <w:szCs w:val="20"/>
      <w:lang w:eastAsia="ar-SA"/>
    </w:rPr>
  </w:style>
  <w:style w:type="character" w:customStyle="1" w:styleId="148">
    <w:name w:val="正文首行缩进 2 Char"/>
    <w:link w:val="149"/>
    <w:autoRedefine/>
    <w:qFormat/>
    <w:uiPriority w:val="0"/>
    <w:rPr>
      <w:rFonts w:ascii="宋体" w:hAnsi="Courier New"/>
      <w:spacing w:val="-4"/>
      <w:kern w:val="2"/>
      <w:sz w:val="24"/>
    </w:rPr>
  </w:style>
  <w:style w:type="paragraph" w:customStyle="1" w:styleId="149">
    <w:name w:val="正文首行缩进 21"/>
    <w:basedOn w:val="19"/>
    <w:link w:val="148"/>
    <w:autoRedefine/>
    <w:unhideWhenUsed/>
    <w:qFormat/>
    <w:uiPriority w:val="0"/>
    <w:pPr>
      <w:spacing w:after="120" w:line="360" w:lineRule="auto"/>
      <w:ind w:left="420" w:leftChars="200" w:firstLine="420"/>
    </w:pPr>
    <w:rPr>
      <w:sz w:val="24"/>
    </w:rPr>
  </w:style>
  <w:style w:type="character" w:customStyle="1" w:styleId="150">
    <w:name w:val="正文首行缩进 2 Char1"/>
    <w:autoRedefine/>
    <w:qFormat/>
    <w:uiPriority w:val="0"/>
    <w:rPr>
      <w:rFonts w:ascii="宋体" w:hAnsi="Courier New"/>
      <w:spacing w:val="-4"/>
      <w:kern w:val="2"/>
      <w:sz w:val="21"/>
      <w:szCs w:val="24"/>
    </w:rPr>
  </w:style>
  <w:style w:type="paragraph" w:customStyle="1" w:styleId="151">
    <w:name w:val="正文sl"/>
    <w:basedOn w:val="1"/>
    <w:autoRedefine/>
    <w:qFormat/>
    <w:uiPriority w:val="0"/>
    <w:pPr>
      <w:ind w:firstLine="600"/>
    </w:pPr>
    <w:rPr>
      <w:rFonts w:ascii="仿宋_GB2312" w:eastAsia="仿宋_GB2312" w:cs="宋体"/>
      <w:sz w:val="30"/>
      <w:szCs w:val="20"/>
    </w:rPr>
  </w:style>
  <w:style w:type="paragraph" w:customStyle="1" w:styleId="152">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fontstyle01"/>
    <w:autoRedefine/>
    <w:qFormat/>
    <w:uiPriority w:val="0"/>
    <w:rPr>
      <w:rFonts w:hint="eastAsia" w:ascii="宋体" w:hAnsi="宋体" w:eastAsia="宋体" w:cs="宋体"/>
      <w:color w:val="000000"/>
      <w:sz w:val="24"/>
      <w:szCs w:val="24"/>
    </w:rPr>
  </w:style>
  <w:style w:type="character" w:customStyle="1" w:styleId="154">
    <w:name w:val="inline-comment-marker"/>
    <w:basedOn w:val="56"/>
    <w:qFormat/>
    <w:uiPriority w:val="0"/>
  </w:style>
  <w:style w:type="paragraph" w:customStyle="1" w:styleId="155">
    <w:name w:val="列表段落11"/>
    <w:basedOn w:val="1"/>
    <w:autoRedefine/>
    <w:qFormat/>
    <w:uiPriority w:val="34"/>
    <w:pPr>
      <w:widowControl/>
      <w:ind w:firstLine="420"/>
    </w:pPr>
    <w:rPr>
      <w:rFonts w:ascii="宋体" w:hAnsi="宋体" w:cs="宋体"/>
      <w:kern w:val="0"/>
      <w:sz w:val="24"/>
    </w:rPr>
  </w:style>
  <w:style w:type="character" w:customStyle="1" w:styleId="156">
    <w:name w:val="标题 5 字符"/>
    <w:basedOn w:val="56"/>
    <w:link w:val="7"/>
    <w:autoRedefine/>
    <w:qFormat/>
    <w:uiPriority w:val="0"/>
    <w:rPr>
      <w:rFonts w:eastAsia="微软雅黑"/>
      <w:b/>
      <w:bCs/>
      <w:kern w:val="2"/>
      <w:sz w:val="21"/>
      <w:szCs w:val="28"/>
    </w:rPr>
  </w:style>
  <w:style w:type="character" w:customStyle="1" w:styleId="157">
    <w:name w:val="标题 6 字符"/>
    <w:basedOn w:val="56"/>
    <w:link w:val="8"/>
    <w:autoRedefine/>
    <w:qFormat/>
    <w:uiPriority w:val="0"/>
    <w:rPr>
      <w:rFonts w:ascii="Arial" w:hAnsi="Arial" w:eastAsia="黑体"/>
      <w:b/>
      <w:bCs/>
      <w:kern w:val="2"/>
      <w:sz w:val="24"/>
    </w:rPr>
  </w:style>
  <w:style w:type="character" w:customStyle="1" w:styleId="158">
    <w:name w:val="标题 7 字符"/>
    <w:basedOn w:val="56"/>
    <w:link w:val="9"/>
    <w:autoRedefine/>
    <w:qFormat/>
    <w:uiPriority w:val="0"/>
    <w:rPr>
      <w:rFonts w:ascii="宋体" w:eastAsia="仿宋_GB2312"/>
      <w:b/>
      <w:sz w:val="24"/>
    </w:rPr>
  </w:style>
  <w:style w:type="character" w:customStyle="1" w:styleId="159">
    <w:name w:val="标题 8 字符"/>
    <w:basedOn w:val="56"/>
    <w:link w:val="10"/>
    <w:autoRedefine/>
    <w:qFormat/>
    <w:uiPriority w:val="0"/>
    <w:rPr>
      <w:rFonts w:ascii="Arial" w:hAnsi="Arial" w:eastAsia="黑体"/>
      <w:sz w:val="24"/>
    </w:rPr>
  </w:style>
  <w:style w:type="character" w:customStyle="1" w:styleId="160">
    <w:name w:val="标题 9 字符"/>
    <w:basedOn w:val="56"/>
    <w:link w:val="11"/>
    <w:autoRedefine/>
    <w:qFormat/>
    <w:uiPriority w:val="0"/>
    <w:rPr>
      <w:rFonts w:ascii="Arial" w:hAnsi="Arial" w:eastAsia="黑体"/>
      <w:sz w:val="28"/>
    </w:rPr>
  </w:style>
  <w:style w:type="character" w:customStyle="1" w:styleId="161">
    <w:name w:val="标题 3 字符"/>
    <w:basedOn w:val="56"/>
    <w:link w:val="4"/>
    <w:autoRedefine/>
    <w:qFormat/>
    <w:uiPriority w:val="0"/>
    <w:rPr>
      <w:rFonts w:ascii="仿宋_GB2312" w:hAnsi="仿宋_GB2312" w:eastAsia="微软雅黑"/>
      <w:bCs/>
      <w:kern w:val="2"/>
      <w:sz w:val="21"/>
    </w:rPr>
  </w:style>
  <w:style w:type="character" w:customStyle="1" w:styleId="162">
    <w:name w:val="unnamed11"/>
    <w:autoRedefine/>
    <w:qFormat/>
    <w:uiPriority w:val="0"/>
    <w:rPr>
      <w:sz w:val="20"/>
      <w:szCs w:val="20"/>
    </w:rPr>
  </w:style>
  <w:style w:type="character" w:customStyle="1" w:styleId="163">
    <w:name w:val="标题 1 Char Char"/>
    <w:autoRedefine/>
    <w:qFormat/>
    <w:uiPriority w:val="0"/>
    <w:rPr>
      <w:rFonts w:eastAsia="宋体"/>
      <w:b/>
      <w:spacing w:val="-2"/>
      <w:sz w:val="24"/>
      <w:lang w:val="en-US" w:eastAsia="zh-CN" w:bidi="ar-SA"/>
    </w:rPr>
  </w:style>
  <w:style w:type="character" w:customStyle="1" w:styleId="164">
    <w:name w:val="line1"/>
    <w:autoRedefine/>
    <w:qFormat/>
    <w:uiPriority w:val="0"/>
    <w:rPr>
      <w:u w:val="none"/>
    </w:rPr>
  </w:style>
  <w:style w:type="character" w:customStyle="1" w:styleId="165">
    <w:name w:val="point_normal1"/>
    <w:autoRedefine/>
    <w:qFormat/>
    <w:uiPriority w:val="0"/>
    <w:rPr>
      <w:rFonts w:hint="default" w:ascii="Arial" w:hAnsi="Arial" w:cs="Arial"/>
      <w:sz w:val="18"/>
      <w:szCs w:val="18"/>
    </w:rPr>
  </w:style>
  <w:style w:type="character" w:customStyle="1" w:styleId="166">
    <w:name w:val="样式 小四"/>
    <w:autoRedefine/>
    <w:qFormat/>
    <w:uiPriority w:val="0"/>
    <w:rPr>
      <w:sz w:val="21"/>
    </w:rPr>
  </w:style>
  <w:style w:type="character" w:customStyle="1" w:styleId="167">
    <w:name w:val="para"/>
    <w:basedOn w:val="56"/>
    <w:autoRedefine/>
    <w:qFormat/>
    <w:uiPriority w:val="0"/>
  </w:style>
  <w:style w:type="character" w:customStyle="1" w:styleId="16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69">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70">
    <w:name w:val="A C"/>
    <w:autoRedefine/>
    <w:qFormat/>
    <w:uiPriority w:val="0"/>
    <w:rPr>
      <w:rFonts w:ascii="仿宋_GB2312"/>
      <w:bCs/>
      <w:iCs/>
      <w:sz w:val="24"/>
    </w:rPr>
  </w:style>
  <w:style w:type="character" w:customStyle="1" w:styleId="171">
    <w:name w:val="huide001"/>
    <w:autoRedefine/>
    <w:qFormat/>
    <w:uiPriority w:val="0"/>
    <w:rPr>
      <w:rFonts w:hint="default" w:ascii="Arial" w:hAnsi="Arial" w:cs="Arial"/>
      <w:color w:val="666666"/>
      <w:sz w:val="18"/>
      <w:szCs w:val="18"/>
    </w:rPr>
  </w:style>
  <w:style w:type="character" w:customStyle="1" w:styleId="172">
    <w:name w:val="tw4winMark"/>
    <w:autoRedefine/>
    <w:qFormat/>
    <w:uiPriority w:val="0"/>
    <w:rPr>
      <w:rFonts w:ascii="Courier New" w:hAnsi="Courier New"/>
      <w:vanish/>
      <w:color w:val="800080"/>
      <w:vertAlign w:val="subscript"/>
    </w:rPr>
  </w:style>
  <w:style w:type="character" w:customStyle="1" w:styleId="173">
    <w:name w:val="tw4winError"/>
    <w:autoRedefine/>
    <w:qFormat/>
    <w:uiPriority w:val="0"/>
    <w:rPr>
      <w:rFonts w:ascii="Courier New" w:hAnsi="Courier New"/>
      <w:color w:val="00FF00"/>
      <w:sz w:val="40"/>
    </w:rPr>
  </w:style>
  <w:style w:type="character" w:customStyle="1" w:styleId="174">
    <w:name w:val="tw4winTerm"/>
    <w:autoRedefine/>
    <w:qFormat/>
    <w:uiPriority w:val="0"/>
    <w:rPr>
      <w:color w:val="0000FF"/>
    </w:rPr>
  </w:style>
  <w:style w:type="character" w:customStyle="1" w:styleId="175">
    <w:name w:val="tw4winPopup"/>
    <w:autoRedefine/>
    <w:qFormat/>
    <w:uiPriority w:val="0"/>
    <w:rPr>
      <w:rFonts w:ascii="Courier New" w:hAnsi="Courier New"/>
      <w:color w:val="008000"/>
    </w:rPr>
  </w:style>
  <w:style w:type="character" w:customStyle="1" w:styleId="176">
    <w:name w:val="tw4winJump"/>
    <w:autoRedefine/>
    <w:qFormat/>
    <w:uiPriority w:val="0"/>
    <w:rPr>
      <w:rFonts w:ascii="Courier New" w:hAnsi="Courier New"/>
      <w:color w:val="008080"/>
    </w:rPr>
  </w:style>
  <w:style w:type="character" w:customStyle="1" w:styleId="177">
    <w:name w:val="tw4winExternal"/>
    <w:autoRedefine/>
    <w:qFormat/>
    <w:uiPriority w:val="0"/>
    <w:rPr>
      <w:rFonts w:ascii="Courier New" w:hAnsi="Courier New"/>
      <w:color w:val="808080"/>
    </w:rPr>
  </w:style>
  <w:style w:type="character" w:customStyle="1" w:styleId="178">
    <w:name w:val="tw4winInternal"/>
    <w:autoRedefine/>
    <w:qFormat/>
    <w:uiPriority w:val="0"/>
    <w:rPr>
      <w:rFonts w:ascii="Courier New" w:hAnsi="Courier New"/>
      <w:color w:val="FF0000"/>
    </w:rPr>
  </w:style>
  <w:style w:type="paragraph" w:customStyle="1" w:styleId="179">
    <w:name w:val="样式 样式 标题 4 + 段后: 0.5 行1"/>
    <w:basedOn w:val="180"/>
    <w:next w:val="30"/>
    <w:autoRedefine/>
    <w:qFormat/>
    <w:uiPriority w:val="0"/>
    <w:pPr>
      <w:spacing w:after="120"/>
    </w:pPr>
  </w:style>
  <w:style w:type="paragraph" w:customStyle="1" w:styleId="180">
    <w:name w:val="样式 标题 4 + 段后: 0.5 行"/>
    <w:basedOn w:val="6"/>
    <w:autoRedefine/>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81">
    <w:name w:val="Bullet1"/>
    <w:basedOn w:val="1"/>
    <w:autoRedefine/>
    <w:qFormat/>
    <w:uiPriority w:val="0"/>
    <w:pPr>
      <w:spacing w:afterLines="50"/>
      <w:ind w:left="720" w:hanging="432"/>
    </w:pPr>
    <w:rPr>
      <w:rFonts w:ascii="宋体"/>
      <w:snapToGrid w:val="0"/>
      <w:kern w:val="0"/>
      <w:szCs w:val="20"/>
    </w:rPr>
  </w:style>
  <w:style w:type="paragraph" w:customStyle="1" w:styleId="182">
    <w:name w:val="font5"/>
    <w:basedOn w:val="1"/>
    <w:autoRedefine/>
    <w:qFormat/>
    <w:uiPriority w:val="0"/>
    <w:pPr>
      <w:widowControl/>
      <w:spacing w:before="100" w:beforeAutospacing="1" w:after="100" w:afterAutospacing="1"/>
    </w:pPr>
    <w:rPr>
      <w:rFonts w:hint="eastAsia" w:ascii="宋体" w:hAnsi="宋体"/>
      <w:kern w:val="0"/>
      <w:sz w:val="18"/>
      <w:szCs w:val="18"/>
    </w:rPr>
  </w:style>
  <w:style w:type="paragraph" w:customStyle="1" w:styleId="183">
    <w:name w:val="标准标题1"/>
    <w:basedOn w:val="3"/>
    <w:autoRedefine/>
    <w:qFormat/>
    <w:uiPriority w:val="0"/>
    <w:pPr>
      <w:pageBreakBefore/>
      <w:tabs>
        <w:tab w:val="left" w:pos="360"/>
        <w:tab w:val="left" w:pos="1080"/>
      </w:tabs>
      <w:ind w:left="425" w:hanging="425"/>
    </w:pPr>
    <w:rPr>
      <w:rFonts w:eastAsia="仿宋_GB2312"/>
      <w:sz w:val="32"/>
    </w:rPr>
  </w:style>
  <w:style w:type="character" w:customStyle="1" w:styleId="184">
    <w:name w:val="脚注文本 Char1"/>
    <w:basedOn w:val="56"/>
    <w:autoRedefine/>
    <w:semiHidden/>
    <w:qFormat/>
    <w:uiPriority w:val="99"/>
    <w:rPr>
      <w:rFonts w:ascii="Times New Roman" w:hAnsi="Times New Roman" w:eastAsia="宋体" w:cs="Times New Roman"/>
      <w:sz w:val="18"/>
      <w:szCs w:val="18"/>
    </w:rPr>
  </w:style>
  <w:style w:type="paragraph" w:customStyle="1" w:styleId="185">
    <w:name w:val="样式 标题 2Chapter X.X. Statementh22Header 2l2Level 2 Headhea..."/>
    <w:basedOn w:val="2"/>
    <w:autoRedefine/>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86">
    <w:name w:val="此正文"/>
    <w:basedOn w:val="1"/>
    <w:autoRedefine/>
    <w:qFormat/>
    <w:uiPriority w:val="0"/>
    <w:pPr>
      <w:ind w:firstLine="200"/>
    </w:pPr>
    <w:rPr>
      <w:sz w:val="24"/>
      <w:szCs w:val="20"/>
    </w:rPr>
  </w:style>
  <w:style w:type="paragraph" w:customStyle="1" w:styleId="187">
    <w:name w:val="样式 标题 3Chapter X.X.X"/>
    <w:basedOn w:val="188"/>
    <w:autoRedefine/>
    <w:qFormat/>
    <w:uiPriority w:val="0"/>
    <w:pPr>
      <w:tabs>
        <w:tab w:val="left" w:pos="709"/>
      </w:tabs>
      <w:spacing w:after="120"/>
    </w:pPr>
  </w:style>
  <w:style w:type="paragraph" w:customStyle="1" w:styleId="188">
    <w:name w:val="标题 3Chapter X.X.X. + 段后: 0.5 行 + 段后: 0.5 行 + 段后: 0.5 行1"/>
    <w:basedOn w:val="189"/>
    <w:autoRedefine/>
    <w:qFormat/>
    <w:uiPriority w:val="0"/>
    <w:pPr>
      <w:tabs>
        <w:tab w:val="left" w:pos="709"/>
      </w:tabs>
    </w:pPr>
  </w:style>
  <w:style w:type="paragraph" w:customStyle="1" w:styleId="189">
    <w:name w:val="样式 样式 标题 3Chapter X.X.X. + 段后: 0.5 行 + 段后: 0.5 行"/>
    <w:basedOn w:val="190"/>
    <w:autoRedefine/>
    <w:qFormat/>
    <w:uiPriority w:val="0"/>
    <w:pPr>
      <w:tabs>
        <w:tab w:val="left" w:pos="709"/>
      </w:tabs>
    </w:pPr>
  </w:style>
  <w:style w:type="paragraph" w:customStyle="1" w:styleId="190">
    <w:name w:val="样式 标题 3Chapter X.X.X. + 段后: 0.5 行"/>
    <w:basedOn w:val="4"/>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91">
    <w:name w:val="正文文本 Char1"/>
    <w:basedOn w:val="56"/>
    <w:autoRedefine/>
    <w:semiHidden/>
    <w:qFormat/>
    <w:uiPriority w:val="99"/>
    <w:rPr>
      <w:rFonts w:ascii="Times New Roman" w:hAnsi="Times New Roman" w:eastAsia="宋体" w:cs="Times New Roman"/>
      <w:szCs w:val="20"/>
    </w:rPr>
  </w:style>
  <w:style w:type="character" w:customStyle="1" w:styleId="192">
    <w:name w:val="尾注文本 字符"/>
    <w:basedOn w:val="56"/>
    <w:link w:val="30"/>
    <w:autoRedefine/>
    <w:semiHidden/>
    <w:qFormat/>
    <w:uiPriority w:val="0"/>
    <w:rPr>
      <w:rFonts w:ascii="宋体"/>
      <w:snapToGrid w:val="0"/>
      <w:sz w:val="21"/>
    </w:rPr>
  </w:style>
  <w:style w:type="paragraph" w:customStyle="1" w:styleId="193">
    <w:name w:val="样式 标题 2"/>
    <w:basedOn w:val="2"/>
    <w:next w:val="194"/>
    <w:autoRedefine/>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94">
    <w:name w:val="最新标题3"/>
    <w:basedOn w:val="195"/>
    <w:next w:val="196"/>
    <w:autoRedefine/>
    <w:qFormat/>
    <w:uiPriority w:val="0"/>
    <w:pPr>
      <w:tabs>
        <w:tab w:val="left" w:pos="709"/>
      </w:tabs>
      <w:spacing w:after="120"/>
    </w:pPr>
  </w:style>
  <w:style w:type="paragraph" w:customStyle="1" w:styleId="195">
    <w:name w:val="样式 标题 3"/>
    <w:basedOn w:val="4"/>
    <w:next w:val="196"/>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6">
    <w:name w:val="最新标题4"/>
    <w:basedOn w:val="197"/>
    <w:next w:val="1"/>
    <w:autoRedefine/>
    <w:qFormat/>
    <w:uiPriority w:val="0"/>
    <w:pPr>
      <w:tabs>
        <w:tab w:val="left" w:pos="2100"/>
      </w:tabs>
      <w:spacing w:after="120"/>
      <w:ind w:left="0" w:firstLine="0"/>
    </w:pPr>
  </w:style>
  <w:style w:type="paragraph" w:customStyle="1" w:styleId="197">
    <w:name w:val="样式 标题 4"/>
    <w:basedOn w:val="198"/>
    <w:next w:val="199"/>
    <w:autoRedefine/>
    <w:qFormat/>
    <w:uiPriority w:val="0"/>
    <w:pPr>
      <w:tabs>
        <w:tab w:val="left" w:pos="2100"/>
      </w:tabs>
      <w:spacing w:after="50"/>
      <w:ind w:left="2100" w:hanging="420"/>
    </w:pPr>
  </w:style>
  <w:style w:type="paragraph" w:customStyle="1" w:styleId="198">
    <w:name w:val="样式 标题 4Chapter X.X.X.X. + 段后: 0.5 行1"/>
    <w:basedOn w:val="180"/>
    <w:autoRedefine/>
    <w:qFormat/>
    <w:uiPriority w:val="0"/>
    <w:pPr>
      <w:spacing w:after="120"/>
    </w:pPr>
  </w:style>
  <w:style w:type="paragraph" w:customStyle="1" w:styleId="199">
    <w:name w:val="样式 正文"/>
    <w:basedOn w:val="1"/>
    <w:next w:val="1"/>
    <w:autoRedefine/>
    <w:qFormat/>
    <w:uiPriority w:val="0"/>
    <w:pPr>
      <w:spacing w:afterLines="50"/>
    </w:pPr>
    <w:rPr>
      <w:rFonts w:ascii="宋体" w:cs="宋体"/>
      <w:snapToGrid w:val="0"/>
      <w:kern w:val="0"/>
      <w:szCs w:val="20"/>
    </w:rPr>
  </w:style>
  <w:style w:type="paragraph" w:customStyle="1" w:styleId="200">
    <w:name w:val="样式 标题 2Chapter X.X. Statementh22Header 2l2Level 2 Headhea...1"/>
    <w:basedOn w:val="4"/>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01">
    <w:name w:val="表格标题"/>
    <w:basedOn w:val="202"/>
    <w:autoRedefine/>
    <w:qFormat/>
    <w:uiPriority w:val="0"/>
    <w:pPr>
      <w:jc w:val="center"/>
    </w:pPr>
    <w:rPr>
      <w:b/>
      <w:bCs/>
      <w:i/>
      <w:iCs/>
    </w:rPr>
  </w:style>
  <w:style w:type="paragraph" w:customStyle="1" w:styleId="202">
    <w:name w:val="表格内容"/>
    <w:basedOn w:val="18"/>
    <w:autoRedefine/>
    <w:qFormat/>
    <w:uiPriority w:val="0"/>
    <w:pPr>
      <w:suppressLineNumbers/>
      <w:suppressAutoHyphens/>
    </w:pPr>
    <w:rPr>
      <w:rFonts w:asciiTheme="minorHAnsi" w:hAnsiTheme="minorHAnsi" w:eastAsiaTheme="minorEastAsia" w:cstheme="minorBidi"/>
      <w:kern w:val="1"/>
      <w:lang w:eastAsia="ar-SA"/>
    </w:rPr>
  </w:style>
  <w:style w:type="paragraph" w:customStyle="1" w:styleId="203">
    <w:name w:val="标准标题3"/>
    <w:basedOn w:val="4"/>
    <w:autoRedefine/>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204">
    <w:name w:val="paragraph1"/>
    <w:basedOn w:val="1"/>
    <w:autoRedefine/>
    <w:qFormat/>
    <w:uiPriority w:val="0"/>
    <w:pPr>
      <w:spacing w:afterLines="30"/>
      <w:ind w:firstLine="420"/>
    </w:pPr>
    <w:rPr>
      <w:rFonts w:eastAsia="楷体_GB2312"/>
      <w:sz w:val="24"/>
      <w:szCs w:val="20"/>
    </w:rPr>
  </w:style>
  <w:style w:type="paragraph" w:customStyle="1" w:styleId="205">
    <w:name w:val="Char Char Char Char1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206">
    <w:name w:val="最新标题2"/>
    <w:basedOn w:val="193"/>
    <w:next w:val="194"/>
    <w:autoRedefine/>
    <w:qFormat/>
    <w:uiPriority w:val="0"/>
  </w:style>
  <w:style w:type="paragraph" w:customStyle="1" w:styleId="207">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208">
    <w:name w:val="样式 样式 正文文本缩进 + 仿宋_GB2312 小四 首行缩进:  0 厘米 行距: 1.5 倍行距 + (中文) 仿宋_GB..."/>
    <w:basedOn w:val="209"/>
    <w:autoRedefine/>
    <w:qFormat/>
    <w:uiPriority w:val="0"/>
    <w:pPr>
      <w:ind w:firstLine="480"/>
    </w:pPr>
  </w:style>
  <w:style w:type="paragraph" w:customStyle="1" w:styleId="209">
    <w:name w:val="样式 正文文本缩进 + 仿宋_GB2312 小四 首行缩进:  0 厘米 行距: 1.5 倍行距"/>
    <w:basedOn w:val="19"/>
    <w:autoRedefine/>
    <w:qFormat/>
    <w:uiPriority w:val="0"/>
    <w:pPr>
      <w:spacing w:line="360" w:lineRule="auto"/>
      <w:ind w:firstLine="0"/>
    </w:pPr>
    <w:rPr>
      <w:rFonts w:ascii="仿宋_GB2312" w:hAnsi="Times New Roman" w:eastAsia="新宋体"/>
      <w:spacing w:val="0"/>
      <w:sz w:val="24"/>
    </w:rPr>
  </w:style>
  <w:style w:type="paragraph" w:customStyle="1" w:styleId="210">
    <w:name w:val="样式 标题 1 + 段后: 0.5 行"/>
    <w:basedOn w:val="3"/>
    <w:autoRedefine/>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11">
    <w:name w:val="Table - Text"/>
    <w:basedOn w:val="1"/>
    <w:autoRedefine/>
    <w:qFormat/>
    <w:uiPriority w:val="0"/>
    <w:pPr>
      <w:widowControl/>
      <w:spacing w:before="60" w:afterLines="50"/>
    </w:pPr>
    <w:rPr>
      <w:kern w:val="0"/>
      <w:szCs w:val="20"/>
      <w:lang w:eastAsia="en-US"/>
    </w:rPr>
  </w:style>
  <w:style w:type="paragraph" w:customStyle="1" w:styleId="212">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13">
    <w:name w:val="沈标题四"/>
    <w:basedOn w:val="6"/>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14">
    <w:name w:val="S4-L15"/>
    <w:basedOn w:val="1"/>
    <w:autoRedefine/>
    <w:qFormat/>
    <w:uiPriority w:val="0"/>
    <w:pPr>
      <w:spacing w:after="120"/>
      <w:ind w:left="720" w:firstLine="392"/>
    </w:pPr>
    <w:rPr>
      <w:szCs w:val="21"/>
      <w:lang w:val="fr-FR"/>
    </w:rPr>
  </w:style>
  <w:style w:type="paragraph" w:customStyle="1" w:styleId="215">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16">
    <w:name w:val="样式 标题 4Chapter X.X.X. + 段后: 0.5 行1 + 段后: 0.5 行"/>
    <w:basedOn w:val="217"/>
    <w:autoRedefine/>
    <w:qFormat/>
    <w:uiPriority w:val="0"/>
    <w:rPr>
      <w:szCs w:val="21"/>
    </w:rPr>
  </w:style>
  <w:style w:type="paragraph" w:customStyle="1" w:styleId="217">
    <w:name w:val="样式 标题 4Chapter X.X.X. + 段后: 0.5 行1"/>
    <w:basedOn w:val="6"/>
    <w:next w:val="6"/>
    <w:autoRedefine/>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18">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19">
    <w:name w:val="Table - Col. Head"/>
    <w:basedOn w:val="1"/>
    <w:autoRedefine/>
    <w:qFormat/>
    <w:uiPriority w:val="0"/>
    <w:pPr>
      <w:keepNext/>
      <w:widowControl/>
      <w:spacing w:before="60" w:afterLines="50"/>
    </w:pPr>
    <w:rPr>
      <w:rFonts w:ascii="Arial" w:hAnsi="Arial"/>
      <w:b/>
      <w:kern w:val="0"/>
      <w:sz w:val="18"/>
      <w:szCs w:val="20"/>
      <w:lang w:eastAsia="en-US"/>
    </w:rPr>
  </w:style>
  <w:style w:type="paragraph" w:customStyle="1" w:styleId="220">
    <w:name w:val="Paragraph1"/>
    <w:basedOn w:val="1"/>
    <w:autoRedefine/>
    <w:qFormat/>
    <w:uiPriority w:val="0"/>
    <w:pPr>
      <w:spacing w:before="80" w:afterLines="50"/>
    </w:pPr>
    <w:rPr>
      <w:rFonts w:ascii="宋体"/>
      <w:snapToGrid w:val="0"/>
      <w:kern w:val="0"/>
      <w:szCs w:val="20"/>
    </w:rPr>
  </w:style>
  <w:style w:type="character" w:customStyle="1" w:styleId="221">
    <w:name w:val="HTML 预设格式 字符"/>
    <w:basedOn w:val="56"/>
    <w:link w:val="44"/>
    <w:autoRedefine/>
    <w:qFormat/>
    <w:uiPriority w:val="0"/>
    <w:rPr>
      <w:rFonts w:ascii="Arial" w:hAnsi="Arial" w:cs="Arial"/>
      <w:sz w:val="24"/>
      <w:szCs w:val="24"/>
    </w:rPr>
  </w:style>
  <w:style w:type="paragraph" w:customStyle="1" w:styleId="222">
    <w:name w:val="S4-L15-No"/>
    <w:basedOn w:val="214"/>
    <w:autoRedefine/>
    <w:qFormat/>
    <w:uiPriority w:val="0"/>
    <w:pPr>
      <w:tabs>
        <w:tab w:val="left" w:pos="720"/>
      </w:tabs>
      <w:ind w:hanging="720"/>
    </w:pPr>
  </w:style>
  <w:style w:type="paragraph" w:customStyle="1" w:styleId="223">
    <w:name w:val="样式 样式 样式 标题 3Chapter X.X.X. + 段后: 0.5 行 + 段后: 0.5 行 + 段后: 0.5 行"/>
    <w:basedOn w:val="189"/>
    <w:autoRedefine/>
    <w:qFormat/>
    <w:uiPriority w:val="0"/>
    <w:pPr>
      <w:spacing w:after="120"/>
    </w:pPr>
  </w:style>
  <w:style w:type="character" w:customStyle="1" w:styleId="224">
    <w:name w:val="正文文本首行缩进 字符"/>
    <w:basedOn w:val="77"/>
    <w:link w:val="49"/>
    <w:autoRedefine/>
    <w:semiHidden/>
    <w:qFormat/>
    <w:uiPriority w:val="0"/>
    <w:rPr>
      <w:kern w:val="2"/>
      <w:sz w:val="21"/>
      <w:szCs w:val="24"/>
    </w:rPr>
  </w:style>
  <w:style w:type="paragraph" w:customStyle="1" w:styleId="225">
    <w:name w:val="Paragraph3"/>
    <w:basedOn w:val="1"/>
    <w:autoRedefine/>
    <w:qFormat/>
    <w:uiPriority w:val="0"/>
    <w:pPr>
      <w:spacing w:before="80" w:afterLines="50"/>
      <w:ind w:left="1530"/>
    </w:pPr>
    <w:rPr>
      <w:rFonts w:ascii="宋体"/>
      <w:snapToGrid w:val="0"/>
      <w:kern w:val="0"/>
      <w:szCs w:val="20"/>
    </w:rPr>
  </w:style>
  <w:style w:type="character" w:customStyle="1" w:styleId="226">
    <w:name w:val="文档结构图 字符"/>
    <w:basedOn w:val="56"/>
    <w:link w:val="15"/>
    <w:autoRedefine/>
    <w:semiHidden/>
    <w:qFormat/>
    <w:uiPriority w:val="0"/>
    <w:rPr>
      <w:kern w:val="2"/>
      <w:sz w:val="21"/>
      <w:szCs w:val="24"/>
      <w:shd w:val="clear" w:color="auto" w:fill="000080"/>
    </w:rPr>
  </w:style>
  <w:style w:type="paragraph" w:customStyle="1" w:styleId="2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8">
    <w:name w:val="样式 标题 3Chapter X.X.X. + 五号 段后: 0.5 行"/>
    <w:basedOn w:val="4"/>
    <w:autoRedefine/>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29">
    <w:name w:val="huide00"/>
    <w:basedOn w:val="1"/>
    <w:autoRedefine/>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30">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31">
    <w:name w:val="S4-I-L15-U"/>
    <w:basedOn w:val="1"/>
    <w:autoRedefine/>
    <w:qFormat/>
    <w:uiPriority w:val="0"/>
    <w:rPr>
      <w:b/>
      <w:i/>
      <w:sz w:val="24"/>
      <w:u w:val="single"/>
    </w:rPr>
  </w:style>
  <w:style w:type="paragraph" w:customStyle="1" w:styleId="232">
    <w:name w:val="InfoBlue"/>
    <w:basedOn w:val="1"/>
    <w:next w:val="18"/>
    <w:autoRedefine/>
    <w:qFormat/>
    <w:uiPriority w:val="0"/>
    <w:pPr>
      <w:spacing w:afterLines="50"/>
      <w:ind w:left="720"/>
    </w:pPr>
    <w:rPr>
      <w:rFonts w:ascii="宋体"/>
      <w:i/>
      <w:snapToGrid w:val="0"/>
      <w:color w:val="0000FF"/>
      <w:kern w:val="0"/>
      <w:szCs w:val="20"/>
    </w:rPr>
  </w:style>
  <w:style w:type="paragraph" w:customStyle="1" w:styleId="233">
    <w:name w:val="标准标题2"/>
    <w:basedOn w:val="2"/>
    <w:autoRedefine/>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34">
    <w:name w:val="样式 左侧:  1 厘米 段后: 0.5 行"/>
    <w:basedOn w:val="1"/>
    <w:autoRedefine/>
    <w:qFormat/>
    <w:uiPriority w:val="0"/>
    <w:pPr>
      <w:spacing w:afterLines="50"/>
      <w:ind w:firstLine="425"/>
    </w:pPr>
    <w:rPr>
      <w:rFonts w:ascii="宋体" w:cs="宋体"/>
      <w:snapToGrid w:val="0"/>
      <w:kern w:val="0"/>
      <w:szCs w:val="20"/>
    </w:rPr>
  </w:style>
  <w:style w:type="paragraph" w:customStyle="1" w:styleId="235">
    <w:name w:val="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236">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37">
    <w:name w:val="样式 标题1"/>
    <w:basedOn w:val="210"/>
    <w:next w:val="206"/>
    <w:autoRedefine/>
    <w:qFormat/>
    <w:uiPriority w:val="0"/>
    <w:pPr>
      <w:tabs>
        <w:tab w:val="left" w:pos="1140"/>
      </w:tabs>
      <w:spacing w:after="50"/>
      <w:ind w:left="1140" w:hanging="720"/>
    </w:pPr>
    <w:rPr>
      <w:bCs w:val="0"/>
      <w:sz w:val="32"/>
    </w:rPr>
  </w:style>
  <w:style w:type="paragraph" w:customStyle="1" w:styleId="238">
    <w:name w:val="Tabletext"/>
    <w:basedOn w:val="1"/>
    <w:autoRedefine/>
    <w:qFormat/>
    <w:uiPriority w:val="0"/>
    <w:pPr>
      <w:keepLines/>
      <w:spacing w:afterLines="50"/>
    </w:pPr>
    <w:rPr>
      <w:rFonts w:ascii="宋体"/>
      <w:snapToGrid w:val="0"/>
      <w:kern w:val="0"/>
      <w:szCs w:val="20"/>
    </w:rPr>
  </w:style>
  <w:style w:type="paragraph" w:customStyle="1" w:styleId="239">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240">
    <w:name w:val="Bullet2"/>
    <w:basedOn w:val="1"/>
    <w:autoRedefine/>
    <w:qFormat/>
    <w:uiPriority w:val="0"/>
    <w:pPr>
      <w:spacing w:afterLines="50"/>
      <w:ind w:left="1440" w:hanging="360"/>
    </w:pPr>
    <w:rPr>
      <w:rFonts w:ascii="宋体"/>
      <w:snapToGrid w:val="0"/>
      <w:color w:val="000080"/>
      <w:kern w:val="0"/>
      <w:szCs w:val="20"/>
    </w:rPr>
  </w:style>
  <w:style w:type="paragraph" w:customStyle="1" w:styleId="241">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42">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43">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44">
    <w:name w:val="S4-L15-C"/>
    <w:basedOn w:val="1"/>
    <w:autoRedefine/>
    <w:qFormat/>
    <w:uiPriority w:val="0"/>
    <w:pPr>
      <w:spacing w:after="120"/>
      <w:jc w:val="center"/>
    </w:pPr>
    <w:rPr>
      <w:szCs w:val="21"/>
    </w:rPr>
  </w:style>
  <w:style w:type="paragraph" w:customStyle="1" w:styleId="245">
    <w:name w:val="二级项目符号"/>
    <w:basedOn w:val="1"/>
    <w:autoRedefine/>
    <w:qFormat/>
    <w:uiPriority w:val="0"/>
    <w:pPr>
      <w:widowControl/>
      <w:tabs>
        <w:tab w:val="left" w:pos="964"/>
      </w:tabs>
      <w:ind w:left="964" w:hanging="482"/>
    </w:pPr>
    <w:rPr>
      <w:kern w:val="0"/>
      <w:sz w:val="24"/>
      <w:szCs w:val="20"/>
    </w:rPr>
  </w:style>
  <w:style w:type="paragraph" w:customStyle="1" w:styleId="24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47">
    <w:name w:val="页脚 Char1"/>
    <w:basedOn w:val="56"/>
    <w:autoRedefine/>
    <w:semiHidden/>
    <w:qFormat/>
    <w:uiPriority w:val="99"/>
    <w:rPr>
      <w:rFonts w:ascii="Times New Roman" w:hAnsi="Times New Roman" w:eastAsia="宋体" w:cs="Times New Roman"/>
      <w:sz w:val="18"/>
      <w:szCs w:val="18"/>
    </w:rPr>
  </w:style>
  <w:style w:type="paragraph" w:customStyle="1" w:styleId="248">
    <w:name w:val="样式 样式 标题 4 + 段后: 0.5 行 + 段后: 0.5 行"/>
    <w:basedOn w:val="180"/>
    <w:autoRedefine/>
    <w:qFormat/>
    <w:uiPriority w:val="0"/>
  </w:style>
  <w:style w:type="paragraph" w:customStyle="1" w:styleId="249">
    <w:name w:val="Main Title"/>
    <w:basedOn w:val="1"/>
    <w:autoRedefine/>
    <w:qFormat/>
    <w:uiPriority w:val="0"/>
    <w:pPr>
      <w:spacing w:before="480" w:afterLines="50"/>
      <w:jc w:val="center"/>
    </w:pPr>
    <w:rPr>
      <w:rFonts w:ascii="宋体"/>
      <w:b/>
      <w:snapToGrid w:val="0"/>
      <w:kern w:val="28"/>
      <w:sz w:val="32"/>
      <w:szCs w:val="20"/>
    </w:rPr>
  </w:style>
  <w:style w:type="paragraph" w:customStyle="1" w:styleId="250">
    <w:name w:val="样式 样式 正文文本缩进 + 仿宋_GB2312 小四 首行缩进:  0 厘米 行距: 1.5 倍行距 + (中文) 仿宋_GB... Char Char"/>
    <w:basedOn w:val="209"/>
    <w:autoRedefine/>
    <w:qFormat/>
    <w:uiPriority w:val="0"/>
    <w:pPr>
      <w:ind w:firstLine="480"/>
    </w:pPr>
  </w:style>
  <w:style w:type="paragraph" w:customStyle="1" w:styleId="251">
    <w:name w:val="标题1"/>
    <w:basedOn w:val="26"/>
    <w:autoRedefine/>
    <w:qFormat/>
    <w:uiPriority w:val="0"/>
    <w:rPr>
      <w:rFonts w:cstheme="minorBidi"/>
      <w:b/>
      <w:sz w:val="30"/>
      <w:szCs w:val="22"/>
    </w:rPr>
  </w:style>
  <w:style w:type="paragraph" w:customStyle="1" w:styleId="252">
    <w:name w:val="样式 三号 加粗 段后: 0.5 行"/>
    <w:basedOn w:val="1"/>
    <w:autoRedefine/>
    <w:qFormat/>
    <w:uiPriority w:val="0"/>
    <w:pPr>
      <w:spacing w:afterLines="50"/>
    </w:pPr>
    <w:rPr>
      <w:rFonts w:ascii="宋体" w:cs="宋体"/>
      <w:b/>
      <w:bCs/>
      <w:snapToGrid w:val="0"/>
      <w:kern w:val="0"/>
      <w:sz w:val="32"/>
      <w:szCs w:val="20"/>
    </w:rPr>
  </w:style>
  <w:style w:type="paragraph" w:customStyle="1" w:styleId="253">
    <w:name w:val="标准有序列表（L1）"/>
    <w:basedOn w:val="5"/>
    <w:autoRedefine/>
    <w:qFormat/>
    <w:uiPriority w:val="0"/>
    <w:pPr>
      <w:tabs>
        <w:tab w:val="left" w:pos="0"/>
      </w:tabs>
      <w:ind w:firstLine="0"/>
    </w:pPr>
    <w:rPr>
      <w:rFonts w:ascii="黑体" w:eastAsia="黑体" w:hAnsiTheme="minorHAnsi" w:cstheme="minorBidi"/>
      <w:color w:val="000000"/>
      <w:sz w:val="24"/>
      <w:szCs w:val="22"/>
    </w:rPr>
  </w:style>
  <w:style w:type="paragraph" w:customStyle="1" w:styleId="254">
    <w:name w:val="IBM 正文"/>
    <w:basedOn w:val="1"/>
    <w:autoRedefine/>
    <w:qFormat/>
    <w:uiPriority w:val="0"/>
    <w:pPr>
      <w:spacing w:line="360" w:lineRule="atLeast"/>
    </w:pPr>
    <w:rPr>
      <w:sz w:val="24"/>
      <w:szCs w:val="20"/>
    </w:rPr>
  </w:style>
  <w:style w:type="paragraph" w:customStyle="1" w:styleId="255">
    <w:name w:val="text"/>
    <w:basedOn w:val="1"/>
    <w:autoRedefine/>
    <w:qFormat/>
    <w:uiPriority w:val="0"/>
    <w:pPr>
      <w:adjustRightInd w:val="0"/>
      <w:spacing w:before="120"/>
      <w:ind w:firstLine="425"/>
      <w:textAlignment w:val="baseline"/>
    </w:pPr>
    <w:rPr>
      <w:rFonts w:ascii="宋体" w:hAnsi="Arial" w:cs="Arial"/>
      <w:bCs/>
      <w:kern w:val="0"/>
      <w:sz w:val="26"/>
      <w:szCs w:val="32"/>
    </w:rPr>
  </w:style>
  <w:style w:type="paragraph" w:customStyle="1" w:styleId="256">
    <w:name w:val="S4-I-U-L15-No-dot"/>
    <w:basedOn w:val="1"/>
    <w:autoRedefine/>
    <w:qFormat/>
    <w:uiPriority w:val="0"/>
    <w:pPr>
      <w:tabs>
        <w:tab w:val="left" w:pos="1112"/>
      </w:tabs>
      <w:spacing w:after="120"/>
      <w:ind w:left="1112" w:hanging="420"/>
    </w:pPr>
    <w:rPr>
      <w:i/>
      <w:sz w:val="24"/>
      <w:u w:val="single"/>
    </w:rPr>
  </w:style>
  <w:style w:type="paragraph" w:customStyle="1" w:styleId="257">
    <w:name w:val="Paragraph4"/>
    <w:basedOn w:val="1"/>
    <w:autoRedefine/>
    <w:qFormat/>
    <w:uiPriority w:val="0"/>
    <w:pPr>
      <w:spacing w:before="80" w:afterLines="50"/>
      <w:ind w:left="2250"/>
    </w:pPr>
    <w:rPr>
      <w:rFonts w:ascii="宋体"/>
      <w:snapToGrid w:val="0"/>
      <w:kern w:val="0"/>
      <w:szCs w:val="20"/>
    </w:rPr>
  </w:style>
  <w:style w:type="paragraph" w:customStyle="1" w:styleId="258">
    <w:name w:val="样式 标题 1 + 五号1 Char Char Char Char Char Char Char Char Char Char Char Char Char Char Char Char Char"/>
    <w:basedOn w:val="3"/>
    <w:autoRedefine/>
    <w:qFormat/>
    <w:uiPriority w:val="0"/>
    <w:pPr>
      <w:tabs>
        <w:tab w:val="left" w:pos="360"/>
      </w:tabs>
      <w:spacing w:line="480" w:lineRule="auto"/>
    </w:pPr>
    <w:rPr>
      <w:sz w:val="21"/>
    </w:rPr>
  </w:style>
  <w:style w:type="paragraph" w:customStyle="1" w:styleId="259">
    <w:name w:val="样式 标题 3Chapter X.X.X. + 段后: 0.5 行1"/>
    <w:basedOn w:val="4"/>
    <w:next w:val="1"/>
    <w:autoRedefine/>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60">
    <w:name w:val="Body"/>
    <w:basedOn w:val="1"/>
    <w:autoRedefine/>
    <w:qFormat/>
    <w:uiPriority w:val="0"/>
    <w:pPr>
      <w:widowControl/>
      <w:spacing w:before="120" w:afterLines="50"/>
    </w:pPr>
    <w:rPr>
      <w:rFonts w:ascii="宋体"/>
      <w:snapToGrid w:val="0"/>
      <w:kern w:val="0"/>
      <w:szCs w:val="20"/>
    </w:rPr>
  </w:style>
  <w:style w:type="paragraph" w:customStyle="1" w:styleId="261">
    <w:name w:val="Proposals body"/>
    <w:basedOn w:val="1"/>
    <w:next w:val="1"/>
    <w:autoRedefine/>
    <w:qFormat/>
    <w:uiPriority w:val="0"/>
    <w:pPr>
      <w:widowControl/>
    </w:pPr>
    <w:rPr>
      <w:rFonts w:ascii="宋体"/>
      <w:snapToGrid w:val="0"/>
      <w:color w:val="000000"/>
      <w:kern w:val="0"/>
      <w:sz w:val="24"/>
      <w:szCs w:val="20"/>
    </w:rPr>
  </w:style>
  <w:style w:type="paragraph" w:customStyle="1" w:styleId="262">
    <w:name w:val="章正文"/>
    <w:basedOn w:val="1"/>
    <w:autoRedefine/>
    <w:qFormat/>
    <w:uiPriority w:val="0"/>
    <w:pPr>
      <w:spacing w:beforeLines="50" w:after="120" w:line="300" w:lineRule="auto"/>
    </w:pPr>
    <w:rPr>
      <w:rFonts w:ascii="Helvetica" w:hAnsi="Helvetica"/>
      <w:kern w:val="0"/>
      <w:sz w:val="24"/>
    </w:rPr>
  </w:style>
  <w:style w:type="paragraph" w:customStyle="1" w:styleId="263">
    <w:name w:val="样式 样式3 + 宋体 五号 Char Char Char"/>
    <w:basedOn w:val="1"/>
    <w:autoRedefine/>
    <w:qFormat/>
    <w:uiPriority w:val="0"/>
    <w:pPr>
      <w:keepNext/>
      <w:keepLines/>
      <w:tabs>
        <w:tab w:val="left" w:pos="1050"/>
      </w:tabs>
      <w:ind w:left="1050" w:hanging="450"/>
      <w:outlineLvl w:val="7"/>
    </w:pPr>
    <w:rPr>
      <w:rFonts w:ascii="宋体" w:hAnsi="宋体"/>
      <w:b/>
      <w:bCs/>
    </w:rPr>
  </w:style>
  <w:style w:type="paragraph" w:customStyle="1" w:styleId="264">
    <w:name w:val="样式 标题 2 + 五号"/>
    <w:basedOn w:val="2"/>
    <w:autoRedefine/>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65">
    <w:name w:val="样式 标题 1 + 五号"/>
    <w:basedOn w:val="3"/>
    <w:autoRedefine/>
    <w:qFormat/>
    <w:uiPriority w:val="0"/>
    <w:pPr>
      <w:tabs>
        <w:tab w:val="left" w:pos="360"/>
      </w:tabs>
      <w:spacing w:line="240" w:lineRule="auto"/>
    </w:pPr>
    <w:rPr>
      <w:sz w:val="32"/>
      <w:szCs w:val="32"/>
    </w:rPr>
  </w:style>
  <w:style w:type="paragraph" w:customStyle="1" w:styleId="266">
    <w:name w:val="文本框内文字"/>
    <w:basedOn w:val="1"/>
    <w:autoRedefine/>
    <w:qFormat/>
    <w:uiPriority w:val="0"/>
    <w:pPr>
      <w:spacing w:line="0" w:lineRule="atLeast"/>
    </w:pPr>
    <w:rPr>
      <w:rFonts w:eastAsia="仿宋_GB2312"/>
      <w:sz w:val="22"/>
    </w:rPr>
  </w:style>
  <w:style w:type="paragraph" w:customStyle="1" w:styleId="267">
    <w:name w:val="P1"/>
    <w:basedOn w:val="1"/>
    <w:autoRedefine/>
    <w:qFormat/>
    <w:uiPriority w:val="0"/>
    <w:pPr>
      <w:widowControl/>
      <w:spacing w:before="240" w:line="240" w:lineRule="atLeast"/>
    </w:pPr>
    <w:rPr>
      <w:b/>
      <w:kern w:val="0"/>
      <w:szCs w:val="21"/>
      <w:lang w:val="en-AU" w:eastAsia="en-US"/>
    </w:rPr>
  </w:style>
  <w:style w:type="paragraph" w:customStyle="1" w:styleId="268">
    <w:name w:val="最新标题1"/>
    <w:basedOn w:val="237"/>
    <w:next w:val="206"/>
    <w:autoRedefine/>
    <w:qFormat/>
    <w:uiPriority w:val="0"/>
    <w:pPr>
      <w:spacing w:after="120"/>
    </w:pPr>
    <w:rPr>
      <w:bCs/>
    </w:rPr>
  </w:style>
  <w:style w:type="paragraph" w:customStyle="1" w:styleId="269">
    <w:name w:val="P2"/>
    <w:basedOn w:val="1"/>
    <w:autoRedefine/>
    <w:qFormat/>
    <w:uiPriority w:val="0"/>
    <w:pPr>
      <w:widowControl/>
      <w:spacing w:before="240" w:line="240" w:lineRule="atLeast"/>
      <w:ind w:left="578"/>
    </w:pPr>
    <w:rPr>
      <w:b/>
      <w:kern w:val="0"/>
      <w:szCs w:val="21"/>
      <w:lang w:val="en-AU" w:eastAsia="en-US"/>
    </w:rPr>
  </w:style>
  <w:style w:type="paragraph" w:customStyle="1" w:styleId="270">
    <w:name w:val="Style-正文"/>
    <w:basedOn w:val="1"/>
    <w:autoRedefine/>
    <w:qFormat/>
    <w:uiPriority w:val="0"/>
    <w:pPr>
      <w:ind w:firstLine="420"/>
    </w:pPr>
    <w:rPr>
      <w:rFonts w:ascii="宋体" w:hAnsi="宋体"/>
      <w:sz w:val="24"/>
    </w:rPr>
  </w:style>
  <w:style w:type="paragraph" w:customStyle="1" w:styleId="271">
    <w:name w:val="P3"/>
    <w:basedOn w:val="1"/>
    <w:autoRedefine/>
    <w:qFormat/>
    <w:uiPriority w:val="0"/>
    <w:pPr>
      <w:widowControl/>
      <w:spacing w:before="240" w:line="240" w:lineRule="atLeast"/>
      <w:ind w:left="1152"/>
    </w:pPr>
    <w:rPr>
      <w:b/>
      <w:kern w:val="0"/>
      <w:szCs w:val="21"/>
      <w:lang w:val="en-AU" w:eastAsia="en-US"/>
    </w:rPr>
  </w:style>
  <w:style w:type="paragraph" w:customStyle="1" w:styleId="272">
    <w:name w:val="Plain Text1"/>
    <w:basedOn w:val="1"/>
    <w:autoRedefine/>
    <w:qFormat/>
    <w:uiPriority w:val="0"/>
    <w:pPr>
      <w:autoSpaceDE w:val="0"/>
      <w:autoSpaceDN w:val="0"/>
      <w:adjustRightInd w:val="0"/>
    </w:pPr>
    <w:rPr>
      <w:rFonts w:hint="eastAsia" w:ascii="宋体" w:hAnsi="宋体"/>
      <w:sz w:val="24"/>
      <w:szCs w:val="20"/>
    </w:rPr>
  </w:style>
  <w:style w:type="paragraph" w:customStyle="1" w:styleId="273">
    <w:name w:val="样式　标题4"/>
    <w:basedOn w:val="217"/>
    <w:next w:val="1"/>
    <w:autoRedefine/>
    <w:qFormat/>
    <w:uiPriority w:val="0"/>
  </w:style>
  <w:style w:type="paragraph" w:customStyle="1" w:styleId="274">
    <w:name w:val="Blockquote"/>
    <w:basedOn w:val="1"/>
    <w:autoRedefine/>
    <w:qFormat/>
    <w:uiPriority w:val="0"/>
    <w:pPr>
      <w:widowControl/>
      <w:spacing w:before="100" w:afterLines="50"/>
      <w:ind w:left="360" w:right="360"/>
    </w:pPr>
    <w:rPr>
      <w:rFonts w:ascii="宋体"/>
      <w:snapToGrid w:val="0"/>
      <w:kern w:val="0"/>
      <w:sz w:val="24"/>
      <w:szCs w:val="20"/>
      <w:lang w:val="en-CA"/>
    </w:rPr>
  </w:style>
  <w:style w:type="paragraph" w:customStyle="1" w:styleId="275">
    <w:name w:val="样式 模板描述"/>
    <w:basedOn w:val="1"/>
    <w:next w:val="199"/>
    <w:autoRedefine/>
    <w:qFormat/>
    <w:uiPriority w:val="0"/>
    <w:pPr>
      <w:spacing w:afterLines="50"/>
    </w:pPr>
    <w:rPr>
      <w:rFonts w:ascii="宋体" w:cs="宋体"/>
      <w:i/>
      <w:iCs/>
      <w:snapToGrid w:val="0"/>
      <w:color w:val="0000FF"/>
      <w:kern w:val="0"/>
      <w:szCs w:val="21"/>
    </w:rPr>
  </w:style>
  <w:style w:type="paragraph" w:customStyle="1" w:styleId="276">
    <w:name w:val="Char Char3 Char Char Char Char"/>
    <w:basedOn w:val="1"/>
    <w:autoRedefine/>
    <w:qFormat/>
    <w:uiPriority w:val="0"/>
    <w:pPr>
      <w:widowControl/>
      <w:spacing w:after="160"/>
    </w:pPr>
    <w:rPr>
      <w:rFonts w:ascii="Verdana" w:hAnsi="Verdana"/>
      <w:kern w:val="0"/>
      <w:sz w:val="24"/>
      <w:szCs w:val="20"/>
      <w:lang w:eastAsia="en-US"/>
    </w:rPr>
  </w:style>
  <w:style w:type="paragraph" w:customStyle="1" w:styleId="277">
    <w:name w:val="样式2"/>
    <w:basedOn w:val="2"/>
    <w:autoRedefine/>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78">
    <w:name w:val="S4-B-L15"/>
    <w:basedOn w:val="1"/>
    <w:autoRedefine/>
    <w:qFormat/>
    <w:uiPriority w:val="0"/>
    <w:rPr>
      <w:b/>
      <w:bCs/>
      <w:sz w:val="24"/>
    </w:rPr>
  </w:style>
  <w:style w:type="paragraph" w:customStyle="1" w:styleId="279">
    <w:name w:val="样式 标题 3(A-3)sect1.2.3h3H3level_3PIM 3Level 3 HeadHeading..."/>
    <w:basedOn w:val="4"/>
    <w:autoRedefine/>
    <w:qFormat/>
    <w:uiPriority w:val="0"/>
    <w:pPr>
      <w:tabs>
        <w:tab w:val="left" w:pos="709"/>
      </w:tabs>
      <w:spacing w:line="416" w:lineRule="auto"/>
      <w:ind w:firstLine="0" w:firstLineChars="0"/>
    </w:pPr>
    <w:rPr>
      <w:rFonts w:ascii="Arial" w:hAnsi="Arial" w:eastAsia="宋体"/>
      <w:szCs w:val="32"/>
    </w:rPr>
  </w:style>
  <w:style w:type="paragraph" w:customStyle="1" w:styleId="280">
    <w:name w:val="Char Char2"/>
    <w:basedOn w:val="1"/>
    <w:autoRedefine/>
    <w:qFormat/>
    <w:uiPriority w:val="0"/>
    <w:rPr>
      <w:rFonts w:ascii="仿宋_GB2312" w:eastAsia="仿宋_GB2312"/>
      <w:b/>
      <w:sz w:val="32"/>
      <w:szCs w:val="32"/>
    </w:rPr>
  </w:style>
  <w:style w:type="paragraph" w:customStyle="1" w:styleId="281">
    <w:name w:val="p0"/>
    <w:basedOn w:val="1"/>
    <w:autoRedefine/>
    <w:qFormat/>
    <w:uiPriority w:val="0"/>
    <w:pPr>
      <w:widowControl/>
    </w:pPr>
    <w:rPr>
      <w:kern w:val="0"/>
      <w:szCs w:val="21"/>
    </w:rPr>
  </w:style>
  <w:style w:type="table" w:customStyle="1" w:styleId="282">
    <w:name w:val="网格表 4 - 着色 11"/>
    <w:basedOn w:val="52"/>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83">
    <w:name w:val="font21"/>
    <w:autoRedefine/>
    <w:qFormat/>
    <w:uiPriority w:val="0"/>
    <w:rPr>
      <w:rFonts w:hint="eastAsia" w:ascii="宋体" w:hAnsi="宋体" w:eastAsia="宋体" w:cs="宋体"/>
      <w:color w:val="000000"/>
      <w:sz w:val="24"/>
      <w:szCs w:val="24"/>
      <w:u w:val="none"/>
    </w:rPr>
  </w:style>
  <w:style w:type="paragraph" w:customStyle="1" w:styleId="28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List Paragraph1"/>
    <w:basedOn w:val="1"/>
    <w:autoRedefine/>
    <w:qFormat/>
    <w:uiPriority w:val="99"/>
    <w:pPr>
      <w:spacing w:line="240" w:lineRule="auto"/>
      <w:ind w:firstLine="420"/>
      <w:jc w:val="both"/>
    </w:pPr>
    <w:rPr>
      <w:rFonts w:ascii="Calibri" w:hAnsi="Calibri" w:eastAsia="宋体" w:cs="宋体"/>
      <w:szCs w:val="21"/>
    </w:rPr>
  </w:style>
  <w:style w:type="table" w:customStyle="1" w:styleId="286">
    <w:name w:val="网格型1"/>
    <w:basedOn w:val="52"/>
    <w:autoRedefine/>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7">
    <w:name w:val="info-sources"/>
    <w:basedOn w:val="1"/>
    <w:autoRedefine/>
    <w:qFormat/>
    <w:uiPriority w:val="0"/>
    <w:pPr>
      <w:spacing w:before="450"/>
      <w:jc w:val="center"/>
    </w:pPr>
    <w:rPr>
      <w:kern w:val="0"/>
      <w:szCs w:val="21"/>
    </w:rPr>
  </w:style>
  <w:style w:type="paragraph" w:customStyle="1" w:styleId="288">
    <w:name w:val="表格正文"/>
    <w:qFormat/>
    <w:uiPriority w:val="1"/>
    <w:pPr>
      <w:widowControl w:val="0"/>
      <w:spacing w:line="360" w:lineRule="auto"/>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27"/>
    <customShpInfo spid="_x0000_s1033"/>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50B36-ACE4-4A52-B7B2-8E8CE9F085A5}">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56</Pages>
  <Words>27199</Words>
  <Characters>28634</Characters>
  <Lines>224</Lines>
  <Paragraphs>63</Paragraphs>
  <TotalTime>28</TotalTime>
  <ScaleCrop>false</ScaleCrop>
  <LinksUpToDate>false</LinksUpToDate>
  <CharactersWithSpaces>29647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2024-09-20T02:53:00Z</dcterms:created>
  <dc:creator>微软用户</dc:creator>
  <cp:lastModifiedBy>Administrator</cp:lastModifiedBy>
  <cp:lastPrinted>2022-03-07T02:04:00Z</cp:lastPrinted>
  <dcterms:modified xsi:type="dcterms:W3CDTF">2024-09-20T04:15:11Z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079635B46FF04A199931D2F7BB87A5A5_13</vt:lpwstr>
  </property>
  <property fmtid="{D5CDD505-2E9C-101B-9397-08002B2CF9AE}" pid="4" name="commondata">
    <vt:lpwstr>eyJoZGlkIjoiMmEyNDZkNzA2MmRlNGFiMmIwM2ZhODE1MTExZTY2MTEifQ==</vt:lpwstr>
  </property>
</Properties>
</file>