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rPr>
      </w:pPr>
    </w:p>
    <w:p>
      <w:pPr>
        <w:jc w:val="center"/>
        <w:rPr>
          <w:rFonts w:hint="eastAsia" w:ascii="宋体" w:hAnsi="宋体" w:cs="宋体"/>
          <w:b/>
        </w:rPr>
      </w:pPr>
    </w:p>
    <w:p>
      <w:pPr>
        <w:adjustRightInd/>
        <w:ind w:firstLine="883"/>
        <w:jc w:val="center"/>
        <w:rPr>
          <w:rFonts w:hint="eastAsia" w:ascii="宋体" w:hAnsi="宋体" w:cs="宋体"/>
          <w:b/>
          <w:sz w:val="44"/>
          <w:szCs w:val="44"/>
        </w:rPr>
      </w:pPr>
    </w:p>
    <w:p>
      <w:pPr>
        <w:adjustRightInd/>
        <w:ind w:firstLine="964"/>
        <w:rPr>
          <w:rFonts w:hint="eastAsia" w:ascii="宋体" w:hAnsi="宋体" w:cs="宋体"/>
          <w:b/>
          <w:sz w:val="48"/>
          <w:szCs w:val="48"/>
        </w:rPr>
      </w:pPr>
    </w:p>
    <w:p>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浙江省就业省集中系统运维</w:t>
      </w:r>
    </w:p>
    <w:p>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pPr>
        <w:ind w:firstLine="0" w:firstLineChars="0"/>
        <w:jc w:val="center"/>
        <w:rPr>
          <w:rFonts w:hint="eastAsia" w:ascii="宋体" w:hAnsi="宋体" w:cs="宋体"/>
          <w:b/>
          <w:bCs/>
          <w:sz w:val="30"/>
          <w:szCs w:val="30"/>
        </w:rPr>
      </w:pPr>
      <w:r>
        <w:rPr>
          <w:rFonts w:hint="eastAsia" w:ascii="宋体" w:hAnsi="宋体" w:cs="宋体"/>
          <w:b/>
          <w:bCs/>
          <w:sz w:val="30"/>
          <w:szCs w:val="30"/>
        </w:rPr>
        <w:t>编号:ZJXL-LB-202422</w:t>
      </w:r>
    </w:p>
    <w:p>
      <w:pPr>
        <w:pStyle w:val="23"/>
        <w:ind w:firstLine="0" w:firstLineChars="0"/>
        <w:jc w:val="center"/>
        <w:rPr>
          <w:b/>
          <w:bCs/>
        </w:rPr>
      </w:pPr>
      <w:r>
        <w:rPr>
          <w:rFonts w:hint="eastAsia" w:hAnsi="宋体" w:cs="宋体"/>
          <w:b/>
          <w:bCs/>
          <w:sz w:val="30"/>
          <w:szCs w:val="30"/>
        </w:rPr>
        <w:t>确认书号：</w:t>
      </w:r>
      <w:r>
        <w:rPr>
          <w:rStyle w:val="76"/>
          <w:rFonts w:hint="eastAsia" w:ascii="宋体" w:hAnsi="宋体" w:eastAsia="宋体" w:cs="宋体"/>
          <w:b/>
          <w:bCs/>
          <w:color w:val="auto"/>
          <w:kern w:val="2"/>
          <w:sz w:val="30"/>
          <w:szCs w:val="30"/>
          <w:lang w:val="en-US"/>
        </w:rPr>
        <w:fldChar w:fldCharType="begin"/>
      </w:r>
      <w:r>
        <w:rPr>
          <w:rStyle w:val="76"/>
          <w:rFonts w:ascii="宋体" w:hAnsi="宋体" w:eastAsia="宋体" w:cs="宋体"/>
          <w:b/>
          <w:bCs/>
          <w:color w:val="auto"/>
          <w:kern w:val="2"/>
          <w:sz w:val="30"/>
          <w:szCs w:val="30"/>
          <w:lang w:val="en-US"/>
        </w:rPr>
        <w:instrText xml:space="preserve"> HYPERLINK "https://pay.zcygov.cn/purchaseplan_front/" \l "/plan/list/detail?id=1000000000002132251&amp;encrypt=c0dae0ef925e618d77b99e0171178b8a" \t "_blank" </w:instrText>
      </w:r>
      <w:r>
        <w:rPr>
          <w:rStyle w:val="76"/>
          <w:rFonts w:hint="eastAsia" w:ascii="宋体" w:hAnsi="宋体" w:eastAsia="宋体" w:cs="宋体"/>
          <w:b/>
          <w:bCs/>
          <w:color w:val="auto"/>
          <w:kern w:val="2"/>
          <w:sz w:val="30"/>
          <w:szCs w:val="30"/>
          <w:lang w:val="en-US"/>
        </w:rPr>
        <w:fldChar w:fldCharType="separate"/>
      </w:r>
      <w:r>
        <w:rPr>
          <w:rStyle w:val="76"/>
          <w:rFonts w:hint="eastAsia" w:ascii="宋体" w:hAnsi="宋体" w:eastAsia="宋体" w:cs="宋体"/>
          <w:b/>
          <w:bCs/>
          <w:color w:val="auto"/>
          <w:kern w:val="2"/>
          <w:sz w:val="30"/>
          <w:szCs w:val="30"/>
          <w:lang w:val="en-US"/>
        </w:rPr>
        <w:t>浙财采确</w:t>
      </w:r>
      <w:r>
        <w:fldChar w:fldCharType="begin"/>
      </w:r>
      <w:r>
        <w:instrText xml:space="preserve"> HYPERLINK "https://pay.zcygov.cn/purchaseplan_front/" \l "/plan/list/view?id=1000000000014342365&amp;_app_=zcy.procurement" \t "_blank" </w:instrText>
      </w:r>
      <w:r>
        <w:fldChar w:fldCharType="separate"/>
      </w:r>
      <w:r>
        <w:rPr>
          <w:rStyle w:val="76"/>
          <w:rFonts w:hint="eastAsia" w:ascii="宋体" w:hAnsi="宋体" w:eastAsia="宋体" w:cs="宋体"/>
          <w:b/>
          <w:bCs/>
          <w:snapToGrid w:val="0"/>
          <w:color w:val="auto"/>
          <w:kern w:val="2"/>
          <w:sz w:val="30"/>
          <w:szCs w:val="30"/>
          <w:lang w:val="en-US"/>
        </w:rPr>
        <w:t>[2024]54384号</w:t>
      </w:r>
      <w:r>
        <w:rPr>
          <w:rStyle w:val="76"/>
          <w:rFonts w:hint="eastAsia" w:ascii="宋体" w:hAnsi="宋体" w:eastAsia="宋体" w:cs="宋体"/>
          <w:b/>
          <w:bCs/>
          <w:snapToGrid w:val="0"/>
          <w:color w:val="auto"/>
          <w:kern w:val="2"/>
          <w:sz w:val="30"/>
          <w:szCs w:val="30"/>
          <w:lang w:val="en-US"/>
        </w:rPr>
        <w:fldChar w:fldCharType="end"/>
      </w:r>
      <w:r>
        <w:rPr>
          <w:rStyle w:val="76"/>
          <w:rFonts w:hint="eastAsia" w:ascii="宋体" w:hAnsi="宋体" w:eastAsia="宋体" w:cs="宋体"/>
          <w:b/>
          <w:bCs/>
          <w:color w:val="auto"/>
          <w:kern w:val="2"/>
          <w:sz w:val="30"/>
          <w:szCs w:val="30"/>
          <w:lang w:val="en-US"/>
        </w:rPr>
        <w:t>、</w:t>
      </w:r>
      <w:r>
        <w:fldChar w:fldCharType="begin"/>
      </w:r>
      <w:r>
        <w:instrText xml:space="preserve"> HYPERLINK "https://pay.zcygov.cn/purchaseplan_front/" \l "/plan/list/view?id=1000000000014342383&amp;_app_=zcy.procurement" \t "_blank" </w:instrText>
      </w:r>
      <w:r>
        <w:fldChar w:fldCharType="separate"/>
      </w:r>
      <w:r>
        <w:rPr>
          <w:rStyle w:val="76"/>
          <w:rFonts w:hint="eastAsia" w:ascii="宋体" w:hAnsi="宋体" w:eastAsia="宋体" w:cs="宋体"/>
          <w:b/>
          <w:bCs/>
          <w:snapToGrid w:val="0"/>
          <w:color w:val="auto"/>
          <w:kern w:val="2"/>
          <w:sz w:val="30"/>
          <w:szCs w:val="30"/>
          <w:lang w:val="en-US"/>
        </w:rPr>
        <w:t>[2024]54383号</w:t>
      </w:r>
      <w:r>
        <w:rPr>
          <w:rStyle w:val="76"/>
          <w:rFonts w:hint="eastAsia" w:ascii="宋体" w:hAnsi="宋体" w:eastAsia="宋体" w:cs="宋体"/>
          <w:b/>
          <w:bCs/>
          <w:snapToGrid w:val="0"/>
          <w:color w:val="auto"/>
          <w:kern w:val="2"/>
          <w:sz w:val="30"/>
          <w:szCs w:val="30"/>
          <w:lang w:val="en-US"/>
        </w:rPr>
        <w:fldChar w:fldCharType="end"/>
      </w:r>
      <w:r>
        <w:rPr>
          <w:rStyle w:val="76"/>
          <w:rFonts w:hint="eastAsia" w:ascii="宋体" w:hAnsi="宋体" w:eastAsia="宋体" w:cs="宋体"/>
          <w:b/>
          <w:bCs/>
          <w:color w:val="auto"/>
          <w:kern w:val="2"/>
          <w:sz w:val="30"/>
          <w:szCs w:val="30"/>
          <w:lang w:val="en-US"/>
        </w:rPr>
        <w:t xml:space="preserve">     </w:t>
      </w:r>
      <w:r>
        <w:rPr>
          <w:rStyle w:val="76"/>
          <w:rFonts w:ascii="宋体" w:hAnsi="宋体" w:eastAsia="宋体" w:cs="宋体"/>
          <w:b/>
          <w:bCs/>
          <w:color w:val="auto"/>
          <w:kern w:val="2"/>
          <w:sz w:val="30"/>
          <w:szCs w:val="30"/>
          <w:lang w:val="en-US"/>
        </w:rPr>
        <w:br w:type="textWrapping"/>
      </w:r>
      <w:r>
        <w:rPr>
          <w:rStyle w:val="76"/>
          <w:rFonts w:hint="eastAsia" w:ascii="宋体" w:hAnsi="宋体" w:eastAsia="宋体" w:cs="宋体"/>
          <w:b/>
          <w:bCs/>
          <w:color w:val="auto"/>
          <w:kern w:val="2"/>
          <w:sz w:val="30"/>
          <w:szCs w:val="30"/>
          <w:lang w:val="en-US"/>
        </w:rPr>
        <w:t>浙财采确</w:t>
      </w:r>
      <w:r>
        <w:rPr>
          <w:rStyle w:val="76"/>
          <w:rFonts w:hint="eastAsia" w:ascii="宋体" w:hAnsi="宋体" w:eastAsia="宋体" w:cs="宋体"/>
          <w:b/>
          <w:bCs/>
          <w:color w:val="auto"/>
          <w:kern w:val="2"/>
          <w:sz w:val="30"/>
          <w:szCs w:val="30"/>
          <w:lang w:val="en-US"/>
        </w:rPr>
        <w:fldChar w:fldCharType="begin"/>
      </w:r>
      <w:r>
        <w:rPr>
          <w:rStyle w:val="76"/>
          <w:rFonts w:hint="eastAsia" w:ascii="宋体" w:hAnsi="宋体" w:eastAsia="宋体" w:cs="宋体"/>
          <w:b/>
          <w:bCs/>
          <w:color w:val="auto"/>
          <w:kern w:val="2"/>
          <w:sz w:val="30"/>
          <w:szCs w:val="30"/>
          <w:lang w:val="en-US"/>
        </w:rPr>
        <w:instrText xml:space="preserve">HYPERLINK "https://pay.zcygov.cn/purchaseplan_front/" \l "/plan/list/view?id=1000000000014409762&amp;_app_=zcy.procurement" \t "_blank"</w:instrText>
      </w:r>
      <w:r>
        <w:rPr>
          <w:rStyle w:val="76"/>
          <w:rFonts w:hint="eastAsia" w:ascii="宋体" w:hAnsi="宋体" w:eastAsia="宋体" w:cs="宋体"/>
          <w:b/>
          <w:bCs/>
          <w:color w:val="auto"/>
          <w:kern w:val="2"/>
          <w:sz w:val="30"/>
          <w:szCs w:val="30"/>
          <w:lang w:val="en-US"/>
        </w:rPr>
        <w:fldChar w:fldCharType="separate"/>
      </w:r>
      <w:r>
        <w:rPr>
          <w:rStyle w:val="76"/>
          <w:rFonts w:hint="eastAsia" w:ascii="宋体" w:hAnsi="宋体" w:eastAsia="宋体" w:cs="宋体"/>
          <w:b/>
          <w:bCs/>
          <w:snapToGrid w:val="0"/>
          <w:color w:val="auto"/>
          <w:kern w:val="2"/>
          <w:sz w:val="30"/>
          <w:szCs w:val="30"/>
          <w:lang w:val="en-US"/>
        </w:rPr>
        <w:t>临[2024]57708号</w:t>
      </w:r>
      <w:r>
        <w:rPr>
          <w:rStyle w:val="76"/>
          <w:rFonts w:hint="eastAsia" w:ascii="宋体" w:hAnsi="宋体" w:eastAsia="宋体" w:cs="宋体"/>
          <w:b/>
          <w:bCs/>
          <w:color w:val="auto"/>
          <w:kern w:val="2"/>
          <w:sz w:val="30"/>
          <w:szCs w:val="30"/>
          <w:lang w:val="en-US"/>
        </w:rPr>
        <w:fldChar w:fldCharType="end"/>
      </w:r>
      <w:r>
        <w:rPr>
          <w:rStyle w:val="76"/>
          <w:rFonts w:hint="eastAsia" w:ascii="宋体" w:hAnsi="宋体" w:eastAsia="宋体" w:cs="宋体"/>
          <w:b/>
          <w:bCs/>
          <w:color w:val="auto"/>
          <w:kern w:val="2"/>
          <w:sz w:val="30"/>
          <w:szCs w:val="30"/>
          <w:lang w:val="en-US"/>
        </w:rPr>
        <w:fldChar w:fldCharType="end"/>
      </w:r>
    </w:p>
    <w:p>
      <w:pPr>
        <w:adjustRightInd/>
        <w:ind w:firstLine="562"/>
        <w:rPr>
          <w:rFonts w:hint="eastAsia" w:ascii="宋体" w:hAnsi="宋体" w:cs="宋体"/>
          <w:b/>
          <w:bCs/>
          <w:sz w:val="28"/>
          <w:szCs w:val="20"/>
        </w:rPr>
      </w:pPr>
    </w:p>
    <w:p>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pPr>
        <w:ind w:firstLine="883"/>
        <w:jc w:val="center"/>
        <w:rPr>
          <w:rFonts w:hint="eastAsia" w:ascii="宋体" w:hAnsi="宋体" w:cs="宋体"/>
          <w:b/>
          <w:bCs/>
          <w:sz w:val="44"/>
          <w:szCs w:val="44"/>
        </w:rPr>
      </w:pPr>
    </w:p>
    <w:p>
      <w:pPr>
        <w:jc w:val="center"/>
        <w:rPr>
          <w:rFonts w:hint="eastAsia" w:ascii="宋体" w:hAnsi="宋体" w:cs="宋体"/>
          <w:b/>
          <w:bCs/>
        </w:rPr>
      </w:pPr>
    </w:p>
    <w:p>
      <w:pPr>
        <w:ind w:firstLine="0" w:firstLineChars="0"/>
        <w:rPr>
          <w:rFonts w:hint="eastAsia" w:ascii="宋体" w:hAnsi="宋体" w:cs="宋体"/>
          <w:b/>
          <w:bCs/>
        </w:rPr>
      </w:pPr>
    </w:p>
    <w:p>
      <w:pPr>
        <w:jc w:val="center"/>
        <w:rPr>
          <w:rFonts w:hint="eastAsia" w:ascii="宋体" w:hAnsi="宋体" w:cs="宋体"/>
          <w:b/>
          <w:bCs/>
        </w:rPr>
      </w:pPr>
    </w:p>
    <w:p>
      <w:pPr>
        <w:ind w:firstLine="643"/>
        <w:rPr>
          <w:rFonts w:hint="eastAsia" w:ascii="宋体" w:hAnsi="宋体" w:cs="宋体"/>
          <w:b/>
          <w:bCs/>
          <w:sz w:val="32"/>
          <w:szCs w:val="32"/>
        </w:rPr>
      </w:pPr>
    </w:p>
    <w:p>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浙江省人力资源和社会保障信息中心</w:t>
      </w:r>
    </w:p>
    <w:p>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二〇二四年九月</w:t>
      </w:r>
    </w:p>
    <w:p>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pPr>
        <w:ind w:firstLine="480"/>
      </w:pPr>
      <w:r>
        <w:rPr>
          <w:rFonts w:hint="eastAsia"/>
        </w:rPr>
        <w:t>1、电子招投标：本项目以数据电文形式，依托“政府采购云平台（www.zcygov.cn）”进行招投标活动，不接受纸质投标文件；</w:t>
      </w:r>
    </w:p>
    <w:p>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pPr>
      <w:r>
        <w:rPr>
          <w:rFonts w:hint="eastAsia"/>
        </w:rPr>
        <w:t>3、招标文件的获取：使用账号登录或者使用CA登录政采云平台；进入“项目采购”应用，在获取采购文件菜单中选择项目，获取招标文件；</w:t>
      </w:r>
    </w:p>
    <w:p>
      <w:pPr>
        <w:ind w:firstLine="480"/>
      </w:pPr>
      <w:r>
        <w:rPr>
          <w:rFonts w:hint="eastAsia"/>
        </w:rPr>
        <w:t>4、投标文件的制作：在“政采云电子交易客户端”中完成“填写基本信息”、“导入投标文件”、“标书关联”、“标书检查”、“电子签名”、“生成电子标书”等操作；</w:t>
      </w:r>
    </w:p>
    <w:p>
      <w:pPr>
        <w:ind w:firstLine="480"/>
      </w:pPr>
      <w:r>
        <w:rPr>
          <w:rFonts w:hint="eastAsia"/>
        </w:rPr>
        <w:t>5、采购人、采购代理机构将依托政采云平台完成本项目的电子交易活动，平台不接受未按上述方式获取招标文件的供应商进行投标活动；</w:t>
      </w:r>
    </w:p>
    <w:p>
      <w:pPr>
        <w:ind w:firstLine="480"/>
      </w:pPr>
      <w:r>
        <w:rPr>
          <w:rFonts w:hint="eastAsia"/>
        </w:rPr>
        <w:t>6、对未按上述方式获取招标文件的供应商对该文件提出的质疑，采购人或采购代理机构将不予处理；</w:t>
      </w:r>
    </w:p>
    <w:p>
      <w:pPr>
        <w:ind w:firstLine="480"/>
      </w:pPr>
      <w:r>
        <w:rPr>
          <w:rFonts w:hint="eastAsia"/>
        </w:rPr>
        <w:t>7、不提供招标文件纸质版；</w:t>
      </w:r>
    </w:p>
    <w:p>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pPr>
      <w:r>
        <w:rPr>
          <w:rFonts w:hint="eastAsia"/>
        </w:rPr>
        <w:t>10、具体操作指南：详见政采云平台“服务中心-帮助文档-项目采购-操作流程-电子招投标-政府采购项目电子交易管理操作指南-供应商”。</w:t>
      </w:r>
    </w:p>
    <w:p>
      <w:pPr>
        <w:ind w:firstLine="480"/>
        <w:jc w:val="center"/>
        <w:rPr>
          <w:rFonts w:hint="eastAsia" w:ascii="宋体" w:hAnsi="宋体" w:cs="宋体"/>
        </w:rPr>
      </w:pPr>
      <w:r>
        <w:rPr>
          <w:rFonts w:hint="eastAsia" w:ascii="宋体" w:hAnsi="宋体" w:cs="宋体"/>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2"/>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"_Toc32662"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_Toc32662 \h </w:instrText>
      </w:r>
      <w:r>
        <w:rPr>
          <w:b/>
          <w:bCs/>
        </w:rPr>
        <w:fldChar w:fldCharType="separate"/>
      </w:r>
      <w:r>
        <w:rPr>
          <w:b/>
          <w:bCs/>
        </w:rPr>
        <w:t>3</w:t>
      </w:r>
      <w:r>
        <w:rPr>
          <w:b/>
          <w:bCs/>
        </w:rPr>
        <w:fldChar w:fldCharType="end"/>
      </w:r>
      <w:r>
        <w:rPr>
          <w:b/>
          <w:bCs/>
        </w:rPr>
        <w:fldChar w:fldCharType="end"/>
      </w:r>
    </w:p>
    <w:p>
      <w:pPr>
        <w:pStyle w:val="42"/>
        <w:tabs>
          <w:tab w:val="right" w:leader="dot" w:pos="8311"/>
        </w:tabs>
        <w:rPr>
          <w:b/>
          <w:bCs/>
        </w:rPr>
      </w:pPr>
      <w:r>
        <w:fldChar w:fldCharType="begin"/>
      </w:r>
      <w:r>
        <w:instrText xml:space="preserve"> HYPERLINK \l "_Toc27779" </w:instrText>
      </w:r>
      <w:r>
        <w:fldChar w:fldCharType="separate"/>
      </w:r>
      <w:r>
        <w:rPr>
          <w:rFonts w:hint="eastAsia"/>
          <w:b/>
          <w:bCs/>
        </w:rPr>
        <w:t>第二部分 投标人须知</w:t>
      </w:r>
      <w:r>
        <w:rPr>
          <w:b/>
          <w:bCs/>
        </w:rPr>
        <w:tab/>
      </w:r>
      <w:r>
        <w:rPr>
          <w:b/>
          <w:bCs/>
        </w:rPr>
        <w:fldChar w:fldCharType="begin"/>
      </w:r>
      <w:r>
        <w:rPr>
          <w:b/>
          <w:bCs/>
        </w:rPr>
        <w:instrText xml:space="preserve"> PAGEREF _Toc27779 \h </w:instrText>
      </w:r>
      <w:r>
        <w:rPr>
          <w:b/>
          <w:bCs/>
        </w:rPr>
        <w:fldChar w:fldCharType="separate"/>
      </w:r>
      <w:r>
        <w:rPr>
          <w:b/>
          <w:bCs/>
        </w:rPr>
        <w:t>7</w:t>
      </w:r>
      <w:r>
        <w:rPr>
          <w:b/>
          <w:bCs/>
        </w:rPr>
        <w:fldChar w:fldCharType="end"/>
      </w:r>
      <w:r>
        <w:rPr>
          <w:b/>
          <w:bCs/>
        </w:rPr>
        <w:fldChar w:fldCharType="end"/>
      </w:r>
    </w:p>
    <w:p>
      <w:pPr>
        <w:pStyle w:val="42"/>
        <w:tabs>
          <w:tab w:val="right" w:leader="dot" w:pos="8311"/>
        </w:tabs>
        <w:rPr>
          <w:b/>
          <w:bCs/>
        </w:rPr>
      </w:pPr>
      <w:r>
        <w:fldChar w:fldCharType="begin"/>
      </w:r>
      <w:r>
        <w:instrText xml:space="preserve"> HYPERLINK \l "_Toc25442" </w:instrText>
      </w:r>
      <w:r>
        <w:fldChar w:fldCharType="separate"/>
      </w:r>
      <w:r>
        <w:rPr>
          <w:rFonts w:hint="eastAsia"/>
          <w:b/>
          <w:bCs/>
        </w:rPr>
        <w:t>第三部分 采购需求</w:t>
      </w:r>
      <w:r>
        <w:rPr>
          <w:b/>
          <w:bCs/>
        </w:rPr>
        <w:tab/>
      </w:r>
      <w:r>
        <w:rPr>
          <w:b/>
          <w:bCs/>
        </w:rPr>
        <w:fldChar w:fldCharType="begin"/>
      </w:r>
      <w:r>
        <w:rPr>
          <w:b/>
          <w:bCs/>
        </w:rPr>
        <w:instrText xml:space="preserve"> PAGEREF _Toc25442 \h </w:instrText>
      </w:r>
      <w:r>
        <w:rPr>
          <w:b/>
          <w:bCs/>
        </w:rPr>
        <w:fldChar w:fldCharType="separate"/>
      </w:r>
      <w:r>
        <w:rPr>
          <w:b/>
          <w:bCs/>
        </w:rPr>
        <w:t>31</w:t>
      </w:r>
      <w:r>
        <w:rPr>
          <w:b/>
          <w:bCs/>
        </w:rPr>
        <w:fldChar w:fldCharType="end"/>
      </w:r>
      <w:r>
        <w:rPr>
          <w:b/>
          <w:bCs/>
        </w:rPr>
        <w:fldChar w:fldCharType="end"/>
      </w:r>
    </w:p>
    <w:p>
      <w:pPr>
        <w:pStyle w:val="42"/>
        <w:tabs>
          <w:tab w:val="right" w:leader="dot" w:pos="8311"/>
        </w:tabs>
        <w:rPr>
          <w:b/>
          <w:bCs/>
        </w:rPr>
      </w:pPr>
      <w:r>
        <w:fldChar w:fldCharType="begin"/>
      </w:r>
      <w:r>
        <w:instrText xml:space="preserve"> HYPERLINK \l "_Toc16701"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_Toc16701 \h </w:instrText>
      </w:r>
      <w:r>
        <w:rPr>
          <w:b/>
          <w:bCs/>
        </w:rPr>
        <w:fldChar w:fldCharType="separate"/>
      </w:r>
      <w:r>
        <w:rPr>
          <w:b/>
          <w:bCs/>
        </w:rPr>
        <w:t>36</w:t>
      </w:r>
      <w:r>
        <w:rPr>
          <w:b/>
          <w:bCs/>
        </w:rPr>
        <w:fldChar w:fldCharType="end"/>
      </w:r>
      <w:r>
        <w:rPr>
          <w:b/>
          <w:bCs/>
        </w:rPr>
        <w:fldChar w:fldCharType="end"/>
      </w:r>
    </w:p>
    <w:p>
      <w:pPr>
        <w:pStyle w:val="42"/>
        <w:tabs>
          <w:tab w:val="right" w:leader="dot" w:pos="8311"/>
        </w:tabs>
        <w:rPr>
          <w:b/>
          <w:bCs/>
        </w:rPr>
      </w:pPr>
      <w:r>
        <w:fldChar w:fldCharType="begin"/>
      </w:r>
      <w:r>
        <w:instrText xml:space="preserve"> HYPERLINK \l "_Toc11766"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_Toc11766 \h </w:instrText>
      </w:r>
      <w:r>
        <w:rPr>
          <w:b/>
          <w:bCs/>
        </w:rPr>
        <w:fldChar w:fldCharType="separate"/>
      </w:r>
      <w:r>
        <w:rPr>
          <w:b/>
          <w:bCs/>
        </w:rPr>
        <w:t>42</w:t>
      </w:r>
      <w:r>
        <w:rPr>
          <w:b/>
          <w:bCs/>
        </w:rPr>
        <w:fldChar w:fldCharType="end"/>
      </w:r>
      <w:r>
        <w:rPr>
          <w:b/>
          <w:bCs/>
        </w:rPr>
        <w:fldChar w:fldCharType="end"/>
      </w:r>
    </w:p>
    <w:p>
      <w:pPr>
        <w:pStyle w:val="42"/>
        <w:tabs>
          <w:tab w:val="right" w:leader="dot" w:pos="8311"/>
        </w:tabs>
        <w:rPr>
          <w:b/>
          <w:bCs/>
        </w:rPr>
      </w:pPr>
      <w:r>
        <w:fldChar w:fldCharType="begin"/>
      </w:r>
      <w:r>
        <w:instrText xml:space="preserve"> HYPERLINK \l "_Toc11232"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_Toc11232 \h </w:instrText>
      </w:r>
      <w:r>
        <w:rPr>
          <w:b/>
          <w:bCs/>
        </w:rPr>
        <w:fldChar w:fldCharType="separate"/>
      </w:r>
      <w:r>
        <w:rPr>
          <w:b/>
          <w:bCs/>
        </w:rPr>
        <w:t>46</w:t>
      </w:r>
      <w:r>
        <w:rPr>
          <w:b/>
          <w:bCs/>
        </w:rPr>
        <w:fldChar w:fldCharType="end"/>
      </w:r>
      <w:r>
        <w:rPr>
          <w:b/>
          <w:bCs/>
        </w:rPr>
        <w:fldChar w:fldCharType="end"/>
      </w:r>
    </w:p>
    <w:p>
      <w:pPr>
        <w:rPr>
          <w:rFonts w:hint="eastAsia" w:ascii="宋体" w:hAnsi="宋体" w:cs="宋体"/>
          <w:color w:val="0000FF"/>
          <w:sz w:val="32"/>
          <w:szCs w:val="32"/>
        </w:rPr>
      </w:pPr>
      <w:r>
        <w:rPr>
          <w:rFonts w:ascii="宋体" w:hAnsi="宋体" w:cs="宋体"/>
          <w:b/>
          <w:bCs/>
          <w:szCs w:val="32"/>
        </w:rPr>
        <w:fldChar w:fldCharType="end"/>
      </w:r>
    </w:p>
    <w:p>
      <w:pPr>
        <w:ind w:firstLine="640"/>
        <w:outlineLvl w:val="0"/>
        <w:rPr>
          <w:rFonts w:hint="eastAsia" w:ascii="宋体" w:hAnsi="宋体" w:cs="宋体"/>
          <w:sz w:val="32"/>
          <w:szCs w:val="32"/>
        </w:rPr>
      </w:pPr>
    </w:p>
    <w:p>
      <w:pPr>
        <w:ind w:firstLine="549" w:firstLineChars="229"/>
        <w:rPr>
          <w:rFonts w:hint="eastAsia" w:ascii="宋体" w:hAnsi="宋体" w:cs="宋体"/>
        </w:rPr>
      </w:pPr>
      <w:bookmarkStart w:id="3" w:name="_Hlt91233176"/>
      <w:bookmarkEnd w:id="3"/>
      <w:bookmarkStart w:id="4" w:name="_Toc91899869"/>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p>
      <w:pPr>
        <w:ind w:firstLine="549" w:firstLineChars="229"/>
        <w:rPr>
          <w:rFonts w:hint="eastAsia" w:ascii="宋体" w:hAnsi="宋体" w:cs="宋体"/>
        </w:rPr>
      </w:pPr>
    </w:p>
    <w:bookmarkEnd w:id="4"/>
    <w:p>
      <w:pPr>
        <w:pStyle w:val="3"/>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649545"/>
      <w:bookmarkEnd w:id="5"/>
      <w:bookmarkStart w:id="6" w:name="_Hlt74729822"/>
      <w:bookmarkEnd w:id="6"/>
      <w:bookmarkStart w:id="7" w:name="_Hlt74728647"/>
      <w:bookmarkEnd w:id="7"/>
      <w:bookmarkStart w:id="8" w:name="_Hlt74707423"/>
      <w:bookmarkEnd w:id="8"/>
      <w:bookmarkStart w:id="9" w:name="_Toc19410"/>
      <w:bookmarkStart w:id="10" w:name="_Toc26969"/>
      <w:bookmarkStart w:id="11" w:name="第二部分"/>
      <w:bookmarkStart w:id="12" w:name="_Toc91899870"/>
      <w:bookmarkStart w:id="13" w:name="_Toc91899871"/>
    </w:p>
    <w:p>
      <w:pPr>
        <w:pStyle w:val="3"/>
        <w:rPr>
          <w:rFonts w:hint="eastAsia" w:ascii="宋体" w:hAnsi="宋体" w:cs="宋体"/>
          <w:szCs w:val="20"/>
        </w:rPr>
      </w:pPr>
      <w:bookmarkStart w:id="14" w:name="_Toc32662"/>
      <w:r>
        <w:rPr>
          <w:rFonts w:hint="eastAsia" w:ascii="宋体" w:hAnsi="宋体" w:cs="宋体"/>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浙江省就业省集中系统运维</w:t>
      </w:r>
      <w:r>
        <w:rPr>
          <w:rFonts w:hint="eastAsia" w:ascii="宋体" w:hAnsi="宋体" w:cs="宋体"/>
        </w:rPr>
        <w:t>招标项目的潜在投标人应在政采云平台（</w:t>
      </w:r>
      <w:r>
        <w:fldChar w:fldCharType="begin"/>
      </w:r>
      <w:r>
        <w:instrText xml:space="preserve"> HYPERLINK "https://www.zcygov.cn/）获取（下载）招标文件，并于2024年10月09日14%20:00" </w:instrText>
      </w:r>
      <w:r>
        <w:fldChar w:fldCharType="separate"/>
      </w:r>
      <w:r>
        <w:rPr>
          <w:rStyle w:val="76"/>
          <w:rFonts w:hint="eastAsia" w:ascii="宋体" w:hAnsi="宋体" w:eastAsia="宋体" w:cs="宋体"/>
          <w:snapToGrid/>
          <w:kern w:val="2"/>
          <w:sz w:val="24"/>
          <w:szCs w:val="24"/>
        </w:rPr>
        <w:t>https://www.zcygov.cn/）获取（下载）招标文件，并于2024年10月</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日14 :00</w:t>
      </w:r>
      <w:r>
        <w:rPr>
          <w:rStyle w:val="76"/>
          <w:rFonts w:hint="eastAsia" w:ascii="宋体" w:hAnsi="宋体" w:eastAsia="宋体" w:cs="宋体"/>
          <w:snapToGrid/>
          <w:kern w:val="2"/>
          <w:sz w:val="24"/>
          <w:szCs w:val="24"/>
        </w:rPr>
        <w:fldChar w:fldCharType="end"/>
      </w:r>
      <w:r>
        <w:rPr>
          <w:rFonts w:hint="eastAsia" w:ascii="宋体" w:hAnsi="宋体" w:cs="宋体"/>
          <w:bCs/>
        </w:rPr>
        <w:t>（北京时间）前</w:t>
      </w:r>
      <w:r>
        <w:rPr>
          <w:rFonts w:hint="eastAsia" w:ascii="宋体" w:hAnsi="宋体" w:cs="宋体"/>
        </w:rPr>
        <w:t>递交（上传）投标文件。</w:t>
      </w:r>
    </w:p>
    <w:p>
      <w:pPr>
        <w:ind w:firstLine="480"/>
      </w:pPr>
    </w:p>
    <w:p>
      <w:pPr>
        <w:pStyle w:val="4"/>
      </w:pPr>
      <w:r>
        <w:rPr>
          <w:rFonts w:hint="eastAsia"/>
        </w:rPr>
        <w:t xml:space="preserve">一、项目基本情况                                            </w:t>
      </w:r>
    </w:p>
    <w:p>
      <w:pPr>
        <w:rPr>
          <w:rFonts w:hint="eastAsia" w:ascii="宋体" w:hAnsi="宋体" w:cs="宋体"/>
        </w:rPr>
      </w:pPr>
      <w:r>
        <w:rPr>
          <w:rFonts w:hint="eastAsia" w:ascii="宋体" w:hAnsi="宋体" w:cs="宋体"/>
          <w:b/>
        </w:rPr>
        <w:t>项目编号：</w:t>
      </w:r>
      <w:r>
        <w:rPr>
          <w:rFonts w:hint="eastAsia" w:ascii="宋体" w:hAnsi="宋体" w:cs="宋体"/>
          <w:bCs/>
        </w:rPr>
        <w:t>ZJXL-LB-202422</w:t>
      </w:r>
    </w:p>
    <w:p>
      <w:pPr>
        <w:rPr>
          <w:rFonts w:hint="eastAsia" w:ascii="宋体" w:hAnsi="宋体" w:cs="宋体"/>
        </w:rPr>
      </w:pPr>
      <w:r>
        <w:rPr>
          <w:rFonts w:hint="eastAsia" w:ascii="宋体" w:hAnsi="宋体" w:cs="宋体"/>
          <w:b/>
        </w:rPr>
        <w:t>项目名称：</w:t>
      </w:r>
      <w:r>
        <w:rPr>
          <w:rFonts w:hint="eastAsia" w:ascii="宋体" w:hAnsi="宋体" w:cs="宋体"/>
        </w:rPr>
        <w:t>浙江省就业省集中系统运维</w:t>
      </w:r>
    </w:p>
    <w:p>
      <w:pPr>
        <w:rPr>
          <w:rFonts w:hint="eastAsia" w:ascii="宋体" w:hAnsi="宋体" w:cs="宋体"/>
        </w:rPr>
      </w:pPr>
      <w:r>
        <w:rPr>
          <w:rFonts w:hint="eastAsia" w:ascii="宋体" w:hAnsi="宋体" w:cs="宋体"/>
          <w:b/>
        </w:rPr>
        <w:t>预算金额（元）：997500</w:t>
      </w:r>
    </w:p>
    <w:p>
      <w:pPr>
        <w:rPr>
          <w:rFonts w:hint="eastAsia" w:ascii="宋体" w:hAnsi="宋体" w:cs="宋体"/>
        </w:rPr>
      </w:pPr>
      <w:r>
        <w:rPr>
          <w:rFonts w:hint="eastAsia" w:ascii="宋体" w:hAnsi="宋体" w:cs="宋体"/>
          <w:b/>
        </w:rPr>
        <w:t>最高限价（元）：997500</w:t>
      </w:r>
    </w:p>
    <w:p>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pPr>
            <w:r>
              <w:rPr>
                <w:rFonts w:hint="eastAsia"/>
              </w:rPr>
              <w:t>标项号</w:t>
            </w:r>
          </w:p>
        </w:tc>
        <w:tc>
          <w:tcPr>
            <w:tcW w:w="1381" w:type="dxa"/>
            <w:vAlign w:val="center"/>
          </w:tcPr>
          <w:p>
            <w:pPr>
              <w:pStyle w:val="143"/>
              <w:widowControl w:val="0"/>
            </w:pPr>
            <w:r>
              <w:rPr>
                <w:rFonts w:hint="eastAsia"/>
              </w:rPr>
              <w:t>标项名称</w:t>
            </w:r>
          </w:p>
        </w:tc>
        <w:tc>
          <w:tcPr>
            <w:tcW w:w="799" w:type="dxa"/>
            <w:vAlign w:val="center"/>
          </w:tcPr>
          <w:p>
            <w:pPr>
              <w:pStyle w:val="143"/>
              <w:widowControl w:val="0"/>
            </w:pPr>
            <w:r>
              <w:rPr>
                <w:rFonts w:hint="eastAsia"/>
              </w:rPr>
              <w:t>数量</w:t>
            </w:r>
          </w:p>
        </w:tc>
        <w:tc>
          <w:tcPr>
            <w:tcW w:w="1317" w:type="dxa"/>
            <w:vAlign w:val="center"/>
          </w:tcPr>
          <w:p>
            <w:pPr>
              <w:pStyle w:val="143"/>
              <w:widowControl w:val="0"/>
            </w:pPr>
            <w:r>
              <w:rPr>
                <w:rFonts w:hint="eastAsia"/>
              </w:rPr>
              <w:t>预算金额（元）</w:t>
            </w:r>
          </w:p>
        </w:tc>
        <w:tc>
          <w:tcPr>
            <w:tcW w:w="3224" w:type="dxa"/>
            <w:vAlign w:val="center"/>
          </w:tcPr>
          <w:p>
            <w:pPr>
              <w:pStyle w:val="143"/>
              <w:widowControl w:val="0"/>
            </w:pPr>
            <w:r>
              <w:t>简要规格描述或项目基本概况介绍、用途：</w:t>
            </w:r>
          </w:p>
        </w:tc>
        <w:tc>
          <w:tcPr>
            <w:tcW w:w="1241" w:type="dxa"/>
            <w:vAlign w:val="center"/>
          </w:tcPr>
          <w:p>
            <w:pPr>
              <w:pStyle w:val="143"/>
              <w:widowControl w:val="0"/>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pPr>
            <w:r>
              <w:rPr>
                <w:rFonts w:hint="eastAsia"/>
              </w:rPr>
              <w:t>1</w:t>
            </w:r>
          </w:p>
        </w:tc>
        <w:tc>
          <w:tcPr>
            <w:tcW w:w="1381" w:type="dxa"/>
            <w:vAlign w:val="center"/>
          </w:tcPr>
          <w:p>
            <w:pPr>
              <w:pStyle w:val="143"/>
              <w:widowControl w:val="0"/>
            </w:pPr>
            <w:r>
              <w:rPr>
                <w:rFonts w:hint="eastAsia"/>
              </w:rPr>
              <w:t>浙江省就业省集中系统运维</w:t>
            </w:r>
          </w:p>
        </w:tc>
        <w:tc>
          <w:tcPr>
            <w:tcW w:w="799" w:type="dxa"/>
            <w:vAlign w:val="center"/>
          </w:tcPr>
          <w:p>
            <w:pPr>
              <w:pStyle w:val="143"/>
              <w:widowControl w:val="0"/>
            </w:pPr>
            <w:r>
              <w:rPr>
                <w:rFonts w:hint="eastAsia"/>
              </w:rPr>
              <w:t>1项</w:t>
            </w:r>
          </w:p>
        </w:tc>
        <w:tc>
          <w:tcPr>
            <w:tcW w:w="1317" w:type="dxa"/>
            <w:vAlign w:val="center"/>
          </w:tcPr>
          <w:p>
            <w:pPr>
              <w:pStyle w:val="143"/>
              <w:widowControl w:val="0"/>
            </w:pPr>
            <w:r>
              <w:rPr>
                <w:rFonts w:hint="eastAsia" w:ascii="宋体" w:hAnsi="宋体" w:cs="宋体"/>
                <w:b/>
              </w:rPr>
              <w:t>997500</w:t>
            </w:r>
          </w:p>
        </w:tc>
        <w:tc>
          <w:tcPr>
            <w:tcW w:w="3224" w:type="dxa"/>
            <w:vAlign w:val="center"/>
          </w:tcPr>
          <w:p>
            <w:pPr>
              <w:pStyle w:val="143"/>
              <w:widowControl w:val="0"/>
            </w:pPr>
            <w:r>
              <w:rPr>
                <w:rFonts w:hint="eastAsia"/>
              </w:rPr>
              <w:t>本项目针对浙江省就业省集中系统（包括业务经办平台、就业失业数据监测模块、联网监测模块、公共就业服务监测模块和就业资金内控模块等），提供系统完善和维护服务，保证系统正常运行，满足业务部门用户实际业务使用需求，详见招标文件第三部分采购需求。</w:t>
            </w:r>
          </w:p>
        </w:tc>
        <w:tc>
          <w:tcPr>
            <w:tcW w:w="1241" w:type="dxa"/>
            <w:vAlign w:val="center"/>
          </w:tcPr>
          <w:p>
            <w:pPr>
              <w:pStyle w:val="143"/>
              <w:widowControl w:val="0"/>
            </w:pPr>
          </w:p>
        </w:tc>
      </w:tr>
    </w:tbl>
    <w:p>
      <w:pPr>
        <w:rPr>
          <w:rFonts w:hint="eastAsia" w:ascii="宋体" w:hAnsi="宋体" w:cs="宋体"/>
          <w:bCs/>
        </w:rPr>
      </w:pPr>
      <w:r>
        <w:rPr>
          <w:rFonts w:hint="eastAsia" w:ascii="宋体" w:hAnsi="宋体" w:cs="宋体"/>
          <w:b/>
        </w:rPr>
        <w:t>合同履约期限：</w:t>
      </w:r>
      <w:r>
        <w:rPr>
          <w:rFonts w:hint="eastAsia" w:ascii="宋体" w:hAnsi="宋体" w:cs="宋体"/>
          <w:bCs/>
        </w:rPr>
        <w:t>服务期限为一年。</w:t>
      </w:r>
    </w:p>
    <w:p>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pPr>
      <w:r>
        <w:rPr>
          <w:rFonts w:hint="eastAsia"/>
        </w:rPr>
        <w:t>二、申请人的资格要求</w:t>
      </w:r>
    </w:p>
    <w:p>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kern w:val="0"/>
        </w:rPr>
        <w:t>专</w:t>
      </w:r>
      <w:r>
        <w:rPr>
          <w:rFonts w:hint="eastAsia" w:ascii="宋体" w:hAnsi="宋体" w:cs="宋体"/>
        </w:rPr>
        <w:t>门面向中小企业，</w:t>
      </w:r>
      <w:r>
        <w:rPr>
          <w:rFonts w:hint="eastAsia" w:ascii="宋体" w:hAnsi="宋体" w:cs="宋体"/>
          <w:kern w:val="0"/>
        </w:rPr>
        <w:t>服务</w:t>
      </w:r>
      <w:r>
        <w:rPr>
          <w:rFonts w:hint="eastAsia" w:ascii="宋体" w:hAnsi="宋体" w:cs="宋体"/>
        </w:rPr>
        <w:t>全部由符合政策要求的中小企业承接，提供中小企业声明函；</w:t>
      </w:r>
    </w:p>
    <w:p>
      <w:pPr>
        <w:ind w:firstLine="480"/>
        <w:rPr>
          <w:rFonts w:hint="eastAsia" w:ascii="宋体" w:hAnsi="宋体" w:cs="宋体"/>
        </w:rPr>
      </w:pPr>
      <w:r>
        <w:rPr>
          <w:rFonts w:hint="eastAsia" w:ascii="宋体" w:hAnsi="宋体" w:cs="宋体"/>
        </w:rPr>
        <w:t>3.本项目的特定资格要求：无；</w:t>
      </w:r>
    </w:p>
    <w:p>
      <w:pPr>
        <w:pStyle w:val="4"/>
      </w:pPr>
      <w:r>
        <w:rPr>
          <w:rFonts w:hint="eastAsia"/>
        </w:rPr>
        <w:t xml:space="preserve">三、获取招标文件 </w:t>
      </w:r>
    </w:p>
    <w:p>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4"/>
      </w:pPr>
      <w:r>
        <w:rPr>
          <w:rFonts w:hint="eastAsia"/>
        </w:rPr>
        <w:t>四、提交投标文件截止时间、开标时间和地点</w:t>
      </w:r>
    </w:p>
    <w:p>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2024年10月</w:t>
      </w:r>
      <w:r>
        <w:rPr>
          <w:rFonts w:hint="eastAsia" w:ascii="宋体" w:hAnsi="宋体" w:cs="宋体"/>
          <w:u w:val="single"/>
          <w:lang w:val="en-US" w:eastAsia="zh-CN"/>
        </w:rPr>
        <w:t>10</w:t>
      </w:r>
      <w:r>
        <w:rPr>
          <w:rFonts w:hint="eastAsia" w:ascii="宋体" w:hAnsi="宋体" w:cs="宋体"/>
          <w:u w:val="single"/>
        </w:rPr>
        <w:t>日14:00</w:t>
      </w:r>
      <w:r>
        <w:rPr>
          <w:rFonts w:hint="eastAsia" w:ascii="宋体" w:hAnsi="宋体" w:cs="宋体"/>
          <w:bCs/>
          <w:u w:val="single"/>
        </w:rPr>
        <w:t xml:space="preserve"> </w:t>
      </w:r>
      <w:r>
        <w:rPr>
          <w:rFonts w:hint="eastAsia" w:ascii="宋体" w:hAnsi="宋体" w:cs="宋体"/>
        </w:rPr>
        <w:t>（北京时间）</w:t>
      </w:r>
    </w:p>
    <w:p>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2024年10月</w:t>
      </w:r>
      <w:r>
        <w:rPr>
          <w:rFonts w:hint="eastAsia" w:ascii="宋体" w:hAnsi="宋体" w:cs="宋体"/>
          <w:u w:val="single"/>
          <w:lang w:val="en-US" w:eastAsia="zh-CN"/>
        </w:rPr>
        <w:t>10</w:t>
      </w:r>
      <w:bookmarkStart w:id="487" w:name="_GoBack"/>
      <w:bookmarkEnd w:id="487"/>
      <w:r>
        <w:rPr>
          <w:rFonts w:hint="eastAsia" w:ascii="宋体" w:hAnsi="宋体" w:cs="宋体"/>
          <w:u w:val="single"/>
        </w:rPr>
        <w:t>日14:00</w:t>
      </w:r>
      <w:r>
        <w:rPr>
          <w:rFonts w:hint="eastAsia" w:ascii="宋体" w:hAnsi="宋体" w:cs="宋体"/>
        </w:rPr>
        <w:t>（北京时间）</w:t>
      </w:r>
    </w:p>
    <w:p>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4"/>
      </w:pPr>
      <w:r>
        <w:rPr>
          <w:rFonts w:hint="eastAsia"/>
        </w:rPr>
        <w:t xml:space="preserve">五、公告期限 </w:t>
      </w:r>
    </w:p>
    <w:p>
      <w:pPr>
        <w:ind w:firstLine="480"/>
        <w:rPr>
          <w:rFonts w:hint="eastAsia" w:ascii="宋体" w:hAnsi="宋体" w:cs="宋体"/>
        </w:rPr>
      </w:pPr>
      <w:r>
        <w:rPr>
          <w:rFonts w:hint="eastAsia" w:ascii="宋体" w:hAnsi="宋体" w:cs="宋体"/>
        </w:rPr>
        <w:t>自本公告发布之日起5个工作日。</w:t>
      </w:r>
    </w:p>
    <w:p>
      <w:pPr>
        <w:pStyle w:val="4"/>
      </w:pPr>
      <w:r>
        <w:rPr>
          <w:rFonts w:hint="eastAsia"/>
        </w:rPr>
        <w:t>六、其他补充事宜</w:t>
      </w:r>
    </w:p>
    <w:p>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hint="eastAsia" w:ascii="宋体" w:hAnsi="宋体" w:cs="宋体"/>
        </w:rPr>
      </w:pPr>
      <w:r>
        <w:rPr>
          <w:rFonts w:hint="eastAsia" w:ascii="宋体" w:hAnsi="宋体" w:cs="宋体"/>
        </w:rPr>
        <w:t>4.其他事项：</w:t>
      </w:r>
    </w:p>
    <w:p>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pPr>
        <w:ind w:firstLine="480"/>
        <w:rPr>
          <w:rFonts w:hint="eastAsia" w:ascii="宋体" w:hAnsi="宋体" w:cs="宋体"/>
        </w:rPr>
      </w:pPr>
      <w:r>
        <w:rPr>
          <w:rFonts w:hint="eastAsia" w:ascii="宋体" w:hAnsi="宋体" w:cs="宋体"/>
        </w:rPr>
        <w:t>（2）招标文件公告期限与招标公告的公告期限一致。</w:t>
      </w:r>
    </w:p>
    <w:p>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pPr>
        <w:ind w:firstLine="480"/>
      </w:pPr>
      <w:r>
        <w:rPr>
          <w:rFonts w:hint="eastAsia" w:ascii="宋体" w:hAnsi="宋体" w:cs="宋体"/>
        </w:rPr>
        <w:t>（4）为采购项目提供整体设计、规范编制或者项目管理、监理、检测等服务后不得再参加该采购项目的其他采购活动。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rPr>
          <w:rFonts w:hint="eastAsia" w:ascii="宋体" w:hAnsi="宋体" w:cs="宋体"/>
        </w:rPr>
      </w:pPr>
      <w:r>
        <w:rPr>
          <w:rFonts w:hint="eastAsia" w:ascii="宋体" w:hAnsi="宋体" w:cs="宋体"/>
          <w:b/>
          <w:bCs/>
        </w:rPr>
        <w:t>1.采购人信息</w:t>
      </w:r>
    </w:p>
    <w:p>
      <w:pPr>
        <w:ind w:firstLine="480"/>
        <w:rPr>
          <w:rFonts w:hint="eastAsia"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浙江省人力资源和社会保障信息中心</w:t>
      </w:r>
    </w:p>
    <w:p>
      <w:pPr>
        <w:ind w:firstLine="480"/>
        <w:rPr>
          <w:rFonts w:hint="eastAsia" w:ascii="宋体" w:hAnsi="宋体" w:cs="宋体"/>
        </w:rPr>
      </w:pPr>
      <w:r>
        <w:rPr>
          <w:rFonts w:hint="eastAsia" w:ascii="宋体" w:hAnsi="宋体" w:cs="宋体"/>
        </w:rPr>
        <w:t xml:space="preserve">  地    址：杭州市体育场路538号金祝大厦       </w:t>
      </w:r>
    </w:p>
    <w:p>
      <w:pPr>
        <w:ind w:firstLine="720" w:firstLineChars="300"/>
        <w:rPr>
          <w:rFonts w:hint="eastAsia" w:ascii="宋体" w:hAnsi="宋体" w:cs="宋体"/>
        </w:rPr>
      </w:pPr>
      <w:r>
        <w:rPr>
          <w:rFonts w:hint="eastAsia" w:ascii="宋体" w:hAnsi="宋体" w:cs="宋体"/>
        </w:rPr>
        <w:t>传    真： /</w:t>
      </w:r>
    </w:p>
    <w:p>
      <w:pPr>
        <w:ind w:firstLine="720" w:firstLineChars="300"/>
        <w:rPr>
          <w:rFonts w:hint="eastAsia" w:ascii="宋体" w:hAnsi="宋体" w:cs="宋体"/>
        </w:rPr>
      </w:pPr>
      <w:r>
        <w:rPr>
          <w:rFonts w:hint="eastAsia" w:ascii="宋体" w:hAnsi="宋体" w:cs="宋体"/>
        </w:rPr>
        <w:t>项目联系人（询问）：沈</w:t>
      </w:r>
      <w:r>
        <w:rPr>
          <w:rFonts w:hint="eastAsia" w:cs="仿宋_GB2312" w:asciiTheme="minorEastAsia" w:hAnsiTheme="minorEastAsia" w:eastAsiaTheme="minorEastAsia"/>
        </w:rPr>
        <w:t>老师</w:t>
      </w:r>
      <w:r>
        <w:rPr>
          <w:rFonts w:hint="eastAsia" w:ascii="宋体" w:hAnsi="宋体" w:cs="宋体"/>
        </w:rPr>
        <w:t xml:space="preserve">  </w:t>
      </w:r>
    </w:p>
    <w:p>
      <w:pPr>
        <w:ind w:firstLine="480"/>
        <w:rPr>
          <w:rFonts w:hint="eastAsia" w:ascii="宋体" w:hAnsi="宋体" w:cs="宋体"/>
        </w:rPr>
      </w:pPr>
      <w:r>
        <w:rPr>
          <w:rFonts w:hint="eastAsia" w:ascii="宋体" w:hAnsi="宋体" w:cs="宋体"/>
        </w:rPr>
        <w:t xml:space="preserve">  项目联系方式（询问）：0571-85113521 </w:t>
      </w:r>
    </w:p>
    <w:p>
      <w:pPr>
        <w:ind w:firstLine="480"/>
        <w:rPr>
          <w:rFonts w:hint="eastAsia"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龚老师</w:t>
      </w:r>
      <w:r>
        <w:rPr>
          <w:rFonts w:hint="eastAsia" w:ascii="宋体" w:hAnsi="宋体" w:cs="宋体"/>
        </w:rPr>
        <w:t xml:space="preserve"> </w:t>
      </w:r>
    </w:p>
    <w:p>
      <w:pPr>
        <w:ind w:firstLine="480"/>
        <w:rPr>
          <w:rFonts w:hint="eastAsia" w:ascii="宋体" w:hAnsi="宋体" w:cs="宋体"/>
        </w:rPr>
      </w:pPr>
      <w:r>
        <w:rPr>
          <w:rFonts w:hint="eastAsia" w:ascii="宋体" w:hAnsi="宋体" w:cs="宋体"/>
        </w:rPr>
        <w:t xml:space="preserve">  质疑联系方式：0571-85119171 </w:t>
      </w:r>
    </w:p>
    <w:p>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ind w:firstLine="720" w:firstLineChars="300"/>
        <w:rPr>
          <w:rFonts w:hint="eastAsia" w:ascii="宋体" w:hAnsi="宋体" w:cs="宋体"/>
        </w:rPr>
      </w:pPr>
      <w:r>
        <w:rPr>
          <w:rFonts w:hint="eastAsia" w:ascii="宋体" w:hAnsi="宋体" w:cs="宋体"/>
        </w:rPr>
        <w:t>名    称：浙江信镧建设工程咨询有限公司</w:t>
      </w:r>
    </w:p>
    <w:p>
      <w:pPr>
        <w:ind w:firstLine="720" w:firstLineChars="300"/>
        <w:rPr>
          <w:rFonts w:hint="eastAsia" w:ascii="宋体" w:hAnsi="宋体" w:cs="宋体"/>
        </w:rPr>
      </w:pPr>
      <w:r>
        <w:rPr>
          <w:rFonts w:hint="eastAsia" w:ascii="宋体" w:hAnsi="宋体" w:cs="宋体"/>
        </w:rPr>
        <w:t>地    址：浙江省杭州市西湖区文二路391号西湖国际科技大厦B2楼1107室  </w:t>
      </w:r>
    </w:p>
    <w:p>
      <w:pPr>
        <w:ind w:firstLine="480"/>
        <w:rPr>
          <w:rFonts w:hint="eastAsia" w:ascii="宋体" w:hAnsi="宋体" w:cs="宋体"/>
        </w:rPr>
      </w:pPr>
      <w:r>
        <w:rPr>
          <w:rFonts w:hint="eastAsia" w:ascii="宋体" w:hAnsi="宋体" w:cs="宋体"/>
        </w:rPr>
        <w:t xml:space="preserve">  传    真：0571-85024997               </w:t>
      </w:r>
    </w:p>
    <w:p>
      <w:pPr>
        <w:ind w:firstLine="480"/>
        <w:rPr>
          <w:rFonts w:hint="eastAsia" w:ascii="宋体" w:hAnsi="宋体" w:cs="宋体"/>
        </w:rPr>
      </w:pPr>
      <w:r>
        <w:rPr>
          <w:rFonts w:hint="eastAsia" w:ascii="宋体" w:hAnsi="宋体" w:cs="宋体"/>
        </w:rPr>
        <w:t xml:space="preserve">  项目联系人（询问）：郑晓冬、赵锋、王朋雁          </w:t>
      </w:r>
    </w:p>
    <w:p>
      <w:pPr>
        <w:ind w:firstLine="480"/>
        <w:rPr>
          <w:rFonts w:hint="eastAsia" w:ascii="宋体" w:hAnsi="宋体" w:cs="宋体"/>
        </w:rPr>
      </w:pPr>
      <w:r>
        <w:rPr>
          <w:rFonts w:hint="eastAsia" w:ascii="宋体" w:hAnsi="宋体" w:cs="宋体"/>
        </w:rPr>
        <w:t xml:space="preserve">  项目联系方式（询问）：0571-87967630 </w:t>
      </w:r>
    </w:p>
    <w:p>
      <w:pPr>
        <w:ind w:firstLine="480"/>
        <w:rPr>
          <w:rFonts w:hint="eastAsia" w:ascii="宋体" w:hAnsi="宋体" w:cs="宋体"/>
        </w:rPr>
      </w:pPr>
      <w:r>
        <w:rPr>
          <w:rFonts w:hint="eastAsia" w:ascii="宋体" w:hAnsi="宋体" w:cs="宋体"/>
        </w:rPr>
        <w:t xml:space="preserve">  质疑联系人：葛梅兰              </w:t>
      </w:r>
    </w:p>
    <w:p>
      <w:pPr>
        <w:ind w:firstLine="480"/>
        <w:rPr>
          <w:rFonts w:hint="eastAsia" w:ascii="宋体" w:hAnsi="宋体" w:cs="宋体"/>
        </w:rPr>
      </w:pPr>
      <w:r>
        <w:rPr>
          <w:rFonts w:hint="eastAsia" w:ascii="宋体" w:hAnsi="宋体" w:cs="宋体"/>
        </w:rPr>
        <w:t xml:space="preserve">  质疑联系方式：0571-87967630 </w:t>
      </w:r>
    </w:p>
    <w:p>
      <w:pPr>
        <w:wordWrap w:val="0"/>
        <w:rPr>
          <w:rFonts w:hint="eastAsia" w:ascii="宋体" w:hAnsi="宋体" w:cs="宋体"/>
        </w:rPr>
      </w:pPr>
      <w:r>
        <w:rPr>
          <w:rFonts w:hint="eastAsia" w:ascii="宋体" w:hAnsi="宋体" w:cs="宋体"/>
          <w:b/>
          <w:bCs/>
        </w:rPr>
        <w:t xml:space="preserve"> </w:t>
      </w: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pPr>
        <w:ind w:firstLine="480"/>
        <w:rPr>
          <w:rFonts w:hint="eastAsia" w:ascii="仿宋" w:hAnsi="仿宋" w:eastAsia="仿宋" w:cs="仿宋"/>
          <w:sz w:val="27"/>
          <w:szCs w:val="27"/>
        </w:rPr>
      </w:pPr>
      <w:r>
        <w:rPr>
          <w:rFonts w:hint="eastAsia" w:ascii="宋体" w:hAnsi="宋体" w:cs="宋体"/>
        </w:rPr>
        <w:t>政策咨询：何一平、冯华，0571-87058424、87055741</w:t>
      </w:r>
    </w:p>
    <w:p>
      <w:pPr>
        <w:wordWrap w:val="0"/>
        <w:ind w:firstLine="480"/>
        <w:rPr>
          <w:rFonts w:hint="eastAsia" w:ascii="宋体" w:hAnsi="宋体" w:cs="宋体"/>
        </w:rPr>
      </w:pPr>
      <w:r>
        <w:rPr>
          <w:rFonts w:hint="eastAsia" w:ascii="宋体" w:hAnsi="宋体" w:cs="宋体"/>
        </w:rPr>
        <w:t>预算金额未达100万元的采购项目，由采购人处理采购争议。</w:t>
      </w:r>
    </w:p>
    <w:p>
      <w:pPr>
        <w:pStyle w:val="32"/>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2"/>
        <w:ind w:firstLine="480"/>
        <w:rPr>
          <w:rFonts w:hint="eastAsia" w:hAnsi="宋体" w:cs="宋体"/>
        </w:rPr>
      </w:pPr>
      <w:r>
        <w:rPr>
          <w:rFonts w:hint="eastAsia" w:hAnsi="宋体" w:cs="宋体"/>
        </w:rPr>
        <w:t>CA问题联系电话（人工）：汇信CA 400-888-4636；天谷CA 400-087-8198。</w:t>
      </w:r>
    </w:p>
    <w:p>
      <w:pPr>
        <w:pStyle w:val="32"/>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pPr>
        <w:pStyle w:val="3"/>
      </w:pPr>
      <w:bookmarkStart w:id="15" w:name="_Toc21996"/>
      <w:bookmarkStart w:id="16" w:name="_Toc26813"/>
      <w:bookmarkStart w:id="17" w:name="_Toc27779"/>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ind w:firstLine="0" w:firstLineChars="0"/>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ind w:firstLine="480"/>
              <w:jc w:val="left"/>
              <w:rPr>
                <w:rFonts w:hint="eastAsia"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2</w:t>
            </w:r>
          </w:p>
        </w:tc>
        <w:tc>
          <w:tcPr>
            <w:tcW w:w="2206" w:type="dxa"/>
            <w:vAlign w:val="center"/>
          </w:tcPr>
          <w:p>
            <w:pPr>
              <w:pStyle w:val="143"/>
              <w:widowControl w:val="0"/>
              <w:rPr>
                <w:b/>
                <w:bCs/>
              </w:rPr>
            </w:pPr>
            <w:r>
              <w:rPr>
                <w:rFonts w:hint="eastAsia"/>
                <w:b/>
                <w:bCs/>
              </w:rPr>
              <w:t>采购标的及其对应的中小企业划分标准所属行业</w:t>
            </w:r>
          </w:p>
        </w:tc>
        <w:tc>
          <w:tcPr>
            <w:tcW w:w="5901" w:type="dxa"/>
            <w:vAlign w:val="center"/>
          </w:tcPr>
          <w:p>
            <w:pPr>
              <w:pStyle w:val="143"/>
              <w:widowControl w:val="0"/>
              <w:ind w:firstLine="480" w:firstLineChars="200"/>
              <w:jc w:val="left"/>
              <w:rPr>
                <w:b/>
                <w:bCs/>
              </w:rPr>
            </w:pPr>
            <w:r>
              <w:rPr>
                <w:rFonts w:hint="eastAsia" w:ascii="宋体" w:hAnsi="宋体" w:cs="宋体"/>
                <w:kern w:val="2"/>
                <w:szCs w:val="24"/>
              </w:rPr>
              <w:t>采购标的：浙江省就业省集中系统运维，属于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ind w:firstLine="480"/>
              <w:jc w:val="left"/>
              <w:rPr>
                <w:rFonts w:hint="eastAsia" w:ascii="宋体" w:hAnsi="宋体" w:cs="宋体"/>
                <w:kern w:val="0"/>
              </w:rPr>
            </w:pPr>
            <w:r>
              <w:rPr>
                <w:rFonts w:hint="eastAsia" w:ascii="宋体" w:hAnsi="宋体" w:cs="宋体"/>
                <w:kern w:val="0"/>
              </w:rPr>
              <w:t>转包：本项目不允许转包</w:t>
            </w:r>
          </w:p>
          <w:p>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pPr>
            <w:r>
              <w:rPr>
                <w:rFonts w:hint="eastAsia" w:ascii="宋体" w:hAnsi="宋体" w:cs="宋体"/>
                <w:kern w:val="0"/>
              </w:rPr>
              <w:t xml:space="preserve">     </w:t>
            </w:r>
            <w:sdt>
              <w:sdtPr>
                <w:rPr>
                  <w:rFonts w:hint="eastAsia" w:ascii="宋体" w:hAnsi="宋体" w:cs="宋体"/>
                  <w:b/>
                  <w:bCs/>
                  <w:kern w:val="0"/>
                </w:rPr>
                <w:id w:val="147474398"/>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5</w:t>
            </w:r>
          </w:p>
        </w:tc>
        <w:tc>
          <w:tcPr>
            <w:tcW w:w="2206" w:type="dxa"/>
            <w:vAlign w:val="center"/>
          </w:tcPr>
          <w:p>
            <w:pPr>
              <w:pStyle w:val="143"/>
              <w:widowControl w:val="0"/>
              <w:rPr>
                <w:b/>
                <w:bCs/>
              </w:rPr>
            </w:pPr>
            <w:r>
              <w:rPr>
                <w:rFonts w:hint="eastAsia"/>
                <w:b/>
                <w:bCs/>
              </w:rPr>
              <w:t>开标前答疑会或现场考察</w:t>
            </w:r>
          </w:p>
        </w:tc>
        <w:tc>
          <w:tcPr>
            <w:tcW w:w="5901" w:type="dxa"/>
            <w:vAlign w:val="center"/>
          </w:tcPr>
          <w:p>
            <w:pPr>
              <w:ind w:firstLine="480"/>
              <w:rPr>
                <w:rFonts w:hint="eastAsia"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pPr>
              <w:ind w:firstLine="480"/>
              <w:rPr>
                <w:rFonts w:hint="eastAsia"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pPr>
              <w:ind w:firstLine="480"/>
              <w:jc w:val="left"/>
              <w:rPr>
                <w:rFonts w:hint="eastAsia"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评审标准</w:t>
            </w:r>
            <w:r>
              <w:rPr>
                <w:rFonts w:hint="eastAsia" w:ascii="宋体" w:hAnsi="宋体" w:cs="宋体"/>
                <w:kern w:val="0"/>
              </w:rPr>
              <w:t>；</w:t>
            </w:r>
          </w:p>
          <w:p>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，联系人：徐小玲，联系电话：0571-87967630。如因自身原因导致样品未在规定时间送达指定地点，后果自负。超过截止时间的，采购人或采购代理机构将不予接收。</w:t>
            </w:r>
          </w:p>
          <w:p>
            <w:pPr>
              <w:ind w:firstLine="480"/>
              <w:jc w:val="left"/>
              <w:rPr>
                <w:rFonts w:hint="eastAsia" w:ascii="宋体" w:hAnsi="宋体" w:cs="宋体"/>
              </w:rPr>
            </w:pPr>
            <w:r>
              <w:rPr>
                <w:rFonts w:hint="eastAsia" w:ascii="宋体" w:hAnsi="宋体" w:cs="宋体"/>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pPr>
              <w:ind w:firstLine="480"/>
            </w:pPr>
            <w:r>
              <w:rPr>
                <w:rFonts w:hint="eastAsia"/>
              </w:rPr>
              <w:t>（7）投标供应商应在样品标注注明产品、材料名称、供应商单位名称等信息，否则由此造成的漏评、错评的一切后果由供应商自己承担。</w:t>
            </w:r>
          </w:p>
          <w:p>
            <w:pPr>
              <w:ind w:firstLine="480"/>
              <w:jc w:val="left"/>
              <w:rPr>
                <w:rFonts w:hint="eastAsia" w:ascii="宋体" w:hAnsi="宋体" w:cs="宋体"/>
              </w:rPr>
            </w:pPr>
            <w:r>
              <w:rPr>
                <w:rFonts w:hint="eastAsia" w:ascii="宋体" w:hAnsi="宋体" w:cs="宋体"/>
              </w:rPr>
              <w:t>（8）制作、运输、安装和保管样品所发生的一切费用由投标人自理。</w:t>
            </w:r>
          </w:p>
          <w:p>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ind w:firstLine="480"/>
              <w:jc w:val="left"/>
              <w:rPr>
                <w:rFonts w:hint="eastAsia"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60"/>
              <w:ind w:firstLine="360" w:firstLineChars="150"/>
              <w:rPr>
                <w:rFonts w:hint="eastAsia"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 xml:space="preserve">浙江省文二路391号西湖国际科技大厦B2楼1107室， </w:t>
            </w:r>
            <w:r>
              <w:rPr>
                <w:rFonts w:hint="eastAsia" w:hAnsi="宋体" w:cs="Helvetica"/>
                <w:kern w:val="0"/>
              </w:rPr>
              <w:t>徐小玲</w:t>
            </w:r>
            <w:r>
              <w:rPr>
                <w:rFonts w:hint="eastAsia" w:hAnsi="宋体" w:cs="宋体"/>
              </w:rPr>
              <w:t>收 0571-87967630</w:t>
            </w:r>
            <w:r>
              <w:rPr>
                <w:rFonts w:hint="eastAsia" w:cs="仿宋" w:asciiTheme="minorEastAsia" w:hAnsiTheme="minorEastAsia" w:eastAsiaTheme="minorEastAsia"/>
                <w:kern w:val="0"/>
                <w:szCs w:val="24"/>
                <w:lang w:val="en-US"/>
              </w:rPr>
              <w:t xml:space="preserve"> ）。逾期送达或未密封将被拒收。</w:t>
            </w:r>
          </w:p>
          <w:p>
            <w:pPr>
              <w:ind w:firstLine="480"/>
              <w:jc w:val="left"/>
            </w:pPr>
            <w:r>
              <w:rPr>
                <w:rFonts w:hint="eastAsia" w:ascii="宋体" w:hAnsi="宋体" w:cs="宋体"/>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ind w:firstLine="480"/>
              <w:rPr>
                <w:rFonts w:hint="eastAsia" w:ascii="宋体" w:hAnsi="宋体" w:cs="宋体"/>
              </w:rPr>
            </w:pPr>
            <w:r>
              <w:rPr>
                <w:rFonts w:hint="eastAsia" w:ascii="宋体" w:hAnsi="宋体" w:cs="宋体"/>
              </w:rPr>
              <w:t>（1）资格证明文件：见招标文件第二部分11.1。</w:t>
            </w:r>
          </w:p>
          <w:p>
            <w:pPr>
              <w:ind w:firstLine="480"/>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ind w:firstLine="480"/>
              <w:jc w:val="left"/>
            </w:pPr>
            <w:r>
              <w:rPr>
                <w:rFonts w:hint="eastAsia"/>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ind w:firstLine="480"/>
              <w:jc w:val="left"/>
              <w:rPr>
                <w:lang w:val="zh-CN"/>
              </w:rPr>
            </w:pPr>
            <w:r>
              <w:rPr>
                <w:rFonts w:hint="eastAsia"/>
                <w:lang w:val="zh-CN"/>
              </w:rPr>
              <w:t>有关本项目实施所需的所有费用（含人工费、材料费、管理费、利润、税费等完成本项目所需一切费用）均计入报价。投标文件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ind w:firstLine="0" w:firstLineChars="0"/>
              <w:jc w:val="left"/>
              <w:rPr>
                <w:b/>
                <w:bCs/>
                <w:lang w:val="zh-CN"/>
              </w:rPr>
            </w:pPr>
            <w:r>
              <w:rPr>
                <w:rFonts w:hint="eastAsia"/>
                <w:b/>
                <w:bCs/>
                <w:lang w:val="zh-CN"/>
              </w:rPr>
              <w:t>投标报价出现下列情形的，投标无效：</w:t>
            </w:r>
          </w:p>
          <w:p>
            <w:pPr>
              <w:jc w:val="left"/>
              <w:rPr>
                <w:b/>
                <w:bCs/>
                <w:lang w:val="zh-CN"/>
              </w:rPr>
            </w:pPr>
            <w:r>
              <w:rPr>
                <w:rFonts w:hint="eastAsia"/>
                <w:b/>
                <w:bCs/>
                <w:lang w:val="zh-CN"/>
              </w:rPr>
              <w:t>投标文件出现不是唯一的、有选择性投标报价的；</w:t>
            </w:r>
          </w:p>
          <w:p>
            <w:pPr>
              <w:jc w:val="left"/>
              <w:rPr>
                <w:b/>
                <w:bCs/>
                <w:lang w:val="zh-CN"/>
              </w:rPr>
            </w:pPr>
            <w:r>
              <w:rPr>
                <w:rFonts w:hint="eastAsia"/>
                <w:b/>
                <w:bCs/>
                <w:lang w:val="zh-CN"/>
              </w:rPr>
              <w:t>投标报价超过招标文件中规定的预算金额或者最高限价的;</w:t>
            </w:r>
          </w:p>
          <w:p>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jc w:val="left"/>
              <w:rPr>
                <w:b/>
                <w:bCs/>
              </w:rPr>
            </w:pPr>
            <w:r>
              <w:rPr>
                <w:rFonts w:hint="eastAsia"/>
                <w:b/>
                <w:bCs/>
              </w:rPr>
              <w:t>投标人对根据修正原则修正后的报价不确认的；</w:t>
            </w:r>
          </w:p>
          <w:p>
            <w:pPr>
              <w:pStyle w:val="81"/>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b/>
                <w:bCs/>
              </w:rPr>
            </w:pPr>
            <w:r>
              <w:rPr>
                <w:rFonts w:hint="eastAsia"/>
                <w:b/>
                <w:bCs/>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2"/>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b/>
                <w:bCs/>
              </w:rPr>
            </w:pPr>
            <w:r>
              <w:rPr>
                <w:rFonts w:hint="eastAsia"/>
                <w:b/>
                <w:bCs/>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r>
              <w:rPr>
                <w:rFonts w:hint="eastAsia"/>
                <w:b/>
                <w:bCs/>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14</w:t>
            </w:r>
          </w:p>
        </w:tc>
        <w:tc>
          <w:tcPr>
            <w:tcW w:w="2206" w:type="dxa"/>
            <w:vAlign w:val="center"/>
          </w:tcPr>
          <w:p>
            <w:pPr>
              <w:pStyle w:val="143"/>
              <w:widowControl w:val="0"/>
              <w:rPr>
                <w:b/>
                <w:bCs/>
              </w:rPr>
            </w:pPr>
            <w:r>
              <w:rPr>
                <w:rFonts w:hint="eastAsia"/>
                <w:b/>
                <w:bCs/>
              </w:rPr>
              <w:t>采购代理服务费</w:t>
            </w:r>
          </w:p>
        </w:tc>
        <w:tc>
          <w:tcPr>
            <w:tcW w:w="5901" w:type="dxa"/>
            <w:vAlign w:val="center"/>
          </w:tcPr>
          <w:p>
            <w:pPr>
              <w:ind w:firstLine="480"/>
              <w:rPr>
                <w:rFonts w:hint="eastAsia" w:ascii="宋体" w:hAnsi="宋体" w:cs="宋体"/>
                <w:kern w:val="0"/>
              </w:rPr>
            </w:pPr>
            <w:r>
              <w:rPr>
                <w:rFonts w:hint="eastAsia" w:ascii="宋体" w:hAnsi="宋体" w:cs="宋体"/>
                <w:kern w:val="0"/>
              </w:rPr>
              <w:t>本项目的采购代理服务费为：</w:t>
            </w:r>
          </w:p>
          <w:p>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pPr>
              <w:ind w:firstLine="480"/>
              <w:rPr>
                <w:rFonts w:hint="eastAsia" w:ascii="宋体" w:hAnsi="宋体" w:cs="宋体"/>
                <w:kern w:val="0"/>
              </w:rPr>
            </w:pPr>
            <w:r>
              <w:rPr>
                <w:rFonts w:hint="eastAsia" w:ascii="宋体" w:hAnsi="宋体" w:cs="宋体"/>
                <w:kern w:val="0"/>
              </w:rPr>
              <w:t>（2）各区段具体收费标准如下：</w:t>
            </w:r>
          </w:p>
          <w:p>
            <w:pPr>
              <w:ind w:firstLine="480"/>
              <w:rPr>
                <w:rFonts w:hint="eastAsia" w:ascii="宋体" w:hAnsi="宋体" w:cs="宋体"/>
                <w:kern w:val="0"/>
              </w:rPr>
            </w:pPr>
            <w:r>
              <w:rPr>
                <w:rFonts w:hint="eastAsia" w:ascii="宋体" w:hAnsi="宋体" w:cs="宋体"/>
                <w:kern w:val="0"/>
              </w:rPr>
              <w:t>成交金额              费率</w:t>
            </w:r>
          </w:p>
          <w:p>
            <w:pPr>
              <w:ind w:firstLine="480"/>
              <w:rPr>
                <w:rFonts w:hint="eastAsia" w:ascii="宋体" w:hAnsi="宋体" w:cs="宋体"/>
                <w:kern w:val="0"/>
              </w:rPr>
            </w:pPr>
            <w:r>
              <w:rPr>
                <w:rFonts w:hint="eastAsia" w:ascii="宋体" w:hAnsi="宋体" w:cs="宋体"/>
                <w:kern w:val="0"/>
              </w:rPr>
              <w:t>100万元以下          0.75%</w:t>
            </w:r>
          </w:p>
          <w:p>
            <w:pPr>
              <w:ind w:firstLine="480"/>
              <w:rPr>
                <w:rFonts w:hint="eastAsia" w:ascii="宋体" w:hAnsi="宋体" w:cs="宋体"/>
                <w:kern w:val="0"/>
              </w:rPr>
            </w:pPr>
            <w:r>
              <w:rPr>
                <w:rFonts w:hint="eastAsia" w:ascii="宋体" w:hAnsi="宋体" w:cs="宋体"/>
                <w:kern w:val="0"/>
              </w:rPr>
              <w:t>100-500万元          0.4%</w:t>
            </w:r>
          </w:p>
          <w:p>
            <w:pPr>
              <w:ind w:firstLine="480"/>
              <w:rPr>
                <w:rFonts w:hint="eastAsia" w:ascii="宋体" w:hAnsi="宋体" w:cs="宋体"/>
                <w:kern w:val="0"/>
              </w:rPr>
            </w:pPr>
            <w:r>
              <w:rPr>
                <w:rFonts w:hint="eastAsia" w:ascii="宋体" w:hAnsi="宋体" w:cs="宋体"/>
                <w:kern w:val="0"/>
              </w:rPr>
              <w:t>500-1000万元         0.225%</w:t>
            </w:r>
          </w:p>
          <w:p>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pPr>
              <w:ind w:firstLine="480"/>
              <w:rPr>
                <w:rFonts w:hint="eastAsia" w:ascii="宋体" w:hAnsi="宋体" w:cs="宋体"/>
                <w:kern w:val="0"/>
              </w:rPr>
            </w:pPr>
            <w:r>
              <w:rPr>
                <w:rFonts w:hint="eastAsia" w:ascii="宋体" w:hAnsi="宋体" w:cs="宋体"/>
                <w:kern w:val="0"/>
              </w:rPr>
              <w:t>收款单位（户名）：浙江信镧建设工程咨询有限公司</w:t>
            </w:r>
          </w:p>
          <w:p>
            <w:pPr>
              <w:ind w:firstLine="480"/>
              <w:rPr>
                <w:rFonts w:hint="eastAsia" w:ascii="宋体" w:hAnsi="宋体" w:cs="宋体"/>
                <w:kern w:val="0"/>
              </w:rPr>
            </w:pPr>
            <w:r>
              <w:rPr>
                <w:rFonts w:hint="eastAsia" w:ascii="宋体" w:hAnsi="宋体" w:cs="宋体"/>
                <w:kern w:val="0"/>
              </w:rPr>
              <w:t>开户银行：交通银行杭州华浙广场支行</w:t>
            </w:r>
          </w:p>
          <w:p>
            <w:pPr>
              <w:ind w:firstLine="463" w:firstLineChars="193"/>
              <w:rPr>
                <w:rFonts w:hint="eastAsia"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15</w:t>
            </w:r>
          </w:p>
        </w:tc>
        <w:tc>
          <w:tcPr>
            <w:tcW w:w="2206" w:type="dxa"/>
            <w:vMerge w:val="restart"/>
            <w:vAlign w:val="center"/>
          </w:tcPr>
          <w:p>
            <w:pPr>
              <w:pStyle w:val="143"/>
              <w:widowControl w:val="0"/>
              <w:rPr>
                <w:b/>
                <w:bCs/>
              </w:rPr>
            </w:pPr>
            <w:r>
              <w:rPr>
                <w:rFonts w:hint="eastAsia"/>
                <w:b/>
                <w:bCs/>
              </w:rPr>
              <w:t>其他注意事项</w:t>
            </w:r>
          </w:p>
        </w:tc>
        <w:tc>
          <w:tcPr>
            <w:tcW w:w="5901" w:type="dxa"/>
            <w:vAlign w:val="center"/>
          </w:tcPr>
          <w:p>
            <w:pPr>
              <w:pStyle w:val="725"/>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pStyle w:val="725"/>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16</w:t>
            </w:r>
          </w:p>
        </w:tc>
        <w:tc>
          <w:tcPr>
            <w:tcW w:w="2206" w:type="dxa"/>
            <w:vAlign w:val="center"/>
          </w:tcPr>
          <w:p>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pPr>
              <w:ind w:firstLine="480"/>
            </w:pPr>
            <w:bookmarkStart w:id="24" w:name="_Toc27891"/>
            <w:bookmarkStart w:id="25" w:name="_Toc13944"/>
            <w:r>
              <w:rPr>
                <w:rFonts w:hint="eastAsia"/>
              </w:rPr>
              <w:t>本招标文件的解释权属于浙江信镧建设工程咨询有限公司。</w:t>
            </w:r>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17</w:t>
            </w:r>
          </w:p>
        </w:tc>
        <w:tc>
          <w:tcPr>
            <w:tcW w:w="2206" w:type="dxa"/>
            <w:vAlign w:val="center"/>
          </w:tcPr>
          <w:p>
            <w:pPr>
              <w:ind w:firstLine="0" w:firstLineChars="0"/>
              <w:jc w:val="center"/>
              <w:rPr>
                <w:b/>
                <w:bCs/>
              </w:rPr>
            </w:pPr>
            <w:r>
              <w:rPr>
                <w:rFonts w:hint="eastAsia" w:ascii="宋体" w:hAnsi="宋体"/>
                <w:b/>
                <w:bCs/>
              </w:rPr>
              <w:t>投诉受理部门</w:t>
            </w:r>
          </w:p>
        </w:tc>
        <w:tc>
          <w:tcPr>
            <w:tcW w:w="5901" w:type="dxa"/>
            <w:vAlign w:val="center"/>
          </w:tcPr>
          <w:p>
            <w:pPr>
              <w:ind w:firstLine="0" w:firstLineChars="0"/>
            </w:pPr>
            <w:r>
              <w:rPr>
                <w:rFonts w:hint="eastAsia"/>
              </w:rPr>
              <w:t>采购监督机构名称：浙江省人力资源和社会保障信息中心</w:t>
            </w:r>
          </w:p>
          <w:p>
            <w:pPr>
              <w:ind w:firstLine="0" w:firstLineChars="0"/>
            </w:pPr>
            <w:r>
              <w:rPr>
                <w:rFonts w:hint="eastAsia"/>
              </w:rPr>
              <w:t>地址：杭州市体育场路538号金祝大厦</w:t>
            </w:r>
          </w:p>
          <w:p>
            <w:pPr>
              <w:ind w:firstLine="0" w:firstLineChars="0"/>
            </w:pPr>
            <w:r>
              <w:rPr>
                <w:rFonts w:hint="eastAsia"/>
              </w:rPr>
              <w:t xml:space="preserve">联系人：应老师   </w:t>
            </w:r>
          </w:p>
          <w:p>
            <w:pPr>
              <w:ind w:firstLine="0" w:firstLineChars="0"/>
            </w:pPr>
            <w:r>
              <w:rPr>
                <w:rFonts w:hint="eastAsia"/>
              </w:rPr>
              <w:t xml:space="preserve">联系方式：0571-85116550    </w:t>
            </w:r>
          </w:p>
        </w:tc>
      </w:tr>
      <w:bookmarkEnd w:id="13"/>
    </w:tbl>
    <w:p>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pPr>
        <w:pStyle w:val="2"/>
        <w:rPr>
          <w:rFonts w:hint="eastAsia"/>
        </w:rPr>
      </w:pPr>
      <w:bookmarkStart w:id="26" w:name="_Toc2518"/>
      <w:bookmarkStart w:id="27" w:name="_Toc3424"/>
      <w:r>
        <w:rPr>
          <w:rFonts w:hint="eastAsia"/>
        </w:rPr>
        <w:t>一、总则</w:t>
      </w:r>
      <w:bookmarkEnd w:id="26"/>
      <w:bookmarkEnd w:id="27"/>
    </w:p>
    <w:p>
      <w:pPr>
        <w:pStyle w:val="4"/>
      </w:pPr>
      <w:r>
        <w:rPr>
          <w:rFonts w:hint="eastAsia"/>
        </w:rPr>
        <w:t>1.适用范围</w:t>
      </w:r>
    </w:p>
    <w:p>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4"/>
      </w:pPr>
      <w:r>
        <w:rPr>
          <w:rFonts w:hint="eastAsia"/>
        </w:rPr>
        <w:t>2.定义</w:t>
      </w:r>
    </w:p>
    <w:p>
      <w:pPr>
        <w:ind w:firstLine="480"/>
        <w:rPr>
          <w:rFonts w:hint="eastAsia" w:ascii="宋体" w:hAnsi="宋体" w:cs="宋体"/>
        </w:rPr>
      </w:pPr>
      <w:r>
        <w:rPr>
          <w:rFonts w:hint="eastAsia" w:ascii="宋体" w:hAnsi="宋体" w:cs="宋体"/>
        </w:rPr>
        <w:t>2.1 “采购人”系指招标公告中载明的本项目的采购人。</w:t>
      </w:r>
    </w:p>
    <w:p>
      <w:pPr>
        <w:ind w:firstLine="480"/>
        <w:rPr>
          <w:rFonts w:hint="eastAsia" w:ascii="宋体" w:hAnsi="宋体" w:cs="宋体"/>
        </w:rPr>
      </w:pPr>
      <w:r>
        <w:rPr>
          <w:rFonts w:hint="eastAsia" w:ascii="宋体" w:hAnsi="宋体" w:cs="宋体"/>
        </w:rPr>
        <w:t>2.2 “采购代理机构”系指招标公告中载明的本项目的采购代理机构。</w:t>
      </w:r>
    </w:p>
    <w:p>
      <w:pPr>
        <w:ind w:firstLine="480"/>
        <w:rPr>
          <w:rFonts w:hint="eastAsia" w:ascii="宋体" w:hAnsi="宋体" w:cs="宋体"/>
        </w:rPr>
      </w:pPr>
      <w:r>
        <w:rPr>
          <w:rFonts w:hint="eastAsia" w:ascii="宋体" w:hAnsi="宋体" w:cs="宋体"/>
        </w:rPr>
        <w:t>2.3 “投标人”系指是指响应招标、参加投标竞争的法人、其他组织或者自然人。</w:t>
      </w:r>
    </w:p>
    <w:p>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4"/>
      </w:pPr>
      <w:r>
        <w:rPr>
          <w:rFonts w:hint="eastAsia"/>
        </w:rPr>
        <w:t>3.采购项目需要落实的政府采购政策</w:t>
      </w:r>
    </w:p>
    <w:p>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ind w:firstLine="241" w:firstLineChars="100"/>
        <w:rPr>
          <w:rFonts w:hint="eastAsia" w:ascii="宋体" w:hAnsi="宋体" w:cs="宋体"/>
          <w:b/>
          <w:bCs/>
        </w:rPr>
      </w:pPr>
      <w:r>
        <w:rPr>
          <w:rFonts w:hint="eastAsia" w:ascii="宋体" w:hAnsi="宋体" w:cs="宋体"/>
          <w:b/>
          <w:bCs/>
        </w:rPr>
        <w:t>3.2 支持绿色发展</w:t>
      </w:r>
    </w:p>
    <w:p>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hint="eastAsia" w:ascii="宋体" w:hAnsi="宋体" w:cs="宋体"/>
          <w:b/>
          <w:bCs/>
        </w:rPr>
      </w:pPr>
      <w:r>
        <w:rPr>
          <w:rFonts w:hint="eastAsia" w:ascii="宋体" w:hAnsi="宋体" w:cs="宋体"/>
          <w:b/>
          <w:bCs/>
        </w:rPr>
        <w:t>3.3支持中小企业发展</w:t>
      </w:r>
    </w:p>
    <w:p>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ind w:firstLine="480"/>
        <w:rPr>
          <w:rFonts w:hint="eastAsia" w:ascii="宋体" w:hAnsi="宋体" w:cs="宋体"/>
        </w:rPr>
      </w:pPr>
      <w:r>
        <w:rPr>
          <w:rFonts w:hint="eastAsia" w:ascii="宋体" w:hAnsi="宋体" w:cs="宋体"/>
        </w:rPr>
        <w:t>符合中小企业划分标准的个体工商户，在政府采购活动中视同中小企业。</w:t>
      </w:r>
    </w:p>
    <w:p>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ind w:firstLine="241" w:firstLineChars="100"/>
        <w:rPr>
          <w:rFonts w:hint="eastAsia" w:ascii="宋体" w:hAnsi="宋体" w:cs="宋体"/>
          <w:b/>
          <w:bCs/>
        </w:rPr>
      </w:pPr>
      <w:r>
        <w:rPr>
          <w:rFonts w:hint="eastAsia" w:ascii="宋体" w:hAnsi="宋体" w:cs="宋体"/>
          <w:b/>
          <w:bCs/>
        </w:rPr>
        <w:t>3.4支持创新发展</w:t>
      </w:r>
    </w:p>
    <w:p>
      <w:pPr>
        <w:ind w:firstLine="480"/>
        <w:rPr>
          <w:rFonts w:hint="eastAsia" w:ascii="宋体" w:hAnsi="宋体" w:cs="宋体"/>
        </w:rPr>
      </w:pPr>
      <w:r>
        <w:rPr>
          <w:rFonts w:hint="eastAsia" w:ascii="宋体" w:hAnsi="宋体" w:cs="宋体"/>
        </w:rPr>
        <w:t>3.4.1 采购人优先采购被认定为首台套产品和“制造精品”的自主创新产品。</w:t>
      </w:r>
    </w:p>
    <w:p>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pPr>
        <w:ind w:firstLine="480"/>
      </w:pPr>
      <w:r>
        <w:rPr>
          <w:rFonts w:hint="eastAsia"/>
        </w:rPr>
        <w:t>平等对待内外资企业和符合条件的破产重整企业，切实保障企业公平竞争，平等维护企业的合法利益。</w:t>
      </w:r>
    </w:p>
    <w:p>
      <w:pPr>
        <w:pStyle w:val="4"/>
      </w:pPr>
      <w:r>
        <w:rPr>
          <w:rFonts w:hint="eastAsia" w:ascii="宋体" w:hAnsi="宋体" w:cs="宋体"/>
        </w:rPr>
        <w:t>4.</w:t>
      </w:r>
      <w:r>
        <w:rPr>
          <w:rFonts w:hint="eastAsia"/>
        </w:rPr>
        <w:t>询问、质疑、投诉</w:t>
      </w:r>
    </w:p>
    <w:p>
      <w:pPr>
        <w:pStyle w:val="5"/>
        <w:rPr>
          <w:rFonts w:hint="eastAsia"/>
        </w:rPr>
      </w:pPr>
      <w:r>
        <w:rPr>
          <w:rFonts w:hint="eastAsia"/>
          <w:lang w:val="en-US"/>
        </w:rPr>
        <w:t>4.1</w:t>
      </w:r>
      <w:r>
        <w:t>在线询问、质疑、投诉</w:t>
      </w:r>
    </w:p>
    <w:p>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rPr>
          <w:rFonts w:hint="eastAsia"/>
        </w:rPr>
      </w:pPr>
      <w:r>
        <w:rPr>
          <w:rFonts w:hint="eastAsia"/>
          <w:lang w:val="en-US"/>
        </w:rPr>
        <w:t>4.</w:t>
      </w:r>
      <w:r>
        <w:rPr>
          <w:rFonts w:hint="eastAsia"/>
        </w:rPr>
        <w:t>2供应商询问</w:t>
      </w:r>
    </w:p>
    <w:p>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rPr>
          <w:rFonts w:hint="eastAsia"/>
        </w:rPr>
      </w:pPr>
      <w:r>
        <w:rPr>
          <w:rFonts w:hint="eastAsia"/>
          <w:lang w:val="en-US"/>
        </w:rPr>
        <w:t>4.</w:t>
      </w:r>
      <w:r>
        <w:rPr>
          <w:rFonts w:hint="eastAsia"/>
        </w:rPr>
        <w:t>3供应商质疑</w:t>
      </w:r>
    </w:p>
    <w:p>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pPr>
        <w:ind w:firstLine="480"/>
        <w:rPr>
          <w:rFonts w:hint="eastAsia" w:ascii="宋体" w:hAnsi="宋体" w:cs="宋体"/>
        </w:rPr>
      </w:pPr>
      <w:r>
        <w:rPr>
          <w:rFonts w:hint="eastAsia" w:ascii="宋体" w:hAnsi="宋体" w:cs="宋体"/>
        </w:rPr>
        <w:t>　4.3.3.1供应商的姓名或者名称、地址、邮编、联系人及联系电话；</w:t>
      </w:r>
    </w:p>
    <w:p>
      <w:pPr>
        <w:ind w:firstLine="480"/>
        <w:rPr>
          <w:rFonts w:hint="eastAsia" w:ascii="宋体" w:hAnsi="宋体" w:cs="宋体"/>
        </w:rPr>
      </w:pPr>
      <w:r>
        <w:rPr>
          <w:rFonts w:hint="eastAsia" w:ascii="宋体" w:hAnsi="宋体" w:cs="宋体"/>
        </w:rPr>
        <w:t>　4.3.3.2质疑项目的名称、编号；</w:t>
      </w:r>
    </w:p>
    <w:p>
      <w:pPr>
        <w:ind w:firstLine="480"/>
        <w:rPr>
          <w:rFonts w:hint="eastAsia" w:ascii="宋体" w:hAnsi="宋体" w:cs="宋体"/>
        </w:rPr>
      </w:pPr>
      <w:r>
        <w:rPr>
          <w:rFonts w:hint="eastAsia" w:ascii="宋体" w:hAnsi="宋体" w:cs="宋体"/>
        </w:rPr>
        <w:t>　4.3.3.3具体、明确的质疑事项和与质疑事项相关的请求；</w:t>
      </w:r>
    </w:p>
    <w:p>
      <w:pPr>
        <w:ind w:firstLine="480"/>
        <w:rPr>
          <w:rFonts w:hint="eastAsia" w:ascii="宋体" w:hAnsi="宋体" w:cs="宋体"/>
        </w:rPr>
      </w:pPr>
      <w:r>
        <w:rPr>
          <w:rFonts w:hint="eastAsia" w:ascii="宋体" w:hAnsi="宋体" w:cs="宋体"/>
        </w:rPr>
        <w:t>　4.3.3.4事实依据；</w:t>
      </w:r>
    </w:p>
    <w:p>
      <w:pPr>
        <w:ind w:firstLine="480"/>
        <w:rPr>
          <w:rFonts w:hint="eastAsia" w:ascii="宋体" w:hAnsi="宋体" w:cs="宋体"/>
        </w:rPr>
      </w:pPr>
      <w:r>
        <w:rPr>
          <w:rFonts w:hint="eastAsia" w:ascii="宋体" w:hAnsi="宋体" w:cs="宋体"/>
        </w:rPr>
        <w:t>　4.3.3.5必要的法律依据；</w:t>
      </w:r>
    </w:p>
    <w:p>
      <w:pPr>
        <w:ind w:firstLine="720" w:firstLineChars="300"/>
        <w:rPr>
          <w:rFonts w:hint="eastAsia" w:ascii="宋体" w:hAnsi="宋体" w:cs="宋体"/>
        </w:rPr>
      </w:pPr>
      <w:r>
        <w:rPr>
          <w:rFonts w:hint="eastAsia" w:ascii="宋体" w:hAnsi="宋体" w:cs="宋体"/>
        </w:rPr>
        <w:t>4.3.3.6提出质疑的日期。</w:t>
      </w:r>
    </w:p>
    <w:p>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ind w:firstLine="480"/>
        <w:rPr>
          <w:rFonts w:hint="eastAsia" w:ascii="宋体" w:hAnsi="宋体" w:cs="宋体"/>
        </w:rPr>
      </w:pPr>
      <w:r>
        <w:rPr>
          <w:rFonts w:hint="eastAsia" w:ascii="宋体" w:hAnsi="宋体" w:cs="宋体"/>
        </w:rPr>
        <w:t>质疑函范本及制作说明详见附件2。</w:t>
      </w:r>
    </w:p>
    <w:p>
      <w:pPr>
        <w:ind w:firstLine="480"/>
        <w:rPr>
          <w:rFonts w:hint="eastAsia" w:ascii="宋体" w:hAnsi="宋体" w:cs="宋体"/>
        </w:rPr>
      </w:pPr>
      <w:r>
        <w:rPr>
          <w:rFonts w:hint="eastAsia" w:ascii="宋体" w:hAnsi="宋体" w:cs="宋体"/>
        </w:rPr>
        <w:t>4.3.4对同一采购程序环节的质疑，供应商须在法定质疑期内一次性提出。</w:t>
      </w:r>
    </w:p>
    <w:p>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hint="eastAsia" w:ascii="宋体" w:hAnsi="宋体" w:cs="宋体"/>
          <w:lang w:val="zh-CN"/>
        </w:rPr>
      </w:pPr>
      <w:r>
        <w:rPr>
          <w:rFonts w:hint="eastAsia" w:ascii="宋体" w:hAnsi="宋体" w:cs="宋体"/>
        </w:rPr>
        <w:t>代理人提出质疑和投诉，应当提交供应商签署的授权委托书。</w:t>
      </w:r>
    </w:p>
    <w:p>
      <w:pPr>
        <w:pStyle w:val="32"/>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2"/>
        <w:ind w:firstLine="480"/>
        <w:rPr>
          <w:rFonts w:hint="eastAsia" w:hAnsi="宋体"/>
        </w:rPr>
      </w:pPr>
      <w:r>
        <w:rPr>
          <w:rFonts w:hint="eastAsia" w:hAnsi="宋体"/>
        </w:rPr>
        <w:t>4.3.6询问或者质疑事项可能影响采购结果的，采购人应当暂停签订合同，已经签订合同的，应当中止履行合同。</w:t>
      </w:r>
    </w:p>
    <w:p>
      <w:pPr>
        <w:pStyle w:val="32"/>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2"/>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2"/>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rPr>
          <w:rFonts w:hint="eastAsia"/>
        </w:rPr>
      </w:pPr>
      <w:r>
        <w:rPr>
          <w:rFonts w:hint="eastAsia"/>
        </w:rPr>
        <w:t>4.</w:t>
      </w:r>
      <w:r>
        <w:rPr>
          <w:rFonts w:hint="eastAsia"/>
          <w:lang w:val="en-US"/>
        </w:rPr>
        <w:t>4</w:t>
      </w:r>
      <w:r>
        <w:rPr>
          <w:rFonts w:hint="eastAsia"/>
        </w:rPr>
        <w:t>供应商投诉</w:t>
      </w:r>
    </w:p>
    <w:p>
      <w:pPr>
        <w:pStyle w:val="32"/>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2"/>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2"/>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2"/>
        <w:ind w:firstLine="480"/>
        <w:rPr>
          <w:rFonts w:hint="eastAsia" w:hAnsi="宋体"/>
          <w:lang w:val="zh-CN"/>
        </w:rPr>
      </w:pPr>
      <w:r>
        <w:rPr>
          <w:rFonts w:hint="eastAsia" w:hAnsi="宋体"/>
        </w:rPr>
        <w:t xml:space="preserve">4.4.4投诉人提起投诉应当符合下列条件： </w:t>
      </w:r>
    </w:p>
    <w:p>
      <w:pPr>
        <w:pStyle w:val="32"/>
        <w:ind w:firstLine="480"/>
        <w:rPr>
          <w:rFonts w:hint="eastAsia" w:hAnsi="宋体"/>
          <w:lang w:val="zh-CN"/>
        </w:rPr>
      </w:pPr>
      <w:r>
        <w:rPr>
          <w:rFonts w:hint="eastAsia" w:hAnsi="宋体"/>
        </w:rPr>
        <w:t xml:space="preserve">（一）提起投诉前已依法进行质疑； </w:t>
      </w:r>
    </w:p>
    <w:p>
      <w:pPr>
        <w:pStyle w:val="32"/>
        <w:ind w:firstLine="480"/>
        <w:rPr>
          <w:rFonts w:hint="eastAsia" w:hAnsi="宋体"/>
          <w:lang w:val="zh-CN"/>
        </w:rPr>
      </w:pPr>
      <w:r>
        <w:rPr>
          <w:rFonts w:hint="eastAsia" w:hAnsi="宋体"/>
        </w:rPr>
        <w:t xml:space="preserve">（二）投诉书内容符合本办法的规定； </w:t>
      </w:r>
    </w:p>
    <w:p>
      <w:pPr>
        <w:pStyle w:val="32"/>
        <w:ind w:firstLine="480"/>
        <w:rPr>
          <w:rFonts w:hint="eastAsia" w:hAnsi="宋体"/>
          <w:lang w:val="zh-CN"/>
        </w:rPr>
      </w:pPr>
      <w:r>
        <w:rPr>
          <w:rFonts w:hint="eastAsia" w:hAnsi="宋体"/>
        </w:rPr>
        <w:t xml:space="preserve">（三）在投诉有效期限内提起投诉； </w:t>
      </w:r>
    </w:p>
    <w:p>
      <w:pPr>
        <w:pStyle w:val="32"/>
        <w:ind w:firstLine="480"/>
        <w:rPr>
          <w:rFonts w:hint="eastAsia" w:hAnsi="宋体"/>
          <w:lang w:val="zh-CN"/>
        </w:rPr>
      </w:pPr>
      <w:r>
        <w:rPr>
          <w:rFonts w:hint="eastAsia" w:hAnsi="宋体"/>
        </w:rPr>
        <w:t xml:space="preserve">（四）同一投诉事项未经财政部门投诉处理； </w:t>
      </w:r>
    </w:p>
    <w:p>
      <w:pPr>
        <w:pStyle w:val="32"/>
        <w:ind w:firstLine="480"/>
        <w:rPr>
          <w:rFonts w:hint="eastAsia" w:hAnsi="宋体"/>
          <w:lang w:val="zh-CN"/>
        </w:rPr>
      </w:pPr>
      <w:r>
        <w:rPr>
          <w:rFonts w:hint="eastAsia" w:hAnsi="宋体"/>
        </w:rPr>
        <w:t>（五）财政部规定的其他条件。</w:t>
      </w:r>
    </w:p>
    <w:p>
      <w:pPr>
        <w:pStyle w:val="32"/>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2"/>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2"/>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2"/>
        <w:ind w:firstLine="480"/>
        <w:rPr>
          <w:rFonts w:hint="eastAsia" w:hAnsi="宋体"/>
          <w:lang w:val="zh-CN"/>
        </w:rPr>
      </w:pPr>
      <w:r>
        <w:rPr>
          <w:rFonts w:hint="eastAsia" w:hAnsi="宋体"/>
          <w:lang w:val="zh-CN"/>
        </w:rPr>
        <w:t>（一）捏造事实；</w:t>
      </w:r>
    </w:p>
    <w:p>
      <w:pPr>
        <w:pStyle w:val="32"/>
        <w:ind w:firstLine="480"/>
        <w:rPr>
          <w:rFonts w:hint="eastAsia" w:hAnsi="宋体"/>
          <w:lang w:val="zh-CN"/>
        </w:rPr>
      </w:pPr>
      <w:r>
        <w:rPr>
          <w:rFonts w:hint="eastAsia" w:hAnsi="宋体"/>
          <w:lang w:val="zh-CN"/>
        </w:rPr>
        <w:t>（二）提供虚假材料；</w:t>
      </w:r>
    </w:p>
    <w:p>
      <w:pPr>
        <w:pStyle w:val="32"/>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2"/>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32"/>
        <w:ind w:firstLine="480"/>
        <w:rPr>
          <w:rFonts w:hint="eastAsia" w:hAnsi="宋体"/>
          <w:lang w:val="zh-CN"/>
        </w:rPr>
      </w:pPr>
    </w:p>
    <w:p>
      <w:pPr>
        <w:pStyle w:val="890"/>
        <w:shd w:val="clear" w:color="auto" w:fill="FFFFFF"/>
        <w:spacing w:after="240" w:afterAutospacing="0"/>
        <w:ind w:firstLine="480"/>
        <w:contextualSpacing/>
        <w:rPr>
          <w:rFonts w:hint="eastAsia"/>
        </w:rPr>
      </w:pPr>
    </w:p>
    <w:p>
      <w:pPr>
        <w:pStyle w:val="134"/>
        <w:spacing w:before="0"/>
        <w:ind w:firstLine="360"/>
        <w:rPr>
          <w:rFonts w:hint="eastAsia" w:ascii="宋体" w:hAnsi="宋体" w:cs="宋体"/>
          <w:sz w:val="18"/>
          <w:szCs w:val="18"/>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28" w:name="_Toc6417"/>
      <w:bookmarkStart w:id="29" w:name="_Toc2155"/>
      <w:r>
        <w:rPr>
          <w:rFonts w:hint="eastAsia"/>
        </w:rPr>
        <w:t>二、招标文件的构成、澄清、修改</w:t>
      </w:r>
      <w:bookmarkEnd w:id="28"/>
      <w:bookmarkEnd w:id="29"/>
    </w:p>
    <w:p>
      <w:pPr>
        <w:pStyle w:val="4"/>
      </w:pPr>
      <w:r>
        <w:rPr>
          <w:rFonts w:hint="eastAsia"/>
        </w:rPr>
        <w:t>5．招标文件的构成</w:t>
      </w:r>
    </w:p>
    <w:p>
      <w:pPr>
        <w:pStyle w:val="32"/>
        <w:ind w:firstLine="480"/>
        <w:rPr>
          <w:rFonts w:hint="eastAsia" w:hAnsi="宋体" w:cs="宋体"/>
          <w:szCs w:val="24"/>
        </w:rPr>
      </w:pPr>
      <w:r>
        <w:rPr>
          <w:rFonts w:hint="eastAsia" w:hAnsi="宋体" w:cs="宋体"/>
          <w:szCs w:val="24"/>
        </w:rPr>
        <w:t>5.1 招标文件包括下列文件及附件：</w:t>
      </w:r>
    </w:p>
    <w:p>
      <w:pPr>
        <w:pStyle w:val="32"/>
        <w:tabs>
          <w:tab w:val="left" w:pos="840"/>
        </w:tabs>
        <w:ind w:firstLine="960" w:firstLineChars="400"/>
        <w:rPr>
          <w:rFonts w:hint="eastAsia" w:hAnsi="宋体" w:cs="宋体"/>
          <w:szCs w:val="24"/>
        </w:rPr>
      </w:pPr>
      <w:r>
        <w:rPr>
          <w:rFonts w:hint="eastAsia" w:hAnsi="宋体" w:cs="宋体"/>
          <w:szCs w:val="24"/>
        </w:rPr>
        <w:t>5.1.1招标公告；</w:t>
      </w:r>
    </w:p>
    <w:p>
      <w:pPr>
        <w:pStyle w:val="32"/>
        <w:tabs>
          <w:tab w:val="left" w:pos="840"/>
        </w:tabs>
        <w:ind w:firstLine="960" w:firstLineChars="400"/>
        <w:rPr>
          <w:rFonts w:hint="eastAsia" w:hAnsi="宋体" w:cs="宋体"/>
          <w:szCs w:val="24"/>
        </w:rPr>
      </w:pPr>
      <w:r>
        <w:rPr>
          <w:rFonts w:hint="eastAsia" w:hAnsi="宋体" w:cs="宋体"/>
          <w:szCs w:val="24"/>
        </w:rPr>
        <w:t>5.1.2投标人须知；</w:t>
      </w:r>
    </w:p>
    <w:p>
      <w:pPr>
        <w:pStyle w:val="32"/>
        <w:tabs>
          <w:tab w:val="left" w:pos="840"/>
        </w:tabs>
        <w:ind w:firstLine="960" w:firstLineChars="400"/>
        <w:rPr>
          <w:rFonts w:hint="eastAsia" w:hAnsi="宋体" w:cs="宋体"/>
          <w:szCs w:val="24"/>
        </w:rPr>
      </w:pPr>
      <w:r>
        <w:rPr>
          <w:rFonts w:hint="eastAsia" w:hAnsi="宋体" w:cs="宋体"/>
          <w:szCs w:val="24"/>
        </w:rPr>
        <w:t>5.1.3采购需求；</w:t>
      </w:r>
    </w:p>
    <w:p>
      <w:pPr>
        <w:pStyle w:val="32"/>
        <w:tabs>
          <w:tab w:val="left" w:pos="840"/>
        </w:tabs>
        <w:ind w:firstLine="960" w:firstLineChars="400"/>
        <w:rPr>
          <w:rFonts w:hint="eastAsia" w:hAnsi="宋体" w:cs="宋体"/>
          <w:szCs w:val="24"/>
        </w:rPr>
      </w:pPr>
      <w:r>
        <w:rPr>
          <w:rFonts w:hint="eastAsia" w:hAnsi="宋体" w:cs="宋体"/>
          <w:szCs w:val="24"/>
        </w:rPr>
        <w:t>5.1.4评标办法；</w:t>
      </w:r>
    </w:p>
    <w:p>
      <w:pPr>
        <w:pStyle w:val="32"/>
        <w:tabs>
          <w:tab w:val="left" w:pos="840"/>
        </w:tabs>
        <w:ind w:firstLine="960" w:firstLineChars="400"/>
        <w:rPr>
          <w:rFonts w:hint="eastAsia" w:hAnsi="宋体" w:cs="宋体"/>
          <w:szCs w:val="24"/>
        </w:rPr>
      </w:pPr>
      <w:r>
        <w:rPr>
          <w:rFonts w:hint="eastAsia" w:hAnsi="宋体" w:cs="宋体"/>
          <w:szCs w:val="24"/>
        </w:rPr>
        <w:t>5.1.5拟签订的合同文本；</w:t>
      </w:r>
    </w:p>
    <w:p>
      <w:pPr>
        <w:pStyle w:val="32"/>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4"/>
      </w:pPr>
      <w:r>
        <w:rPr>
          <w:rFonts w:hint="eastAsia"/>
        </w:rPr>
        <w:t>6. 招标文件的澄清、修改</w:t>
      </w:r>
    </w:p>
    <w:p>
      <w:pPr>
        <w:pStyle w:val="134"/>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4"/>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30" w:name="_Toc23795"/>
      <w:bookmarkStart w:id="31" w:name="_Toc21343"/>
      <w:r>
        <w:rPr>
          <w:rFonts w:hint="eastAsia"/>
        </w:rPr>
        <w:t>三、投标</w:t>
      </w:r>
      <w:bookmarkEnd w:id="30"/>
      <w:bookmarkEnd w:id="31"/>
    </w:p>
    <w:p>
      <w:pPr>
        <w:pStyle w:val="4"/>
      </w:pPr>
      <w:r>
        <w:rPr>
          <w:rFonts w:hint="eastAsia"/>
        </w:rPr>
        <w:t>7. 招标文件的获取</w:t>
      </w:r>
    </w:p>
    <w:p>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4"/>
      </w:pPr>
      <w:r>
        <w:rPr>
          <w:rFonts w:hint="eastAsia"/>
        </w:rPr>
        <w:t>8.开标前答疑会或现场考察</w:t>
      </w:r>
    </w:p>
    <w:p>
      <w:pPr>
        <w:pStyle w:val="32"/>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4"/>
      </w:pPr>
      <w:r>
        <w:rPr>
          <w:rFonts w:hint="eastAsia"/>
        </w:rPr>
        <w:t>9.投标保证金</w:t>
      </w:r>
    </w:p>
    <w:p>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4"/>
      </w:pPr>
      <w:r>
        <w:rPr>
          <w:rFonts w:hint="eastAsia"/>
        </w:rPr>
        <w:t>10.投标文件的语言</w:t>
      </w:r>
    </w:p>
    <w:p>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pPr>
        <w:pStyle w:val="4"/>
      </w:pPr>
      <w:r>
        <w:rPr>
          <w:rFonts w:hint="eastAsia"/>
        </w:rPr>
        <w:t>11.投标文件的组成</w:t>
      </w:r>
    </w:p>
    <w:p>
      <w:pPr>
        <w:pStyle w:val="5"/>
        <w:rPr>
          <w:rFonts w:hint="eastAsia"/>
        </w:rPr>
      </w:pPr>
      <w:r>
        <w:rPr>
          <w:rFonts w:hint="eastAsia"/>
        </w:rPr>
        <w:t>11.1资格文件</w:t>
      </w:r>
    </w:p>
    <w:p>
      <w:pPr>
        <w:ind w:firstLine="480"/>
        <w:rPr>
          <w:rFonts w:hint="eastAsia" w:ascii="宋体" w:hAnsi="宋体" w:cs="宋体"/>
        </w:rPr>
      </w:pPr>
      <w:r>
        <w:rPr>
          <w:rFonts w:hint="eastAsia" w:ascii="宋体" w:hAnsi="宋体" w:cs="宋体"/>
        </w:rPr>
        <w:t>11.1.1符合参加政府采购活动应当具备的一般条件的承诺函；</w:t>
      </w:r>
    </w:p>
    <w:p>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snapToGrid w:val="0"/>
          <w:kern w:val="28"/>
        </w:rPr>
        <w:t>中小企业声明函(或监狱企业证明或残疾人福利性单位声明函）</w:t>
      </w:r>
      <w:r>
        <w:rPr>
          <w:rFonts w:hint="eastAsia" w:ascii="宋体" w:hAnsi="宋体" w:cs="宋体"/>
        </w:rPr>
        <w:t>；</w:t>
      </w:r>
    </w:p>
    <w:p>
      <w:pPr>
        <w:ind w:firstLine="480"/>
        <w:rPr>
          <w:rFonts w:hint="eastAsia" w:ascii="宋体" w:hAnsi="宋体" w:cs="宋体"/>
        </w:rPr>
      </w:pPr>
      <w:r>
        <w:rPr>
          <w:rFonts w:hint="eastAsia" w:ascii="宋体" w:hAnsi="宋体" w:cs="宋体"/>
        </w:rPr>
        <w:t>11.1.4本项目的特定资格要求（如有要求)。</w:t>
      </w:r>
    </w:p>
    <w:p>
      <w:pPr>
        <w:pStyle w:val="5"/>
        <w:rPr>
          <w:rFonts w:hint="eastAsia"/>
        </w:rPr>
      </w:pPr>
      <w:r>
        <w:rPr>
          <w:rFonts w:hint="eastAsia"/>
        </w:rPr>
        <w:t>11.2 商务技术文件</w:t>
      </w:r>
    </w:p>
    <w:p>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ind w:firstLine="480"/>
        <w:rPr>
          <w:rFonts w:hint="eastAsia" w:ascii="宋体" w:hAnsi="宋体" w:cs="宋体"/>
        </w:rPr>
      </w:pPr>
      <w:r>
        <w:rPr>
          <w:rFonts w:hint="eastAsia" w:ascii="宋体" w:hAnsi="宋体" w:cs="宋体"/>
        </w:rPr>
        <w:t>11.2.5评标标准相应的商务技术资料；</w:t>
      </w:r>
    </w:p>
    <w:p>
      <w:pPr>
        <w:ind w:firstLine="480"/>
        <w:rPr>
          <w:rFonts w:hint="eastAsia" w:ascii="宋体" w:hAnsi="宋体" w:cs="宋体"/>
        </w:rPr>
      </w:pPr>
      <w:r>
        <w:rPr>
          <w:rFonts w:hint="eastAsia" w:ascii="宋体" w:hAnsi="宋体" w:cs="宋体"/>
        </w:rPr>
        <w:t>11.2.6商务偏离表；</w:t>
      </w:r>
    </w:p>
    <w:p>
      <w:pPr>
        <w:ind w:firstLine="480"/>
        <w:rPr>
          <w:rFonts w:hint="eastAsia" w:ascii="宋体" w:hAnsi="宋体" w:cs="宋体"/>
        </w:rPr>
      </w:pPr>
      <w:r>
        <w:rPr>
          <w:rFonts w:hint="eastAsia" w:ascii="宋体" w:hAnsi="宋体" w:cs="宋体"/>
        </w:rPr>
        <w:t>11.2.7技术偏离表；</w:t>
      </w:r>
    </w:p>
    <w:p>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firstLine="480"/>
        <w:rPr>
          <w:rFonts w:hint="eastAsia"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pPr>
        <w:pStyle w:val="5"/>
        <w:rPr>
          <w:rFonts w:hint="eastAsia"/>
          <w:u w:val="single"/>
        </w:rPr>
      </w:pPr>
      <w:r>
        <w:rPr>
          <w:rFonts w:hint="eastAsia"/>
          <w:kern w:val="0"/>
        </w:rPr>
        <w:t>11.3</w:t>
      </w:r>
      <w:r>
        <w:rPr>
          <w:rFonts w:hint="eastAsia"/>
        </w:rPr>
        <w:t xml:space="preserve">报价文件 </w:t>
      </w:r>
    </w:p>
    <w:p>
      <w:pPr>
        <w:ind w:firstLine="480"/>
        <w:rPr>
          <w:rFonts w:hint="eastAsia" w:ascii="宋体" w:hAnsi="宋体" w:cs="宋体"/>
        </w:rPr>
      </w:pPr>
      <w:r>
        <w:rPr>
          <w:rFonts w:hint="eastAsia" w:ascii="宋体" w:hAnsi="宋体" w:cs="宋体"/>
        </w:rPr>
        <w:t>11.3.1开标一览表（报价表）；</w:t>
      </w:r>
    </w:p>
    <w:p>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pPr>
        <w:ind w:firstLine="480"/>
        <w:rPr>
          <w:rFonts w:hint="eastAsia" w:ascii="宋体" w:hAnsi="宋体" w:cs="宋体"/>
        </w:rPr>
      </w:pPr>
      <w:r>
        <w:rPr>
          <w:rFonts w:hint="eastAsia" w:ascii="宋体" w:hAnsi="宋体" w:cs="宋体"/>
        </w:rPr>
        <w:t>11.3.3</w:t>
      </w:r>
      <w:r>
        <w:rPr>
          <w:rFonts w:hint="eastAsia" w:ascii="宋体" w:hAnsi="宋体" w:cs="宋体"/>
          <w:snapToGrid w:val="0"/>
          <w:kern w:val="28"/>
        </w:rPr>
        <w:t>中小企业声明函(或监狱企业证明或残疾人福利性单位声明函）</w:t>
      </w:r>
      <w:r>
        <w:rPr>
          <w:rFonts w:hint="eastAsia" w:ascii="宋体" w:hAnsi="宋体" w:cs="宋体"/>
        </w:rPr>
        <w:t>。（</w:t>
      </w:r>
      <w:r>
        <w:rPr>
          <w:rFonts w:hint="eastAsia"/>
        </w:rPr>
        <w:t>如适用</w:t>
      </w:r>
      <w:r>
        <w:rPr>
          <w:rFonts w:hint="eastAsia" w:ascii="宋体" w:hAnsi="宋体" w:cs="宋体"/>
        </w:rPr>
        <w:t>）</w:t>
      </w:r>
    </w:p>
    <w:p>
      <w:pPr>
        <w:rPr>
          <w:rFonts w:hint="eastAsia" w:ascii="宋体" w:hAnsi="宋体" w:cs="宋体"/>
          <w:b/>
        </w:rPr>
      </w:pPr>
      <w:r>
        <w:rPr>
          <w:rFonts w:hint="eastAsia" w:ascii="宋体" w:hAnsi="宋体" w:cs="宋体"/>
          <w:b/>
        </w:rPr>
        <w:t>投标文件含有采购人不能接受的附加条件的，投标无效；</w:t>
      </w:r>
    </w:p>
    <w:p>
      <w:pPr>
        <w:rPr>
          <w:rFonts w:hint="eastAsia" w:ascii="宋体" w:hAnsi="宋体" w:cs="宋体"/>
          <w:b/>
          <w:szCs w:val="21"/>
        </w:rPr>
      </w:pPr>
      <w:r>
        <w:rPr>
          <w:rFonts w:hint="eastAsia" w:ascii="宋体" w:hAnsi="宋体" w:cs="宋体"/>
          <w:b/>
        </w:rPr>
        <w:t>投标人提供虚假材料投标的，投标无效。</w:t>
      </w:r>
    </w:p>
    <w:p>
      <w:pPr>
        <w:pStyle w:val="4"/>
      </w:pPr>
      <w:r>
        <w:rPr>
          <w:rFonts w:hint="eastAsia"/>
        </w:rPr>
        <w:t>12</w:t>
      </w:r>
      <w:r>
        <w:rPr>
          <w:rFonts w:hint="eastAsia"/>
          <w:lang w:val="zh-CN"/>
        </w:rPr>
        <w:t xml:space="preserve">. </w:t>
      </w:r>
      <w:r>
        <w:rPr>
          <w:rFonts w:hint="eastAsia"/>
        </w:rPr>
        <w:t>投标文件的编制</w:t>
      </w:r>
    </w:p>
    <w:p>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4"/>
      </w:pPr>
      <w:r>
        <w:rPr>
          <w:rFonts w:hint="eastAsia"/>
        </w:rPr>
        <w:t>13.投标文件的签署、盖章</w:t>
      </w:r>
    </w:p>
    <w:p>
      <w:pPr>
        <w:pStyle w:val="134"/>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4"/>
      </w:pPr>
      <w:r>
        <w:rPr>
          <w:rFonts w:hint="eastAsia"/>
        </w:rPr>
        <w:t>14. 投标文件的提交、补充、修改、撤回</w:t>
      </w:r>
    </w:p>
    <w:p>
      <w:pPr>
        <w:pStyle w:val="134"/>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4"/>
      </w:pPr>
      <w:r>
        <w:rPr>
          <w:rFonts w:hint="eastAsia"/>
        </w:rPr>
        <w:t>15.备份投标文件</w:t>
      </w:r>
    </w:p>
    <w:p>
      <w:pPr>
        <w:pStyle w:val="32"/>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2"/>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2"/>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2"/>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2"/>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pPr>
        <w:pStyle w:val="4"/>
      </w:pPr>
      <w:r>
        <w:rPr>
          <w:rFonts w:hint="eastAsia"/>
        </w:rPr>
        <w:t>16.投标文件的无效处理</w:t>
      </w:r>
    </w:p>
    <w:p>
      <w:pPr>
        <w:pStyle w:val="24"/>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4"/>
      </w:pPr>
      <w:r>
        <w:rPr>
          <w:rFonts w:hint="eastAsia"/>
        </w:rPr>
        <w:t>17.投标有效期</w:t>
      </w:r>
    </w:p>
    <w:p>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4"/>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hint="eastAsia"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32" w:name="_Toc21464"/>
      <w:bookmarkStart w:id="33" w:name="_Toc2842"/>
      <w:r>
        <w:rPr>
          <w:rFonts w:hint="eastAsia"/>
        </w:rPr>
        <w:t>四、开标、资格审查与信用信息查询</w:t>
      </w:r>
      <w:bookmarkEnd w:id="32"/>
      <w:bookmarkEnd w:id="33"/>
    </w:p>
    <w:p>
      <w:pPr>
        <w:pStyle w:val="4"/>
      </w:pPr>
      <w:r>
        <w:rPr>
          <w:rFonts w:hint="eastAsia"/>
        </w:rPr>
        <w:t xml:space="preserve">18.开标 </w:t>
      </w:r>
    </w:p>
    <w:p>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pPr>
      <w:r>
        <w:rPr>
          <w:rFonts w:hint="eastAsia"/>
        </w:rPr>
        <w:t>19.资格审查</w:t>
      </w:r>
    </w:p>
    <w:p>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4"/>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4"/>
      </w:pPr>
      <w:r>
        <w:rPr>
          <w:rFonts w:hint="eastAsia"/>
        </w:rPr>
        <w:t>20.信用信息查询</w:t>
      </w:r>
    </w:p>
    <w:p>
      <w:pPr>
        <w:pStyle w:val="134"/>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5"/>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hint="eastAsia" w:ascii="宋体" w:hAnsi="宋体" w:cs="宋体"/>
        </w:rPr>
      </w:pPr>
    </w:p>
    <w:p>
      <w:pPr>
        <w:pStyle w:val="134"/>
        <w:spacing w:before="0"/>
        <w:ind w:firstLine="0" w:firstLineChars="0"/>
        <w:rPr>
          <w:rFonts w:hint="eastAsia" w:ascii="宋体" w:hAnsi="宋体" w:cs="宋体"/>
          <w:kern w:val="0"/>
          <w:szCs w:val="24"/>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34" w:name="_Toc5142"/>
      <w:bookmarkStart w:id="35" w:name="_Toc313"/>
      <w:r>
        <w:rPr>
          <w:rFonts w:hint="eastAsia"/>
        </w:rPr>
        <w:t>五、评标</w:t>
      </w:r>
      <w:bookmarkEnd w:id="34"/>
      <w:bookmarkEnd w:id="35"/>
    </w:p>
    <w:p>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rPr>
          <w:rFonts w:hint="eastAsia" w:ascii="宋体" w:hAnsi="宋体" w:cs="宋体"/>
          <w:b/>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37" w:name="_Toc15047"/>
      <w:bookmarkStart w:id="38" w:name="_Toc30166"/>
      <w:r>
        <w:rPr>
          <w:rFonts w:hint="eastAsia"/>
        </w:rPr>
        <w:t>六、定 标</w:t>
      </w:r>
      <w:bookmarkEnd w:id="37"/>
      <w:bookmarkEnd w:id="38"/>
    </w:p>
    <w:p>
      <w:pPr>
        <w:pStyle w:val="4"/>
      </w:pPr>
      <w:r>
        <w:rPr>
          <w:rFonts w:hint="eastAsia"/>
        </w:rPr>
        <w:t>22. 确定中标供应商</w:t>
      </w:r>
    </w:p>
    <w:p>
      <w:pPr>
        <w:pStyle w:val="134"/>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4"/>
      </w:pPr>
      <w:r>
        <w:rPr>
          <w:rFonts w:hint="eastAsia"/>
        </w:rPr>
        <w:t>23. 中标通知与中标结果公告</w:t>
      </w:r>
    </w:p>
    <w:p>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pPr>
        <w:ind w:left="137" w:leftChars="57" w:firstLineChars="150"/>
        <w:jc w:val="center"/>
        <w:rPr>
          <w:rFonts w:hint="eastAsia"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39" w:name="_Toc18672"/>
      <w:bookmarkStart w:id="40" w:name="_Toc19257"/>
      <w:r>
        <w:rPr>
          <w:rFonts w:hint="eastAsia"/>
        </w:rPr>
        <w:t>七、合同授予</w:t>
      </w:r>
      <w:bookmarkEnd w:id="39"/>
      <w:bookmarkEnd w:id="40"/>
    </w:p>
    <w:p>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4"/>
      </w:pPr>
      <w:r>
        <w:rPr>
          <w:rFonts w:hint="eastAsia"/>
        </w:rPr>
        <w:t>25. 合同的签订</w:t>
      </w:r>
    </w:p>
    <w:p>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4"/>
      </w:pPr>
      <w:r>
        <w:rPr>
          <w:rFonts w:hint="eastAsia"/>
        </w:rPr>
        <w:t>26. 履约保证金</w:t>
      </w:r>
    </w:p>
    <w:p>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rPr>
      </w:pPr>
      <w:bookmarkStart w:id="41" w:name="_Toc1857"/>
      <w:bookmarkStart w:id="42" w:name="_Toc28676"/>
      <w:r>
        <w:rPr>
          <w:rFonts w:hint="eastAsia"/>
        </w:rPr>
        <w:t>八、电子交易活动的中止</w:t>
      </w:r>
      <w:bookmarkEnd w:id="41"/>
      <w:bookmarkEnd w:id="42"/>
    </w:p>
    <w:p>
      <w:pPr>
        <w:pStyle w:val="134"/>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4"/>
        <w:spacing w:before="0"/>
        <w:ind w:firstLine="480"/>
        <w:rPr>
          <w:rFonts w:hint="eastAsia" w:ascii="宋体" w:hAnsi="宋体" w:cs="宋体"/>
        </w:rPr>
      </w:pPr>
      <w:r>
        <w:rPr>
          <w:rFonts w:hint="eastAsia" w:ascii="宋体" w:hAnsi="宋体" w:cs="宋体"/>
        </w:rPr>
        <w:t xml:space="preserve">27.1电子交易平台发生故障而无法登录访问的； </w:t>
      </w:r>
    </w:p>
    <w:p>
      <w:pPr>
        <w:pStyle w:val="134"/>
        <w:spacing w:before="0"/>
        <w:ind w:firstLine="480"/>
        <w:rPr>
          <w:rFonts w:hint="eastAsia" w:ascii="宋体" w:hAnsi="宋体" w:cs="宋体"/>
        </w:rPr>
      </w:pPr>
      <w:r>
        <w:rPr>
          <w:rFonts w:hint="eastAsia" w:ascii="宋体" w:hAnsi="宋体" w:cs="宋体"/>
        </w:rPr>
        <w:t>27.2电子交易平台应用或数据库出现错误，不能进行正常操作的；</w:t>
      </w:r>
    </w:p>
    <w:p>
      <w:pPr>
        <w:pStyle w:val="134"/>
        <w:spacing w:before="0"/>
        <w:ind w:firstLine="480"/>
        <w:rPr>
          <w:rFonts w:hint="eastAsia" w:ascii="宋体" w:hAnsi="宋体" w:cs="宋体"/>
        </w:rPr>
      </w:pPr>
      <w:r>
        <w:rPr>
          <w:rFonts w:hint="eastAsia" w:ascii="宋体" w:hAnsi="宋体" w:cs="宋体"/>
        </w:rPr>
        <w:t>27.3电子交易平台发现严重安全漏洞，有潜在泄密危险的；</w:t>
      </w:r>
    </w:p>
    <w:p>
      <w:pPr>
        <w:pStyle w:val="134"/>
        <w:spacing w:before="0"/>
        <w:ind w:firstLine="480"/>
        <w:rPr>
          <w:rFonts w:hint="eastAsia" w:ascii="宋体" w:hAnsi="宋体" w:cs="宋体"/>
        </w:rPr>
      </w:pPr>
      <w:r>
        <w:rPr>
          <w:rFonts w:hint="eastAsia" w:ascii="宋体" w:hAnsi="宋体" w:cs="宋体"/>
        </w:rPr>
        <w:t xml:space="preserve">27.4病毒发作导致不能进行正常操作的； </w:t>
      </w:r>
    </w:p>
    <w:p>
      <w:pPr>
        <w:pStyle w:val="134"/>
        <w:spacing w:before="0"/>
        <w:ind w:firstLine="480"/>
        <w:rPr>
          <w:rFonts w:hint="eastAsia" w:ascii="宋体" w:hAnsi="宋体" w:cs="宋体"/>
        </w:rPr>
      </w:pPr>
      <w:r>
        <w:rPr>
          <w:rFonts w:hint="eastAsia" w:ascii="宋体" w:hAnsi="宋体" w:cs="宋体"/>
        </w:rPr>
        <w:t>27.5其他无法保证电子交易的公平、公正和安全的情况。</w:t>
      </w:r>
    </w:p>
    <w:p>
      <w:pPr>
        <w:pStyle w:val="134"/>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hint="eastAsia" w:ascii="宋体" w:hAnsi="宋体" w:cs="宋体"/>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43" w:name="_Toc5169"/>
      <w:bookmarkStart w:id="44" w:name="_Toc1567"/>
      <w:r>
        <w:rPr>
          <w:rFonts w:hint="eastAsia"/>
        </w:rPr>
        <w:t>九、验收</w:t>
      </w:r>
      <w:bookmarkEnd w:id="43"/>
      <w:bookmarkEnd w:id="44"/>
    </w:p>
    <w:p>
      <w:pPr>
        <w:pStyle w:val="4"/>
      </w:pPr>
      <w:r>
        <w:rPr>
          <w:rFonts w:hint="eastAsia"/>
        </w:rPr>
        <w:t>29.验收</w:t>
      </w:r>
    </w:p>
    <w:bookmarkEnd w:id="20"/>
    <w:bookmarkEnd w:id="21"/>
    <w:bookmarkEnd w:id="36"/>
    <w:p>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3"/>
        <w:sectPr>
          <w:headerReference r:id="rId10" w:type="default"/>
          <w:footerReference r:id="rId11" w:type="default"/>
          <w:pgSz w:w="11905" w:h="16838"/>
          <w:pgMar w:top="1440" w:right="1797" w:bottom="1440" w:left="1797" w:header="851" w:footer="992" w:gutter="0"/>
          <w:cols w:space="0" w:num="1"/>
          <w:titlePg/>
        </w:sectPr>
      </w:pPr>
    </w:p>
    <w:p>
      <w:pPr>
        <w:pStyle w:val="3"/>
      </w:pPr>
      <w:bookmarkStart w:id="46" w:name="_Toc28975"/>
      <w:bookmarkStart w:id="47" w:name="_Toc25442"/>
      <w:bookmarkStart w:id="48" w:name="_Toc31241"/>
      <w:r>
        <w:rPr>
          <w:rFonts w:hint="eastAsia"/>
        </w:rPr>
        <w:t>第三部分 采购需求</w:t>
      </w:r>
      <w:bookmarkEnd w:id="46"/>
      <w:bookmarkEnd w:id="47"/>
      <w:bookmarkEnd w:id="48"/>
    </w:p>
    <w:p>
      <w:pPr>
        <w:pStyle w:val="4"/>
      </w:pPr>
      <w:r>
        <w:rPr>
          <w:rFonts w:hint="eastAsia"/>
        </w:rPr>
        <w:t>一、项目背景</w:t>
      </w:r>
    </w:p>
    <w:p>
      <w:pPr>
        <w:tabs>
          <w:tab w:val="left" w:pos="0"/>
        </w:tabs>
        <w:ind w:firstLine="480"/>
        <w:rPr>
          <w:rFonts w:hint="eastAsia" w:ascii="宋体" w:hAnsi="宋体" w:cs="Helvetica"/>
          <w:kern w:val="0"/>
        </w:rPr>
      </w:pPr>
      <w:r>
        <w:rPr>
          <w:rFonts w:hint="eastAsia" w:ascii="宋体" w:hAnsi="宋体" w:cs="Helvetica"/>
          <w:kern w:val="0"/>
        </w:rPr>
        <w:t>就业是民生之本，是经济发展最基本的支撑，事关经济发展和改革稳定的大局。根据金保工程的建设要求，省人力资源和社会保障厅经过多年的努力，目前建设了浙江省就业创业服务应用平台，作为全省统一的业务经办平台，提供统一标准的就业创业补贴业务经办服务，以及就业创业网上办事、移动端办事服务应用，实现了业务经办实名制、全流程、电子化管理。为保障这些系统的稳定运行，需要稳定的驻场技术服务团队，做好日常系统运行维护，快速处理系统故障，及时响应用户需求，保障业务经办的顺利开展，提升系统服务水平和服务能力。</w:t>
      </w:r>
    </w:p>
    <w:p>
      <w:pPr>
        <w:pStyle w:val="4"/>
      </w:pPr>
      <w:r>
        <w:rPr>
          <w:rFonts w:hint="eastAsia"/>
        </w:rPr>
        <w:t>二、建设目标</w:t>
      </w:r>
    </w:p>
    <w:p>
      <w:pPr>
        <w:tabs>
          <w:tab w:val="left" w:pos="0"/>
        </w:tabs>
        <w:ind w:firstLine="480"/>
        <w:rPr>
          <w:rFonts w:hint="eastAsia" w:ascii="宋体" w:hAnsi="宋体" w:cs="Helvetica"/>
          <w:kern w:val="0"/>
        </w:rPr>
      </w:pPr>
      <w:r>
        <w:rPr>
          <w:rFonts w:hint="eastAsia" w:ascii="宋体" w:hAnsi="宋体" w:cs="Helvetica"/>
          <w:kern w:val="0"/>
        </w:rPr>
        <w:t>通过采购稳定的、专业化的驻场运维服务技术团队，为浙江省就业省集中系统提供系统运行维护服务，切实保障相关系统的稳定运行，保障全省业务的顺利经办，提升我省人力社保就业服务水平和服务能力，为企业、百姓提供更好、更优质的服务。</w:t>
      </w:r>
    </w:p>
    <w:p>
      <w:pPr>
        <w:pStyle w:val="4"/>
      </w:pPr>
      <w:r>
        <w:rPr>
          <w:rFonts w:hint="eastAsia"/>
        </w:rPr>
        <w:t>三、服务内容</w:t>
      </w:r>
      <w:bookmarkStart w:id="49" w:name="_Toc323252104"/>
      <w:bookmarkStart w:id="50" w:name="_Toc322937422"/>
    </w:p>
    <w:p>
      <w:pPr>
        <w:tabs>
          <w:tab w:val="left" w:pos="0"/>
        </w:tabs>
        <w:ind w:firstLine="480"/>
        <w:rPr>
          <w:rFonts w:hint="eastAsia" w:ascii="宋体" w:hAnsi="宋体" w:cs="Helvetica"/>
          <w:kern w:val="0"/>
        </w:rPr>
      </w:pPr>
      <w:r>
        <w:rPr>
          <w:rFonts w:hint="eastAsia" w:ascii="宋体" w:hAnsi="宋体" w:cs="Helvetica"/>
          <w:kern w:val="0"/>
        </w:rPr>
        <w:t>本项目针对浙江省就业省集中系统（包括业务经办平台、就业失业数据监测模块、联网监测模块、公共就业服务监测模块和就业资金内控模块等），提供系统完善和维护服务，保证系统正常运行，满足业务部门用户实际业务使用需求。维护内容如下：</w:t>
      </w:r>
    </w:p>
    <w:p>
      <w:pPr>
        <w:tabs>
          <w:tab w:val="left" w:pos="0"/>
        </w:tabs>
        <w:rPr>
          <w:rFonts w:hint="eastAsia" w:ascii="宋体" w:hAnsi="宋体" w:cs="Helvetica"/>
          <w:b/>
          <w:bCs/>
          <w:kern w:val="0"/>
        </w:rPr>
      </w:pPr>
      <w:r>
        <w:rPr>
          <w:rFonts w:hint="eastAsia" w:ascii="宋体" w:hAnsi="宋体" w:cs="Helvetica"/>
          <w:b/>
          <w:bCs/>
          <w:kern w:val="0"/>
        </w:rPr>
        <w:t>1．浙江省就业省集中系统业务经办平台</w:t>
      </w:r>
    </w:p>
    <w:p>
      <w:pPr>
        <w:tabs>
          <w:tab w:val="left" w:pos="0"/>
        </w:tabs>
        <w:ind w:firstLine="480"/>
        <w:rPr>
          <w:rFonts w:hint="eastAsia" w:ascii="宋体" w:hAnsi="宋体" w:cs="Helvetica"/>
          <w:kern w:val="0"/>
        </w:rPr>
      </w:pPr>
      <w:r>
        <w:rPr>
          <w:rFonts w:hint="eastAsia" w:ascii="宋体" w:hAnsi="宋体" w:cs="Helvetica"/>
          <w:kern w:val="0"/>
        </w:rPr>
        <w:t>日常运维主要包括日常巡检、系统参数维护、数据处理、程序修复、对现有事项的需求变动做适应性开发、问题解答及处理回复等工作。具体工作如下：</w:t>
      </w:r>
    </w:p>
    <w:p>
      <w:pPr>
        <w:tabs>
          <w:tab w:val="left" w:pos="0"/>
        </w:tabs>
        <w:rPr>
          <w:rFonts w:hint="eastAsia" w:ascii="宋体" w:hAnsi="宋体" w:cs="Helvetica"/>
          <w:kern w:val="0"/>
        </w:rPr>
      </w:pPr>
      <w:r>
        <w:rPr>
          <w:rFonts w:hint="eastAsia" w:ascii="宋体" w:hAnsi="宋体" w:cs="Helvetica"/>
          <w:b/>
          <w:bCs/>
          <w:kern w:val="0"/>
        </w:rPr>
        <w:t>（1）日常巡检</w:t>
      </w:r>
      <w:r>
        <w:rPr>
          <w:rFonts w:hint="eastAsia" w:ascii="宋体" w:hAnsi="宋体" w:cs="Helvetica"/>
          <w:kern w:val="0"/>
        </w:rPr>
        <w:t>，包含定时检查数据库冗余数据、日志数据、备份情况、定时器执行情况等问题。</w:t>
      </w:r>
    </w:p>
    <w:p>
      <w:pPr>
        <w:tabs>
          <w:tab w:val="left" w:pos="0"/>
        </w:tabs>
        <w:rPr>
          <w:rFonts w:hint="eastAsia" w:ascii="宋体" w:hAnsi="宋体" w:cs="Helvetica"/>
          <w:kern w:val="0"/>
        </w:rPr>
      </w:pPr>
      <w:r>
        <w:rPr>
          <w:rFonts w:hint="eastAsia" w:ascii="宋体" w:hAnsi="宋体" w:cs="Helvetica"/>
          <w:b/>
          <w:bCs/>
          <w:kern w:val="0"/>
        </w:rPr>
        <w:t>（2）参数维护</w:t>
      </w:r>
      <w:r>
        <w:rPr>
          <w:rFonts w:hint="eastAsia" w:ascii="宋体" w:hAnsi="宋体" w:cs="Helvetica"/>
          <w:kern w:val="0"/>
        </w:rPr>
        <w:t>，包含对公共服务机构基本信息、用人单位基本信息、人员基本信息、行政区划代码、人员权限、角色管理、数据字典等基础数据进行调整。</w:t>
      </w:r>
    </w:p>
    <w:p>
      <w:pPr>
        <w:tabs>
          <w:tab w:val="left" w:pos="0"/>
        </w:tabs>
        <w:rPr>
          <w:rFonts w:hint="eastAsia" w:ascii="宋体" w:hAnsi="宋体" w:cs="Helvetica"/>
          <w:kern w:val="0"/>
        </w:rPr>
      </w:pPr>
      <w:r>
        <w:rPr>
          <w:rFonts w:hint="eastAsia" w:ascii="宋体" w:hAnsi="宋体" w:cs="Helvetica"/>
          <w:b/>
          <w:bCs/>
          <w:kern w:val="0"/>
        </w:rPr>
        <w:t>（3）数据处理</w:t>
      </w:r>
      <w:r>
        <w:rPr>
          <w:rFonts w:hint="eastAsia" w:ascii="宋体" w:hAnsi="宋体" w:cs="Helvetica"/>
          <w:kern w:val="0"/>
        </w:rPr>
        <w:t>，对由于历史数据原因、业务操作错误、网络延时中断等导致的数据错误问题，进行调整处理。</w:t>
      </w:r>
    </w:p>
    <w:p>
      <w:pPr>
        <w:tabs>
          <w:tab w:val="left" w:pos="0"/>
        </w:tabs>
        <w:rPr>
          <w:rFonts w:hint="eastAsia" w:ascii="宋体" w:hAnsi="宋体" w:cs="Helvetica"/>
          <w:kern w:val="0"/>
        </w:rPr>
      </w:pPr>
      <w:r>
        <w:rPr>
          <w:rFonts w:hint="eastAsia" w:ascii="宋体" w:hAnsi="宋体" w:cs="Helvetica"/>
          <w:b/>
          <w:bCs/>
          <w:kern w:val="0"/>
        </w:rPr>
        <w:t>（4）程序修复</w:t>
      </w:r>
      <w:r>
        <w:rPr>
          <w:rFonts w:hint="eastAsia" w:ascii="宋体" w:hAnsi="宋体" w:cs="Helvetica"/>
          <w:kern w:val="0"/>
        </w:rPr>
        <w:t>，对使用过程中发现的模块功能异常、无法正常打开、页面跳转失败、按钮点击无效等问题进行处理。</w:t>
      </w:r>
    </w:p>
    <w:p>
      <w:pPr>
        <w:tabs>
          <w:tab w:val="left" w:pos="0"/>
        </w:tabs>
        <w:rPr>
          <w:rFonts w:hint="eastAsia" w:ascii="宋体" w:hAnsi="宋体" w:cs="Helvetica"/>
          <w:kern w:val="0"/>
        </w:rPr>
      </w:pPr>
      <w:r>
        <w:rPr>
          <w:rFonts w:hint="eastAsia" w:ascii="宋体" w:hAnsi="宋体" w:cs="Helvetica"/>
          <w:b/>
          <w:bCs/>
          <w:kern w:val="0"/>
        </w:rPr>
        <w:t>（5）对现有事项的需求变动做适应性开发</w:t>
      </w:r>
      <w:r>
        <w:rPr>
          <w:rFonts w:hint="eastAsia" w:ascii="宋体" w:hAnsi="宋体" w:cs="Helvetica"/>
          <w:kern w:val="0"/>
        </w:rPr>
        <w:t>，如从3级审核调整为2级审核；在受理页面调整显示字段；调整校验规则、增加校验步骤；调整算法，调整补贴发放金额的计算公示，新增统计报表等。</w:t>
      </w:r>
    </w:p>
    <w:p>
      <w:pPr>
        <w:tabs>
          <w:tab w:val="left" w:pos="0"/>
        </w:tabs>
        <w:rPr>
          <w:rFonts w:hint="eastAsia" w:ascii="宋体" w:hAnsi="宋体" w:cs="Helvetica"/>
          <w:kern w:val="0"/>
        </w:rPr>
      </w:pPr>
      <w:r>
        <w:rPr>
          <w:rFonts w:hint="eastAsia" w:ascii="宋体" w:hAnsi="宋体" w:cs="Helvetica"/>
          <w:b/>
          <w:bCs/>
          <w:kern w:val="0"/>
        </w:rPr>
        <w:t>（6）问题解答及处理回复</w:t>
      </w:r>
      <w:r>
        <w:rPr>
          <w:rFonts w:hint="eastAsia" w:ascii="宋体" w:hAnsi="宋体" w:cs="Helvetica"/>
          <w:kern w:val="0"/>
        </w:rPr>
        <w:t>，根据用户在沟通群中提出的问题进行答疑、排查确认、回复等。</w:t>
      </w:r>
    </w:p>
    <w:p>
      <w:pPr>
        <w:tabs>
          <w:tab w:val="left" w:pos="0"/>
        </w:tabs>
        <w:rPr>
          <w:rFonts w:hint="eastAsia" w:ascii="宋体" w:hAnsi="宋体" w:cs="Helvetica"/>
          <w:kern w:val="0"/>
        </w:rPr>
      </w:pPr>
      <w:r>
        <w:rPr>
          <w:rFonts w:hint="eastAsia" w:ascii="宋体" w:hAnsi="宋体" w:cs="Helvetica"/>
          <w:b/>
          <w:bCs/>
          <w:kern w:val="0"/>
        </w:rPr>
        <w:t>2．浙江省就业失业数据监测模块</w:t>
      </w:r>
    </w:p>
    <w:p>
      <w:pPr>
        <w:tabs>
          <w:tab w:val="left" w:pos="0"/>
        </w:tabs>
        <w:ind w:firstLine="480"/>
        <w:rPr>
          <w:rFonts w:hint="eastAsia" w:ascii="宋体" w:hAnsi="宋体" w:cs="Helvetica"/>
          <w:kern w:val="0"/>
        </w:rPr>
      </w:pPr>
      <w:r>
        <w:rPr>
          <w:rFonts w:hint="eastAsia" w:ascii="宋体" w:hAnsi="宋体" w:cs="Helvetica"/>
          <w:kern w:val="0"/>
        </w:rPr>
        <w:t>日常运维包括数据清洗和指标维护等工作。具体工作如下：</w:t>
      </w:r>
    </w:p>
    <w:p>
      <w:pPr>
        <w:tabs>
          <w:tab w:val="left" w:pos="0"/>
        </w:tabs>
        <w:rPr>
          <w:rFonts w:hint="eastAsia" w:ascii="宋体" w:hAnsi="宋体" w:cs="Helvetica"/>
          <w:kern w:val="0"/>
        </w:rPr>
      </w:pPr>
      <w:r>
        <w:rPr>
          <w:rFonts w:hint="eastAsia" w:ascii="宋体" w:hAnsi="宋体" w:cs="Helvetica"/>
          <w:b/>
          <w:bCs/>
          <w:kern w:val="0"/>
        </w:rPr>
        <w:t>（1）数据清洗</w:t>
      </w:r>
      <w:r>
        <w:rPr>
          <w:rFonts w:hint="eastAsia" w:ascii="宋体" w:hAnsi="宋体" w:cs="Helvetica"/>
          <w:kern w:val="0"/>
        </w:rPr>
        <w:t>，按照数据指标规则，每月初对新增就业、登记失业人员、离校未就业高校毕业生、灵活就业、企业用工、三次产业等数据项进行多个维度的数据清洗及校验。</w:t>
      </w:r>
    </w:p>
    <w:p>
      <w:pPr>
        <w:tabs>
          <w:tab w:val="left" w:pos="0"/>
        </w:tabs>
        <w:rPr>
          <w:rFonts w:hint="eastAsia" w:ascii="宋体" w:hAnsi="宋体" w:cs="Helvetica"/>
          <w:kern w:val="0"/>
        </w:rPr>
      </w:pPr>
      <w:r>
        <w:rPr>
          <w:rFonts w:hint="eastAsia" w:ascii="宋体" w:hAnsi="宋体" w:cs="Helvetica"/>
          <w:b/>
          <w:bCs/>
          <w:kern w:val="0"/>
        </w:rPr>
        <w:t>（2）指标维护</w:t>
      </w:r>
      <w:r>
        <w:rPr>
          <w:rFonts w:hint="eastAsia" w:ascii="宋体" w:hAnsi="宋体" w:cs="Helvetica"/>
          <w:kern w:val="0"/>
        </w:rPr>
        <w:t>，根据业务需求，对部分指标进行定义规则或展示模型调整等。比如对登记失业人员中的男女比例、学历等指标进行调整剔除；对企业用工中人数分布模型由折线图调整为柱状图。</w:t>
      </w:r>
    </w:p>
    <w:p>
      <w:pPr>
        <w:tabs>
          <w:tab w:val="left" w:pos="0"/>
        </w:tabs>
        <w:rPr>
          <w:rFonts w:hint="eastAsia" w:ascii="宋体" w:hAnsi="宋体" w:cs="Helvetica"/>
          <w:b/>
          <w:bCs/>
          <w:kern w:val="0"/>
        </w:rPr>
      </w:pPr>
      <w:r>
        <w:rPr>
          <w:rFonts w:hint="eastAsia" w:ascii="宋体" w:hAnsi="宋体" w:cs="Helvetica"/>
          <w:b/>
          <w:bCs/>
          <w:kern w:val="0"/>
        </w:rPr>
        <w:t>3．浙江省联网监测模块</w:t>
      </w:r>
    </w:p>
    <w:p>
      <w:pPr>
        <w:tabs>
          <w:tab w:val="left" w:pos="0"/>
        </w:tabs>
        <w:ind w:firstLine="480"/>
        <w:rPr>
          <w:rFonts w:hint="eastAsia" w:ascii="宋体" w:hAnsi="宋体" w:cs="Helvetica"/>
          <w:kern w:val="0"/>
        </w:rPr>
      </w:pPr>
      <w:r>
        <w:rPr>
          <w:rFonts w:hint="eastAsia" w:ascii="宋体" w:hAnsi="宋体" w:cs="Helvetica"/>
          <w:kern w:val="0"/>
        </w:rPr>
        <w:t>日常运维包括对参保单位信息表（JY01）、参保人员信息表（JY02）、转移人员信息表（JY03）、劳动者基本情况表（DY11）、就业创业证管理信息表（DY12）、就业登记信息表（DY13）等多张表格数据进行清洗校验、数据上报、数据归档、数据质量分析和问题解答及处理回复工作。</w:t>
      </w:r>
    </w:p>
    <w:p>
      <w:pPr>
        <w:tabs>
          <w:tab w:val="left" w:pos="0"/>
        </w:tabs>
        <w:rPr>
          <w:rFonts w:hint="eastAsia" w:ascii="宋体" w:hAnsi="宋体" w:cs="Helvetica"/>
          <w:b/>
          <w:bCs/>
          <w:kern w:val="0"/>
        </w:rPr>
      </w:pPr>
      <w:r>
        <w:rPr>
          <w:rFonts w:hint="eastAsia" w:ascii="宋体" w:hAnsi="宋体" w:cs="Helvetica"/>
          <w:b/>
          <w:bCs/>
          <w:kern w:val="0"/>
        </w:rPr>
        <w:t>4．浙江省公共就业服务监测模块</w:t>
      </w:r>
    </w:p>
    <w:p>
      <w:pPr>
        <w:tabs>
          <w:tab w:val="left" w:pos="0"/>
        </w:tabs>
        <w:ind w:firstLine="480"/>
        <w:rPr>
          <w:rFonts w:hint="eastAsia" w:ascii="宋体" w:hAnsi="宋体" w:cs="Helvetica"/>
          <w:kern w:val="0"/>
        </w:rPr>
      </w:pPr>
      <w:r>
        <w:rPr>
          <w:rFonts w:hint="eastAsia" w:ascii="宋体" w:hAnsi="宋体" w:cs="Helvetica"/>
          <w:kern w:val="0"/>
        </w:rPr>
        <w:t>日常运维包括日常巡检、接口故障排查、联调测试、接口变动调整等工作。</w:t>
      </w:r>
    </w:p>
    <w:p>
      <w:pPr>
        <w:tabs>
          <w:tab w:val="left" w:pos="0"/>
        </w:tabs>
        <w:rPr>
          <w:rFonts w:hint="eastAsia" w:ascii="宋体" w:hAnsi="宋体" w:cs="Helvetica"/>
          <w:b/>
          <w:bCs/>
          <w:kern w:val="0"/>
        </w:rPr>
      </w:pPr>
      <w:r>
        <w:rPr>
          <w:rFonts w:hint="eastAsia" w:ascii="宋体" w:hAnsi="宋体" w:cs="Helvetica"/>
          <w:b/>
          <w:bCs/>
          <w:kern w:val="0"/>
        </w:rPr>
        <w:t>5．就业资金内控功能模块</w:t>
      </w:r>
    </w:p>
    <w:p>
      <w:pPr>
        <w:tabs>
          <w:tab w:val="left" w:pos="0"/>
        </w:tabs>
        <w:ind w:firstLine="480"/>
        <w:rPr>
          <w:rFonts w:hint="eastAsia" w:ascii="宋体" w:hAnsi="宋体" w:cs="Helvetica"/>
          <w:kern w:val="0"/>
        </w:rPr>
      </w:pPr>
      <w:r>
        <w:rPr>
          <w:rFonts w:hint="eastAsia" w:ascii="宋体" w:hAnsi="宋体" w:cs="Helvetica"/>
          <w:kern w:val="0"/>
        </w:rPr>
        <w:t>主要对失业保险相关事项涉及到的补贴资金发放业务流程涉及到的功能模块提供日常运维，包括参数维护、数据处理、程序修复、问题解答及回复处理等工作。</w:t>
      </w:r>
    </w:p>
    <w:p>
      <w:pPr>
        <w:tabs>
          <w:tab w:val="left" w:pos="0"/>
        </w:tabs>
        <w:rPr>
          <w:rFonts w:hint="eastAsia" w:ascii="宋体" w:hAnsi="宋体" w:cs="Helvetica"/>
          <w:b/>
          <w:bCs/>
          <w:kern w:val="0"/>
        </w:rPr>
      </w:pPr>
      <w:r>
        <w:rPr>
          <w:rFonts w:hint="eastAsia" w:ascii="宋体" w:hAnsi="宋体" w:cs="Helvetica"/>
          <w:b/>
          <w:bCs/>
          <w:kern w:val="0"/>
        </w:rPr>
        <w:t>6．信息安全保障工作</w:t>
      </w:r>
    </w:p>
    <w:p>
      <w:pPr>
        <w:tabs>
          <w:tab w:val="left" w:pos="0"/>
        </w:tabs>
        <w:ind w:firstLine="480"/>
        <w:rPr>
          <w:rFonts w:hint="eastAsia" w:ascii="宋体" w:hAnsi="宋体" w:cs="Helvetica"/>
          <w:kern w:val="0"/>
        </w:rPr>
      </w:pPr>
      <w:r>
        <w:rPr>
          <w:rFonts w:hint="eastAsia" w:ascii="宋体" w:hAnsi="宋体" w:cs="Helvetica"/>
          <w:kern w:val="0"/>
        </w:rPr>
        <w:t>主要工作包括中间件版本升级或系统应用到的相关组件版本升级（如tomcat版本升级、jquery升级等）、服务器相关组件升级（如polkit升级等）以及应用程序漏洞修复等工作。</w:t>
      </w:r>
    </w:p>
    <w:p>
      <w:pPr>
        <w:pStyle w:val="4"/>
      </w:pPr>
      <w:r>
        <w:rPr>
          <w:rFonts w:hint="eastAsia"/>
        </w:rPr>
        <w:t>四、维护服务要求</w:t>
      </w:r>
    </w:p>
    <w:p>
      <w:pPr>
        <w:tabs>
          <w:tab w:val="left" w:pos="0"/>
        </w:tabs>
        <w:rPr>
          <w:rFonts w:hint="eastAsia" w:ascii="宋体" w:hAnsi="宋体" w:cs="Helvetica"/>
          <w:b/>
          <w:bCs/>
          <w:kern w:val="0"/>
        </w:rPr>
      </w:pPr>
      <w:r>
        <w:rPr>
          <w:rFonts w:hint="eastAsia" w:ascii="宋体" w:hAnsi="宋体" w:cs="Helvetica"/>
          <w:b/>
          <w:bCs/>
          <w:kern w:val="0"/>
        </w:rPr>
        <w:t>1.常驻现场服务</w:t>
      </w:r>
    </w:p>
    <w:p>
      <w:pPr>
        <w:tabs>
          <w:tab w:val="left" w:pos="0"/>
        </w:tabs>
        <w:ind w:firstLine="480"/>
        <w:rPr>
          <w:rFonts w:hint="eastAsia" w:ascii="宋体" w:hAnsi="宋体" w:cs="Helvetica"/>
          <w:kern w:val="0"/>
        </w:rPr>
      </w:pPr>
      <w:r>
        <w:rPr>
          <w:rFonts w:ascii="宋体" w:hAnsi="宋体" w:cs="Helvetica"/>
          <w:kern w:val="0"/>
        </w:rPr>
        <w:t>本次技术服务主要采用两种服务方式，一是一线人员常驻现场服务，二是二线人员远程支持及应急现场服务。</w:t>
      </w:r>
    </w:p>
    <w:p>
      <w:pPr>
        <w:tabs>
          <w:tab w:val="left" w:pos="0"/>
        </w:tabs>
        <w:rPr>
          <w:rFonts w:hint="eastAsia" w:ascii="宋体" w:hAnsi="宋体" w:cs="Helvetica"/>
          <w:b/>
          <w:bCs/>
          <w:kern w:val="0"/>
        </w:rPr>
      </w:pPr>
      <w:r>
        <w:rPr>
          <w:rFonts w:hint="eastAsia" w:ascii="宋体" w:hAnsi="宋体" w:cs="Helvetica"/>
          <w:b/>
          <w:bCs/>
          <w:kern w:val="0"/>
        </w:rPr>
        <w:t>1.1</w:t>
      </w:r>
      <w:r>
        <w:rPr>
          <w:rFonts w:ascii="宋体" w:hAnsi="宋体" w:cs="Helvetica"/>
          <w:b/>
          <w:bCs/>
          <w:kern w:val="0"/>
        </w:rPr>
        <w:t>一线人员常驻现场服务</w:t>
      </w:r>
    </w:p>
    <w:p>
      <w:pPr>
        <w:tabs>
          <w:tab w:val="left" w:pos="0"/>
        </w:tabs>
        <w:ind w:firstLine="480"/>
        <w:rPr>
          <w:rFonts w:hint="eastAsia" w:ascii="宋体" w:hAnsi="宋体" w:cs="Helvetica"/>
          <w:kern w:val="0"/>
        </w:rPr>
      </w:pPr>
      <w:r>
        <w:rPr>
          <w:rFonts w:ascii="宋体" w:hAnsi="宋体" w:cs="Helvetica"/>
          <w:kern w:val="0"/>
        </w:rPr>
        <w:t>本次服务为技术人员常驻现场服务，服务期为一年，人数不少于</w:t>
      </w:r>
      <w:r>
        <w:rPr>
          <w:rFonts w:hint="eastAsia" w:ascii="宋体" w:hAnsi="宋体" w:cs="Helvetica"/>
          <w:kern w:val="0"/>
        </w:rPr>
        <w:t>6</w:t>
      </w:r>
      <w:r>
        <w:rPr>
          <w:rFonts w:ascii="宋体" w:hAnsi="宋体" w:cs="Helvetica"/>
          <w:kern w:val="0"/>
        </w:rPr>
        <w:t>人，提供5×8小时的系统日常事务性服务工作和7×24小时的电话服务。应用系统发生故障时，对于关键性问题（影响用户应用系统正常运行的故障），要求4小时内修复。对于一般问题（不影响应用系统正常运行的故障），要求24小时内修复。故障处理完毕三个工作日内，提供“故障报告”给用户。</w:t>
      </w:r>
    </w:p>
    <w:p>
      <w:pPr>
        <w:tabs>
          <w:tab w:val="left" w:pos="0"/>
        </w:tabs>
        <w:rPr>
          <w:rFonts w:hint="eastAsia" w:ascii="宋体" w:hAnsi="宋体" w:cs="Helvetica"/>
          <w:b/>
          <w:bCs/>
          <w:kern w:val="0"/>
        </w:rPr>
      </w:pPr>
      <w:r>
        <w:rPr>
          <w:rFonts w:hint="eastAsia" w:ascii="宋体" w:hAnsi="宋体" w:cs="Helvetica"/>
          <w:b/>
          <w:bCs/>
          <w:kern w:val="0"/>
        </w:rPr>
        <w:t>1.2</w:t>
      </w:r>
      <w:r>
        <w:rPr>
          <w:rFonts w:ascii="宋体" w:hAnsi="宋体" w:cs="Helvetica"/>
          <w:b/>
          <w:bCs/>
          <w:kern w:val="0"/>
        </w:rPr>
        <w:t>二线人员远程支持或应急现场服务</w:t>
      </w:r>
    </w:p>
    <w:p>
      <w:pPr>
        <w:tabs>
          <w:tab w:val="left" w:pos="0"/>
        </w:tabs>
        <w:ind w:firstLine="480"/>
        <w:rPr>
          <w:rFonts w:hint="eastAsia" w:ascii="宋体" w:hAnsi="宋体" w:cs="Helvetica"/>
          <w:kern w:val="0"/>
        </w:rPr>
      </w:pPr>
      <w:r>
        <w:rPr>
          <w:rFonts w:ascii="宋体" w:hAnsi="宋体" w:cs="Helvetica"/>
          <w:kern w:val="0"/>
        </w:rPr>
        <w:t>二线人员负责系统性能优化、应急事件处理、疑难故障排查、高级咨询等工作，主要通过远程支持或在应急情况下提供现场服务。</w:t>
      </w:r>
    </w:p>
    <w:p>
      <w:pPr>
        <w:tabs>
          <w:tab w:val="left" w:pos="0"/>
        </w:tabs>
        <w:rPr>
          <w:rFonts w:hint="eastAsia" w:ascii="宋体" w:hAnsi="宋体" w:cs="Helvetica"/>
          <w:b/>
          <w:bCs/>
          <w:kern w:val="0"/>
        </w:rPr>
      </w:pPr>
      <w:r>
        <w:rPr>
          <w:rFonts w:hint="eastAsia" w:ascii="宋体" w:hAnsi="宋体" w:cs="Helvetica"/>
          <w:b/>
          <w:bCs/>
          <w:kern w:val="0"/>
        </w:rPr>
        <w:t>2.维护服务期限</w:t>
      </w:r>
    </w:p>
    <w:p>
      <w:pPr>
        <w:tabs>
          <w:tab w:val="left" w:pos="0"/>
        </w:tabs>
        <w:ind w:firstLine="480"/>
        <w:rPr>
          <w:rFonts w:hint="eastAsia" w:ascii="宋体" w:hAnsi="宋体" w:cs="Helvetica"/>
          <w:kern w:val="0"/>
        </w:rPr>
      </w:pPr>
      <w:r>
        <w:rPr>
          <w:rFonts w:hint="eastAsia" w:ascii="宋体" w:hAnsi="宋体" w:cs="Helvetica"/>
          <w:kern w:val="0"/>
        </w:rPr>
        <w:t>本次维护服务的服务期为一年。</w:t>
      </w:r>
    </w:p>
    <w:p>
      <w:pPr>
        <w:tabs>
          <w:tab w:val="left" w:pos="0"/>
        </w:tabs>
        <w:rPr>
          <w:rFonts w:hint="eastAsia" w:ascii="宋体" w:hAnsi="宋体" w:cs="Helvetica"/>
          <w:b/>
          <w:bCs/>
          <w:kern w:val="0"/>
        </w:rPr>
      </w:pPr>
      <w:r>
        <w:rPr>
          <w:rFonts w:hint="eastAsia" w:ascii="宋体" w:hAnsi="宋体" w:cs="Helvetica"/>
          <w:b/>
          <w:bCs/>
          <w:kern w:val="0"/>
        </w:rPr>
        <w:t>3．人员管理要求</w:t>
      </w:r>
    </w:p>
    <w:p>
      <w:pPr>
        <w:tabs>
          <w:tab w:val="left" w:pos="0"/>
        </w:tabs>
        <w:ind w:firstLine="480"/>
        <w:rPr>
          <w:rFonts w:hint="eastAsia" w:ascii="宋体" w:hAnsi="宋体" w:cs="Helvetica"/>
          <w:kern w:val="0"/>
        </w:rPr>
      </w:pPr>
      <w:r>
        <w:rPr>
          <w:rFonts w:hint="eastAsia" w:ascii="宋体" w:hAnsi="宋体" w:cs="Helvetica"/>
          <w:kern w:val="0"/>
        </w:rPr>
        <w:t>驻现场服务人员必须服从或遵守省人力社保信息中心的相关管理要求，具体包括如下几方面：</w:t>
      </w:r>
    </w:p>
    <w:p>
      <w:pPr>
        <w:tabs>
          <w:tab w:val="left" w:pos="0"/>
        </w:tabs>
        <w:ind w:firstLine="480"/>
        <w:rPr>
          <w:rFonts w:hint="eastAsia" w:ascii="宋体" w:hAnsi="宋体" w:cs="Helvetica"/>
          <w:kern w:val="0"/>
        </w:rPr>
      </w:pPr>
      <w:r>
        <w:rPr>
          <w:rFonts w:hint="eastAsia" w:ascii="宋体" w:hAnsi="宋体" w:cs="Helvetica"/>
          <w:kern w:val="0"/>
        </w:rPr>
        <w:t>（1）服务人员必须遵守省人力社保信息中心的考勤管理，不得无故迟到、早退，不得无故缺勤。</w:t>
      </w:r>
    </w:p>
    <w:p>
      <w:pPr>
        <w:tabs>
          <w:tab w:val="left" w:pos="0"/>
        </w:tabs>
        <w:ind w:firstLine="480"/>
        <w:rPr>
          <w:rFonts w:hint="eastAsia" w:ascii="宋体" w:hAnsi="宋体" w:cs="Helvetica"/>
          <w:kern w:val="0"/>
        </w:rPr>
      </w:pPr>
      <w:r>
        <w:rPr>
          <w:rFonts w:hint="eastAsia" w:ascii="宋体" w:hAnsi="宋体" w:cs="Helvetica"/>
          <w:kern w:val="0"/>
        </w:rPr>
        <w:t>（2）服务人员必须服从省人力社保信息中心的日常管理要求，不得参与和维护无关的工作，人员应保持稳定，人员变更须提交人员变更单，得到省人力社保信息中心的书面认可。</w:t>
      </w:r>
    </w:p>
    <w:p>
      <w:pPr>
        <w:tabs>
          <w:tab w:val="left" w:pos="0"/>
        </w:tabs>
        <w:rPr>
          <w:rFonts w:hint="eastAsia" w:ascii="宋体" w:hAnsi="宋体" w:cs="Helvetica"/>
          <w:b/>
          <w:bCs/>
          <w:kern w:val="0"/>
        </w:rPr>
      </w:pPr>
      <w:r>
        <w:rPr>
          <w:rFonts w:hint="eastAsia" w:ascii="宋体" w:hAnsi="宋体" w:cs="Helvetica"/>
          <w:b/>
          <w:bCs/>
          <w:kern w:val="0"/>
        </w:rPr>
        <w:t>4.技术服务质量要求</w:t>
      </w:r>
    </w:p>
    <w:p>
      <w:pPr>
        <w:tabs>
          <w:tab w:val="left" w:pos="0"/>
        </w:tabs>
        <w:ind w:firstLine="480"/>
        <w:rPr>
          <w:rFonts w:hint="eastAsia" w:ascii="宋体" w:hAnsi="宋体" w:cs="Helvetica"/>
          <w:kern w:val="0"/>
        </w:rPr>
      </w:pPr>
      <w:r>
        <w:rPr>
          <w:rFonts w:hint="eastAsia" w:ascii="宋体" w:hAnsi="宋体" w:cs="Helvetica"/>
          <w:kern w:val="0"/>
        </w:rPr>
        <w:t>（1）维护任务处理单按照规范填写，需包括问题原因分析和解决方案说明。</w:t>
      </w:r>
    </w:p>
    <w:p>
      <w:pPr>
        <w:tabs>
          <w:tab w:val="left" w:pos="0"/>
        </w:tabs>
        <w:ind w:firstLine="480"/>
        <w:rPr>
          <w:rFonts w:hint="eastAsia" w:ascii="宋体" w:hAnsi="宋体" w:cs="Helvetica"/>
          <w:kern w:val="0"/>
        </w:rPr>
      </w:pPr>
      <w:r>
        <w:rPr>
          <w:rFonts w:hint="eastAsia" w:ascii="宋体" w:hAnsi="宋体" w:cs="Helvetica"/>
          <w:kern w:val="0"/>
        </w:rPr>
        <w:t>（2）程序修改（升级）或数据库执行脚本需向信息中心报告，获得许可后方可实施。</w:t>
      </w:r>
    </w:p>
    <w:p>
      <w:pPr>
        <w:tabs>
          <w:tab w:val="left" w:pos="0"/>
        </w:tabs>
        <w:ind w:firstLine="480"/>
        <w:rPr>
          <w:rFonts w:hint="eastAsia" w:ascii="宋体" w:hAnsi="宋体" w:cs="Helvetica"/>
          <w:kern w:val="0"/>
        </w:rPr>
      </w:pPr>
      <w:r>
        <w:rPr>
          <w:rFonts w:hint="eastAsia" w:ascii="宋体" w:hAnsi="宋体" w:cs="Helvetica"/>
          <w:kern w:val="0"/>
        </w:rPr>
        <w:t>（3）程序修改时做好相应注释。</w:t>
      </w:r>
    </w:p>
    <w:p>
      <w:pPr>
        <w:tabs>
          <w:tab w:val="left" w:pos="0"/>
        </w:tabs>
        <w:ind w:firstLine="480"/>
        <w:rPr>
          <w:rFonts w:hint="eastAsia" w:ascii="宋体" w:hAnsi="宋体" w:cs="Helvetica"/>
          <w:kern w:val="0"/>
        </w:rPr>
      </w:pPr>
      <w:r>
        <w:rPr>
          <w:rFonts w:hint="eastAsia" w:ascii="宋体" w:hAnsi="宋体" w:cs="Helvetica"/>
          <w:kern w:val="0"/>
        </w:rPr>
        <w:t>（4）软件修改应及时调整需求、设计、操作说明等文档，确保程序与文档的一致性。</w:t>
      </w:r>
      <w:bookmarkEnd w:id="49"/>
      <w:bookmarkEnd w:id="50"/>
    </w:p>
    <w:p>
      <w:pPr>
        <w:pStyle w:val="4"/>
      </w:pPr>
      <w:r>
        <w:rPr>
          <w:rFonts w:hint="eastAsia"/>
        </w:rPr>
        <w:t>五、提交成果和知识产权</w:t>
      </w:r>
    </w:p>
    <w:p>
      <w:pPr>
        <w:tabs>
          <w:tab w:val="left" w:pos="0"/>
        </w:tabs>
        <w:rPr>
          <w:rFonts w:hint="eastAsia" w:ascii="宋体" w:hAnsi="宋体" w:cs="Helvetica"/>
          <w:b/>
          <w:bCs/>
          <w:kern w:val="0"/>
        </w:rPr>
      </w:pPr>
      <w:r>
        <w:rPr>
          <w:rFonts w:hint="eastAsia" w:ascii="宋体" w:hAnsi="宋体" w:cs="Helvetica"/>
          <w:b/>
          <w:bCs/>
          <w:kern w:val="0"/>
        </w:rPr>
        <w:t>（一）提交成果</w:t>
      </w:r>
    </w:p>
    <w:p>
      <w:pPr>
        <w:tabs>
          <w:tab w:val="left" w:pos="0"/>
        </w:tabs>
        <w:ind w:firstLine="480"/>
        <w:rPr>
          <w:rFonts w:hint="eastAsia" w:ascii="宋体" w:hAnsi="宋体" w:cs="Helvetica"/>
          <w:kern w:val="0"/>
        </w:rPr>
      </w:pPr>
      <w:r>
        <w:rPr>
          <w:rFonts w:ascii="宋体" w:hAnsi="宋体" w:cs="Helvetica"/>
          <w:kern w:val="0"/>
        </w:rPr>
        <w:t>在维护服务过程中，应根据实际情况及时更新相关技术文档，确保文档资料的一致性和完整性，并接受用户方的全程监控和审核。日常服务过程中应定期提交《系统维护台账》和《系统维护报告》，服务期满后应提交更新后的业务需求、设计、操作手册、安装手册、程序源代码等技术文档。</w:t>
      </w:r>
    </w:p>
    <w:p>
      <w:pPr>
        <w:tabs>
          <w:tab w:val="left" w:pos="0"/>
        </w:tabs>
        <w:rPr>
          <w:rFonts w:hint="eastAsia" w:ascii="宋体" w:hAnsi="宋体" w:cs="Helvetica"/>
          <w:b/>
          <w:bCs/>
          <w:kern w:val="0"/>
        </w:rPr>
      </w:pPr>
      <w:r>
        <w:rPr>
          <w:rFonts w:hint="eastAsia" w:ascii="宋体" w:hAnsi="宋体" w:cs="Helvetica"/>
          <w:b/>
          <w:bCs/>
          <w:kern w:val="0"/>
        </w:rPr>
        <w:t>（二）知识产权</w:t>
      </w:r>
    </w:p>
    <w:p>
      <w:pPr>
        <w:tabs>
          <w:tab w:val="left" w:pos="0"/>
        </w:tabs>
        <w:ind w:firstLine="480"/>
        <w:rPr>
          <w:rFonts w:hint="eastAsia" w:ascii="宋体" w:hAnsi="宋体" w:cs="Helvetica"/>
          <w:kern w:val="0"/>
        </w:rPr>
      </w:pPr>
      <w:r>
        <w:rPr>
          <w:rFonts w:hint="eastAsia" w:ascii="宋体" w:hAnsi="宋体" w:cs="Helvetica"/>
          <w:kern w:val="0"/>
        </w:rPr>
        <w:t>维护服务过程中所产生的技术成果（包括软件、技术诀窍、秘密信息、技术资料等）的知识产权包括相关权益归浙江省人力资源和社会保障厅所有，未经同意，不得将涉及知识产权的技术秘密透露给第三方。投标商有不可争议的义务确保采购人依据本次采购所获得的知识产权不存在任何瑕疵并且可以不受限制地行使相关权利，包括各项延伸权利。</w:t>
      </w:r>
    </w:p>
    <w:p>
      <w:pPr>
        <w:pStyle w:val="4"/>
      </w:pPr>
      <w:r>
        <w:rPr>
          <w:rFonts w:hint="eastAsia"/>
        </w:rPr>
        <w:t>六、项目驻场考核要求</w:t>
      </w:r>
    </w:p>
    <w:p>
      <w:pPr>
        <w:tabs>
          <w:tab w:val="left" w:pos="0"/>
        </w:tabs>
        <w:ind w:firstLine="480"/>
        <w:rPr>
          <w:rFonts w:hint="eastAsia" w:ascii="宋体" w:hAnsi="宋体" w:cs="Helvetica"/>
          <w:kern w:val="0"/>
        </w:rPr>
      </w:pPr>
      <w:r>
        <w:rPr>
          <w:rFonts w:ascii="宋体" w:hAnsi="宋体" w:cs="Helvetica"/>
          <w:kern w:val="0"/>
        </w:rPr>
        <w:t>中标方在项目运维过程中必须按照省数据局《关于印发对政务信息系统建设运维企业开展网络和数据安全专项检查方案的通知》（浙数局发﹝2021﹞14号）文件精神，严格落实网络和数据安全要求和职责，确保系统的网络和数据安全。造成网络和数据安全事件的，招标方将追责问责。招标方将按照《浙江省人力资源和社会保障信息中心电子政务项目考核管理办法（试行）》（浙人社信息﹝2022﹞4号）文件要求，对项目进行考核，考核成绩作为项目合同尾款支付依据。如项目有驻场人员的必须严格遵循《浙江省人力资源和社会保障信息中心第三方驻场人员管理办法（试行）》（浙人社信息﹝2022﹞3号），招标方将进行相应的考核。</w:t>
      </w:r>
    </w:p>
    <w:p>
      <w:pPr>
        <w:pStyle w:val="4"/>
      </w:pPr>
      <w:r>
        <w:rPr>
          <w:rFonts w:hint="eastAsia"/>
        </w:rPr>
        <w:t>七、商务要求</w:t>
      </w:r>
    </w:p>
    <w:p>
      <w:pPr>
        <w:tabs>
          <w:tab w:val="left" w:pos="0"/>
        </w:tabs>
        <w:rPr>
          <w:rFonts w:hint="eastAsia" w:ascii="宋体" w:hAnsi="宋体" w:cs="Helvetica"/>
          <w:b/>
          <w:bCs/>
          <w:kern w:val="0"/>
        </w:rPr>
      </w:pPr>
      <w:r>
        <w:rPr>
          <w:rFonts w:hint="eastAsia" w:ascii="宋体" w:hAnsi="宋体" w:cs="Helvetica"/>
          <w:b/>
          <w:bCs/>
          <w:kern w:val="0"/>
        </w:rPr>
        <w:t>（一）服务期期限及服务地点</w:t>
      </w:r>
    </w:p>
    <w:p>
      <w:pPr>
        <w:tabs>
          <w:tab w:val="left" w:pos="0"/>
        </w:tabs>
        <w:ind w:firstLine="480"/>
        <w:rPr>
          <w:rFonts w:hint="eastAsia" w:ascii="宋体" w:hAnsi="宋体" w:cs="Helvetica"/>
          <w:kern w:val="0"/>
        </w:rPr>
      </w:pPr>
      <w:bookmarkStart w:id="51" w:name="_Toc472931999"/>
      <w:bookmarkStart w:id="52" w:name="_Toc499111227"/>
      <w:bookmarkStart w:id="53" w:name="_Toc536097813"/>
      <w:r>
        <w:rPr>
          <w:rFonts w:hint="eastAsia" w:ascii="宋体" w:hAnsi="宋体" w:cs="Helvetica"/>
          <w:kern w:val="0"/>
        </w:rPr>
        <w:t>1、服务期限：</w:t>
      </w:r>
      <w:r>
        <w:rPr>
          <w:rFonts w:ascii="宋体" w:hAnsi="宋体" w:cs="Helvetica"/>
          <w:kern w:val="0"/>
        </w:rPr>
        <w:t>一年</w:t>
      </w:r>
      <w:r>
        <w:rPr>
          <w:rFonts w:hint="eastAsia" w:ascii="宋体" w:hAnsi="宋体" w:cs="Helvetica"/>
          <w:kern w:val="0"/>
        </w:rPr>
        <w:t>。</w:t>
      </w:r>
    </w:p>
    <w:p>
      <w:pPr>
        <w:tabs>
          <w:tab w:val="left" w:pos="0"/>
        </w:tabs>
        <w:ind w:firstLine="480"/>
        <w:rPr>
          <w:rFonts w:hint="eastAsia" w:ascii="宋体" w:hAnsi="宋体" w:cs="Helvetica"/>
          <w:kern w:val="0"/>
        </w:rPr>
      </w:pPr>
      <w:r>
        <w:rPr>
          <w:rFonts w:hint="eastAsia" w:ascii="宋体" w:hAnsi="宋体" w:cs="Helvetica"/>
          <w:kern w:val="0"/>
        </w:rPr>
        <w:t>2、地点：用户指定地点。</w:t>
      </w:r>
    </w:p>
    <w:bookmarkEnd w:id="51"/>
    <w:bookmarkEnd w:id="52"/>
    <w:bookmarkEnd w:id="53"/>
    <w:p>
      <w:pPr>
        <w:tabs>
          <w:tab w:val="left" w:pos="0"/>
        </w:tabs>
        <w:rPr>
          <w:rFonts w:hint="eastAsia" w:ascii="宋体" w:hAnsi="宋体" w:cs="Helvetica"/>
          <w:b/>
          <w:bCs/>
          <w:kern w:val="0"/>
        </w:rPr>
      </w:pPr>
      <w:bookmarkStart w:id="54" w:name="_Toc8274"/>
      <w:bookmarkStart w:id="55" w:name="_Toc42693870"/>
      <w:bookmarkStart w:id="56" w:name="_Toc536097814"/>
      <w:bookmarkStart w:id="57" w:name="_Toc499111228"/>
      <w:bookmarkStart w:id="58" w:name="_Toc472932000"/>
      <w:r>
        <w:rPr>
          <w:rFonts w:hint="eastAsia" w:ascii="宋体" w:hAnsi="宋体" w:cs="Helvetica"/>
          <w:b/>
          <w:bCs/>
          <w:kern w:val="0"/>
        </w:rPr>
        <w:t>（二）付款方式</w:t>
      </w:r>
      <w:bookmarkEnd w:id="54"/>
      <w:bookmarkEnd w:id="55"/>
      <w:bookmarkEnd w:id="56"/>
      <w:bookmarkEnd w:id="57"/>
      <w:bookmarkEnd w:id="58"/>
    </w:p>
    <w:p>
      <w:pPr>
        <w:tabs>
          <w:tab w:val="left" w:pos="0"/>
        </w:tabs>
        <w:ind w:firstLine="480"/>
        <w:rPr>
          <w:rFonts w:hint="eastAsia" w:ascii="宋体" w:hAnsi="宋体" w:cs="Helvetica"/>
          <w:kern w:val="0"/>
        </w:rPr>
      </w:pPr>
      <w:r>
        <w:rPr>
          <w:rFonts w:ascii="宋体" w:hAnsi="宋体" w:cs="Helvetica"/>
          <w:kern w:val="0"/>
        </w:rPr>
        <w:t>中标方</w:t>
      </w:r>
      <w:r>
        <w:rPr>
          <w:rFonts w:hint="eastAsia" w:ascii="宋体" w:hAnsi="宋体" w:cs="Helvetica"/>
          <w:kern w:val="0"/>
        </w:rPr>
        <w:t>在合同签订后5个工作日内向采购方支付合同总价1%的履约保证金，项目验收合格后30天内无息退还给</w:t>
      </w:r>
      <w:r>
        <w:rPr>
          <w:rFonts w:ascii="宋体" w:hAnsi="宋体" w:cs="Helvetica"/>
          <w:kern w:val="0"/>
        </w:rPr>
        <w:t>中标方</w:t>
      </w:r>
      <w:r>
        <w:rPr>
          <w:rFonts w:hint="eastAsia" w:ascii="宋体" w:hAnsi="宋体" w:cs="Helvetica"/>
          <w:kern w:val="0"/>
        </w:rPr>
        <w:t>。</w:t>
      </w:r>
    </w:p>
    <w:p>
      <w:pPr>
        <w:tabs>
          <w:tab w:val="left" w:pos="0"/>
        </w:tabs>
        <w:ind w:firstLine="480"/>
        <w:rPr>
          <w:rFonts w:hint="eastAsia" w:ascii="宋体" w:hAnsi="宋体" w:cs="Helvetica"/>
          <w:kern w:val="0"/>
        </w:rPr>
      </w:pPr>
      <w:r>
        <w:rPr>
          <w:rFonts w:hint="eastAsia" w:ascii="宋体" w:hAnsi="宋体" w:cs="Helvetica"/>
          <w:kern w:val="0"/>
        </w:rPr>
        <w:t>1.运维服务期开始后7个工作日内，支付合同总金额的50%。</w:t>
      </w:r>
    </w:p>
    <w:p>
      <w:pPr>
        <w:tabs>
          <w:tab w:val="left" w:pos="0"/>
        </w:tabs>
        <w:ind w:firstLine="480"/>
        <w:rPr>
          <w:rFonts w:hint="eastAsia" w:ascii="宋体" w:hAnsi="宋体" w:cs="Helvetica"/>
          <w:kern w:val="0"/>
        </w:rPr>
      </w:pPr>
      <w:r>
        <w:rPr>
          <w:rFonts w:hint="eastAsia" w:ascii="宋体" w:hAnsi="宋体" w:cs="Helvetica"/>
          <w:kern w:val="0"/>
        </w:rPr>
        <w:t>2.运维服务半年到期后7个工作日内，支付合同总金额的30%。</w:t>
      </w:r>
    </w:p>
    <w:p>
      <w:pPr>
        <w:tabs>
          <w:tab w:val="left" w:pos="0"/>
        </w:tabs>
        <w:ind w:firstLine="480"/>
        <w:rPr>
          <w:rFonts w:hint="eastAsia" w:ascii="宋体" w:hAnsi="宋体" w:cs="Helvetica"/>
          <w:kern w:val="0"/>
        </w:rPr>
      </w:pPr>
      <w:r>
        <w:rPr>
          <w:rFonts w:hint="eastAsia" w:ascii="宋体" w:hAnsi="宋体" w:cs="Helvetica"/>
          <w:kern w:val="0"/>
        </w:rPr>
        <w:t>3.服务到期且验收合格后7个工作日内，支付合同总金额的20%。</w:t>
      </w:r>
    </w:p>
    <w:p>
      <w:pPr>
        <w:tabs>
          <w:tab w:val="left" w:pos="0"/>
        </w:tabs>
        <w:rPr>
          <w:rFonts w:hint="eastAsia" w:ascii="宋体" w:hAnsi="宋体" w:cs="Helvetica"/>
          <w:b/>
          <w:bCs/>
          <w:kern w:val="0"/>
        </w:rPr>
      </w:pPr>
      <w:r>
        <w:rPr>
          <w:rFonts w:hint="eastAsia" w:ascii="宋体" w:hAnsi="宋体" w:cs="Helvetica"/>
          <w:b/>
          <w:bCs/>
          <w:kern w:val="0"/>
        </w:rPr>
        <w:t>（三）具体实施响应要求</w:t>
      </w:r>
    </w:p>
    <w:p>
      <w:pPr>
        <w:tabs>
          <w:tab w:val="left" w:pos="0"/>
        </w:tabs>
        <w:ind w:firstLine="480"/>
        <w:rPr>
          <w:rFonts w:hint="eastAsia" w:ascii="宋体" w:hAnsi="宋体" w:cs="Helvetica"/>
          <w:kern w:val="0"/>
        </w:rPr>
      </w:pPr>
      <w:r>
        <w:rPr>
          <w:rFonts w:hint="eastAsia" w:ascii="宋体" w:hAnsi="宋体" w:cs="Helvetica"/>
          <w:kern w:val="0"/>
        </w:rPr>
        <w:t>提供7 X 24小时的电话服务。应用系统发生故障时，对于关键性问题（影响用户应用系统正常运行的故障），要求4小时内修复。对于一般问题（不影响应用系统正常运行的故障），要求24小时内修复。故障处理完毕三个工作日内，提供“故障报告”给用户。</w:t>
      </w:r>
    </w:p>
    <w:p>
      <w:pPr>
        <w:tabs>
          <w:tab w:val="left" w:pos="0"/>
        </w:tabs>
        <w:rPr>
          <w:rFonts w:hint="eastAsia" w:ascii="宋体" w:hAnsi="宋体" w:cs="Helvetica"/>
          <w:b/>
          <w:bCs/>
          <w:kern w:val="0"/>
        </w:rPr>
      </w:pPr>
      <w:r>
        <w:rPr>
          <w:rFonts w:hint="eastAsia" w:ascii="宋体" w:hAnsi="宋体" w:cs="Helvetica"/>
          <w:b/>
          <w:bCs/>
          <w:kern w:val="0"/>
        </w:rPr>
        <w:t>（四）本地化服务要求</w:t>
      </w:r>
    </w:p>
    <w:p>
      <w:pPr>
        <w:tabs>
          <w:tab w:val="left" w:pos="0"/>
        </w:tabs>
        <w:ind w:firstLine="480"/>
        <w:rPr>
          <w:rFonts w:hint="eastAsia" w:ascii="宋体" w:hAnsi="宋体" w:cs="Helvetica"/>
          <w:kern w:val="0"/>
        </w:rPr>
      </w:pPr>
      <w:r>
        <w:rPr>
          <w:rFonts w:ascii="宋体" w:hAnsi="宋体" w:cs="Helvetica"/>
          <w:kern w:val="0"/>
        </w:rPr>
        <w:t>本次技术服务采用一线人员常驻现场服务为主，二线人员远程支持或应急现场服务为辅的方式，其中一线人员常驻现场服务人数应不少于6人，成员应包括系统开发骨干、运维工程师。</w:t>
      </w:r>
    </w:p>
    <w:p>
      <w:pPr>
        <w:tabs>
          <w:tab w:val="left" w:pos="0"/>
        </w:tabs>
        <w:rPr>
          <w:rFonts w:hint="eastAsia" w:ascii="宋体" w:hAnsi="宋体" w:cs="Helvetica"/>
          <w:b/>
          <w:bCs/>
          <w:kern w:val="0"/>
        </w:rPr>
      </w:pPr>
      <w:r>
        <w:rPr>
          <w:rFonts w:hint="eastAsia" w:ascii="宋体" w:hAnsi="宋体" w:cs="Helvetica"/>
          <w:b/>
          <w:bCs/>
          <w:kern w:val="0"/>
        </w:rPr>
        <w:t>（五）验收标准</w:t>
      </w:r>
    </w:p>
    <w:p>
      <w:pPr>
        <w:tabs>
          <w:tab w:val="left" w:pos="0"/>
        </w:tabs>
        <w:ind w:firstLine="480"/>
        <w:rPr>
          <w:rFonts w:hint="eastAsia" w:ascii="宋体" w:hAnsi="宋体" w:cs="Helvetica"/>
          <w:kern w:val="0"/>
        </w:rPr>
      </w:pPr>
      <w:r>
        <w:rPr>
          <w:rFonts w:hint="eastAsia" w:ascii="宋体" w:hAnsi="宋体" w:cs="Helvetica"/>
          <w:kern w:val="0"/>
        </w:rPr>
        <w:t>1、验收由采购人负责实施；</w:t>
      </w:r>
    </w:p>
    <w:p>
      <w:pPr>
        <w:tabs>
          <w:tab w:val="left" w:pos="0"/>
        </w:tabs>
        <w:ind w:firstLine="480"/>
        <w:rPr>
          <w:rFonts w:hint="eastAsia" w:ascii="宋体" w:hAnsi="宋体" w:cs="Helvetica"/>
          <w:kern w:val="0"/>
        </w:rPr>
      </w:pPr>
      <w:r>
        <w:rPr>
          <w:rFonts w:hint="eastAsia" w:ascii="宋体" w:hAnsi="宋体" w:cs="Helvetica"/>
          <w:kern w:val="0"/>
        </w:rPr>
        <w:t>2、验收依据:合同、招标文件、投标文件；</w:t>
      </w:r>
    </w:p>
    <w:p>
      <w:pPr>
        <w:tabs>
          <w:tab w:val="left" w:pos="0"/>
        </w:tabs>
        <w:ind w:firstLine="480"/>
        <w:rPr>
          <w:rFonts w:hint="eastAsia" w:ascii="宋体" w:hAnsi="宋体" w:cs="Helvetica"/>
          <w:kern w:val="0"/>
        </w:rPr>
      </w:pPr>
      <w:r>
        <w:rPr>
          <w:rFonts w:hint="eastAsia" w:ascii="宋体" w:hAnsi="宋体" w:cs="Helvetica"/>
          <w:kern w:val="0"/>
        </w:rPr>
        <w:t>3、验收合格的条件:中标单位所有相关的文件及资料均已提交并得到接受。</w:t>
      </w:r>
    </w:p>
    <w:p>
      <w:pPr>
        <w:tabs>
          <w:tab w:val="left" w:pos="0"/>
        </w:tabs>
        <w:ind w:firstLine="480"/>
      </w:pPr>
      <w:r>
        <w:rPr>
          <w:rFonts w:hint="eastAsia" w:ascii="宋体" w:hAnsi="宋体" w:cs="Helvetica"/>
          <w:kern w:val="0"/>
        </w:rPr>
        <w:t>4、验收合格的项目，采购人将根据合同的约定及时向中标单位支付合同款项。验收不合格的项目，采购人有权拒收或要求中标单位重做。因此导致采购人支出的费用和损失，采购人有权要求中标单位赔偿。中标单位拒绝重做或拒不赔偿的，采购人有权解除合同。</w:t>
      </w:r>
    </w:p>
    <w:p>
      <w:pPr>
        <w:pStyle w:val="60"/>
        <w:ind w:firstLine="480"/>
        <w:sectPr>
          <w:pgSz w:w="11905" w:h="16838"/>
          <w:pgMar w:top="1440" w:right="1797" w:bottom="1440" w:left="1797" w:header="851" w:footer="992" w:gutter="0"/>
          <w:cols w:space="0" w:num="1"/>
          <w:titlePg/>
        </w:sectPr>
      </w:pPr>
    </w:p>
    <w:p>
      <w:pPr>
        <w:tabs>
          <w:tab w:val="left" w:pos="0"/>
        </w:tabs>
        <w:ind w:firstLine="480"/>
        <w:rPr>
          <w:rFonts w:hint="eastAsia" w:ascii="宋体" w:hAnsi="宋体" w:cs="宋体"/>
        </w:rPr>
      </w:pPr>
    </w:p>
    <w:p>
      <w:pPr>
        <w:pStyle w:val="3"/>
        <w:rPr>
          <w:rFonts w:hint="eastAsia" w:ascii="宋体" w:hAnsi="宋体" w:cs="宋体"/>
          <w:szCs w:val="36"/>
        </w:rPr>
      </w:pPr>
      <w:bookmarkStart w:id="59" w:name="_Toc13039"/>
      <w:bookmarkStart w:id="60" w:name="_Toc14870"/>
      <w:bookmarkStart w:id="61" w:name="_Toc16701"/>
      <w:r>
        <w:rPr>
          <w:rFonts w:hint="eastAsia" w:ascii="宋体" w:hAnsi="宋体" w:cs="宋体"/>
          <w:szCs w:val="36"/>
        </w:rPr>
        <w:t xml:space="preserve">第四部分 </w:t>
      </w:r>
      <w:bookmarkStart w:id="62" w:name="_Toc184312133"/>
      <w:bookmarkEnd w:id="62"/>
      <w:bookmarkStart w:id="63" w:name="_Toc184310332"/>
      <w:bookmarkEnd w:id="63"/>
      <w:bookmarkStart w:id="64" w:name="_Toc184313304"/>
      <w:bookmarkEnd w:id="64"/>
      <w:bookmarkStart w:id="65" w:name="_Toc184312098"/>
      <w:bookmarkEnd w:id="65"/>
      <w:bookmarkStart w:id="66" w:name="_Toc184312128"/>
      <w:bookmarkEnd w:id="66"/>
      <w:bookmarkStart w:id="67" w:name="_Toc184314448"/>
      <w:bookmarkEnd w:id="67"/>
      <w:bookmarkStart w:id="68" w:name="_Toc184314418"/>
      <w:bookmarkEnd w:id="68"/>
      <w:bookmarkStart w:id="69" w:name="_Toc184312138"/>
      <w:bookmarkEnd w:id="69"/>
      <w:bookmarkStart w:id="70" w:name="_Toc184314415"/>
      <w:bookmarkEnd w:id="70"/>
      <w:bookmarkStart w:id="71" w:name="_Toc184308093"/>
      <w:bookmarkEnd w:id="71"/>
      <w:bookmarkStart w:id="72" w:name="_Toc184308063"/>
      <w:bookmarkEnd w:id="72"/>
      <w:bookmarkStart w:id="73" w:name="_Toc184313281"/>
      <w:bookmarkEnd w:id="73"/>
      <w:bookmarkStart w:id="74" w:name="_Toc184312101"/>
      <w:bookmarkEnd w:id="74"/>
      <w:bookmarkStart w:id="75" w:name="_Toc184310274"/>
      <w:bookmarkEnd w:id="75"/>
      <w:bookmarkStart w:id="76" w:name="_Toc184312123"/>
      <w:bookmarkEnd w:id="76"/>
      <w:bookmarkStart w:id="77" w:name="_Toc184308043"/>
      <w:bookmarkEnd w:id="77"/>
      <w:bookmarkStart w:id="78" w:name="_Toc184313299"/>
      <w:bookmarkEnd w:id="78"/>
      <w:bookmarkStart w:id="79" w:name="_Toc184308075"/>
      <w:bookmarkEnd w:id="79"/>
      <w:bookmarkStart w:id="80" w:name="_Toc184310314"/>
      <w:bookmarkEnd w:id="80"/>
      <w:bookmarkStart w:id="81" w:name="_Toc184313301"/>
      <w:bookmarkEnd w:id="81"/>
      <w:bookmarkStart w:id="82" w:name="_Toc184308079"/>
      <w:bookmarkEnd w:id="82"/>
      <w:bookmarkStart w:id="83" w:name="_Toc184313266"/>
      <w:bookmarkEnd w:id="83"/>
      <w:bookmarkStart w:id="84" w:name="_Toc184312132"/>
      <w:bookmarkEnd w:id="84"/>
      <w:bookmarkStart w:id="85" w:name="_Toc184313257"/>
      <w:bookmarkEnd w:id="85"/>
      <w:bookmarkStart w:id="86" w:name="_Toc184308039"/>
      <w:bookmarkEnd w:id="86"/>
      <w:bookmarkStart w:id="87" w:name="_Toc184314435"/>
      <w:bookmarkEnd w:id="87"/>
      <w:bookmarkStart w:id="88" w:name="_Toc184310297"/>
      <w:bookmarkEnd w:id="88"/>
      <w:bookmarkStart w:id="89" w:name="_Toc184314456"/>
      <w:bookmarkEnd w:id="89"/>
      <w:bookmarkStart w:id="90" w:name="_Toc184312102"/>
      <w:bookmarkEnd w:id="90"/>
      <w:bookmarkStart w:id="91" w:name="_Toc184310281"/>
      <w:bookmarkEnd w:id="91"/>
      <w:bookmarkStart w:id="92" w:name="_Toc184310289"/>
      <w:bookmarkEnd w:id="92"/>
      <w:bookmarkStart w:id="93" w:name="_Toc184310320"/>
      <w:bookmarkEnd w:id="93"/>
      <w:bookmarkStart w:id="94" w:name="_Toc184310292"/>
      <w:bookmarkEnd w:id="94"/>
      <w:bookmarkStart w:id="95" w:name="_Toc184310302"/>
      <w:bookmarkEnd w:id="95"/>
      <w:bookmarkStart w:id="96" w:name="_Toc184308087"/>
      <w:bookmarkEnd w:id="96"/>
      <w:bookmarkStart w:id="97" w:name="_Toc184310334"/>
      <w:bookmarkEnd w:id="97"/>
      <w:bookmarkStart w:id="98" w:name="_Toc184313295"/>
      <w:bookmarkEnd w:id="98"/>
      <w:bookmarkStart w:id="99" w:name="_Toc184310304"/>
      <w:bookmarkEnd w:id="99"/>
      <w:bookmarkStart w:id="100" w:name="_Toc184314417"/>
      <w:bookmarkEnd w:id="100"/>
      <w:bookmarkStart w:id="101" w:name="_Toc184312111"/>
      <w:bookmarkEnd w:id="101"/>
      <w:bookmarkStart w:id="102" w:name="_Toc184313280"/>
      <w:bookmarkEnd w:id="102"/>
      <w:bookmarkStart w:id="103" w:name="_Toc184312071"/>
      <w:bookmarkEnd w:id="103"/>
      <w:bookmarkStart w:id="104" w:name="_Toc184308068"/>
      <w:bookmarkEnd w:id="104"/>
      <w:bookmarkStart w:id="105" w:name="_Toc184314422"/>
      <w:bookmarkEnd w:id="105"/>
      <w:bookmarkStart w:id="106" w:name="_Toc184313256"/>
      <w:bookmarkEnd w:id="106"/>
      <w:bookmarkStart w:id="107" w:name="_Toc184312093"/>
      <w:bookmarkEnd w:id="107"/>
      <w:bookmarkStart w:id="108" w:name="_Toc184308066"/>
      <w:bookmarkEnd w:id="108"/>
      <w:bookmarkStart w:id="109" w:name="_Toc184312130"/>
      <w:bookmarkEnd w:id="109"/>
      <w:bookmarkStart w:id="110" w:name="_Toc184314436"/>
      <w:bookmarkEnd w:id="110"/>
      <w:bookmarkStart w:id="111" w:name="_Toc184308078"/>
      <w:bookmarkEnd w:id="111"/>
      <w:bookmarkStart w:id="112" w:name="_Toc184308071"/>
      <w:bookmarkEnd w:id="112"/>
      <w:bookmarkStart w:id="113" w:name="_Toc184310291"/>
      <w:bookmarkEnd w:id="113"/>
      <w:bookmarkStart w:id="114" w:name="_Toc184313296"/>
      <w:bookmarkEnd w:id="114"/>
      <w:bookmarkStart w:id="115" w:name="_Toc184314446"/>
      <w:bookmarkEnd w:id="115"/>
      <w:bookmarkStart w:id="116" w:name="_Toc184312121"/>
      <w:bookmarkEnd w:id="116"/>
      <w:bookmarkStart w:id="117" w:name="_Toc184314440"/>
      <w:bookmarkEnd w:id="117"/>
      <w:bookmarkStart w:id="118" w:name="_Toc184314472"/>
      <w:bookmarkEnd w:id="118"/>
      <w:bookmarkStart w:id="119" w:name="_Toc184313303"/>
      <w:bookmarkEnd w:id="119"/>
      <w:bookmarkStart w:id="120" w:name="_Toc184313268"/>
      <w:bookmarkEnd w:id="120"/>
      <w:bookmarkStart w:id="121" w:name="_Toc184308057"/>
      <w:bookmarkEnd w:id="121"/>
      <w:bookmarkStart w:id="122" w:name="_Toc184308097"/>
      <w:bookmarkEnd w:id="122"/>
      <w:bookmarkStart w:id="123" w:name="_Toc184314458"/>
      <w:bookmarkEnd w:id="123"/>
      <w:bookmarkStart w:id="124" w:name="_Toc184310338"/>
      <w:bookmarkEnd w:id="124"/>
      <w:bookmarkStart w:id="125" w:name="_Toc184314452"/>
      <w:bookmarkEnd w:id="125"/>
      <w:bookmarkStart w:id="126" w:name="_Toc184310305"/>
      <w:bookmarkEnd w:id="126"/>
      <w:bookmarkStart w:id="127" w:name="_Toc184314425"/>
      <w:bookmarkEnd w:id="127"/>
      <w:bookmarkStart w:id="128" w:name="_Toc184312122"/>
      <w:bookmarkEnd w:id="128"/>
      <w:bookmarkStart w:id="129" w:name="_Toc184310273"/>
      <w:bookmarkEnd w:id="129"/>
      <w:bookmarkStart w:id="130" w:name="_Toc184312083"/>
      <w:bookmarkEnd w:id="130"/>
      <w:bookmarkStart w:id="131" w:name="_Toc184312068"/>
      <w:bookmarkEnd w:id="131"/>
      <w:bookmarkStart w:id="132" w:name="_Toc184308038"/>
      <w:bookmarkEnd w:id="132"/>
      <w:bookmarkStart w:id="133" w:name="_Toc184308103"/>
      <w:bookmarkEnd w:id="133"/>
      <w:bookmarkStart w:id="134" w:name="_Toc184312081"/>
      <w:bookmarkEnd w:id="134"/>
      <w:bookmarkStart w:id="135" w:name="_Toc184314427"/>
      <w:bookmarkEnd w:id="135"/>
      <w:bookmarkStart w:id="136" w:name="_Toc184313297"/>
      <w:bookmarkEnd w:id="136"/>
      <w:bookmarkStart w:id="137" w:name="_Toc184313290"/>
      <w:bookmarkEnd w:id="137"/>
      <w:bookmarkStart w:id="138" w:name="_Toc184312129"/>
      <w:bookmarkEnd w:id="138"/>
      <w:bookmarkStart w:id="139" w:name="_Toc184313263"/>
      <w:bookmarkEnd w:id="139"/>
      <w:bookmarkStart w:id="140" w:name="_Toc184313270"/>
      <w:bookmarkEnd w:id="140"/>
      <w:bookmarkStart w:id="141" w:name="_Toc184308042"/>
      <w:bookmarkEnd w:id="141"/>
      <w:bookmarkStart w:id="142" w:name="_Toc184310294"/>
      <w:bookmarkEnd w:id="142"/>
      <w:bookmarkStart w:id="143" w:name="_Toc184312069"/>
      <w:bookmarkEnd w:id="143"/>
      <w:bookmarkStart w:id="144" w:name="_Toc184314423"/>
      <w:bookmarkEnd w:id="144"/>
      <w:bookmarkStart w:id="145" w:name="_Toc184308052"/>
      <w:bookmarkEnd w:id="145"/>
      <w:bookmarkStart w:id="146" w:name="_Toc184314471"/>
      <w:bookmarkEnd w:id="146"/>
      <w:bookmarkStart w:id="147" w:name="_Toc184310279"/>
      <w:bookmarkEnd w:id="147"/>
      <w:bookmarkStart w:id="148" w:name="_Toc184313251"/>
      <w:bookmarkEnd w:id="148"/>
      <w:bookmarkStart w:id="149" w:name="_Toc184314457"/>
      <w:bookmarkEnd w:id="149"/>
      <w:bookmarkStart w:id="150" w:name="_Toc184308055"/>
      <w:bookmarkEnd w:id="150"/>
      <w:bookmarkStart w:id="151" w:name="_Toc184310318"/>
      <w:bookmarkEnd w:id="151"/>
      <w:bookmarkStart w:id="152" w:name="_Toc184310329"/>
      <w:bookmarkEnd w:id="152"/>
      <w:bookmarkStart w:id="153" w:name="_Toc184310286"/>
      <w:bookmarkEnd w:id="153"/>
      <w:bookmarkStart w:id="154" w:name="_Toc184313302"/>
      <w:bookmarkEnd w:id="154"/>
      <w:bookmarkStart w:id="155" w:name="_Toc184312135"/>
      <w:bookmarkEnd w:id="155"/>
      <w:bookmarkStart w:id="156" w:name="_Toc184310315"/>
      <w:bookmarkEnd w:id="156"/>
      <w:bookmarkStart w:id="157" w:name="_Toc184312108"/>
      <w:bookmarkEnd w:id="157"/>
      <w:bookmarkStart w:id="158" w:name="_Toc184310339"/>
      <w:bookmarkEnd w:id="158"/>
      <w:bookmarkStart w:id="159" w:name="_Toc184308090"/>
      <w:bookmarkEnd w:id="159"/>
      <w:bookmarkStart w:id="160" w:name="_Toc184313277"/>
      <w:bookmarkEnd w:id="160"/>
      <w:bookmarkStart w:id="161" w:name="_Toc184313293"/>
      <w:bookmarkEnd w:id="161"/>
      <w:bookmarkStart w:id="162" w:name="_Toc184308072"/>
      <w:bookmarkEnd w:id="162"/>
      <w:bookmarkStart w:id="163" w:name="_Toc184310335"/>
      <w:bookmarkEnd w:id="163"/>
      <w:bookmarkStart w:id="164" w:name="_Toc184312104"/>
      <w:bookmarkEnd w:id="164"/>
      <w:bookmarkStart w:id="165" w:name="_Toc184313264"/>
      <w:bookmarkEnd w:id="165"/>
      <w:bookmarkStart w:id="166" w:name="_Toc184314431"/>
      <w:bookmarkEnd w:id="166"/>
      <w:bookmarkStart w:id="167" w:name="_Toc184314476"/>
      <w:bookmarkEnd w:id="167"/>
      <w:bookmarkStart w:id="168" w:name="_Toc184308037"/>
      <w:bookmarkEnd w:id="168"/>
      <w:bookmarkStart w:id="169" w:name="_Toc184308074"/>
      <w:bookmarkEnd w:id="169"/>
      <w:bookmarkStart w:id="170" w:name="_Toc184312100"/>
      <w:bookmarkEnd w:id="170"/>
      <w:bookmarkStart w:id="171" w:name="_Toc184314454"/>
      <w:bookmarkEnd w:id="171"/>
      <w:bookmarkStart w:id="172" w:name="_Toc184310324"/>
      <w:bookmarkEnd w:id="172"/>
      <w:bookmarkStart w:id="173" w:name="_Toc184314453"/>
      <w:bookmarkEnd w:id="173"/>
      <w:bookmarkStart w:id="174" w:name="_Toc184310342"/>
      <w:bookmarkEnd w:id="174"/>
      <w:bookmarkStart w:id="175" w:name="_Toc184312084"/>
      <w:bookmarkEnd w:id="175"/>
      <w:bookmarkStart w:id="176" w:name="_Toc184314441"/>
      <w:bookmarkEnd w:id="176"/>
      <w:bookmarkStart w:id="177" w:name="_Toc184314464"/>
      <w:bookmarkEnd w:id="177"/>
      <w:bookmarkStart w:id="178" w:name="_Toc184312089"/>
      <w:bookmarkEnd w:id="178"/>
      <w:bookmarkStart w:id="179" w:name="_Toc184314416"/>
      <w:bookmarkEnd w:id="179"/>
      <w:bookmarkStart w:id="180" w:name="_Toc184313271"/>
      <w:bookmarkEnd w:id="180"/>
      <w:bookmarkStart w:id="181" w:name="_Toc184310278"/>
      <w:bookmarkEnd w:id="181"/>
      <w:bookmarkStart w:id="182" w:name="_Toc184313298"/>
      <w:bookmarkEnd w:id="182"/>
      <w:bookmarkStart w:id="183" w:name="_Toc184310283"/>
      <w:bookmarkEnd w:id="183"/>
      <w:bookmarkStart w:id="184" w:name="_Toc184313249"/>
      <w:bookmarkEnd w:id="184"/>
      <w:bookmarkStart w:id="185" w:name="_Toc184314447"/>
      <w:bookmarkEnd w:id="185"/>
      <w:bookmarkStart w:id="186" w:name="_Toc184314481"/>
      <w:bookmarkEnd w:id="186"/>
      <w:bookmarkStart w:id="187" w:name="_Toc184314442"/>
      <w:bookmarkEnd w:id="187"/>
      <w:bookmarkStart w:id="188" w:name="_Toc184314480"/>
      <w:bookmarkEnd w:id="188"/>
      <w:bookmarkStart w:id="189" w:name="_Toc184312073"/>
      <w:bookmarkEnd w:id="189"/>
      <w:bookmarkStart w:id="190" w:name="_Toc184314411"/>
      <w:bookmarkEnd w:id="190"/>
      <w:bookmarkStart w:id="191" w:name="_Toc184312107"/>
      <w:bookmarkEnd w:id="191"/>
      <w:bookmarkStart w:id="192" w:name="_Toc184314429"/>
      <w:bookmarkEnd w:id="192"/>
      <w:bookmarkStart w:id="193" w:name="_Toc184313245"/>
      <w:bookmarkEnd w:id="193"/>
      <w:bookmarkStart w:id="194" w:name="_Toc184313253"/>
      <w:bookmarkEnd w:id="194"/>
      <w:bookmarkStart w:id="195" w:name="_Toc184310285"/>
      <w:bookmarkEnd w:id="195"/>
      <w:bookmarkStart w:id="196" w:name="_Toc184308050"/>
      <w:bookmarkEnd w:id="196"/>
      <w:bookmarkStart w:id="197" w:name="_Toc184312117"/>
      <w:bookmarkEnd w:id="197"/>
      <w:bookmarkStart w:id="198" w:name="_Toc184313289"/>
      <w:bookmarkEnd w:id="198"/>
      <w:bookmarkStart w:id="199" w:name="_Toc184314412"/>
      <w:bookmarkEnd w:id="199"/>
      <w:bookmarkStart w:id="200" w:name="_Toc184308104"/>
      <w:bookmarkEnd w:id="200"/>
      <w:bookmarkStart w:id="201" w:name="_Toc184313273"/>
      <w:bookmarkEnd w:id="201"/>
      <w:bookmarkStart w:id="202" w:name="_Toc184313241"/>
      <w:bookmarkEnd w:id="202"/>
      <w:bookmarkStart w:id="203" w:name="_Toc184308080"/>
      <w:bookmarkEnd w:id="203"/>
      <w:bookmarkStart w:id="204" w:name="_Toc184313309"/>
      <w:bookmarkEnd w:id="204"/>
      <w:bookmarkStart w:id="205" w:name="_Toc184310298"/>
      <w:bookmarkEnd w:id="205"/>
      <w:bookmarkStart w:id="206" w:name="_Toc184308101"/>
      <w:bookmarkEnd w:id="206"/>
      <w:bookmarkStart w:id="207" w:name="_Toc184310277"/>
      <w:bookmarkEnd w:id="207"/>
      <w:bookmarkStart w:id="208" w:name="_Toc184314466"/>
      <w:bookmarkEnd w:id="208"/>
      <w:bookmarkStart w:id="209" w:name="_Toc184314475"/>
      <w:bookmarkEnd w:id="209"/>
      <w:bookmarkStart w:id="210" w:name="_Toc184314449"/>
      <w:bookmarkEnd w:id="210"/>
      <w:bookmarkStart w:id="211" w:name="_Toc184310322"/>
      <w:bookmarkEnd w:id="211"/>
      <w:bookmarkStart w:id="212" w:name="_Toc184308070"/>
      <w:bookmarkEnd w:id="212"/>
      <w:bookmarkStart w:id="213" w:name="_Toc184313250"/>
      <w:bookmarkEnd w:id="213"/>
      <w:bookmarkStart w:id="214" w:name="_Toc184314428"/>
      <w:bookmarkEnd w:id="214"/>
      <w:bookmarkStart w:id="215" w:name="_Toc184312077"/>
      <w:bookmarkEnd w:id="215"/>
      <w:bookmarkStart w:id="216" w:name="_Toc184312085"/>
      <w:bookmarkEnd w:id="216"/>
      <w:bookmarkStart w:id="217" w:name="_Toc184312119"/>
      <w:bookmarkEnd w:id="217"/>
      <w:bookmarkStart w:id="218" w:name="_Toc184310272"/>
      <w:bookmarkEnd w:id="218"/>
      <w:bookmarkStart w:id="219" w:name="_Toc184314433"/>
      <w:bookmarkEnd w:id="219"/>
      <w:bookmarkStart w:id="220" w:name="_Toc184314459"/>
      <w:bookmarkEnd w:id="220"/>
      <w:bookmarkStart w:id="221" w:name="_Toc184308108"/>
      <w:bookmarkEnd w:id="221"/>
      <w:bookmarkStart w:id="222" w:name="_Toc184314445"/>
      <w:bookmarkEnd w:id="222"/>
      <w:bookmarkStart w:id="223" w:name="_Toc184308048"/>
      <w:bookmarkEnd w:id="223"/>
      <w:bookmarkStart w:id="224" w:name="_Toc184310311"/>
      <w:bookmarkEnd w:id="224"/>
      <w:bookmarkStart w:id="225" w:name="_Toc184314420"/>
      <w:bookmarkEnd w:id="225"/>
      <w:bookmarkStart w:id="226" w:name="_Toc184312126"/>
      <w:bookmarkEnd w:id="226"/>
      <w:bookmarkStart w:id="227" w:name="_Toc184314473"/>
      <w:bookmarkEnd w:id="227"/>
      <w:bookmarkStart w:id="228" w:name="_Toc184312079"/>
      <w:bookmarkEnd w:id="228"/>
      <w:bookmarkStart w:id="229" w:name="_Toc184314469"/>
      <w:bookmarkEnd w:id="229"/>
      <w:bookmarkStart w:id="230" w:name="_Toc184313262"/>
      <w:bookmarkEnd w:id="230"/>
      <w:bookmarkStart w:id="231" w:name="_Toc184310309"/>
      <w:bookmarkEnd w:id="231"/>
      <w:bookmarkStart w:id="232" w:name="_Toc184312109"/>
      <w:bookmarkEnd w:id="232"/>
      <w:bookmarkStart w:id="233" w:name="_Toc184310287"/>
      <w:bookmarkEnd w:id="233"/>
      <w:bookmarkStart w:id="234" w:name="_Toc184312091"/>
      <w:bookmarkEnd w:id="234"/>
      <w:bookmarkStart w:id="235" w:name="_Toc184310330"/>
      <w:bookmarkEnd w:id="235"/>
      <w:bookmarkStart w:id="236" w:name="_Toc184310344"/>
      <w:bookmarkEnd w:id="236"/>
      <w:bookmarkStart w:id="237" w:name="_Toc184314443"/>
      <w:bookmarkEnd w:id="237"/>
      <w:bookmarkStart w:id="238" w:name="_Toc184308058"/>
      <w:bookmarkEnd w:id="238"/>
      <w:bookmarkStart w:id="239" w:name="_Toc184312097"/>
      <w:bookmarkEnd w:id="239"/>
      <w:bookmarkStart w:id="240" w:name="_Toc184312136"/>
      <w:bookmarkEnd w:id="240"/>
      <w:bookmarkStart w:id="241" w:name="_Toc184308083"/>
      <w:bookmarkEnd w:id="241"/>
      <w:bookmarkStart w:id="242" w:name="_Toc184313291"/>
      <w:bookmarkEnd w:id="242"/>
      <w:bookmarkStart w:id="243" w:name="_Toc184310313"/>
      <w:bookmarkEnd w:id="243"/>
      <w:bookmarkStart w:id="244" w:name="_Toc184312116"/>
      <w:bookmarkEnd w:id="244"/>
      <w:bookmarkStart w:id="245" w:name="_Toc184308051"/>
      <w:bookmarkEnd w:id="245"/>
      <w:bookmarkStart w:id="246" w:name="_Toc184312103"/>
      <w:bookmarkEnd w:id="246"/>
      <w:bookmarkStart w:id="247" w:name="_Toc184310296"/>
      <w:bookmarkEnd w:id="247"/>
      <w:bookmarkStart w:id="248" w:name="_Toc184308047"/>
      <w:bookmarkEnd w:id="248"/>
      <w:bookmarkStart w:id="249" w:name="_Toc184312086"/>
      <w:bookmarkEnd w:id="249"/>
      <w:bookmarkStart w:id="250" w:name="_Toc184313285"/>
      <w:bookmarkEnd w:id="250"/>
      <w:bookmarkStart w:id="251" w:name="_Toc184314461"/>
      <w:bookmarkEnd w:id="251"/>
      <w:bookmarkStart w:id="252" w:name="_Toc184310276"/>
      <w:bookmarkEnd w:id="252"/>
      <w:bookmarkStart w:id="253" w:name="_Toc184310327"/>
      <w:bookmarkEnd w:id="253"/>
      <w:bookmarkStart w:id="254" w:name="_Toc184314414"/>
      <w:bookmarkEnd w:id="254"/>
      <w:bookmarkStart w:id="255" w:name="_Toc184314424"/>
      <w:bookmarkEnd w:id="255"/>
      <w:bookmarkStart w:id="256" w:name="_Toc184314455"/>
      <w:bookmarkEnd w:id="256"/>
      <w:bookmarkStart w:id="257" w:name="_Toc184314460"/>
      <w:bookmarkEnd w:id="257"/>
      <w:bookmarkStart w:id="258" w:name="_Toc184308044"/>
      <w:bookmarkEnd w:id="258"/>
      <w:bookmarkStart w:id="259" w:name="_Toc184308065"/>
      <w:bookmarkEnd w:id="259"/>
      <w:bookmarkStart w:id="260" w:name="_Toc184310343"/>
      <w:bookmarkEnd w:id="260"/>
      <w:bookmarkStart w:id="261" w:name="_Toc184310295"/>
      <w:bookmarkEnd w:id="261"/>
      <w:bookmarkStart w:id="262" w:name="_Toc184308059"/>
      <w:bookmarkEnd w:id="262"/>
      <w:bookmarkStart w:id="263" w:name="_Toc184310307"/>
      <w:bookmarkEnd w:id="263"/>
      <w:bookmarkStart w:id="264" w:name="_Toc184312125"/>
      <w:bookmarkEnd w:id="264"/>
      <w:bookmarkStart w:id="265" w:name="_Toc184313288"/>
      <w:bookmarkEnd w:id="265"/>
      <w:bookmarkStart w:id="266" w:name="_Toc184312115"/>
      <w:bookmarkEnd w:id="266"/>
      <w:bookmarkStart w:id="267" w:name="_Toc184308064"/>
      <w:bookmarkEnd w:id="267"/>
      <w:bookmarkStart w:id="268" w:name="_Toc184313307"/>
      <w:bookmarkEnd w:id="268"/>
      <w:bookmarkStart w:id="269" w:name="_Toc184310326"/>
      <w:bookmarkEnd w:id="269"/>
      <w:bookmarkStart w:id="270" w:name="_Toc184313242"/>
      <w:bookmarkEnd w:id="270"/>
      <w:bookmarkStart w:id="271" w:name="_Toc184308098"/>
      <w:bookmarkEnd w:id="271"/>
      <w:bookmarkStart w:id="272" w:name="_Toc184310310"/>
      <w:bookmarkEnd w:id="272"/>
      <w:bookmarkStart w:id="273" w:name="_Toc184313284"/>
      <w:bookmarkEnd w:id="273"/>
      <w:bookmarkStart w:id="274" w:name="_Toc184308049"/>
      <w:bookmarkEnd w:id="274"/>
      <w:bookmarkStart w:id="275" w:name="_Toc184308086"/>
      <w:bookmarkEnd w:id="275"/>
      <w:bookmarkStart w:id="276" w:name="_Toc184313292"/>
      <w:bookmarkEnd w:id="276"/>
      <w:bookmarkStart w:id="277" w:name="_Toc184314439"/>
      <w:bookmarkEnd w:id="277"/>
      <w:bookmarkStart w:id="278" w:name="_Toc184312106"/>
      <w:bookmarkEnd w:id="278"/>
      <w:bookmarkStart w:id="279" w:name="_Toc184313259"/>
      <w:bookmarkEnd w:id="279"/>
      <w:bookmarkStart w:id="280" w:name="_Toc184308081"/>
      <w:bookmarkEnd w:id="280"/>
      <w:bookmarkStart w:id="281" w:name="_Toc184308076"/>
      <w:bookmarkEnd w:id="281"/>
      <w:bookmarkStart w:id="282" w:name="_Toc184308060"/>
      <w:bookmarkEnd w:id="282"/>
      <w:bookmarkStart w:id="283" w:name="_Toc184313300"/>
      <w:bookmarkEnd w:id="283"/>
      <w:bookmarkStart w:id="284" w:name="_Toc184312076"/>
      <w:bookmarkEnd w:id="284"/>
      <w:bookmarkStart w:id="285" w:name="_Toc184308077"/>
      <w:bookmarkEnd w:id="285"/>
      <w:bookmarkStart w:id="286" w:name="_Toc184308084"/>
      <w:bookmarkEnd w:id="286"/>
      <w:bookmarkStart w:id="287" w:name="_Toc184308099"/>
      <w:bookmarkEnd w:id="287"/>
      <w:bookmarkStart w:id="288" w:name="_Toc184314474"/>
      <w:bookmarkEnd w:id="288"/>
      <w:bookmarkStart w:id="289" w:name="_Toc184313276"/>
      <w:bookmarkEnd w:id="289"/>
      <w:bookmarkStart w:id="290" w:name="_Toc184310333"/>
      <w:bookmarkEnd w:id="290"/>
      <w:bookmarkStart w:id="291" w:name="_Toc184308100"/>
      <w:bookmarkEnd w:id="291"/>
      <w:bookmarkStart w:id="292" w:name="_Toc184310280"/>
      <w:bookmarkEnd w:id="292"/>
      <w:bookmarkStart w:id="293" w:name="_Toc184313239"/>
      <w:bookmarkEnd w:id="293"/>
      <w:bookmarkStart w:id="294" w:name="_Toc184310341"/>
      <w:bookmarkEnd w:id="294"/>
      <w:bookmarkStart w:id="295" w:name="_Toc184310282"/>
      <w:bookmarkEnd w:id="295"/>
      <w:bookmarkStart w:id="296" w:name="_Toc184314477"/>
      <w:bookmarkEnd w:id="296"/>
      <w:bookmarkStart w:id="297" w:name="_Toc184308082"/>
      <w:bookmarkEnd w:id="297"/>
      <w:bookmarkStart w:id="298" w:name="_Toc184308085"/>
      <w:bookmarkEnd w:id="298"/>
      <w:bookmarkStart w:id="299" w:name="_Toc184312092"/>
      <w:bookmarkEnd w:id="299"/>
      <w:bookmarkStart w:id="300" w:name="_Toc184313305"/>
      <w:bookmarkEnd w:id="300"/>
      <w:bookmarkStart w:id="301" w:name="_Toc184308046"/>
      <w:bookmarkEnd w:id="301"/>
      <w:bookmarkStart w:id="302" w:name="_Toc184310317"/>
      <w:bookmarkEnd w:id="302"/>
      <w:bookmarkStart w:id="303" w:name="_Toc184308091"/>
      <w:bookmarkEnd w:id="303"/>
      <w:bookmarkStart w:id="304" w:name="_Toc184313260"/>
      <w:bookmarkEnd w:id="304"/>
      <w:bookmarkStart w:id="305" w:name="_Toc184313282"/>
      <w:bookmarkEnd w:id="305"/>
      <w:bookmarkStart w:id="306" w:name="_Toc184314463"/>
      <w:bookmarkEnd w:id="306"/>
      <w:bookmarkStart w:id="307" w:name="_Toc184313244"/>
      <w:bookmarkEnd w:id="307"/>
      <w:bookmarkStart w:id="308" w:name="_Toc184312075"/>
      <w:bookmarkEnd w:id="308"/>
      <w:bookmarkStart w:id="309" w:name="_Toc184312120"/>
      <w:bookmarkEnd w:id="309"/>
      <w:bookmarkStart w:id="310" w:name="_Toc184313272"/>
      <w:bookmarkEnd w:id="310"/>
      <w:bookmarkStart w:id="311" w:name="_Toc184308092"/>
      <w:bookmarkEnd w:id="311"/>
      <w:bookmarkStart w:id="312" w:name="_Toc184310337"/>
      <w:bookmarkEnd w:id="312"/>
      <w:bookmarkStart w:id="313" w:name="_Toc184312137"/>
      <w:bookmarkEnd w:id="313"/>
      <w:bookmarkStart w:id="314" w:name="_Toc184313306"/>
      <w:bookmarkEnd w:id="314"/>
      <w:bookmarkStart w:id="315" w:name="_Toc184312134"/>
      <w:bookmarkEnd w:id="315"/>
      <w:bookmarkStart w:id="316" w:name="_Toc184313275"/>
      <w:bookmarkEnd w:id="316"/>
      <w:bookmarkStart w:id="317" w:name="_Toc184314444"/>
      <w:bookmarkEnd w:id="317"/>
      <w:bookmarkStart w:id="318" w:name="_Toc184308094"/>
      <w:bookmarkEnd w:id="318"/>
      <w:bookmarkStart w:id="319" w:name="_Toc184308107"/>
      <w:bookmarkEnd w:id="319"/>
      <w:bookmarkStart w:id="320" w:name="_Toc184308073"/>
      <w:bookmarkEnd w:id="320"/>
      <w:bookmarkStart w:id="321" w:name="_Toc184314437"/>
      <w:bookmarkEnd w:id="321"/>
      <w:bookmarkStart w:id="322" w:name="_Toc184314479"/>
      <w:bookmarkEnd w:id="322"/>
      <w:bookmarkStart w:id="323" w:name="_Toc184313278"/>
      <w:bookmarkEnd w:id="323"/>
      <w:bookmarkStart w:id="324" w:name="_Toc184310301"/>
      <w:bookmarkEnd w:id="324"/>
      <w:bookmarkStart w:id="325" w:name="_Toc184314430"/>
      <w:bookmarkEnd w:id="325"/>
      <w:bookmarkStart w:id="326" w:name="_Toc184313286"/>
      <w:bookmarkEnd w:id="326"/>
      <w:bookmarkStart w:id="327" w:name="_Toc184310336"/>
      <w:bookmarkEnd w:id="327"/>
      <w:bookmarkStart w:id="328" w:name="_Toc184308067"/>
      <w:bookmarkEnd w:id="328"/>
      <w:bookmarkStart w:id="329" w:name="_Toc184312127"/>
      <w:bookmarkEnd w:id="329"/>
      <w:bookmarkStart w:id="330" w:name="_Toc184312124"/>
      <w:bookmarkEnd w:id="330"/>
      <w:bookmarkStart w:id="331" w:name="_Toc184312139"/>
      <w:bookmarkEnd w:id="331"/>
      <w:bookmarkStart w:id="332" w:name="_Toc184314467"/>
      <w:bookmarkEnd w:id="332"/>
      <w:bookmarkStart w:id="333" w:name="_Toc184312096"/>
      <w:bookmarkEnd w:id="333"/>
      <w:bookmarkStart w:id="334" w:name="_Toc184313274"/>
      <w:bookmarkEnd w:id="334"/>
      <w:bookmarkStart w:id="335" w:name="_Toc184314421"/>
      <w:bookmarkEnd w:id="335"/>
      <w:bookmarkStart w:id="336" w:name="_Toc184308040"/>
      <w:bookmarkEnd w:id="336"/>
      <w:bookmarkStart w:id="337" w:name="_Toc184314450"/>
      <w:bookmarkEnd w:id="337"/>
      <w:bookmarkStart w:id="338" w:name="_Toc184312087"/>
      <w:bookmarkEnd w:id="338"/>
      <w:bookmarkStart w:id="339" w:name="_Toc184310321"/>
      <w:bookmarkEnd w:id="339"/>
      <w:bookmarkStart w:id="340" w:name="_Toc184310331"/>
      <w:bookmarkEnd w:id="340"/>
      <w:bookmarkStart w:id="341" w:name="_Toc184313261"/>
      <w:bookmarkEnd w:id="341"/>
      <w:bookmarkStart w:id="342" w:name="_Toc184308056"/>
      <w:bookmarkEnd w:id="342"/>
      <w:bookmarkStart w:id="343" w:name="_Toc184313238"/>
      <w:bookmarkEnd w:id="343"/>
      <w:bookmarkStart w:id="344" w:name="_Toc184314451"/>
      <w:bookmarkEnd w:id="344"/>
      <w:bookmarkStart w:id="345" w:name="_Toc184310323"/>
      <w:bookmarkEnd w:id="345"/>
      <w:bookmarkStart w:id="346" w:name="_Toc184310288"/>
      <w:bookmarkEnd w:id="346"/>
      <w:bookmarkStart w:id="347" w:name="_Toc184310303"/>
      <w:bookmarkEnd w:id="347"/>
      <w:bookmarkStart w:id="348" w:name="_Toc184314470"/>
      <w:bookmarkEnd w:id="348"/>
      <w:bookmarkStart w:id="349" w:name="_Toc184310328"/>
      <w:bookmarkEnd w:id="349"/>
      <w:bookmarkStart w:id="350" w:name="_Toc184313252"/>
      <w:bookmarkEnd w:id="350"/>
      <w:bookmarkStart w:id="351" w:name="_Toc184314434"/>
      <w:bookmarkEnd w:id="351"/>
      <w:bookmarkStart w:id="352" w:name="_Toc184314462"/>
      <w:bookmarkEnd w:id="352"/>
      <w:bookmarkStart w:id="353" w:name="_Toc184314432"/>
      <w:bookmarkEnd w:id="353"/>
      <w:bookmarkStart w:id="354" w:name="_Toc184314465"/>
      <w:bookmarkEnd w:id="354"/>
      <w:bookmarkStart w:id="355" w:name="_Toc184312110"/>
      <w:bookmarkEnd w:id="355"/>
      <w:bookmarkStart w:id="356" w:name="_Toc184310306"/>
      <w:bookmarkEnd w:id="356"/>
      <w:bookmarkStart w:id="357" w:name="_Toc184308053"/>
      <w:bookmarkEnd w:id="357"/>
      <w:bookmarkStart w:id="358" w:name="_Toc184314410"/>
      <w:bookmarkEnd w:id="358"/>
      <w:bookmarkStart w:id="359" w:name="_Toc184312113"/>
      <w:bookmarkEnd w:id="359"/>
      <w:bookmarkStart w:id="360" w:name="_Toc184310275"/>
      <w:bookmarkEnd w:id="360"/>
      <w:bookmarkStart w:id="361" w:name="_Toc184312088"/>
      <w:bookmarkEnd w:id="361"/>
      <w:bookmarkStart w:id="362" w:name="_Toc184313287"/>
      <w:bookmarkEnd w:id="362"/>
      <w:bookmarkStart w:id="363" w:name="_Toc184308095"/>
      <w:bookmarkEnd w:id="363"/>
      <w:bookmarkStart w:id="364" w:name="_Toc184312118"/>
      <w:bookmarkEnd w:id="364"/>
      <w:bookmarkStart w:id="365" w:name="_Toc184312070"/>
      <w:bookmarkEnd w:id="365"/>
      <w:bookmarkStart w:id="366" w:name="_Toc184308105"/>
      <w:bookmarkEnd w:id="366"/>
      <w:bookmarkStart w:id="367" w:name="_Toc184312080"/>
      <w:bookmarkEnd w:id="367"/>
      <w:bookmarkStart w:id="368" w:name="_Toc184312078"/>
      <w:bookmarkEnd w:id="368"/>
      <w:bookmarkStart w:id="369" w:name="_Toc184310316"/>
      <w:bookmarkEnd w:id="369"/>
      <w:bookmarkStart w:id="370" w:name="_Toc184310319"/>
      <w:bookmarkEnd w:id="370"/>
      <w:bookmarkStart w:id="371" w:name="_Toc184314419"/>
      <w:bookmarkEnd w:id="371"/>
      <w:bookmarkStart w:id="372" w:name="_Toc184312072"/>
      <w:bookmarkEnd w:id="372"/>
      <w:bookmarkStart w:id="373" w:name="_Toc184310325"/>
      <w:bookmarkEnd w:id="373"/>
      <w:bookmarkStart w:id="374" w:name="_Toc184312099"/>
      <w:bookmarkEnd w:id="374"/>
      <w:bookmarkStart w:id="375" w:name="_Toc184308088"/>
      <w:bookmarkEnd w:id="375"/>
      <w:bookmarkStart w:id="376" w:name="_Toc184312131"/>
      <w:bookmarkEnd w:id="376"/>
      <w:bookmarkStart w:id="377" w:name="_Toc184313279"/>
      <w:bookmarkEnd w:id="377"/>
      <w:bookmarkStart w:id="378" w:name="_Toc184312105"/>
      <w:bookmarkEnd w:id="378"/>
      <w:bookmarkStart w:id="379" w:name="_Toc184314468"/>
      <w:bookmarkEnd w:id="379"/>
      <w:bookmarkStart w:id="380" w:name="_Toc184308041"/>
      <w:bookmarkEnd w:id="380"/>
      <w:bookmarkStart w:id="381" w:name="_Toc184314482"/>
      <w:bookmarkEnd w:id="381"/>
      <w:bookmarkStart w:id="382" w:name="_Toc184314426"/>
      <w:bookmarkEnd w:id="382"/>
      <w:bookmarkStart w:id="383" w:name="_Toc184313265"/>
      <w:bookmarkEnd w:id="383"/>
      <w:bookmarkStart w:id="384" w:name="_Toc184312090"/>
      <w:bookmarkEnd w:id="384"/>
      <w:bookmarkStart w:id="385" w:name="_Toc184313267"/>
      <w:bookmarkEnd w:id="385"/>
      <w:bookmarkStart w:id="386" w:name="_Toc184312082"/>
      <w:bookmarkEnd w:id="386"/>
      <w:bookmarkStart w:id="387" w:name="_Toc184308102"/>
      <w:bookmarkEnd w:id="387"/>
      <w:bookmarkStart w:id="388" w:name="_Toc184312112"/>
      <w:bookmarkEnd w:id="388"/>
      <w:bookmarkStart w:id="389" w:name="_Toc184308054"/>
      <w:bookmarkEnd w:id="389"/>
      <w:bookmarkStart w:id="390" w:name="_Toc184310340"/>
      <w:bookmarkEnd w:id="390"/>
      <w:bookmarkStart w:id="391" w:name="_Toc184314413"/>
      <w:bookmarkEnd w:id="391"/>
      <w:bookmarkStart w:id="392" w:name="_Toc184310284"/>
      <w:bookmarkEnd w:id="392"/>
      <w:bookmarkStart w:id="393" w:name="_Toc184312114"/>
      <w:bookmarkEnd w:id="393"/>
      <w:bookmarkStart w:id="394" w:name="_Toc184313258"/>
      <w:bookmarkEnd w:id="394"/>
      <w:bookmarkStart w:id="395" w:name="_Toc184312067"/>
      <w:bookmarkEnd w:id="395"/>
      <w:bookmarkStart w:id="396" w:name="_Toc184308061"/>
      <w:bookmarkEnd w:id="396"/>
      <w:bookmarkStart w:id="397" w:name="_Toc184308036"/>
      <w:bookmarkEnd w:id="397"/>
      <w:bookmarkStart w:id="398" w:name="_Toc184313246"/>
      <w:bookmarkEnd w:id="398"/>
      <w:bookmarkStart w:id="399" w:name="_Toc184314478"/>
      <w:bookmarkEnd w:id="399"/>
      <w:bookmarkStart w:id="400" w:name="_Toc184313294"/>
      <w:bookmarkEnd w:id="400"/>
      <w:bookmarkStart w:id="401" w:name="_Toc184313240"/>
      <w:bookmarkEnd w:id="401"/>
      <w:bookmarkStart w:id="402" w:name="_Toc184313247"/>
      <w:bookmarkEnd w:id="402"/>
      <w:bookmarkStart w:id="403" w:name="_Toc184308062"/>
      <w:bookmarkEnd w:id="403"/>
      <w:bookmarkStart w:id="404" w:name="_Toc184310299"/>
      <w:bookmarkEnd w:id="404"/>
      <w:bookmarkStart w:id="405" w:name="_Toc184313308"/>
      <w:bookmarkEnd w:id="405"/>
      <w:bookmarkStart w:id="406" w:name="_Toc184308106"/>
      <w:bookmarkEnd w:id="406"/>
      <w:bookmarkStart w:id="407" w:name="_Toc184308069"/>
      <w:bookmarkEnd w:id="407"/>
      <w:bookmarkStart w:id="408" w:name="_Toc184308045"/>
      <w:bookmarkEnd w:id="408"/>
      <w:bookmarkStart w:id="409" w:name="_Toc184310300"/>
      <w:bookmarkEnd w:id="409"/>
      <w:bookmarkStart w:id="410" w:name="_Toc184313269"/>
      <w:bookmarkEnd w:id="410"/>
      <w:bookmarkStart w:id="411" w:name="_Toc184313243"/>
      <w:bookmarkEnd w:id="411"/>
      <w:bookmarkStart w:id="412" w:name="_Toc184313310"/>
      <w:bookmarkEnd w:id="412"/>
      <w:bookmarkStart w:id="413" w:name="_Toc184310290"/>
      <w:bookmarkEnd w:id="413"/>
      <w:bookmarkStart w:id="414" w:name="_Toc184313248"/>
      <w:bookmarkEnd w:id="414"/>
      <w:bookmarkStart w:id="415" w:name="_Toc184312074"/>
      <w:bookmarkEnd w:id="415"/>
      <w:bookmarkStart w:id="416" w:name="_Toc184313283"/>
      <w:bookmarkEnd w:id="416"/>
      <w:bookmarkStart w:id="417" w:name="_Toc184310293"/>
      <w:bookmarkEnd w:id="417"/>
      <w:bookmarkStart w:id="418" w:name="_Toc184308089"/>
      <w:bookmarkEnd w:id="418"/>
      <w:bookmarkStart w:id="419" w:name="_Toc184314438"/>
      <w:bookmarkEnd w:id="419"/>
      <w:bookmarkStart w:id="420" w:name="_Toc184308096"/>
      <w:bookmarkEnd w:id="420"/>
      <w:bookmarkStart w:id="421" w:name="_Toc184312094"/>
      <w:bookmarkEnd w:id="421"/>
      <w:bookmarkStart w:id="422" w:name="_Toc184313255"/>
      <w:bookmarkEnd w:id="422"/>
      <w:bookmarkStart w:id="423" w:name="_Toc184313254"/>
      <w:bookmarkEnd w:id="423"/>
      <w:bookmarkStart w:id="424" w:name="_Toc184310312"/>
      <w:bookmarkEnd w:id="424"/>
      <w:bookmarkStart w:id="425" w:name="_Toc184312095"/>
      <w:bookmarkEnd w:id="425"/>
      <w:bookmarkStart w:id="426" w:name="_Toc184310308"/>
      <w:bookmarkEnd w:id="426"/>
      <w:r>
        <w:rPr>
          <w:rFonts w:hint="eastAsia" w:ascii="宋体" w:hAnsi="宋体" w:cs="宋体"/>
          <w:szCs w:val="36"/>
        </w:rPr>
        <w:t>评标办法</w:t>
      </w:r>
      <w:bookmarkEnd w:id="59"/>
      <w:bookmarkEnd w:id="60"/>
      <w:bookmarkEnd w:id="61"/>
    </w:p>
    <w:p>
      <w:pPr>
        <w:pStyle w:val="4"/>
      </w:pPr>
      <w:bookmarkStart w:id="427" w:name="_Toc19050"/>
      <w:bookmarkStart w:id="428" w:name="_Toc22464"/>
      <w:r>
        <w:rPr>
          <w:rFonts w:hint="eastAsia"/>
        </w:rPr>
        <w:t>一、评标方法</w:t>
      </w:r>
      <w:bookmarkEnd w:id="427"/>
      <w:bookmarkEnd w:id="428"/>
    </w:p>
    <w:p>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4"/>
        <w:numPr>
          <w:ilvl w:val="0"/>
          <w:numId w:val="1"/>
        </w:numPr>
      </w:pPr>
      <w:bookmarkStart w:id="429" w:name="_Toc4726"/>
      <w:bookmarkStart w:id="430" w:name="_Toc30791"/>
      <w:r>
        <w:rPr>
          <w:rFonts w:hint="eastAsia"/>
        </w:rPr>
        <w:t>评标标准</w:t>
      </w:r>
      <w:bookmarkEnd w:id="429"/>
      <w:bookmarkEnd w:id="430"/>
      <w:r>
        <w:rPr>
          <w:rFonts w:hint="eastAsia"/>
        </w:rPr>
        <w:t xml:space="preserve"> </w:t>
      </w:r>
    </w:p>
    <w:tbl>
      <w:tblPr>
        <w:tblStyle w:val="62"/>
        <w:tblW w:w="5381" w:type="pct"/>
        <w:tblInd w:w="-540" w:type="dxa"/>
        <w:tblLayout w:type="autofit"/>
        <w:tblCellMar>
          <w:top w:w="0" w:type="dxa"/>
          <w:left w:w="108" w:type="dxa"/>
          <w:bottom w:w="0" w:type="dxa"/>
          <w:right w:w="108" w:type="dxa"/>
        </w:tblCellMar>
      </w:tblPr>
      <w:tblGrid>
        <w:gridCol w:w="789"/>
        <w:gridCol w:w="812"/>
        <w:gridCol w:w="5460"/>
        <w:gridCol w:w="1080"/>
        <w:gridCol w:w="1036"/>
      </w:tblGrid>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评分类型</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评分标准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分值范围</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主观分/客观分属性</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报价</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价格分采用低价优先法计算，即有效投标报价的最低价为评审基准价，其最低报价为满分。其他投标人的报价分统一按照下列公式计算：</w:t>
            </w:r>
            <w:r>
              <w:rPr>
                <w:rFonts w:hint="eastAsia" w:ascii="宋体" w:hAnsi="宋体" w:cs="宋体"/>
                <w:color w:val="000000"/>
                <w:kern w:val="0"/>
                <w:lang w:bidi="ar"/>
              </w:rPr>
              <w:br w:type="textWrapping"/>
            </w:r>
            <w:r>
              <w:rPr>
                <w:rFonts w:hint="eastAsia" w:ascii="宋体" w:hAnsi="宋体" w:cs="宋体"/>
                <w:color w:val="000000"/>
                <w:kern w:val="0"/>
                <w:lang w:bidi="ar"/>
              </w:rPr>
              <w:t>报价得分=（评审基准价/投标报价）*10</w:t>
            </w:r>
          </w:p>
          <w:p>
            <w:pPr>
              <w:pStyle w:val="60"/>
              <w:ind w:firstLine="0" w:firstLineChars="0"/>
            </w:pPr>
            <w:r>
              <w:rPr>
                <w:rFonts w:hint="eastAsia"/>
              </w:rPr>
              <w:t>已预留份额专门面向中小微企业采购的项目，不再执行价格评审优惠的扶持政策。</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0-10分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客观分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商务资信</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投标人自2021年1月份以来承接过同类项目业绩，每个得0.5分，最高得1分；（业绩必须提供相应的证明文件（合同复印件），时间以合同签订时间为准。）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0-1分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客观分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3"/>
              <w:jc w:val="left"/>
              <w:rPr>
                <w:rFonts w:hint="eastAsia" w:ascii="宋体" w:hAnsi="宋体" w:cs="宋体"/>
                <w:color w:val="000000"/>
                <w:lang w:bidi="ar"/>
              </w:rPr>
            </w:pPr>
            <w:r>
              <w:rPr>
                <w:rFonts w:hint="eastAsia" w:ascii="宋体" w:hAnsi="宋体" w:cs="宋体"/>
                <w:szCs w:val="21"/>
              </w:rPr>
              <w:t>针</w:t>
            </w:r>
            <w:r>
              <w:rPr>
                <w:rFonts w:ascii="宋体" w:hAnsi="宋体" w:cs="宋体"/>
                <w:szCs w:val="21"/>
              </w:rPr>
              <w:t>对</w:t>
            </w:r>
            <w:r>
              <w:rPr>
                <w:rFonts w:hint="eastAsia" w:ascii="宋体" w:hAnsi="宋体" w:cs="宋体"/>
                <w:szCs w:val="21"/>
              </w:rPr>
              <w:t>本项目采购需求的理解与分析</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宋体" w:hAnsi="宋体" w:cs="宋体"/>
                <w:color w:val="000000"/>
                <w:kern w:val="0"/>
                <w:lang w:bidi="ar"/>
              </w:rPr>
            </w:pPr>
            <w:r>
              <w:rPr>
                <w:rFonts w:hint="eastAsia"/>
              </w:rPr>
              <w:t>0-5</w:t>
            </w:r>
            <w:r>
              <w:rPr>
                <w:rFonts w:hint="eastAsia" w:ascii="宋体" w:hAnsi="宋体" w:cs="宋体"/>
                <w:color w:val="000000"/>
                <w:kern w:val="0"/>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宋体" w:hAnsi="宋体" w:cs="宋体"/>
                <w:color w:val="000000"/>
                <w:kern w:val="0"/>
                <w:lang w:bidi="ar"/>
              </w:rPr>
            </w:pPr>
            <w:r>
              <w:rPr>
                <w:rFonts w:hint="eastAsia"/>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cs="宋体"/>
                <w:color w:val="000000"/>
                <w:kern w:val="0"/>
                <w:lang w:bidi="ar"/>
              </w:rPr>
            </w:pPr>
            <w:r>
              <w:rPr>
                <w:rFonts w:hint="eastAsia"/>
                <w:szCs w:val="21"/>
              </w:rPr>
              <w:t>针对本项目实施的重点、难点分析</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宋体" w:hAnsi="宋体" w:cs="宋体"/>
                <w:color w:val="000000"/>
                <w:kern w:val="0"/>
                <w:lang w:bidi="ar"/>
              </w:rPr>
            </w:pPr>
            <w:r>
              <w:rPr>
                <w:rFonts w:hint="eastAsia"/>
              </w:rPr>
              <w:t>0-5</w:t>
            </w:r>
            <w:r>
              <w:rPr>
                <w:rFonts w:hint="eastAsia" w:ascii="宋体" w:hAnsi="宋体" w:cs="宋体"/>
                <w:color w:val="000000"/>
                <w:kern w:val="0"/>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宋体" w:hAnsi="宋体" w:cs="宋体"/>
                <w:color w:val="000000"/>
                <w:kern w:val="0"/>
                <w:lang w:bidi="ar"/>
              </w:rPr>
            </w:pPr>
            <w:r>
              <w:rPr>
                <w:rFonts w:hint="eastAsia"/>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宋体" w:hAnsi="宋体" w:cs="宋体"/>
                <w:color w:val="000000"/>
                <w:kern w:val="0"/>
                <w:lang w:bidi="ar"/>
              </w:rPr>
            </w:pPr>
            <w:r>
              <w:rPr>
                <w:rFonts w:hint="eastAsia"/>
                <w:szCs w:val="21"/>
              </w:rPr>
              <w:t>针对本项目实施的重点、难点</w:t>
            </w:r>
            <w:r>
              <w:rPr>
                <w:rFonts w:hint="eastAsia" w:ascii="宋体" w:hAnsi="宋体" w:cs="宋体"/>
                <w:szCs w:val="21"/>
                <w:lang w:val="zh-CN"/>
              </w:rPr>
              <w:t>提出具体解决措施</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宋体" w:hAnsi="宋体" w:cs="宋体"/>
                <w:color w:val="000000"/>
                <w:kern w:val="0"/>
                <w:lang w:bidi="ar"/>
              </w:rPr>
            </w:pPr>
            <w:r>
              <w:rPr>
                <w:rFonts w:hint="eastAsia"/>
              </w:rPr>
              <w:t>0-5</w:t>
            </w:r>
            <w:r>
              <w:rPr>
                <w:rFonts w:hint="eastAsia" w:ascii="宋体" w:hAnsi="宋体" w:cs="宋体"/>
                <w:color w:val="000000"/>
                <w:kern w:val="0"/>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宋体" w:hAnsi="宋体" w:cs="宋体"/>
                <w:color w:val="000000"/>
                <w:kern w:val="0"/>
                <w:lang w:bidi="ar"/>
              </w:rPr>
            </w:pPr>
            <w:r>
              <w:rPr>
                <w:rFonts w:hint="eastAsia"/>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pPr>
            <w:r>
              <w:rPr>
                <w:rFonts w:hint="eastAsia" w:ascii="宋体" w:hAnsi="宋体" w:cs="宋体"/>
                <w:color w:val="000000"/>
                <w:kern w:val="0"/>
                <w:lang w:bidi="ar"/>
              </w:rPr>
              <w:t>服务方案：</w:t>
            </w:r>
            <w:r>
              <w:rPr>
                <w:rFonts w:hint="eastAsia" w:ascii="宋体" w:hAnsi="宋体" w:cs="宋体"/>
                <w:color w:val="000000"/>
                <w:kern w:val="0"/>
                <w:lang w:bidi="ar"/>
              </w:rPr>
              <w:br w:type="textWrapping"/>
            </w:r>
            <w:r>
              <w:rPr>
                <w:rFonts w:hint="eastAsia" w:ascii="宋体" w:hAnsi="宋体" w:cs="宋体"/>
                <w:color w:val="000000"/>
                <w:kern w:val="0"/>
                <w:lang w:bidi="ar"/>
              </w:rPr>
              <w:t>1、浙江省就业省集中系统业务经办平台运维方案（0-5分）</w:t>
            </w:r>
            <w:r>
              <w:rPr>
                <w:rFonts w:hint="eastAsia"/>
              </w:rPr>
              <w:t>（评分范围：5,4,3,2,1,0）</w:t>
            </w:r>
          </w:p>
          <w:p>
            <w:pPr>
              <w:widowControl/>
              <w:numPr>
                <w:ilvl w:val="0"/>
                <w:numId w:val="2"/>
              </w:numPr>
              <w:ind w:firstLine="0" w:firstLineChars="0"/>
              <w:jc w:val="left"/>
              <w:textAlignment w:val="center"/>
            </w:pPr>
            <w:r>
              <w:rPr>
                <w:rFonts w:hint="eastAsia" w:ascii="宋体" w:hAnsi="宋体" w:cs="宋体"/>
                <w:color w:val="000000"/>
                <w:kern w:val="0"/>
                <w:lang w:bidi="ar"/>
              </w:rPr>
              <w:t>浙江省就业失业数据监测模块运维方案（0-5分）</w:t>
            </w:r>
            <w:r>
              <w:rPr>
                <w:rFonts w:hint="eastAsia"/>
              </w:rPr>
              <w:t>（评分范围：5,4,3,2,1,0）</w:t>
            </w:r>
          </w:p>
          <w:p>
            <w:pPr>
              <w:widowControl/>
              <w:numPr>
                <w:ilvl w:val="0"/>
                <w:numId w:val="2"/>
              </w:numPr>
              <w:ind w:firstLine="0" w:firstLineChars="0"/>
              <w:jc w:val="left"/>
              <w:textAlignment w:val="center"/>
            </w:pPr>
            <w:r>
              <w:rPr>
                <w:rFonts w:hint="eastAsia" w:ascii="宋体" w:hAnsi="宋体" w:cs="宋体"/>
                <w:color w:val="000000"/>
                <w:kern w:val="0"/>
                <w:lang w:bidi="ar"/>
              </w:rPr>
              <w:t>浙江省联网监测模块运维方案（0-5分）</w:t>
            </w:r>
            <w:r>
              <w:rPr>
                <w:rFonts w:hint="eastAsia"/>
              </w:rPr>
              <w:t>（评分范围：5,4,3,2,1,0）</w:t>
            </w:r>
          </w:p>
          <w:p>
            <w:pPr>
              <w:widowControl/>
              <w:numPr>
                <w:ilvl w:val="0"/>
                <w:numId w:val="2"/>
              </w:numPr>
              <w:ind w:firstLine="0" w:firstLineChars="0"/>
              <w:jc w:val="left"/>
              <w:textAlignment w:val="center"/>
            </w:pPr>
            <w:r>
              <w:rPr>
                <w:rFonts w:hint="eastAsia" w:ascii="宋体" w:hAnsi="宋体" w:cs="宋体"/>
                <w:color w:val="000000"/>
                <w:kern w:val="0"/>
                <w:lang w:bidi="ar"/>
              </w:rPr>
              <w:t>浙江省公共就业服务监测模块运维方案（0-5分）</w:t>
            </w:r>
            <w:r>
              <w:rPr>
                <w:rFonts w:hint="eastAsia"/>
              </w:rPr>
              <w:t>（评分范围：5,4,3,2,1,0）</w:t>
            </w:r>
          </w:p>
          <w:p>
            <w:pPr>
              <w:widowControl/>
              <w:numPr>
                <w:ilvl w:val="0"/>
                <w:numId w:val="2"/>
              </w:numPr>
              <w:ind w:firstLine="0" w:firstLineChars="0"/>
              <w:jc w:val="left"/>
              <w:textAlignment w:val="center"/>
            </w:pPr>
            <w:r>
              <w:rPr>
                <w:rFonts w:hint="eastAsia" w:ascii="宋体" w:hAnsi="宋体" w:cs="宋体"/>
                <w:color w:val="000000"/>
                <w:kern w:val="0"/>
                <w:lang w:bidi="ar"/>
              </w:rPr>
              <w:t>就业资金内控功能模块运维方案（0-5分）</w:t>
            </w:r>
            <w:r>
              <w:rPr>
                <w:rFonts w:hint="eastAsia"/>
              </w:rPr>
              <w:t>（评分范围：5,4,3,2,1,0）</w:t>
            </w:r>
          </w:p>
          <w:p>
            <w:pPr>
              <w:widowControl/>
              <w:numPr>
                <w:ilvl w:val="0"/>
                <w:numId w:val="2"/>
              </w:numPr>
              <w:ind w:firstLine="0" w:firstLineChars="0"/>
              <w:jc w:val="left"/>
              <w:textAlignment w:val="center"/>
            </w:pPr>
            <w:r>
              <w:rPr>
                <w:rFonts w:hint="eastAsia" w:ascii="宋体" w:hAnsi="宋体" w:cs="宋体"/>
                <w:color w:val="000000"/>
                <w:kern w:val="0"/>
                <w:lang w:bidi="ar"/>
              </w:rPr>
              <w:t>信息安全保障工作运维方案（0-5分）</w:t>
            </w:r>
            <w:r>
              <w:rPr>
                <w:rFonts w:hint="eastAsia"/>
              </w:rPr>
              <w:t>（评分范围：5,4,3,2,1,0）</w:t>
            </w:r>
          </w:p>
          <w:p>
            <w:pPr>
              <w:widowControl/>
              <w:numPr>
                <w:ilvl w:val="0"/>
                <w:numId w:val="2"/>
              </w:numPr>
              <w:ind w:firstLine="0" w:firstLineChars="0"/>
              <w:jc w:val="left"/>
              <w:textAlignment w:val="center"/>
            </w:pPr>
            <w:r>
              <w:rPr>
                <w:rFonts w:hint="eastAsia"/>
              </w:rPr>
              <w:t>常驻现场服务</w:t>
            </w:r>
            <w:r>
              <w:rPr>
                <w:rFonts w:hint="eastAsia" w:ascii="宋体" w:hAnsi="宋体" w:cs="宋体"/>
                <w:color w:val="000000"/>
                <w:kern w:val="0"/>
                <w:lang w:bidi="ar"/>
              </w:rPr>
              <w:t>方案（0-5分）</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0-35分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确保技术服务质量保障的方法和措施方案</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运维质量管理和流程规范程度（管理制度、流程图、记录、表单等）</w:t>
            </w:r>
            <w:r>
              <w:rPr>
                <w:rFonts w:hint="eastAsia" w:ascii="宋体" w:hAnsi="宋体" w:cs="宋体"/>
                <w:color w:val="000000"/>
                <w:kern w:val="0"/>
                <w:lang w:bidi="ar"/>
              </w:rPr>
              <w:br w:type="textWrapping"/>
            </w:r>
            <w:r>
              <w:rPr>
                <w:rFonts w:hint="eastAsia" w:ascii="宋体" w:hAnsi="宋体" w:cs="宋体"/>
                <w:color w:val="000000"/>
                <w:kern w:val="0"/>
                <w:lang w:bidi="ar"/>
              </w:rPr>
              <w:t>其中：</w:t>
            </w:r>
            <w:r>
              <w:rPr>
                <w:rFonts w:hint="eastAsia" w:ascii="宋体" w:hAnsi="宋体" w:cs="宋体"/>
                <w:color w:val="000000"/>
                <w:kern w:val="0"/>
                <w:lang w:bidi="ar"/>
              </w:rPr>
              <w:br w:type="textWrapping"/>
            </w:r>
            <w:r>
              <w:rPr>
                <w:rFonts w:hint="eastAsia" w:ascii="宋体" w:hAnsi="宋体" w:cs="宋体"/>
                <w:color w:val="000000"/>
                <w:kern w:val="0"/>
                <w:lang w:bidi="ar"/>
              </w:rPr>
              <w:t>1、运维质量管理（0-5分）</w:t>
            </w:r>
            <w:r>
              <w:rPr>
                <w:rFonts w:hint="eastAsia"/>
              </w:rPr>
              <w:t>（评分范围：5,4,3,2,1,0）</w:t>
            </w:r>
            <w:r>
              <w:rPr>
                <w:rFonts w:hint="eastAsia" w:ascii="宋体" w:hAnsi="宋体" w:cs="宋体"/>
                <w:color w:val="000000"/>
                <w:kern w:val="0"/>
                <w:lang w:bidi="ar"/>
              </w:rPr>
              <w:br w:type="textWrapping"/>
            </w:r>
            <w:r>
              <w:rPr>
                <w:rFonts w:hint="eastAsia" w:ascii="宋体" w:hAnsi="宋体" w:cs="宋体"/>
                <w:color w:val="000000"/>
                <w:kern w:val="0"/>
                <w:lang w:bidi="ar"/>
              </w:rPr>
              <w:t>2、流程规范程度：</w:t>
            </w:r>
          </w:p>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2.1流程图、记录、表单等设计（0-3分）</w:t>
            </w:r>
            <w:r>
              <w:rPr>
                <w:rFonts w:hint="eastAsia"/>
              </w:rPr>
              <w:t>（评分范围：3,2,1,0）</w:t>
            </w:r>
          </w:p>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2.2流程节点（0-2分）</w:t>
            </w:r>
            <w:r>
              <w:rPr>
                <w:rFonts w:hint="eastAsia"/>
              </w:rPr>
              <w:t>（评分范围：2,1,0.5,0）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0-10分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拟投入本次项目的项目负责人工作履历、技术能力、职称、类似项目经验等方面（提供项目负责人在本单位缴纳的最近3个月内任意一个月社保证明，否则不得分）</w:t>
            </w:r>
            <w:r>
              <w:rPr>
                <w:rFonts w:hint="eastAsia"/>
              </w:rPr>
              <w:t>（评分范围：3,2,1,0）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0-3分</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项目团队（除项目负责人）（提供项目团队人员在本单位缴纳的最近3个月内任意一个月社保证明，无社保此项不得分）：</w:t>
            </w:r>
          </w:p>
          <w:p>
            <w:pPr>
              <w:widowControl/>
              <w:ind w:firstLine="0" w:firstLineChars="0"/>
              <w:jc w:val="left"/>
              <w:textAlignment w:val="center"/>
            </w:pPr>
            <w:r>
              <w:rPr>
                <w:rFonts w:hint="eastAsia" w:ascii="宋体" w:hAnsi="宋体" w:cs="宋体"/>
                <w:kern w:val="0"/>
                <w:lang w:bidi="ar"/>
              </w:rPr>
              <w:t>1.拟投入本项目的项目团队（除项目负责人）人员配置（人员架构、分工）合理性（0-4分）</w:t>
            </w:r>
            <w:r>
              <w:rPr>
                <w:rFonts w:hint="eastAsia"/>
              </w:rPr>
              <w:t>（评分范围：4,3,2,1,0）</w:t>
            </w:r>
          </w:p>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2.拟投入本项目的项目团队（除项目负责人）专业技术能力、经验、学历、职称等情况（0-5分）</w:t>
            </w:r>
            <w:r>
              <w:rPr>
                <w:rFonts w:hint="eastAsia"/>
              </w:rPr>
              <w:t>（评分范围：5,4,3,2,1,0）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0-9分</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kern w:val="0"/>
                <w:lang w:bidi="ar"/>
              </w:rPr>
            </w:pPr>
            <w:r>
              <w:rPr>
                <w:rFonts w:hint="eastAsia" w:ascii="宋体" w:hAnsi="宋体" w:cs="宋体"/>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人员稳定</w:t>
            </w:r>
            <w:r>
              <w:rPr>
                <w:rFonts w:ascii="宋体" w:hAnsi="宋体" w:cs="宋体"/>
                <w:color w:val="000000"/>
                <w:kern w:val="0"/>
                <w:lang w:bidi="ar"/>
              </w:rPr>
              <w:t>方法</w:t>
            </w:r>
            <w:r>
              <w:rPr>
                <w:rFonts w:hint="eastAsia" w:ascii="宋体" w:hAnsi="宋体" w:cs="宋体"/>
                <w:color w:val="000000"/>
                <w:kern w:val="0"/>
                <w:lang w:bidi="ar"/>
              </w:rPr>
              <w:t>和措施方案</w:t>
            </w:r>
            <w:r>
              <w:rPr>
                <w:rFonts w:hint="eastAsia"/>
              </w:rPr>
              <w:t>（评分范围：3,2,1,0）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0-3分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对用户系统故障的响应、响应时间、处理方案</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r>
        <w:tblPrEx>
          <w:tblCellMar>
            <w:top w:w="0" w:type="dxa"/>
            <w:left w:w="108" w:type="dxa"/>
            <w:bottom w:w="0" w:type="dxa"/>
            <w:right w:w="108" w:type="dxa"/>
          </w:tblCellMar>
        </w:tblPrEx>
        <w:trPr>
          <w:trHeight w:val="23"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运维期间确保信息安全及数据保密措施及承诺</w:t>
            </w:r>
            <w:r>
              <w:rPr>
                <w:rFonts w:hint="eastAsia"/>
              </w:rPr>
              <w:t>（评分范围：4,3,2,1,0）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0-4分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bl>
    <w:p>
      <w:pPr>
        <w:widowControl/>
        <w:ind w:firstLine="0" w:firstLineChars="0"/>
      </w:pPr>
      <w:r>
        <w:rPr>
          <w:rFonts w:hint="eastAsia"/>
        </w:rPr>
        <w:t>备注：（1）商务分、技术分按照评审小组成员的独立评分结果汇总后的算术平均分计算，计算公式为：商务分、技术分=评审小组所有成员评分合计数/评审小组成员组成人数。</w:t>
      </w:r>
    </w:p>
    <w:p>
      <w:pPr>
        <w:widowControl/>
        <w:ind w:firstLine="720" w:firstLineChars="300"/>
      </w:pPr>
      <w:r>
        <w:rPr>
          <w:rFonts w:hint="eastAsia"/>
        </w:rPr>
        <w:t>（2）投标人评审综合得分=商务分+技术分+报价分</w:t>
      </w:r>
    </w:p>
    <w:p>
      <w:pPr>
        <w:pStyle w:val="4"/>
      </w:pPr>
      <w:bookmarkStart w:id="431" w:name="_Toc24517"/>
      <w:bookmarkStart w:id="432" w:name="_Toc12882"/>
      <w:r>
        <w:rPr>
          <w:rFonts w:hint="eastAsia"/>
        </w:rPr>
        <w:t>三、评标程序</w:t>
      </w:r>
      <w:bookmarkEnd w:id="431"/>
      <w:bookmarkEnd w:id="432"/>
    </w:p>
    <w:p>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hint="eastAsia" w:ascii="宋体" w:hAnsi="宋体" w:cs="宋体"/>
          <w:b/>
          <w:kern w:val="0"/>
        </w:rPr>
      </w:pPr>
      <w:r>
        <w:rPr>
          <w:rFonts w:hint="eastAsia" w:ascii="宋体" w:hAnsi="宋体" w:cs="宋体"/>
          <w:b/>
          <w:kern w:val="0"/>
        </w:rPr>
        <w:t>3.4报价评审。</w:t>
      </w:r>
    </w:p>
    <w:p>
      <w:pPr>
        <w:pStyle w:val="134"/>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134"/>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pPr>
      <w:bookmarkStart w:id="433" w:name="_Toc22719"/>
      <w:bookmarkStart w:id="434" w:name="_Toc21677"/>
      <w:r>
        <w:rPr>
          <w:rFonts w:hint="eastAsia"/>
        </w:rPr>
        <w:t>四、评标中的其他事项</w:t>
      </w:r>
      <w:bookmarkEnd w:id="433"/>
      <w:bookmarkEnd w:id="434"/>
    </w:p>
    <w:p>
      <w:pPr>
        <w:pStyle w:val="134"/>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pPr>
        <w:snapToGrid/>
        <w:ind w:firstLine="480"/>
        <w:rPr>
          <w:rFonts w:hint="eastAsia" w:ascii="宋体" w:hAnsi="宋体" w:cs="宋体"/>
        </w:rPr>
      </w:pPr>
      <w:r>
        <w:rPr>
          <w:rFonts w:hint="eastAsia" w:ascii="宋体" w:hAnsi="宋体"/>
        </w:rPr>
        <w:t>（4）如以联合体形式参加政府采购活动的，未提供联合协议的。</w:t>
      </w:r>
    </w:p>
    <w:p>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pPr>
        <w:snapToGrid/>
        <w:ind w:firstLine="480"/>
        <w:rPr>
          <w:rFonts w:hint="eastAsia" w:ascii="宋体" w:hAnsi="宋体" w:cs="仿宋_GB2312"/>
          <w:szCs w:val="21"/>
        </w:rPr>
      </w:pPr>
      <w:r>
        <w:rPr>
          <w:rFonts w:hint="eastAsia" w:ascii="宋体" w:hAnsi="宋体" w:cs="仿宋_GB2312"/>
          <w:szCs w:val="21"/>
        </w:rPr>
        <w:t>（7）供应商存在串通行为或虚假响应的；</w:t>
      </w:r>
    </w:p>
    <w:p>
      <w:pPr>
        <w:snapToGrid/>
        <w:ind w:firstLine="480"/>
        <w:rPr>
          <w:rFonts w:hint="eastAsia"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pPr>
        <w:snapToGrid/>
        <w:rPr>
          <w:rFonts w:hint="eastAsia" w:ascii="宋体" w:hAnsi="宋体" w:cs="宋体"/>
          <w:b/>
        </w:rPr>
      </w:pPr>
      <w:r>
        <w:rPr>
          <w:rFonts w:hint="eastAsia" w:ascii="宋体" w:hAnsi="宋体" w:cs="宋体"/>
          <w:b/>
        </w:rPr>
        <w:t>4.2.3在报价评审时，如发现下列情形之一的，投标文件将被视为无效：</w:t>
      </w:r>
    </w:p>
    <w:p>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hint="eastAsia" w:ascii="宋体" w:hAnsi="宋体" w:cs="宋体"/>
          <w:kern w:val="0"/>
          <w:highlight w:val="yellow"/>
        </w:rPr>
      </w:pPr>
      <w:r>
        <w:rPr>
          <w:rFonts w:hint="eastAsia" w:ascii="宋体" w:hAnsi="宋体"/>
        </w:rPr>
        <w:t>（6）法律、法规和招标文件规定的其他无效情形。</w:t>
      </w:r>
    </w:p>
    <w:p>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pacing w:line="360" w:lineRule="auto"/>
        <w:rPr>
          <w:rFonts w:hint="eastAsia" w:cs="宋体"/>
        </w:rPr>
      </w:pPr>
      <w:r>
        <w:rPr>
          <w:rFonts w:hint="eastAsia" w:cs="宋体"/>
        </w:rPr>
        <w:t>5.1符合专业条件的供应商或者对招标文件作实质响应的供应商不足3家的；</w:t>
      </w:r>
    </w:p>
    <w:p>
      <w:pPr>
        <w:pStyle w:val="24"/>
        <w:spacing w:line="360" w:lineRule="auto"/>
        <w:rPr>
          <w:rFonts w:hint="eastAsia" w:cs="宋体"/>
        </w:rPr>
      </w:pPr>
      <w:r>
        <w:rPr>
          <w:rFonts w:hint="eastAsia" w:cs="宋体"/>
        </w:rPr>
        <w:t>5.2出现影响采购公正的违法、违规行为的；</w:t>
      </w:r>
    </w:p>
    <w:p>
      <w:pPr>
        <w:pStyle w:val="24"/>
        <w:spacing w:line="360" w:lineRule="auto"/>
        <w:rPr>
          <w:rFonts w:hint="eastAsia" w:cs="宋体"/>
        </w:rPr>
      </w:pPr>
      <w:r>
        <w:rPr>
          <w:rFonts w:hint="eastAsia" w:cs="宋体"/>
        </w:rPr>
        <w:t>5.3投标人的报价均超过了采购预算，采购人不能支付的；</w:t>
      </w:r>
    </w:p>
    <w:p>
      <w:pPr>
        <w:pStyle w:val="24"/>
        <w:spacing w:line="360" w:lineRule="auto"/>
        <w:rPr>
          <w:rFonts w:hint="eastAsia" w:cs="宋体"/>
        </w:rPr>
      </w:pPr>
      <w:r>
        <w:rPr>
          <w:rFonts w:hint="eastAsia" w:cs="宋体"/>
        </w:rPr>
        <w:t>5.4因重大变故，采购任务取消的。</w:t>
      </w:r>
    </w:p>
    <w:p>
      <w:pPr>
        <w:pStyle w:val="24"/>
        <w:spacing w:line="360" w:lineRule="auto"/>
        <w:rPr>
          <w:rFonts w:hint="eastAsia" w:cs="宋体"/>
        </w:rPr>
      </w:pPr>
      <w:r>
        <w:rPr>
          <w:rFonts w:hint="eastAsia" w:cs="宋体"/>
        </w:rPr>
        <w:t>废标后，采购代理机构应当将废标理由通知所有投标人。</w:t>
      </w:r>
    </w:p>
    <w:p>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pacing w:line="360" w:lineRule="auto"/>
        <w:rPr>
          <w:rFonts w:hint="eastAsia" w:cs="宋体"/>
        </w:rPr>
      </w:pPr>
      <w:r>
        <w:rPr>
          <w:rFonts w:hint="eastAsia" w:cs="宋体"/>
        </w:rPr>
        <w:t>7.1未确定中标供应商的，终止本次政府采购活动，重新开展政府采购活动。</w:t>
      </w:r>
    </w:p>
    <w:p>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pacing w:line="360" w:lineRule="auto"/>
        <w:rPr>
          <w:rFonts w:hint="eastAsia" w:cs="宋体"/>
        </w:rPr>
      </w:pPr>
      <w:r>
        <w:rPr>
          <w:rFonts w:hint="eastAsia" w:cs="宋体"/>
        </w:rPr>
        <w:t>7.4政府采购合同已经履行，给采购人、供应商造成损失的，由责任人承担赔偿责任。</w:t>
      </w:r>
    </w:p>
    <w:p>
      <w:pPr>
        <w:pStyle w:val="24"/>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5" w:name="第五部分"/>
      <w:bookmarkStart w:id="436" w:name="_Toc86217003"/>
    </w:p>
    <w:p>
      <w:pPr>
        <w:ind w:firstLine="480"/>
      </w:pPr>
      <w:r>
        <w:rPr>
          <w:rFonts w:hint="eastAsia"/>
        </w:rPr>
        <w:t xml:space="preserve">    </w:t>
      </w:r>
    </w:p>
    <w:p>
      <w:pPr>
        <w:pStyle w:val="3"/>
        <w:sectPr>
          <w:pgSz w:w="11905" w:h="16838"/>
          <w:pgMar w:top="1440" w:right="1797" w:bottom="1440" w:left="1797" w:header="851" w:footer="992" w:gutter="0"/>
          <w:cols w:space="0" w:num="1"/>
          <w:titlePg/>
        </w:sectPr>
      </w:pPr>
    </w:p>
    <w:p>
      <w:pPr>
        <w:pStyle w:val="3"/>
      </w:pPr>
      <w:bookmarkStart w:id="437" w:name="_Toc18817"/>
      <w:bookmarkStart w:id="438" w:name="_Toc11766"/>
      <w:bookmarkStart w:id="439" w:name="_Toc8165"/>
      <w:r>
        <w:rPr>
          <w:rFonts w:hint="eastAsia"/>
        </w:rPr>
        <w:t>第五部分 拟签订的合同文本</w:t>
      </w:r>
      <w:bookmarkEnd w:id="437"/>
      <w:bookmarkEnd w:id="438"/>
      <w:bookmarkEnd w:id="439"/>
    </w:p>
    <w:p>
      <w:pPr>
        <w:jc w:val="center"/>
        <w:rPr>
          <w:rFonts w:hint="eastAsia" w:ascii="宋体" w:hAnsi="宋体"/>
          <w:bCs/>
        </w:rPr>
      </w:pPr>
      <w:r>
        <w:rPr>
          <w:rFonts w:hint="eastAsia" w:ascii="宋体" w:hAnsi="宋体"/>
          <w:b/>
        </w:rPr>
        <w:t>（仅供参考）</w:t>
      </w:r>
    </w:p>
    <w:p>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2"/>
        <w:spacing w:before="120" w:after="120"/>
        <w:ind w:right="600" w:firstLine="480"/>
        <w:jc w:val="center"/>
        <w:rPr>
          <w:rFonts w:hint="eastAsia" w:hAnsi="宋体"/>
        </w:rPr>
      </w:pPr>
      <w:r>
        <w:rPr>
          <w:rFonts w:hint="eastAsia" w:hAnsi="宋体"/>
        </w:rPr>
        <w:t xml:space="preserve">                                   </w:t>
      </w:r>
    </w:p>
    <w:p>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pPr>
        <w:ind w:firstLine="600"/>
        <w:rPr>
          <w:szCs w:val="32"/>
        </w:rPr>
      </w:pPr>
      <w:r>
        <w:rPr>
          <w:rFonts w:hint="eastAsia" w:ascii="仿宋" w:hAnsi="仿宋" w:eastAsia="仿宋"/>
          <w:sz w:val="30"/>
          <w:szCs w:val="30"/>
        </w:rPr>
        <w:t xml:space="preserve">                         </w:t>
      </w:r>
      <w:r>
        <w:rPr>
          <w:rFonts w:hint="eastAsia"/>
          <w:szCs w:val="32"/>
        </w:rPr>
        <w:t xml:space="preserve">    </w:t>
      </w:r>
    </w:p>
    <w:p>
      <w:pPr>
        <w:ind w:firstLine="6480" w:firstLineChars="2700"/>
        <w:rPr>
          <w:szCs w:val="32"/>
        </w:rPr>
      </w:pPr>
      <w:bookmarkStart w:id="440" w:name="_Toc16158"/>
      <w:bookmarkStart w:id="441" w:name="_Toc26124"/>
      <w:r>
        <w:rPr>
          <w:rFonts w:hint="eastAsia"/>
          <w:szCs w:val="32"/>
        </w:rPr>
        <w:t xml:space="preserve">合同编号：   </w:t>
      </w:r>
    </w:p>
    <w:p>
      <w:pPr>
        <w:ind w:firstLine="6480" w:firstLineChars="2700"/>
        <w:rPr>
          <w:szCs w:val="32"/>
        </w:rPr>
      </w:pPr>
      <w:r>
        <w:rPr>
          <w:rFonts w:hint="eastAsia"/>
          <w:szCs w:val="32"/>
        </w:rPr>
        <w:t xml:space="preserve">    </w:t>
      </w:r>
    </w:p>
    <w:p>
      <w:pPr>
        <w:ind w:firstLine="480"/>
        <w:rPr>
          <w:szCs w:val="32"/>
        </w:rPr>
      </w:pPr>
      <w:r>
        <w:rPr>
          <w:rFonts w:hint="eastAsia"/>
          <w:szCs w:val="32"/>
        </w:rPr>
        <w:t xml:space="preserve">                                 </w:t>
      </w:r>
    </w:p>
    <w:p>
      <w:pPr>
        <w:ind w:firstLine="0" w:firstLineChars="0"/>
        <w:rPr>
          <w:b/>
          <w:bCs/>
        </w:rPr>
      </w:pPr>
      <w:r>
        <w:rPr>
          <w:rFonts w:hint="eastAsia"/>
          <w:b/>
          <w:bCs/>
        </w:rPr>
        <w:t xml:space="preserve">甲方（采购人）： </w:t>
      </w:r>
    </w:p>
    <w:p>
      <w:pPr>
        <w:ind w:firstLine="0" w:firstLineChars="0"/>
      </w:pPr>
      <w:r>
        <w:rPr>
          <w:rFonts w:hint="eastAsia"/>
          <w:b/>
          <w:bCs/>
        </w:rPr>
        <w:t>乙方（供应商）：</w:t>
      </w:r>
      <w:r>
        <w:rPr>
          <w:rFonts w:hint="eastAsia"/>
        </w:rPr>
        <w:t xml:space="preserve"> </w:t>
      </w:r>
    </w:p>
    <w:p>
      <w:pPr>
        <w:ind w:firstLine="480"/>
      </w:pPr>
      <w:r>
        <w:rPr>
          <w:rFonts w:hint="eastAsia"/>
        </w:rPr>
        <w:t>甲、乙双方根据浙江信镧建设工程咨询有限公司关于                项目（项目编号为：          ，标项：    ）公开招标的结果，签署本合同。</w:t>
      </w:r>
    </w:p>
    <w:p>
      <w:pPr>
        <w:ind w:firstLine="0" w:firstLineChars="0"/>
        <w:rPr>
          <w:b/>
          <w:bCs/>
        </w:rPr>
      </w:pPr>
      <w:r>
        <w:rPr>
          <w:rFonts w:hint="eastAsia"/>
          <w:b/>
          <w:bCs/>
        </w:rPr>
        <w:t>一、服务内容</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w:t>
      </w:r>
    </w:p>
    <w:p>
      <w:pPr>
        <w:pStyle w:val="32"/>
        <w:spacing w:before="120" w:after="120"/>
        <w:rPr>
          <w:rFonts w:hint="eastAsia" w:hAnsi="宋体"/>
          <w:b/>
          <w:color w:val="000000"/>
        </w:rPr>
      </w:pPr>
      <w:r>
        <w:rPr>
          <w:rFonts w:hint="eastAsia" w:hAnsi="宋体"/>
          <w:b/>
          <w:color w:val="000000"/>
        </w:rPr>
        <w:t>二、合同金额</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pPr>
        <w:ind w:firstLine="0" w:firstLineChars="0"/>
        <w:rPr>
          <w:b/>
          <w:bCs/>
        </w:rPr>
      </w:pPr>
      <w:r>
        <w:rPr>
          <w:rFonts w:hint="eastAsia"/>
          <w:b/>
          <w:bCs/>
        </w:rPr>
        <w:t>三、技术资料</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firstLine="0" w:firstLineChars="0"/>
        <w:rPr>
          <w:b/>
          <w:bCs/>
        </w:rPr>
      </w:pPr>
      <w:r>
        <w:rPr>
          <w:rFonts w:hint="eastAsia"/>
          <w:b/>
          <w:bCs/>
        </w:rPr>
        <w:t>四、知识产权</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pPr>
        <w:ind w:firstLine="0" w:firstLineChars="0"/>
        <w:rPr>
          <w:b/>
          <w:bCs/>
        </w:rPr>
      </w:pPr>
      <w:r>
        <w:rPr>
          <w:rFonts w:hint="eastAsia"/>
          <w:b/>
          <w:bCs/>
        </w:rPr>
        <w:t>五、履约保证金</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1.比例：合同金额的  %，即人民币（大写）          元（¥        ）。</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2.提交方式：支票、汇票、本票或者金融机构、担保机构出具的保函等非现金形式。</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3.提交时间：</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4.退还时间及条件：</w:t>
      </w:r>
    </w:p>
    <w:p>
      <w:pPr>
        <w:ind w:firstLine="0" w:firstLineChars="0"/>
        <w:rPr>
          <w:b/>
          <w:bCs/>
        </w:rPr>
      </w:pPr>
      <w:r>
        <w:rPr>
          <w:rFonts w:hint="eastAsia"/>
          <w:b/>
          <w:bCs/>
        </w:rPr>
        <w:t>六、</w:t>
      </w:r>
      <w:r>
        <w:rPr>
          <w:rFonts w:hint="eastAsia" w:ascii="宋体" w:hAnsi="宋体"/>
          <w:b/>
        </w:rPr>
        <w:t>合同转让和分包</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ind w:firstLine="0" w:firstLineChars="0"/>
        <w:rPr>
          <w:rFonts w:hint="eastAsia" w:ascii="宋体" w:hAnsi="宋体"/>
          <w:b/>
        </w:rPr>
      </w:pPr>
      <w:r>
        <w:rPr>
          <w:rFonts w:hint="eastAsia" w:ascii="宋体" w:hAnsi="宋体"/>
          <w:b/>
        </w:rPr>
        <w:t>七、服务质量保证期（选用）</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pPr>
        <w:ind w:firstLine="0" w:firstLineChars="0"/>
        <w:rPr>
          <w:b/>
          <w:bCs/>
        </w:rPr>
      </w:pPr>
      <w:r>
        <w:rPr>
          <w:rFonts w:hint="eastAsia"/>
          <w:b/>
          <w:bCs/>
        </w:rPr>
        <w:t>八、合同履行时间、履行方式及履行地点</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pPr>
        <w:ind w:firstLine="0" w:firstLineChars="0"/>
        <w:rPr>
          <w:b/>
          <w:bCs/>
        </w:rPr>
      </w:pPr>
      <w:r>
        <w:rPr>
          <w:rFonts w:hint="eastAsia"/>
          <w:b/>
          <w:bCs/>
        </w:rPr>
        <w:t>九、货款支付</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1.付款方式：</w:t>
      </w:r>
    </w:p>
    <w:p>
      <w:pPr>
        <w:pStyle w:val="134"/>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pPr>
        <w:ind w:firstLine="0" w:firstLineChars="0"/>
        <w:rPr>
          <w:rFonts w:hint="eastAsia" w:ascii="宋体" w:hAnsi="宋体"/>
          <w:b/>
          <w:bCs/>
        </w:rPr>
      </w:pPr>
      <w:r>
        <w:rPr>
          <w:rFonts w:hint="eastAsia" w:ascii="宋体" w:hAnsi="宋体"/>
          <w:b/>
          <w:bCs/>
        </w:rPr>
        <w:t>十、税费</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pPr>
        <w:ind w:firstLine="0" w:firstLineChars="0"/>
        <w:rPr>
          <w:b/>
          <w:bCs/>
        </w:rPr>
      </w:pPr>
      <w:r>
        <w:rPr>
          <w:rFonts w:hint="eastAsia"/>
          <w:b/>
          <w:bCs/>
        </w:rPr>
        <w:t>十一、质量保证及售后服务</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pPr>
        <w:ind w:firstLine="0" w:firstLineChars="0"/>
        <w:rPr>
          <w:b/>
          <w:bCs/>
        </w:rPr>
      </w:pPr>
      <w:r>
        <w:rPr>
          <w:rFonts w:hint="eastAsia"/>
          <w:b/>
          <w:bCs/>
        </w:rPr>
        <w:t>十二、违约责任</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ind w:firstLine="0" w:firstLineChars="0"/>
        <w:rPr>
          <w:b/>
          <w:bCs/>
        </w:rPr>
      </w:pPr>
      <w:r>
        <w:rPr>
          <w:rFonts w:hint="eastAsia"/>
          <w:b/>
          <w:bCs/>
        </w:rPr>
        <w:t>十三、不可抗力事件处理</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pPr>
        <w:ind w:firstLine="0" w:firstLineChars="0"/>
        <w:rPr>
          <w:b/>
          <w:bCs/>
        </w:rPr>
      </w:pPr>
      <w:r>
        <w:rPr>
          <w:rFonts w:hint="eastAsia"/>
          <w:b/>
          <w:bCs/>
        </w:rPr>
        <w:t>十四、诉讼</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pPr>
        <w:ind w:firstLine="0" w:firstLineChars="0"/>
        <w:rPr>
          <w:rFonts w:hint="eastAsia" w:ascii="宋体" w:hAnsi="宋体"/>
          <w:b/>
          <w:bCs/>
        </w:rPr>
      </w:pPr>
      <w:r>
        <w:rPr>
          <w:rFonts w:hint="eastAsia" w:ascii="宋体" w:hAnsi="宋体"/>
          <w:b/>
          <w:bCs/>
        </w:rPr>
        <w:t>十五、合同生效及其它</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3.本合同附件及采购文件、响应文件、书面澄清（承诺）等系本合同的组成部分。</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pPr>
        <w:pStyle w:val="134"/>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pPr>
        <w:ind w:firstLine="480"/>
        <w:rPr>
          <w:rFonts w:hint="eastAsia" w:ascii="宋体" w:hAnsi="宋体" w:cs="宋体"/>
        </w:rPr>
      </w:pPr>
    </w:p>
    <w:p>
      <w:pPr>
        <w:ind w:firstLine="480"/>
        <w:rPr>
          <w:rFonts w:hint="eastAsia" w:ascii="宋体" w:hAnsi="宋体" w:cs="宋体"/>
        </w:rPr>
      </w:pPr>
      <w:r>
        <w:rPr>
          <w:rFonts w:hint="eastAsia" w:ascii="宋体" w:hAnsi="宋体" w:cs="宋体"/>
        </w:rPr>
        <w:t>甲方（盖章）：                    乙方（盖章）：</w:t>
      </w:r>
    </w:p>
    <w:p>
      <w:pPr>
        <w:ind w:firstLine="480"/>
        <w:rPr>
          <w:rFonts w:hint="eastAsia" w:ascii="宋体" w:hAnsi="宋体" w:cs="宋体"/>
        </w:rPr>
      </w:pPr>
      <w:r>
        <w:rPr>
          <w:rFonts w:hint="eastAsia" w:ascii="宋体" w:hAnsi="宋体" w:cs="宋体"/>
        </w:rPr>
        <w:t>法定代表人（或授权代表）：        法定代表人（或授权代表）：</w:t>
      </w:r>
    </w:p>
    <w:p>
      <w:pPr>
        <w:ind w:firstLine="480"/>
        <w:rPr>
          <w:rFonts w:hint="eastAsia" w:ascii="宋体" w:hAnsi="宋体" w:cs="宋体"/>
        </w:rPr>
      </w:pPr>
      <w:r>
        <w:rPr>
          <w:rFonts w:hint="eastAsia" w:ascii="宋体" w:hAnsi="宋体" w:cs="宋体"/>
        </w:rPr>
        <w:t>地址：                           地址：</w:t>
      </w:r>
    </w:p>
    <w:p>
      <w:pPr>
        <w:ind w:firstLine="480"/>
        <w:rPr>
          <w:rFonts w:hint="eastAsia" w:ascii="宋体" w:hAnsi="宋体" w:cs="宋体"/>
        </w:rPr>
      </w:pPr>
      <w:r>
        <w:rPr>
          <w:rFonts w:hint="eastAsia" w:ascii="宋体" w:hAnsi="宋体" w:cs="宋体"/>
        </w:rPr>
        <w:t>联系人：                           联系人：</w:t>
      </w:r>
    </w:p>
    <w:p>
      <w:pPr>
        <w:ind w:firstLine="480"/>
        <w:rPr>
          <w:rFonts w:hint="eastAsia" w:ascii="宋体" w:hAnsi="宋体" w:cs="宋体"/>
        </w:rPr>
      </w:pPr>
      <w:r>
        <w:rPr>
          <w:rFonts w:hint="eastAsia" w:ascii="宋体" w:hAnsi="宋体" w:cs="宋体"/>
        </w:rPr>
        <w:t>联系电话：                         联系电话：</w:t>
      </w:r>
    </w:p>
    <w:p>
      <w:pPr>
        <w:ind w:firstLine="480"/>
        <w:rPr>
          <w:rFonts w:hint="eastAsia" w:ascii="宋体" w:hAnsi="宋体" w:cs="宋体"/>
        </w:rPr>
      </w:pPr>
      <w:r>
        <w:rPr>
          <w:rFonts w:hint="eastAsia" w:ascii="宋体" w:hAnsi="宋体" w:cs="宋体"/>
        </w:rPr>
        <w:t>传真：                             传真：</w:t>
      </w:r>
    </w:p>
    <w:p>
      <w:pPr>
        <w:ind w:firstLine="480"/>
        <w:rPr>
          <w:rFonts w:hint="eastAsia" w:ascii="宋体" w:hAnsi="宋体" w:cs="宋体"/>
        </w:rPr>
      </w:pPr>
      <w:r>
        <w:rPr>
          <w:rFonts w:hint="eastAsia" w:ascii="宋体" w:hAnsi="宋体" w:cs="宋体"/>
        </w:rPr>
        <w:t>开户银行：                         开户银行：</w:t>
      </w:r>
    </w:p>
    <w:p>
      <w:pPr>
        <w:ind w:firstLine="480"/>
        <w:rPr>
          <w:rFonts w:hint="eastAsia" w:ascii="宋体" w:hAnsi="宋体" w:cs="宋体"/>
        </w:rPr>
      </w:pPr>
      <w:r>
        <w:rPr>
          <w:rFonts w:hint="eastAsia" w:ascii="宋体" w:hAnsi="宋体" w:cs="宋体"/>
        </w:rPr>
        <w:t>银行账号：                         银行账号：</w:t>
      </w:r>
    </w:p>
    <w:p>
      <w:pPr>
        <w:ind w:firstLine="480"/>
        <w:rPr>
          <w:rFonts w:hint="eastAsia" w:ascii="宋体" w:hAnsi="宋体" w:cs="宋体"/>
        </w:rPr>
        <w:sectPr>
          <w:footerReference r:id="rId12" w:type="default"/>
          <w:footerReference r:id="rId13"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pPr>
        <w:pStyle w:val="3"/>
      </w:pPr>
      <w:bookmarkStart w:id="442" w:name="_Toc11232"/>
      <w:r>
        <w:rPr>
          <w:rFonts w:hint="eastAsia"/>
        </w:rPr>
        <w:t>第六部分</w:t>
      </w:r>
      <w:bookmarkEnd w:id="435"/>
      <w:r>
        <w:rPr>
          <w:rFonts w:hint="eastAsia"/>
        </w:rPr>
        <w:t xml:space="preserve"> </w:t>
      </w:r>
      <w:bookmarkEnd w:id="436"/>
      <w:r>
        <w:rPr>
          <w:rFonts w:hint="eastAsia"/>
        </w:rPr>
        <w:t>应提交的有关格式范例</w:t>
      </w:r>
      <w:bookmarkEnd w:id="440"/>
      <w:bookmarkEnd w:id="441"/>
      <w:bookmarkEnd w:id="442"/>
    </w:p>
    <w:p>
      <w:pPr>
        <w:ind w:firstLine="480"/>
      </w:pPr>
    </w:p>
    <w:p>
      <w:pPr>
        <w:pStyle w:val="2"/>
        <w:rPr>
          <w:rFonts w:hint="eastAsia"/>
        </w:rPr>
      </w:pPr>
      <w:bookmarkStart w:id="443" w:name="_Toc13095"/>
      <w:bookmarkStart w:id="444" w:name="_Toc8900"/>
      <w:r>
        <w:rPr>
          <w:rFonts w:hint="eastAsia"/>
        </w:rPr>
        <w:t>资格文件部分</w:t>
      </w:r>
      <w:bookmarkEnd w:id="443"/>
      <w:bookmarkEnd w:id="444"/>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hint="eastAsia" w:ascii="宋体" w:hAnsi="宋体" w:cs="宋体"/>
        </w:rPr>
      </w:pPr>
      <w:r>
        <w:rPr>
          <w:rFonts w:hint="eastAsia" w:ascii="宋体" w:hAnsi="宋体" w:cs="宋体"/>
        </w:rPr>
        <w:t>（1）符合参加政府采购活动应当具备的一般条件的承诺函……………（页码）</w:t>
      </w:r>
    </w:p>
    <w:p>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rPr>
          <w:rFonts w:hint="eastAsia" w:ascii="宋体" w:hAnsi="宋体" w:cs="宋体"/>
        </w:rPr>
      </w:pPr>
    </w:p>
    <w:p>
      <w:pPr>
        <w:ind w:firstLine="480"/>
        <w:rPr>
          <w:rFonts w:hint="eastAsia" w:ascii="宋体" w:hAnsi="宋体" w:cs="宋体"/>
        </w:rPr>
      </w:pPr>
    </w:p>
    <w:p>
      <w:pPr>
        <w:pStyle w:val="2"/>
        <w:numPr>
          <w:ilvl w:val="0"/>
          <w:numId w:val="3"/>
        </w:numPr>
        <w:rPr>
          <w:rFonts w:hint="eastAsia"/>
        </w:rPr>
      </w:pPr>
      <w:r>
        <w:rPr>
          <w:rFonts w:hint="eastAsia" w:ascii="宋体" w:hAnsi="宋体" w:cs="宋体"/>
          <w:kern w:val="0"/>
          <w:sz w:val="24"/>
        </w:rPr>
        <w:br w:type="page"/>
      </w:r>
      <w:bookmarkStart w:id="445" w:name="_Toc10261"/>
      <w:bookmarkStart w:id="446" w:name="_Toc22040"/>
      <w:r>
        <w:rPr>
          <w:rFonts w:hint="eastAsia"/>
        </w:rPr>
        <w:t>符合参加政府采购活动应当具备的一般条件的承诺函</w:t>
      </w:r>
      <w:bookmarkEnd w:id="445"/>
      <w:bookmarkEnd w:id="446"/>
    </w:p>
    <w:p>
      <w:pPr>
        <w:ind w:firstLine="480"/>
      </w:pPr>
    </w:p>
    <w:p>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ind w:firstLine="480"/>
        <w:rPr>
          <w:rFonts w:hint="eastAsia" w:ascii="宋体" w:hAnsi="宋体" w:cs="宋体"/>
        </w:rPr>
      </w:pPr>
      <w:r>
        <w:rPr>
          <w:rFonts w:hint="eastAsia" w:ascii="宋体" w:hAnsi="宋体" w:cs="宋体"/>
        </w:rPr>
        <w:t>（采购人）、（采购代理机构）：</w:t>
      </w:r>
    </w:p>
    <w:p>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pPr>
        <w:ind w:firstLine="480"/>
        <w:rPr>
          <w:rFonts w:hint="eastAsia" w:ascii="宋体" w:hAnsi="宋体" w:cs="宋体"/>
        </w:rPr>
      </w:pPr>
      <w:r>
        <w:rPr>
          <w:rFonts w:hint="eastAsia" w:ascii="宋体" w:hAnsi="宋体" w:cs="宋体"/>
        </w:rPr>
        <w:t>1、具有独立承担民事责任的能力；</w:t>
      </w:r>
    </w:p>
    <w:p>
      <w:pPr>
        <w:ind w:firstLine="480"/>
        <w:rPr>
          <w:rFonts w:hint="eastAsia" w:ascii="宋体" w:hAnsi="宋体" w:cs="宋体"/>
        </w:rPr>
      </w:pPr>
      <w:r>
        <w:rPr>
          <w:rFonts w:hint="eastAsia" w:ascii="宋体" w:hAnsi="宋体" w:cs="宋体"/>
        </w:rPr>
        <w:t xml:space="preserve">2、具有良好的商业信誉和健全的财务会计制度； </w:t>
      </w:r>
    </w:p>
    <w:p>
      <w:pPr>
        <w:ind w:firstLine="480"/>
        <w:rPr>
          <w:rFonts w:hint="eastAsia" w:ascii="宋体" w:hAnsi="宋体" w:cs="宋体"/>
        </w:rPr>
      </w:pPr>
      <w:r>
        <w:rPr>
          <w:rFonts w:hint="eastAsia" w:ascii="宋体" w:hAnsi="宋体" w:cs="宋体"/>
        </w:rPr>
        <w:t>3、具有履行合同所必需的设备和专业技术能力；</w:t>
      </w:r>
    </w:p>
    <w:p>
      <w:pPr>
        <w:ind w:firstLine="480"/>
        <w:rPr>
          <w:rFonts w:hint="eastAsia" w:ascii="宋体" w:hAnsi="宋体" w:cs="宋体"/>
        </w:rPr>
      </w:pPr>
      <w:r>
        <w:rPr>
          <w:rFonts w:hint="eastAsia" w:ascii="宋体" w:hAnsi="宋体" w:cs="宋体"/>
        </w:rPr>
        <w:t>4、有依法缴纳税收和社会保障资金的良好记录；</w:t>
      </w:r>
    </w:p>
    <w:p>
      <w:pPr>
        <w:ind w:firstLine="480"/>
        <w:rPr>
          <w:rFonts w:hint="eastAsia" w:ascii="宋体" w:hAnsi="宋体" w:cs="宋体"/>
        </w:rPr>
      </w:pPr>
      <w:r>
        <w:rPr>
          <w:rFonts w:hint="eastAsia" w:ascii="宋体" w:hAnsi="宋体" w:cs="宋体"/>
        </w:rPr>
        <w:t>5、参加政府采购活动前三年内，在经营活动中没有重大违法记录；</w:t>
      </w:r>
    </w:p>
    <w:p>
      <w:pPr>
        <w:ind w:firstLine="480"/>
        <w:rPr>
          <w:rFonts w:hint="eastAsia" w:ascii="宋体" w:hAnsi="宋体" w:cs="宋体"/>
        </w:rPr>
      </w:pPr>
      <w:r>
        <w:rPr>
          <w:rFonts w:hint="eastAsia" w:ascii="宋体" w:hAnsi="宋体" w:cs="宋体"/>
        </w:rPr>
        <w:t>6、具有法律、行政法规规定的其他条件。</w:t>
      </w:r>
    </w:p>
    <w:p>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hint="eastAsia" w:ascii="宋体" w:hAnsi="宋体" w:cs="宋体"/>
        </w:rPr>
      </w:pPr>
      <w:r>
        <w:rPr>
          <w:rFonts w:hint="eastAsia" w:ascii="宋体" w:hAnsi="宋体" w:cs="宋体"/>
        </w:rPr>
        <w:t>（三）不存在以下情况：</w:t>
      </w:r>
    </w:p>
    <w:p>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hint="eastAsia" w:ascii="宋体" w:hAnsi="宋体" w:cs="宋体"/>
          <w:kern w:val="0"/>
        </w:rPr>
      </w:pPr>
      <w:r>
        <w:rPr>
          <w:rFonts w:hint="eastAsia" w:ascii="宋体" w:hAnsi="宋体" w:cs="宋体"/>
          <w:kern w:val="0"/>
          <w:lang w:val="zh-CN"/>
        </w:rPr>
        <w:t>投标人名称(电子签名)：</w:t>
      </w:r>
    </w:p>
    <w:p>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right="480" w:firstLine="643"/>
        <w:jc w:val="center"/>
        <w:rPr>
          <w:rFonts w:hint="eastAsia" w:ascii="宋体" w:hAnsi="宋体" w:cs="宋体"/>
          <w:b/>
          <w:kern w:val="0"/>
          <w:sz w:val="32"/>
          <w:szCs w:val="32"/>
        </w:rPr>
      </w:pPr>
    </w:p>
    <w:p>
      <w:pPr>
        <w:ind w:firstLine="0" w:firstLineChars="0"/>
        <w:jc w:val="center"/>
        <w:rPr>
          <w:rFonts w:hint="eastAsia" w:ascii="宋体" w:hAnsi="宋体" w:cs="宋体"/>
          <w:b/>
          <w:color w:val="0000FF"/>
          <w:kern w:val="0"/>
          <w:sz w:val="32"/>
          <w:szCs w:val="32"/>
          <w:lang w:val="zh-CN"/>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pPr>
        <w:ind w:firstLine="0" w:firstLineChars="0"/>
        <w:rPr>
          <w:rFonts w:hint="eastAsia" w:ascii="宋体" w:hAnsi="宋体" w:cs="宋体"/>
        </w:rPr>
      </w:pPr>
      <w:r>
        <w:rPr>
          <w:rFonts w:hint="eastAsia" w:ascii="宋体" w:hAnsi="宋体" w:cs="宋体"/>
        </w:rPr>
        <w:t>（采购人）、（采购代理机构）：</w:t>
      </w:r>
    </w:p>
    <w:p>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pPr>
        <w:ind w:firstLine="480"/>
        <w:rPr>
          <w:rFonts w:hint="eastAsia" w:ascii="宋体" w:hAnsi="宋体" w:cs="宋体"/>
        </w:rPr>
      </w:pPr>
      <w:r>
        <w:rPr>
          <w:rFonts w:hint="eastAsia" w:ascii="宋体" w:hAnsi="宋体" w:cs="宋体"/>
        </w:rPr>
        <w:t>1、具有独立承担民事责任的能力；</w:t>
      </w:r>
    </w:p>
    <w:p>
      <w:pPr>
        <w:ind w:firstLine="480"/>
        <w:rPr>
          <w:rFonts w:hint="eastAsia" w:ascii="宋体" w:hAnsi="宋体" w:cs="宋体"/>
        </w:rPr>
      </w:pPr>
      <w:r>
        <w:rPr>
          <w:rFonts w:hint="eastAsia" w:ascii="宋体" w:hAnsi="宋体" w:cs="宋体"/>
        </w:rPr>
        <w:t xml:space="preserve">2、具有良好的商业信誉和健全的财务会计制度； </w:t>
      </w:r>
    </w:p>
    <w:p>
      <w:pPr>
        <w:ind w:firstLine="480"/>
        <w:rPr>
          <w:rFonts w:hint="eastAsia" w:ascii="宋体" w:hAnsi="宋体" w:cs="宋体"/>
        </w:rPr>
      </w:pPr>
      <w:r>
        <w:rPr>
          <w:rFonts w:hint="eastAsia" w:ascii="宋体" w:hAnsi="宋体" w:cs="宋体"/>
        </w:rPr>
        <w:t>3、具有履行合同所必需的设备和专业技术能力；</w:t>
      </w:r>
    </w:p>
    <w:p>
      <w:pPr>
        <w:ind w:firstLine="480"/>
        <w:rPr>
          <w:rFonts w:hint="eastAsia" w:ascii="宋体" w:hAnsi="宋体" w:cs="宋体"/>
        </w:rPr>
      </w:pPr>
      <w:r>
        <w:rPr>
          <w:rFonts w:hint="eastAsia" w:ascii="宋体" w:hAnsi="宋体" w:cs="宋体"/>
        </w:rPr>
        <w:t>4、有依法缴纳税收和社会保障资金的良好记录；</w:t>
      </w:r>
    </w:p>
    <w:p>
      <w:pPr>
        <w:ind w:firstLine="480"/>
        <w:rPr>
          <w:rFonts w:hint="eastAsia" w:ascii="宋体" w:hAnsi="宋体" w:cs="宋体"/>
        </w:rPr>
      </w:pPr>
      <w:r>
        <w:rPr>
          <w:rFonts w:hint="eastAsia" w:ascii="宋体" w:hAnsi="宋体" w:cs="宋体"/>
        </w:rPr>
        <w:t>5、参加政府采购活动前三年内，在经营活动中没有重大违法记录；</w:t>
      </w:r>
    </w:p>
    <w:p>
      <w:pPr>
        <w:ind w:firstLine="480"/>
        <w:rPr>
          <w:rFonts w:hint="eastAsia" w:ascii="宋体" w:hAnsi="宋体" w:cs="宋体"/>
        </w:rPr>
      </w:pPr>
      <w:r>
        <w:rPr>
          <w:rFonts w:hint="eastAsia" w:ascii="宋体" w:hAnsi="宋体" w:cs="宋体"/>
        </w:rPr>
        <w:t>6、具有法律、行政法规规定的其他条件。</w:t>
      </w:r>
    </w:p>
    <w:p>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hint="eastAsia" w:ascii="宋体" w:hAnsi="宋体" w:cs="宋体"/>
        </w:rPr>
      </w:pPr>
      <w:r>
        <w:rPr>
          <w:rFonts w:hint="eastAsia" w:ascii="宋体" w:hAnsi="宋体" w:cs="宋体"/>
        </w:rPr>
        <w:t>（三）不存在以下情况：</w:t>
      </w:r>
    </w:p>
    <w:p>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480"/>
        <w:rPr>
          <w:rFonts w:hint="eastAsia" w:ascii="宋体" w:hAnsi="宋体" w:cs="宋体"/>
        </w:rPr>
      </w:pPr>
    </w:p>
    <w:p>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hint="eastAsia" w:ascii="宋体" w:hAnsi="宋体" w:cs="宋体"/>
        </w:rPr>
      </w:pP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lang w:val="zh-CN"/>
        </w:rPr>
        <w:t xml:space="preserve">                              日期：  年  月   日</w:t>
      </w: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2"/>
        <w:rPr>
          <w:rFonts w:hint="eastAsia"/>
        </w:rPr>
      </w:pPr>
      <w:bookmarkStart w:id="447" w:name="_Toc27338"/>
      <w:bookmarkStart w:id="448" w:name="_Toc14124"/>
      <w:r>
        <w:rPr>
          <w:rFonts w:hint="eastAsia"/>
        </w:rPr>
        <w:t>二、联合协议（如有）</w:t>
      </w:r>
      <w:bookmarkEnd w:id="447"/>
      <w:bookmarkEnd w:id="448"/>
    </w:p>
    <w:p>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pStyle w:val="2"/>
        <w:rPr>
          <w:rFonts w:hint="eastAsia"/>
        </w:rPr>
      </w:pPr>
      <w:bookmarkStart w:id="449" w:name="_Toc16477"/>
      <w:bookmarkStart w:id="450" w:name="_Toc15398"/>
      <w:r>
        <w:rPr>
          <w:rFonts w:hint="eastAsia"/>
        </w:rPr>
        <w:t>三、落实政府采购政策需满足的资格要求</w:t>
      </w:r>
      <w:bookmarkEnd w:id="449"/>
      <w:bookmarkEnd w:id="450"/>
    </w:p>
    <w:p>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hint="eastAsia" w:ascii="宋体" w:hAnsi="宋体" w:cs="宋体"/>
        </w:rPr>
      </w:pPr>
    </w:p>
    <w:p>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50" w:after="50"/>
        <w:jc w:val="center"/>
        <w:rPr>
          <w:rFonts w:hint="eastAsia" w:ascii="宋体" w:hAnsi="宋体" w:cs="宋体"/>
        </w:rPr>
      </w:pPr>
      <w:r>
        <w:rPr>
          <w:rFonts w:hint="eastAsia" w:ascii="宋体" w:hAnsi="宋体" w:cs="宋体"/>
          <w:b/>
        </w:rPr>
        <w:t xml:space="preserve">    </w:t>
      </w:r>
    </w:p>
    <w:p>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widowControl/>
        <w:ind w:left="150" w:firstLine="643"/>
        <w:jc w:val="center"/>
        <w:rPr>
          <w:rFonts w:hint="eastAsia"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451" w:name="_Toc25980"/>
      <w:bookmarkStart w:id="452" w:name="_Toc25288"/>
      <w:r>
        <w:rPr>
          <w:rFonts w:hint="eastAsia"/>
        </w:rPr>
        <w:t>四、本项目的特定资格要求</w:t>
      </w:r>
      <w:bookmarkEnd w:id="451"/>
      <w:bookmarkEnd w:id="452"/>
    </w:p>
    <w:p>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pPr>
        <w:ind w:firstLine="480"/>
        <w:rPr>
          <w:rFonts w:hint="eastAsia" w:ascii="宋体" w:hAnsi="宋体" w:cs="宋体"/>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firstLine="480"/>
      </w:pPr>
    </w:p>
    <w:p>
      <w:pPr>
        <w:ind w:right="480" w:firstLine="643"/>
        <w:jc w:val="center"/>
        <w:rPr>
          <w:rFonts w:hint="eastAsia" w:ascii="宋体" w:hAnsi="宋体" w:cs="宋体"/>
          <w:b/>
          <w:kern w:val="0"/>
          <w:sz w:val="32"/>
          <w:szCs w:val="32"/>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453" w:name="_Toc933"/>
      <w:bookmarkStart w:id="454" w:name="_Toc18377"/>
      <w:r>
        <w:rPr>
          <w:rFonts w:hint="eastAsia"/>
        </w:rPr>
        <w:t>商务技术文件部分</w:t>
      </w:r>
      <w:bookmarkEnd w:id="453"/>
      <w:bookmarkEnd w:id="454"/>
    </w:p>
    <w:p>
      <w:pPr>
        <w:ind w:firstLine="480"/>
      </w:pPr>
    </w:p>
    <w:p>
      <w:pPr>
        <w:ind w:firstLine="0" w:firstLineChars="0"/>
        <w:jc w:val="center"/>
        <w:rPr>
          <w:b/>
          <w:bCs/>
          <w:sz w:val="36"/>
          <w:szCs w:val="36"/>
        </w:rPr>
      </w:pPr>
      <w:r>
        <w:rPr>
          <w:rFonts w:hint="eastAsia"/>
          <w:b/>
          <w:bCs/>
          <w:sz w:val="36"/>
          <w:szCs w:val="36"/>
        </w:rPr>
        <w:t>目录</w:t>
      </w:r>
    </w:p>
    <w:p>
      <w:pPr>
        <w:numPr>
          <w:ilvl w:val="0"/>
          <w:numId w:val="4"/>
        </w:numPr>
        <w:ind w:left="7" w:hanging="7" w:firstLineChars="0"/>
        <w:jc w:val="left"/>
        <w:rPr>
          <w:rFonts w:hint="eastAsia" w:ascii="宋体" w:hAnsi="宋体" w:cs="宋体"/>
        </w:rPr>
      </w:pPr>
      <w:r>
        <w:rPr>
          <w:rFonts w:hint="eastAsia" w:ascii="宋体" w:hAnsi="宋体" w:cs="宋体"/>
        </w:rPr>
        <w:t>投标函……………………………………………………………………（页码）</w:t>
      </w:r>
    </w:p>
    <w:p>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pPr>
        <w:ind w:left="7" w:hanging="7" w:firstLineChars="0"/>
        <w:jc w:val="left"/>
        <w:rPr>
          <w:rFonts w:hint="eastAsia" w:ascii="宋体" w:hAnsi="宋体" w:cs="宋体"/>
        </w:rPr>
      </w:pPr>
      <w:r>
        <w:rPr>
          <w:rFonts w:hint="eastAsia" w:ascii="宋体" w:hAnsi="宋体" w:cs="宋体"/>
        </w:rPr>
        <w:t>（3）联合协议…………………………………………………………………（页码）</w:t>
      </w:r>
    </w:p>
    <w:p>
      <w:pPr>
        <w:ind w:left="7" w:hanging="7" w:firstLineChars="0"/>
        <w:jc w:val="left"/>
        <w:rPr>
          <w:rFonts w:hint="eastAsia" w:ascii="宋体" w:hAnsi="宋体" w:cs="宋体"/>
        </w:rPr>
      </w:pPr>
      <w:r>
        <w:rPr>
          <w:rFonts w:hint="eastAsia" w:ascii="宋体" w:hAnsi="宋体" w:cs="宋体"/>
        </w:rPr>
        <w:t>（4）分包意向协议……………………………………………………………（页码）</w:t>
      </w:r>
    </w:p>
    <w:p>
      <w:pPr>
        <w:ind w:left="7" w:hanging="7" w:firstLineChars="0"/>
        <w:jc w:val="left"/>
        <w:rPr>
          <w:rFonts w:hint="eastAsia" w:ascii="宋体" w:hAnsi="宋体" w:cs="宋体"/>
        </w:rPr>
      </w:pPr>
      <w:r>
        <w:rPr>
          <w:rFonts w:hint="eastAsia" w:ascii="宋体" w:hAnsi="宋体" w:cs="宋体"/>
        </w:rPr>
        <w:t>（5）评标标准相应的商务技术资料…………………………………………（页码）（6）商务偏离表………………………………………………………………（页码）（7）技术偏离表………………………………………………………………（页码）</w:t>
      </w:r>
    </w:p>
    <w:p>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pPr>
        <w:ind w:left="7" w:hanging="7" w:firstLineChars="0"/>
        <w:jc w:val="left"/>
        <w:rPr>
          <w:rFonts w:hint="eastAsia" w:ascii="宋体" w:hAnsi="宋体" w:cs="宋体"/>
        </w:rPr>
      </w:pPr>
    </w:p>
    <w:p>
      <w:pPr>
        <w:ind w:firstLine="480"/>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ind w:firstLine="643"/>
        <w:jc w:val="center"/>
        <w:rPr>
          <w:rFonts w:hint="eastAsia" w:ascii="宋体" w:hAnsi="宋体" w:cs="宋体"/>
          <w:b/>
          <w:kern w:val="0"/>
          <w:sz w:val="32"/>
          <w:szCs w:val="32"/>
          <w:lang w:val="zh-CN"/>
        </w:rPr>
      </w:pPr>
    </w:p>
    <w:p>
      <w:pPr>
        <w:pStyle w:val="2"/>
        <w:rPr>
          <w:rFonts w:hint="eastAsia"/>
        </w:rPr>
      </w:pPr>
      <w:bookmarkStart w:id="455" w:name="_Toc624"/>
      <w:bookmarkStart w:id="456" w:name="_Toc8786"/>
      <w:r>
        <w:rPr>
          <w:rFonts w:hint="eastAsia"/>
        </w:rPr>
        <w:t>一、投标函</w:t>
      </w:r>
      <w:bookmarkEnd w:id="455"/>
      <w:bookmarkEnd w:id="456"/>
    </w:p>
    <w:p>
      <w:pPr>
        <w:ind w:firstLine="0" w:firstLineChars="0"/>
        <w:rPr>
          <w:rFonts w:hint="eastAsia" w:ascii="宋体" w:hAnsi="宋体" w:cs="宋体"/>
        </w:rPr>
      </w:pPr>
      <w:r>
        <w:rPr>
          <w:rFonts w:hint="eastAsia" w:ascii="宋体" w:hAnsi="宋体" w:cs="宋体"/>
        </w:rPr>
        <w:t>（采购人）、（采购代理机构）：</w:t>
      </w:r>
    </w:p>
    <w:p>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rPr>
          <w:rFonts w:hint="eastAsia" w:ascii="宋体" w:hAnsi="宋体" w:cs="宋体"/>
        </w:rPr>
      </w:pPr>
      <w:r>
        <w:rPr>
          <w:rFonts w:hint="eastAsia" w:ascii="宋体" w:hAnsi="宋体" w:cs="宋体"/>
        </w:rPr>
        <w:t>2、我方的投标文件包括以下内容：</w:t>
      </w:r>
    </w:p>
    <w:p>
      <w:pPr>
        <w:ind w:left="240" w:leftChars="100" w:firstLine="480"/>
        <w:rPr>
          <w:rFonts w:hint="eastAsia" w:ascii="宋体" w:hAnsi="宋体" w:cs="宋体"/>
        </w:rPr>
      </w:pPr>
      <w:r>
        <w:rPr>
          <w:rFonts w:hint="eastAsia" w:ascii="宋体" w:hAnsi="宋体" w:cs="宋体"/>
        </w:rPr>
        <w:t>2.1资格文件：</w:t>
      </w:r>
    </w:p>
    <w:p>
      <w:pPr>
        <w:ind w:left="480" w:leftChars="200" w:firstLine="480"/>
        <w:rPr>
          <w:rFonts w:hint="eastAsia" w:ascii="宋体" w:hAnsi="宋体" w:cs="宋体"/>
        </w:rPr>
      </w:pPr>
      <w:r>
        <w:rPr>
          <w:rFonts w:hint="eastAsia" w:ascii="宋体" w:hAnsi="宋体" w:cs="宋体"/>
        </w:rPr>
        <w:t>2.1.1承诺函；</w:t>
      </w:r>
    </w:p>
    <w:p>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7" w:name="_Hlk101257010"/>
      <w:r>
        <w:rPr>
          <w:rFonts w:hint="eastAsia" w:ascii="宋体" w:hAnsi="宋体" w:cs="宋体"/>
          <w:snapToGrid w:val="0"/>
          <w:kern w:val="28"/>
          <w:szCs w:val="20"/>
        </w:rPr>
        <w:t>（如有)</w:t>
      </w:r>
      <w:bookmarkEnd w:id="457"/>
    </w:p>
    <w:p>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rPr>
          <w:rFonts w:hint="eastAsia" w:ascii="宋体" w:hAnsi="宋体" w:cs="宋体"/>
        </w:rPr>
      </w:pPr>
      <w:r>
        <w:rPr>
          <w:rFonts w:hint="eastAsia" w:ascii="宋体" w:hAnsi="宋体" w:cs="宋体"/>
        </w:rPr>
        <w:t>2.2.2授权委托书或法定代表人（单位负责人）身份证明；</w:t>
      </w:r>
    </w:p>
    <w:p>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ind w:left="480" w:leftChars="200" w:firstLine="480"/>
        <w:rPr>
          <w:rFonts w:hint="eastAsia" w:ascii="宋体" w:hAnsi="宋体" w:cs="宋体"/>
        </w:rPr>
      </w:pPr>
      <w:r>
        <w:rPr>
          <w:rFonts w:hint="eastAsia" w:ascii="宋体" w:hAnsi="宋体" w:cs="宋体"/>
        </w:rPr>
        <w:t>2.2.4分包意向协议（如有）；</w:t>
      </w:r>
    </w:p>
    <w:p>
      <w:pPr>
        <w:ind w:left="480" w:leftChars="200" w:firstLine="480"/>
        <w:rPr>
          <w:rFonts w:hint="eastAsia" w:ascii="宋体" w:hAnsi="宋体" w:cs="宋体"/>
        </w:rPr>
      </w:pPr>
      <w:r>
        <w:rPr>
          <w:rFonts w:hint="eastAsia" w:ascii="宋体" w:hAnsi="宋体" w:cs="宋体"/>
        </w:rPr>
        <w:t>2.2.5评标标准相应的商务技术资料；</w:t>
      </w:r>
    </w:p>
    <w:p>
      <w:pPr>
        <w:ind w:left="480" w:leftChars="200" w:firstLine="480"/>
        <w:rPr>
          <w:rFonts w:hint="eastAsia" w:ascii="宋体" w:hAnsi="宋体" w:cs="宋体"/>
        </w:rPr>
      </w:pPr>
      <w:r>
        <w:rPr>
          <w:rFonts w:hint="eastAsia" w:ascii="宋体" w:hAnsi="宋体" w:cs="宋体"/>
        </w:rPr>
        <w:t>2.2.6商务偏离表；</w:t>
      </w:r>
    </w:p>
    <w:p>
      <w:pPr>
        <w:ind w:left="480" w:leftChars="200" w:firstLine="480"/>
      </w:pPr>
      <w:r>
        <w:rPr>
          <w:rFonts w:hint="eastAsia" w:ascii="宋体" w:hAnsi="宋体" w:cs="宋体"/>
        </w:rPr>
        <w:t>2.2.7技术偏离表；</w:t>
      </w:r>
    </w:p>
    <w:p>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left="480" w:leftChars="200" w:firstLine="480"/>
        <w:rPr>
          <w:rFonts w:hint="eastAsia"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rPr>
          <w:rFonts w:hint="eastAsia" w:ascii="宋体" w:hAnsi="宋体" w:cs="宋体"/>
        </w:rPr>
      </w:pPr>
      <w:r>
        <w:rPr>
          <w:rFonts w:hint="eastAsia" w:ascii="宋体" w:hAnsi="宋体" w:cs="宋体"/>
        </w:rPr>
        <w:t>2.3.1开标一览表（报价表）；</w:t>
      </w:r>
    </w:p>
    <w:p>
      <w:pPr>
        <w:ind w:left="480" w:leftChars="200" w:firstLine="480"/>
        <w:rPr>
          <w:rFonts w:hint="eastAsia" w:ascii="宋体" w:hAnsi="宋体" w:cs="宋体"/>
        </w:rPr>
      </w:pPr>
      <w:r>
        <w:rPr>
          <w:rFonts w:hint="eastAsia" w:ascii="宋体" w:hAnsi="宋体" w:cs="宋体"/>
        </w:rPr>
        <w:t>2.3.2中小企业声明函（如适用）。</w:t>
      </w:r>
    </w:p>
    <w:p>
      <w:pPr>
        <w:ind w:firstLine="480"/>
        <w:rPr>
          <w:rFonts w:hint="eastAsia" w:ascii="宋体" w:hAnsi="宋体" w:cs="宋体"/>
        </w:rPr>
      </w:pPr>
      <w:r>
        <w:rPr>
          <w:rFonts w:hint="eastAsia" w:ascii="宋体" w:hAnsi="宋体" w:cs="宋体"/>
        </w:rPr>
        <w:t>3、我方承诺除商务技术偏离表列出的偏离外，我方响应招标文件的全部要求。</w:t>
      </w:r>
    </w:p>
    <w:p>
      <w:pPr>
        <w:ind w:firstLine="480"/>
        <w:rPr>
          <w:rFonts w:hint="eastAsia" w:ascii="宋体" w:hAnsi="宋体" w:cs="宋体"/>
        </w:rPr>
      </w:pPr>
      <w:r>
        <w:rPr>
          <w:rFonts w:hint="eastAsia" w:ascii="宋体" w:hAnsi="宋体" w:cs="宋体"/>
        </w:rPr>
        <w:t>4、如我方中标，我方承诺：</w:t>
      </w:r>
    </w:p>
    <w:p>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rPr>
          <w:rFonts w:hint="eastAsia" w:ascii="宋体" w:hAnsi="宋体" w:cs="宋体"/>
        </w:rPr>
      </w:pPr>
      <w:r>
        <w:rPr>
          <w:rFonts w:hint="eastAsia" w:ascii="宋体" w:hAnsi="宋体" w:cs="宋体"/>
        </w:rPr>
        <w:t xml:space="preserve">4.2在签订合同时不向你方提出附加条件； </w:t>
      </w:r>
    </w:p>
    <w:p>
      <w:pPr>
        <w:ind w:left="240" w:leftChars="100" w:firstLine="480"/>
        <w:rPr>
          <w:rFonts w:hint="eastAsia" w:ascii="宋体" w:hAnsi="宋体" w:cs="宋体"/>
        </w:rPr>
      </w:pPr>
      <w:r>
        <w:rPr>
          <w:rFonts w:hint="eastAsia" w:ascii="宋体" w:hAnsi="宋体" w:cs="宋体"/>
        </w:rPr>
        <w:t xml:space="preserve">4.3按照招标文件要求提交履约保证金； </w:t>
      </w:r>
    </w:p>
    <w:p>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23"/>
        <w:ind w:firstLine="0" w:firstLineChars="0"/>
      </w:pPr>
    </w:p>
    <w:p>
      <w:pPr>
        <w:pStyle w:val="60"/>
        <w:ind w:firstLine="480"/>
      </w:pPr>
    </w:p>
    <w:p>
      <w:pPr>
        <w:ind w:firstLine="480"/>
      </w:pPr>
    </w:p>
    <w:p>
      <w:pPr>
        <w:ind w:firstLine="3840" w:firstLineChars="1600"/>
        <w:rPr>
          <w:rFonts w:hint="eastAsia" w:ascii="宋体" w:hAnsi="宋体" w:cs="宋体"/>
        </w:rPr>
      </w:pPr>
      <w:r>
        <w:rPr>
          <w:rFonts w:hint="eastAsia" w:ascii="宋体" w:hAnsi="宋体" w:cs="宋体"/>
        </w:rPr>
        <w:t xml:space="preserve">投标人名称（电子签名）：                          </w:t>
      </w:r>
    </w:p>
    <w:p>
      <w:pPr>
        <w:ind w:firstLine="480"/>
        <w:jc w:val="center"/>
        <w:rPr>
          <w:rFonts w:hint="eastAsia" w:ascii="宋体" w:hAnsi="宋体" w:cs="宋体"/>
        </w:rPr>
      </w:pPr>
      <w:r>
        <w:rPr>
          <w:rFonts w:hint="eastAsia" w:ascii="宋体" w:hAnsi="宋体" w:cs="宋体"/>
        </w:rPr>
        <w:t xml:space="preserve">           日期：  年   月   日</w:t>
      </w:r>
    </w:p>
    <w:p>
      <w:pPr>
        <w:ind w:left="480" w:leftChars="200" w:firstLine="4200" w:firstLineChars="1750"/>
        <w:rPr>
          <w:rFonts w:hint="eastAsia" w:ascii="宋体" w:hAnsi="宋体" w:cs="宋体"/>
          <w:kern w:val="0"/>
          <w:u w:val="single"/>
        </w:rPr>
      </w:pPr>
    </w:p>
    <w:p>
      <w:pPr>
        <w:ind w:right="420" w:firstLine="480"/>
        <w:rPr>
          <w:rFonts w:hint="eastAsia" w:ascii="宋体" w:hAnsi="宋体" w:cs="宋体"/>
        </w:rPr>
      </w:pPr>
      <w:r>
        <w:rPr>
          <w:rFonts w:hint="eastAsia" w:ascii="宋体" w:hAnsi="宋体" w:cs="宋体"/>
        </w:rPr>
        <w:t>注：按本格式和要求提供。</w:t>
      </w:r>
    </w:p>
    <w:p>
      <w:pPr>
        <w:ind w:firstLine="643"/>
        <w:jc w:val="center"/>
        <w:rPr>
          <w:rFonts w:hint="eastAsia" w:ascii="宋体" w:hAnsi="宋体" w:cs="宋体"/>
          <w:b/>
          <w:kern w:val="0"/>
          <w:sz w:val="32"/>
          <w:szCs w:val="32"/>
        </w:rPr>
      </w:pPr>
    </w:p>
    <w:p>
      <w:pPr>
        <w:ind w:firstLine="480"/>
        <w:rPr>
          <w:rFonts w:hint="eastAsia" w:ascii="宋体" w:hAnsi="宋体" w:cs="宋体"/>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pStyle w:val="2"/>
        <w:rPr>
          <w:rFonts w:hint="eastAsia"/>
        </w:rPr>
      </w:pPr>
      <w:bookmarkStart w:id="458" w:name="_Toc27417"/>
      <w:bookmarkStart w:id="459" w:name="_Toc17110"/>
      <w:r>
        <w:rPr>
          <w:rFonts w:hint="eastAsia"/>
        </w:rPr>
        <w:t>二、授权委托书或法定代表人（单位负责人、自然人本人）身份证明</w:t>
      </w:r>
      <w:bookmarkEnd w:id="458"/>
      <w:bookmarkEnd w:id="459"/>
    </w:p>
    <w:p>
      <w:pPr>
        <w:ind w:firstLine="480"/>
        <w:rPr>
          <w:rFonts w:hint="eastAsia" w:ascii="宋体" w:hAnsi="宋体" w:cs="宋体"/>
        </w:rPr>
      </w:pPr>
      <w:r>
        <w:rPr>
          <w:rFonts w:hint="eastAsia" w:ascii="宋体" w:hAnsi="宋体" w:cs="宋体"/>
        </w:rPr>
        <w:t xml:space="preserve">                                </w:t>
      </w:r>
    </w:p>
    <w:p>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2"/>
        <w:spacing w:line="360" w:lineRule="auto"/>
        <w:rPr>
          <w:rFonts w:hint="eastAsia" w:hAnsi="宋体" w:cs="宋体"/>
          <w:kern w:val="0"/>
          <w:sz w:val="24"/>
          <w:lang w:val="zh-CN"/>
        </w:rPr>
      </w:pPr>
      <w:r>
        <w:rPr>
          <w:rFonts w:hint="eastAsia" w:hAnsi="宋体" w:cs="宋体"/>
          <w:kern w:val="0"/>
          <w:sz w:val="24"/>
          <w:lang w:val="zh-CN"/>
        </w:rPr>
        <w:t xml:space="preserve">   </w:t>
      </w:r>
    </w:p>
    <w:p>
      <w:pPr>
        <w:pStyle w:val="152"/>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hAnsi="宋体" w:cs="宋体"/>
                <w:bCs/>
                <w:sz w:val="24"/>
              </w:rPr>
            </w:pPr>
            <w:r>
              <w:rPr>
                <w:rFonts w:hint="eastAsia" w:hAnsi="宋体" w:cs="宋体"/>
                <w:bCs/>
                <w:sz w:val="24"/>
              </w:rPr>
              <w:t>正面：                               反面：</w:t>
            </w:r>
          </w:p>
          <w:p>
            <w:pPr>
              <w:pStyle w:val="152"/>
              <w:adjustRightInd w:val="0"/>
              <w:spacing w:line="360" w:lineRule="auto"/>
              <w:rPr>
                <w:rFonts w:hint="eastAsia" w:hAnsi="宋体" w:cs="宋体"/>
                <w:bCs/>
                <w:sz w:val="24"/>
              </w:rPr>
            </w:pPr>
          </w:p>
        </w:tc>
      </w:tr>
    </w:tbl>
    <w:p>
      <w:pPr>
        <w:ind w:firstLine="480"/>
        <w:rPr>
          <w:rFonts w:hint="eastAsia" w:ascii="宋体" w:hAnsi="宋体" w:cs="宋体"/>
          <w:kern w:val="0"/>
          <w:lang w:val="zh-CN"/>
        </w:rPr>
      </w:pPr>
      <w:r>
        <w:rPr>
          <w:rFonts w:hint="eastAsia" w:ascii="宋体" w:hAnsi="宋体" w:cs="宋体"/>
          <w:kern w:val="0"/>
          <w:lang w:val="zh-CN"/>
        </w:rPr>
        <w:t xml:space="preserve">                                             </w:t>
      </w:r>
    </w:p>
    <w:p>
      <w:pPr>
        <w:pStyle w:val="23"/>
        <w:ind w:firstLine="480"/>
      </w:pPr>
    </w:p>
    <w:p>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pPr>
        <w:ind w:firstLine="480"/>
        <w:rPr>
          <w:rFonts w:hint="eastAsia" w:ascii="宋体" w:hAnsi="宋体" w:cs="宋体"/>
        </w:rPr>
      </w:pPr>
    </w:p>
    <w:p>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hint="eastAsia" w:ascii="宋体" w:hAnsi="宋体" w:cs="宋体"/>
          <w:kern w:val="0"/>
        </w:rPr>
      </w:pPr>
      <w:r>
        <w:rPr>
          <w:rFonts w:hint="eastAsia" w:ascii="宋体" w:hAnsi="宋体" w:cs="宋体"/>
          <w:kern w:val="0"/>
          <w:lang w:val="zh-CN"/>
        </w:rPr>
        <w:t>特此告知。</w:t>
      </w:r>
    </w:p>
    <w:p>
      <w:pPr>
        <w:pStyle w:val="152"/>
        <w:spacing w:line="360" w:lineRule="auto"/>
        <w:rPr>
          <w:rFonts w:hint="eastAsia" w:hAnsi="宋体" w:cs="宋体"/>
          <w:kern w:val="0"/>
          <w:sz w:val="24"/>
          <w:lang w:val="zh-CN"/>
        </w:rPr>
      </w:pPr>
    </w:p>
    <w:p>
      <w:pPr>
        <w:pStyle w:val="152"/>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hAnsi="宋体" w:cs="宋体"/>
                <w:bCs/>
                <w:sz w:val="24"/>
              </w:rPr>
            </w:pPr>
            <w:r>
              <w:rPr>
                <w:rFonts w:hint="eastAsia" w:hAnsi="宋体" w:cs="宋体"/>
                <w:bCs/>
                <w:sz w:val="24"/>
              </w:rPr>
              <w:t>正面：                               反面：</w:t>
            </w:r>
          </w:p>
          <w:p>
            <w:pPr>
              <w:pStyle w:val="152"/>
              <w:adjustRightInd w:val="0"/>
              <w:spacing w:line="360" w:lineRule="auto"/>
              <w:rPr>
                <w:rFonts w:hint="eastAsia" w:hAnsi="宋体" w:cs="宋体"/>
                <w:bCs/>
                <w:sz w:val="24"/>
              </w:rPr>
            </w:pPr>
          </w:p>
        </w:tc>
      </w:tr>
    </w:tbl>
    <w:p>
      <w:pPr>
        <w:ind w:firstLine="643"/>
        <w:jc w:val="center"/>
        <w:rPr>
          <w:rFonts w:hint="eastAsia" w:ascii="宋体" w:hAnsi="宋体" w:cs="宋体"/>
          <w:b/>
          <w:kern w:val="0"/>
          <w:sz w:val="32"/>
          <w:szCs w:val="32"/>
        </w:rPr>
      </w:pPr>
    </w:p>
    <w:p>
      <w:pPr>
        <w:ind w:firstLine="480"/>
        <w:rPr>
          <w:rFonts w:hint="eastAsia" w:ascii="宋体" w:hAnsi="宋体" w:cs="宋体"/>
        </w:rPr>
      </w:pPr>
    </w:p>
    <w:p>
      <w:pPr>
        <w:pStyle w:val="23"/>
        <w:ind w:firstLine="480"/>
      </w:pPr>
    </w:p>
    <w:p>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hint="eastAsia" w:ascii="宋体" w:hAnsi="宋体" w:cs="宋体"/>
        </w:rPr>
      </w:pP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lang w:val="zh-CN"/>
        </w:rPr>
        <w:t xml:space="preserve">                                   日期：  年  月   日</w:t>
      </w:r>
    </w:p>
    <w:p>
      <w:pPr>
        <w:autoSpaceDE w:val="0"/>
        <w:autoSpaceDN w:val="0"/>
        <w:ind w:firstLine="643"/>
        <w:jc w:val="center"/>
        <w:rPr>
          <w:rFonts w:hint="eastAsia" w:ascii="宋体" w:hAnsi="宋体" w:cs="宋体"/>
          <w:b/>
          <w:kern w:val="0"/>
          <w:sz w:val="32"/>
          <w:szCs w:val="32"/>
          <w:lang w:val="zh-CN"/>
        </w:rPr>
      </w:pPr>
    </w:p>
    <w:p>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hAnsi="宋体" w:cs="宋体"/>
                <w:bCs/>
                <w:sz w:val="24"/>
              </w:rPr>
            </w:pPr>
            <w:r>
              <w:rPr>
                <w:rFonts w:hint="eastAsia" w:hAnsi="宋体" w:cs="宋体"/>
                <w:bCs/>
                <w:sz w:val="24"/>
              </w:rPr>
              <w:t>正面：                                 反面：</w:t>
            </w:r>
          </w:p>
          <w:p>
            <w:pPr>
              <w:pStyle w:val="152"/>
              <w:adjustRightInd w:val="0"/>
              <w:spacing w:line="360" w:lineRule="auto"/>
              <w:rPr>
                <w:rFonts w:hint="eastAsia" w:hAnsi="宋体" w:cs="宋体"/>
                <w:bCs/>
                <w:sz w:val="24"/>
              </w:rPr>
            </w:pPr>
          </w:p>
        </w:tc>
      </w:tr>
    </w:tbl>
    <w:p>
      <w:pPr>
        <w:ind w:firstLine="480"/>
        <w:jc w:val="center"/>
        <w:rPr>
          <w:rFonts w:hint="eastAsia" w:ascii="宋体" w:hAnsi="宋体" w:cs="宋体"/>
          <w:kern w:val="0"/>
          <w:lang w:val="zh-CN"/>
        </w:rPr>
      </w:pPr>
      <w:r>
        <w:rPr>
          <w:rFonts w:hint="eastAsia" w:ascii="宋体" w:hAnsi="宋体" w:cs="宋体"/>
          <w:kern w:val="0"/>
          <w:lang w:val="zh-CN"/>
        </w:rPr>
        <w:t xml:space="preserve">                 </w:t>
      </w:r>
    </w:p>
    <w:p>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pStyle w:val="2"/>
        <w:rPr>
          <w:rFonts w:hint="eastAsia"/>
        </w:rPr>
      </w:pPr>
      <w:bookmarkStart w:id="460" w:name="_Toc12686"/>
      <w:bookmarkStart w:id="461" w:name="_Toc26755"/>
      <w:r>
        <w:rPr>
          <w:rFonts w:hint="eastAsia"/>
          <w:lang w:val="en-US"/>
        </w:rPr>
        <w:t>三</w:t>
      </w:r>
      <w:r>
        <w:rPr>
          <w:rFonts w:hint="eastAsia"/>
        </w:rPr>
        <w:t>、联合协议（如有）</w:t>
      </w:r>
      <w:bookmarkEnd w:id="460"/>
      <w:bookmarkEnd w:id="461"/>
    </w:p>
    <w:p>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3"/>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pPr>
        <w:pStyle w:val="2"/>
        <w:rPr>
          <w:rFonts w:hint="eastAsia"/>
        </w:rPr>
      </w:pPr>
      <w:bookmarkStart w:id="462" w:name="_Toc11086"/>
      <w:bookmarkStart w:id="463" w:name="_Toc15871"/>
      <w:r>
        <w:rPr>
          <w:rFonts w:hint="eastAsia"/>
          <w:lang w:val="en-US"/>
        </w:rPr>
        <w:t>四</w:t>
      </w:r>
      <w:r>
        <w:rPr>
          <w:rFonts w:hint="eastAsia"/>
        </w:rPr>
        <w:t>、分包意向协议（如有）</w:t>
      </w:r>
      <w:bookmarkEnd w:id="462"/>
      <w:bookmarkEnd w:id="463"/>
    </w:p>
    <w:p>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464" w:name="_Toc29359"/>
      <w:bookmarkStart w:id="465" w:name="_Toc20008"/>
      <w:r>
        <w:rPr>
          <w:rFonts w:hint="eastAsia"/>
          <w:lang w:val="en-US"/>
        </w:rPr>
        <w:t>五</w:t>
      </w:r>
      <w:r>
        <w:rPr>
          <w:rFonts w:hint="eastAsia"/>
        </w:rPr>
        <w:t>、评标标准相应的商务技术资料</w:t>
      </w:r>
      <w:bookmarkEnd w:id="464"/>
      <w:bookmarkEnd w:id="465"/>
    </w:p>
    <w:p>
      <w:pPr>
        <w:jc w:val="center"/>
        <w:rPr>
          <w:rFonts w:hint="eastAsia" w:ascii="宋体" w:hAnsi="宋体" w:cs="宋体"/>
          <w:b/>
        </w:rPr>
      </w:pPr>
      <w:r>
        <w:rPr>
          <w:rFonts w:hint="eastAsia" w:ascii="宋体" w:hAnsi="宋体" w:cs="宋体"/>
          <w:b/>
        </w:rPr>
        <w:t>（按招标文件第四部分评标办法中评标标准提供资料。）</w:t>
      </w: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2"/>
        <w:rPr>
          <w:rFonts w:hint="eastAsia"/>
        </w:rPr>
      </w:pPr>
      <w:bookmarkStart w:id="466" w:name="_Toc5985"/>
      <w:bookmarkStart w:id="467" w:name="_Toc10001"/>
      <w:bookmarkStart w:id="468" w:name="_Toc18478"/>
      <w:r>
        <w:rPr>
          <w:rFonts w:hint="eastAsia"/>
          <w:lang w:val="en-US"/>
        </w:rPr>
        <w:t>六、</w:t>
      </w:r>
      <w:r>
        <w:rPr>
          <w:rFonts w:hint="eastAsia"/>
        </w:rPr>
        <w:t>商务</w:t>
      </w:r>
      <w:r>
        <w:rPr>
          <w:rFonts w:hint="eastAsia"/>
          <w:lang w:val="en-US"/>
        </w:rPr>
        <w:t>偏离</w:t>
      </w:r>
      <w:r>
        <w:rPr>
          <w:rFonts w:hint="eastAsia"/>
        </w:rPr>
        <w:t>表</w:t>
      </w:r>
      <w:bookmarkEnd w:id="466"/>
      <w:bookmarkEnd w:id="467"/>
      <w:bookmarkEnd w:id="46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hint="eastAsia" w:ascii="宋体" w:hAnsi="宋体" w:cs="宋体"/>
          <w:b/>
          <w:kern w:val="0"/>
          <w:sz w:val="32"/>
          <w:szCs w:val="32"/>
        </w:rPr>
      </w:pPr>
    </w:p>
    <w:p>
      <w:pPr>
        <w:ind w:firstLine="480"/>
      </w:pPr>
    </w:p>
    <w:p>
      <w:pPr>
        <w:ind w:firstLine="5160" w:firstLineChars="2150"/>
        <w:rPr>
          <w:rFonts w:hint="eastAsia" w:ascii="宋体" w:hAnsi="宋体" w:cs="宋体"/>
          <w:kern w:val="0"/>
        </w:rPr>
      </w:pPr>
      <w:r>
        <w:rPr>
          <w:rFonts w:hint="eastAsia" w:ascii="宋体" w:hAnsi="宋体" w:cs="宋体"/>
          <w:kern w:val="0"/>
          <w:lang w:val="zh-CN"/>
        </w:rPr>
        <w:t>投标人名称(电子签名)：</w:t>
      </w:r>
    </w:p>
    <w:p>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2"/>
        <w:rPr>
          <w:rFonts w:hint="eastAsia"/>
        </w:rPr>
      </w:pPr>
      <w:bookmarkStart w:id="469" w:name="_Toc13710"/>
      <w:bookmarkStart w:id="470" w:name="_Toc29279"/>
      <w:r>
        <w:rPr>
          <w:rFonts w:hint="eastAsia"/>
          <w:lang w:val="en-US"/>
        </w:rPr>
        <w:t>七、技术偏离</w:t>
      </w:r>
      <w:r>
        <w:rPr>
          <w:rFonts w:hint="eastAsia"/>
        </w:rPr>
        <w:t>表</w:t>
      </w:r>
      <w:bookmarkEnd w:id="469"/>
      <w:bookmarkEnd w:id="47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hint="eastAsia" w:ascii="宋体" w:hAnsi="宋体" w:cs="宋体"/>
          <w:b/>
          <w:kern w:val="0"/>
          <w:sz w:val="32"/>
          <w:szCs w:val="32"/>
        </w:rPr>
      </w:pPr>
    </w:p>
    <w:p>
      <w:pPr>
        <w:ind w:firstLine="480"/>
      </w:pPr>
    </w:p>
    <w:p>
      <w:pPr>
        <w:ind w:firstLine="5160" w:firstLineChars="2150"/>
        <w:rPr>
          <w:rFonts w:hint="eastAsia" w:ascii="宋体" w:hAnsi="宋体" w:cs="宋体"/>
          <w:kern w:val="0"/>
        </w:rPr>
      </w:pPr>
      <w:r>
        <w:rPr>
          <w:rFonts w:hint="eastAsia" w:ascii="宋体" w:hAnsi="宋体" w:cs="宋体"/>
          <w:kern w:val="0"/>
          <w:lang w:val="zh-CN"/>
        </w:rPr>
        <w:t>投标人名称(电子签名)：</w:t>
      </w:r>
    </w:p>
    <w:p>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2"/>
        <w:rPr>
          <w:rFonts w:hint="eastAsia" w:ascii="宋体" w:hAnsi="宋体" w:cs="宋体"/>
          <w:kern w:val="0"/>
          <w:sz w:val="32"/>
        </w:rPr>
      </w:pPr>
      <w:bookmarkStart w:id="471" w:name="_Toc22522"/>
      <w:bookmarkStart w:id="472" w:name="_Toc1831"/>
      <w:r>
        <w:rPr>
          <w:rFonts w:hint="eastAsia" w:ascii="宋体" w:hAnsi="宋体" w:cs="宋体"/>
          <w:sz w:val="32"/>
          <w:lang w:val="en-US"/>
        </w:rPr>
        <w:t>八</w:t>
      </w:r>
      <w:r>
        <w:rPr>
          <w:rFonts w:hint="eastAsia" w:ascii="宋体" w:hAnsi="宋体" w:cs="宋体"/>
          <w:kern w:val="0"/>
          <w:sz w:val="32"/>
        </w:rPr>
        <w:t>、政府采购供应商廉洁自律承诺书</w:t>
      </w:r>
      <w:bookmarkEnd w:id="471"/>
      <w:bookmarkEnd w:id="472"/>
    </w:p>
    <w:p>
      <w:pPr>
        <w:ind w:firstLine="480"/>
        <w:rPr>
          <w:rFonts w:hint="eastAsia" w:ascii="宋体" w:hAnsi="宋体" w:cs="宋体"/>
        </w:rPr>
      </w:pPr>
    </w:p>
    <w:p>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pPr>
        <w:autoSpaceDE w:val="0"/>
        <w:autoSpaceDN w:val="0"/>
        <w:ind w:left="2" w:firstLine="480"/>
        <w:jc w:val="left"/>
        <w:rPr>
          <w:rFonts w:hint="eastAsia" w:ascii="宋体" w:hAnsi="宋体" w:cs="宋体"/>
          <w:kern w:val="0"/>
          <w:lang w:val="zh-CN"/>
        </w:rPr>
      </w:pPr>
    </w:p>
    <w:p>
      <w:pPr>
        <w:autoSpaceDE w:val="0"/>
        <w:autoSpaceDN w:val="0"/>
        <w:ind w:left="2" w:firstLine="480"/>
        <w:jc w:val="left"/>
        <w:rPr>
          <w:rFonts w:hint="eastAsia" w:ascii="宋体" w:hAnsi="宋体" w:cs="宋体"/>
          <w:kern w:val="0"/>
          <w:lang w:val="zh-CN"/>
        </w:rPr>
      </w:pPr>
    </w:p>
    <w:p>
      <w:pPr>
        <w:autoSpaceDE w:val="0"/>
        <w:autoSpaceDN w:val="0"/>
        <w:ind w:left="2" w:firstLine="480"/>
        <w:jc w:val="left"/>
        <w:rPr>
          <w:rFonts w:hint="eastAsia" w:ascii="宋体" w:hAnsi="宋体" w:cs="宋体"/>
          <w:kern w:val="0"/>
          <w:lang w:val="zh-CN"/>
        </w:rPr>
      </w:pPr>
    </w:p>
    <w:p>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jc w:val="center"/>
        <w:rPr>
          <w:rFonts w:hint="eastAsia" w:ascii="宋体" w:hAnsi="宋体" w:cs="宋体"/>
          <w:b/>
          <w:bCs/>
        </w:rPr>
      </w:pPr>
    </w:p>
    <w:p>
      <w:pPr>
        <w:ind w:right="420" w:firstLine="480"/>
        <w:rPr>
          <w:rFonts w:hint="eastAsia" w:ascii="宋体" w:hAnsi="宋体" w:cs="宋体"/>
        </w:rPr>
      </w:pPr>
      <w:r>
        <w:rPr>
          <w:rFonts w:hint="eastAsia" w:ascii="宋体" w:hAnsi="宋体" w:cs="宋体"/>
        </w:rPr>
        <w:t>注：按本格式和要求提供。</w:t>
      </w:r>
    </w:p>
    <w:p>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pPr>
        <w:pStyle w:val="2"/>
        <w:rPr>
          <w:rFonts w:hint="eastAsia"/>
          <w:lang w:val="en-US"/>
        </w:rPr>
      </w:pPr>
      <w:bookmarkStart w:id="473" w:name="_Toc2224"/>
      <w:bookmarkStart w:id="474" w:name="_Toc24979"/>
      <w:r>
        <w:rPr>
          <w:rFonts w:hint="eastAsia"/>
          <w:lang w:val="en-US"/>
        </w:rPr>
        <w:t>九、代理服务费支付承诺书</w:t>
      </w:r>
      <w:bookmarkEnd w:id="473"/>
      <w:bookmarkEnd w:id="474"/>
    </w:p>
    <w:p>
      <w:pPr>
        <w:spacing w:before="50" w:after="50"/>
        <w:ind w:firstLine="560"/>
        <w:rPr>
          <w:spacing w:val="20"/>
          <w:u w:val="single"/>
        </w:rPr>
      </w:pPr>
    </w:p>
    <w:p>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pPr>
        <w:spacing w:before="50" w:after="5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rPr>
                <w:rFonts w:hint="eastAsia" w:hAnsi="宋体"/>
              </w:rPr>
            </w:pPr>
            <w:r>
              <w:rPr>
                <w:rFonts w:hint="eastAsia" w:hAnsi="宋体"/>
              </w:rPr>
              <w:t>开票信息</w:t>
            </w:r>
          </w:p>
        </w:tc>
        <w:tc>
          <w:tcPr>
            <w:tcW w:w="3433" w:type="dxa"/>
            <w:vAlign w:val="center"/>
          </w:tcPr>
          <w:p>
            <w:pPr>
              <w:spacing w:before="50" w:after="50"/>
              <w:ind w:firstLine="0" w:firstLineChars="0"/>
              <w:jc w:val="left"/>
              <w:rPr>
                <w:rFonts w:hint="eastAsia" w:hAnsi="宋体"/>
              </w:rPr>
            </w:pPr>
            <w:r>
              <w:rPr>
                <w:rFonts w:hint="eastAsia" w:hAnsi="宋体"/>
              </w:rPr>
              <w:t>发票抬头：</w:t>
            </w:r>
          </w:p>
        </w:tc>
        <w:tc>
          <w:tcPr>
            <w:tcW w:w="3147" w:type="dxa"/>
            <w:vAlign w:val="center"/>
          </w:tcPr>
          <w:p>
            <w:pPr>
              <w:spacing w:before="50" w:after="50"/>
              <w:ind w:firstLine="0" w:firstLineChars="0"/>
              <w:jc w:val="left"/>
              <w:rPr>
                <w:rFonts w:hint="eastAsia"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rPr>
                <w:rFonts w:hint="eastAsia" w:hAnsi="宋体"/>
              </w:rPr>
            </w:pPr>
          </w:p>
        </w:tc>
        <w:tc>
          <w:tcPr>
            <w:tcW w:w="3433" w:type="dxa"/>
            <w:vAlign w:val="center"/>
          </w:tcPr>
          <w:p>
            <w:pPr>
              <w:spacing w:before="50" w:after="50"/>
              <w:ind w:firstLine="0" w:firstLineChars="0"/>
              <w:jc w:val="left"/>
              <w:rPr>
                <w:rFonts w:hint="eastAsia" w:hAnsi="宋体"/>
              </w:rPr>
            </w:pPr>
            <w:r>
              <w:rPr>
                <w:rFonts w:hint="eastAsia" w:hAnsi="宋体"/>
              </w:rPr>
              <w:t>地址：</w:t>
            </w:r>
          </w:p>
        </w:tc>
        <w:tc>
          <w:tcPr>
            <w:tcW w:w="3147" w:type="dxa"/>
            <w:vAlign w:val="center"/>
          </w:tcPr>
          <w:p>
            <w:pPr>
              <w:spacing w:before="50" w:after="50"/>
              <w:ind w:firstLine="0" w:firstLineChars="0"/>
              <w:jc w:val="left"/>
              <w:rPr>
                <w:rFonts w:hint="eastAsia"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rPr>
                <w:rFonts w:hint="eastAsia" w:hAnsi="宋体"/>
              </w:rPr>
            </w:pPr>
          </w:p>
        </w:tc>
        <w:tc>
          <w:tcPr>
            <w:tcW w:w="3433" w:type="dxa"/>
            <w:vAlign w:val="center"/>
          </w:tcPr>
          <w:p>
            <w:pPr>
              <w:spacing w:before="50" w:after="50"/>
              <w:ind w:firstLine="0" w:firstLineChars="0"/>
              <w:jc w:val="left"/>
              <w:rPr>
                <w:rFonts w:hint="eastAsia" w:hAnsi="宋体"/>
              </w:rPr>
            </w:pPr>
            <w:r>
              <w:rPr>
                <w:rFonts w:hint="eastAsia" w:hAnsi="宋体"/>
              </w:rPr>
              <w:t>税号：</w:t>
            </w:r>
          </w:p>
        </w:tc>
        <w:tc>
          <w:tcPr>
            <w:tcW w:w="3147" w:type="dxa"/>
            <w:vAlign w:val="center"/>
          </w:tcPr>
          <w:p>
            <w:pPr>
              <w:spacing w:before="50" w:after="50"/>
              <w:ind w:firstLine="0" w:firstLineChars="0"/>
              <w:jc w:val="left"/>
              <w:rPr>
                <w:rFonts w:hint="eastAsia"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rPr>
                <w:rFonts w:hint="eastAsia" w:hAnsi="宋体"/>
              </w:rPr>
            </w:pPr>
            <w:r>
              <w:rPr>
                <w:rFonts w:hint="eastAsia" w:hAnsi="宋体"/>
              </w:rPr>
              <w:t>联系方式</w:t>
            </w:r>
          </w:p>
        </w:tc>
        <w:tc>
          <w:tcPr>
            <w:tcW w:w="3433" w:type="dxa"/>
            <w:vAlign w:val="center"/>
          </w:tcPr>
          <w:p>
            <w:pPr>
              <w:spacing w:before="50" w:after="50"/>
              <w:ind w:firstLine="0" w:firstLineChars="0"/>
              <w:jc w:val="left"/>
              <w:rPr>
                <w:rFonts w:hint="eastAsia" w:hAnsi="宋体"/>
              </w:rPr>
            </w:pPr>
            <w:r>
              <w:rPr>
                <w:rFonts w:hint="eastAsia" w:hAnsi="宋体"/>
              </w:rPr>
              <w:t>联系人：</w:t>
            </w:r>
          </w:p>
        </w:tc>
        <w:tc>
          <w:tcPr>
            <w:tcW w:w="3147" w:type="dxa"/>
            <w:vAlign w:val="center"/>
          </w:tcPr>
          <w:p>
            <w:pPr>
              <w:spacing w:before="50" w:after="50"/>
              <w:ind w:firstLine="0" w:firstLineChars="0"/>
              <w:jc w:val="left"/>
              <w:rPr>
                <w:rFonts w:hint="eastAsia"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rPr>
                <w:rFonts w:hint="eastAsia" w:hAnsi="宋体"/>
              </w:rPr>
            </w:pPr>
          </w:p>
        </w:tc>
        <w:tc>
          <w:tcPr>
            <w:tcW w:w="3433" w:type="dxa"/>
            <w:vAlign w:val="center"/>
          </w:tcPr>
          <w:p>
            <w:pPr>
              <w:spacing w:before="50" w:after="50"/>
              <w:ind w:firstLine="0" w:firstLineChars="0"/>
              <w:jc w:val="left"/>
              <w:rPr>
                <w:rFonts w:hint="eastAsia" w:hAnsi="宋体"/>
              </w:rPr>
            </w:pPr>
            <w:r>
              <w:rPr>
                <w:rFonts w:hint="eastAsia" w:hAnsi="宋体"/>
              </w:rPr>
              <w:t>邮箱：</w:t>
            </w:r>
          </w:p>
        </w:tc>
        <w:tc>
          <w:tcPr>
            <w:tcW w:w="3147" w:type="dxa"/>
            <w:vAlign w:val="center"/>
          </w:tcPr>
          <w:p>
            <w:pPr>
              <w:spacing w:before="50" w:after="50"/>
              <w:ind w:firstLine="0" w:firstLineChars="0"/>
              <w:jc w:val="left"/>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50" w:after="50"/>
              <w:ind w:firstLine="480"/>
              <w:rPr>
                <w:rFonts w:hint="eastAsia" w:hAnsi="宋体"/>
              </w:rPr>
            </w:pPr>
            <w:r>
              <w:rPr>
                <w:rFonts w:hint="eastAsia" w:hAnsi="宋体"/>
              </w:rPr>
              <w:t>需开票类型</w:t>
            </w:r>
          </w:p>
        </w:tc>
        <w:tc>
          <w:tcPr>
            <w:tcW w:w="6580" w:type="dxa"/>
            <w:gridSpan w:val="2"/>
          </w:tcPr>
          <w:p>
            <w:pPr>
              <w:spacing w:before="50" w:after="50"/>
              <w:ind w:firstLine="0" w:firstLineChars="0"/>
              <w:jc w:val="left"/>
              <w:rPr>
                <w:rFonts w:hint="eastAsia" w:hAnsi="宋体"/>
              </w:rPr>
            </w:pPr>
            <w:r>
              <w:rPr>
                <w:rFonts w:hint="eastAsia" w:hAnsi="宋体"/>
              </w:rPr>
              <w:t>请在括号里打勾选择：增值税普票（   ）  增值税专票（  ）</w:t>
            </w:r>
          </w:p>
          <w:p>
            <w:pPr>
              <w:spacing w:before="50" w:after="50"/>
              <w:ind w:firstLine="0" w:firstLineChars="0"/>
              <w:rPr>
                <w:rFonts w:hint="eastAsia" w:hAnsi="宋体"/>
              </w:rPr>
            </w:pPr>
            <w:r>
              <w:rPr>
                <w:rFonts w:hint="eastAsia" w:hAnsi="宋体"/>
              </w:rPr>
              <w:t>备注：若不选择开票类型，默认开具增值税普票。</w:t>
            </w:r>
          </w:p>
        </w:tc>
      </w:tr>
    </w:tbl>
    <w:p>
      <w:pPr>
        <w:spacing w:before="50" w:after="50"/>
        <w:ind w:firstLine="480"/>
      </w:pPr>
    </w:p>
    <w:p>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pacing w:before="50" w:after="50"/>
        <w:ind w:firstLine="480"/>
        <w:rPr>
          <w:rFonts w:hint="eastAsia" w:hAnsi="宋体"/>
        </w:rPr>
      </w:pPr>
    </w:p>
    <w:p>
      <w:pPr>
        <w:pStyle w:val="3"/>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pPr>
        <w:pStyle w:val="2"/>
        <w:rPr>
          <w:rFonts w:hint="eastAsia"/>
        </w:rPr>
      </w:pPr>
      <w:bookmarkStart w:id="475" w:name="_Toc28938"/>
      <w:bookmarkStart w:id="476" w:name="_Toc8380"/>
      <w:r>
        <w:rPr>
          <w:rFonts w:hint="eastAsia"/>
        </w:rPr>
        <w:t>报价文件部分</w:t>
      </w:r>
      <w:bookmarkEnd w:id="475"/>
      <w:bookmarkEnd w:id="476"/>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hint="eastAsia" w:ascii="宋体" w:hAnsi="宋体" w:cs="宋体"/>
        </w:rPr>
      </w:pPr>
      <w:r>
        <w:rPr>
          <w:rFonts w:hint="eastAsia" w:ascii="宋体" w:hAnsi="宋体" w:cs="宋体"/>
        </w:rPr>
        <w:t>（1）开标一览表（报价表）…………………………………………………（页码）</w:t>
      </w:r>
    </w:p>
    <w:p>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pPr>
        <w:ind w:firstLine="0" w:firstLineChars="0"/>
        <w:rPr>
          <w:rFonts w:hint="eastAsia" w:ascii="宋体" w:hAnsi="宋体" w:cs="宋体"/>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ind w:right="480" w:firstLine="643"/>
        <w:jc w:val="center"/>
        <w:rPr>
          <w:rFonts w:hint="eastAsia" w:ascii="宋体" w:hAnsi="宋体" w:cs="宋体"/>
          <w:b/>
          <w:kern w:val="0"/>
          <w:sz w:val="32"/>
          <w:szCs w:val="32"/>
        </w:rPr>
      </w:pPr>
    </w:p>
    <w:p>
      <w:pPr>
        <w:pStyle w:val="694"/>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2"/>
        <w:rPr>
          <w:rFonts w:hint="eastAsia"/>
        </w:rPr>
      </w:pPr>
      <w:bookmarkStart w:id="477" w:name="_Toc28115"/>
      <w:bookmarkStart w:id="478" w:name="_Toc16712"/>
      <w:r>
        <w:rPr>
          <w:rFonts w:hint="eastAsia"/>
        </w:rPr>
        <w:t>一、开标一览表（报价表）</w:t>
      </w:r>
      <w:bookmarkEnd w:id="477"/>
      <w:bookmarkEnd w:id="478"/>
    </w:p>
    <w:p>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pPr>
              <w:pStyle w:val="485"/>
              <w:ind w:firstLine="0" w:firstLineChars="0"/>
              <w:jc w:val="center"/>
              <w:rPr>
                <w:b/>
                <w:bCs/>
              </w:rPr>
            </w:pPr>
            <w:r>
              <w:rPr>
                <w:rFonts w:hint="eastAsia"/>
                <w:b/>
                <w:bCs/>
              </w:rPr>
              <w:t>序号</w:t>
            </w:r>
          </w:p>
        </w:tc>
        <w:tc>
          <w:tcPr>
            <w:tcW w:w="2762" w:type="dxa"/>
            <w:vAlign w:val="center"/>
          </w:tcPr>
          <w:p>
            <w:pPr>
              <w:pStyle w:val="485"/>
              <w:ind w:firstLine="0" w:firstLineChars="0"/>
              <w:jc w:val="center"/>
              <w:rPr>
                <w:b/>
                <w:bCs/>
              </w:rPr>
            </w:pPr>
            <w:r>
              <w:rPr>
                <w:rFonts w:hint="eastAsia"/>
                <w:b/>
                <w:bCs/>
              </w:rPr>
              <w:t>费用名称</w:t>
            </w:r>
          </w:p>
        </w:tc>
        <w:tc>
          <w:tcPr>
            <w:tcW w:w="1796" w:type="dxa"/>
            <w:vAlign w:val="center"/>
          </w:tcPr>
          <w:p>
            <w:pPr>
              <w:pStyle w:val="485"/>
              <w:ind w:firstLine="0" w:firstLineChars="0"/>
              <w:jc w:val="center"/>
              <w:rPr>
                <w:b/>
                <w:bCs/>
              </w:rPr>
            </w:pPr>
            <w:r>
              <w:rPr>
                <w:rFonts w:hint="eastAsia"/>
                <w:b/>
                <w:bCs/>
              </w:rPr>
              <w:t>数量</w:t>
            </w:r>
          </w:p>
        </w:tc>
        <w:tc>
          <w:tcPr>
            <w:tcW w:w="1225" w:type="dxa"/>
            <w:vAlign w:val="center"/>
          </w:tcPr>
          <w:p>
            <w:pPr>
              <w:pStyle w:val="485"/>
              <w:ind w:firstLine="0" w:firstLineChars="0"/>
              <w:jc w:val="center"/>
              <w:rPr>
                <w:b/>
                <w:bCs/>
              </w:rPr>
            </w:pPr>
            <w:r>
              <w:rPr>
                <w:rFonts w:hint="eastAsia"/>
                <w:b/>
                <w:bCs/>
              </w:rPr>
              <w:t>单价</w:t>
            </w:r>
          </w:p>
        </w:tc>
        <w:tc>
          <w:tcPr>
            <w:tcW w:w="1890" w:type="dxa"/>
            <w:vAlign w:val="center"/>
          </w:tcPr>
          <w:p>
            <w:pPr>
              <w:pStyle w:val="485"/>
              <w:ind w:firstLine="0" w:firstLineChars="0"/>
              <w:jc w:val="center"/>
              <w:rPr>
                <w:b/>
                <w:bCs/>
              </w:rPr>
            </w:pPr>
            <w:r>
              <w:rPr>
                <w:rFonts w:hint="eastAsia"/>
                <w:b/>
                <w:bCs/>
              </w:rPr>
              <w:t>总价</w:t>
            </w:r>
          </w:p>
        </w:tc>
        <w:tc>
          <w:tcPr>
            <w:tcW w:w="1220" w:type="dxa"/>
            <w:vAlign w:val="center"/>
          </w:tcPr>
          <w:p>
            <w:pPr>
              <w:pStyle w:val="485"/>
              <w:ind w:firstLine="0" w:firstLineChars="0"/>
              <w:jc w:val="center"/>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pPr>
              <w:pStyle w:val="485"/>
              <w:ind w:firstLine="0" w:firstLineChars="0"/>
              <w:jc w:val="center"/>
              <w:rPr>
                <w:b/>
                <w:bCs/>
              </w:rPr>
            </w:pPr>
          </w:p>
        </w:tc>
        <w:tc>
          <w:tcPr>
            <w:tcW w:w="2762" w:type="dxa"/>
            <w:vAlign w:val="center"/>
          </w:tcPr>
          <w:p>
            <w:pPr>
              <w:pStyle w:val="485"/>
              <w:ind w:firstLine="0" w:firstLineChars="0"/>
              <w:jc w:val="center"/>
              <w:rPr>
                <w:b/>
                <w:bCs/>
              </w:rPr>
            </w:pPr>
          </w:p>
        </w:tc>
        <w:tc>
          <w:tcPr>
            <w:tcW w:w="1796" w:type="dxa"/>
            <w:vAlign w:val="center"/>
          </w:tcPr>
          <w:p>
            <w:pPr>
              <w:pStyle w:val="485"/>
              <w:ind w:firstLine="0" w:firstLineChars="0"/>
              <w:jc w:val="center"/>
              <w:rPr>
                <w:b/>
                <w:bCs/>
              </w:rPr>
            </w:pPr>
          </w:p>
        </w:tc>
        <w:tc>
          <w:tcPr>
            <w:tcW w:w="1225" w:type="dxa"/>
            <w:vAlign w:val="center"/>
          </w:tcPr>
          <w:p>
            <w:pPr>
              <w:pStyle w:val="485"/>
              <w:ind w:firstLine="0" w:firstLineChars="0"/>
              <w:jc w:val="center"/>
              <w:rPr>
                <w:b/>
                <w:bCs/>
              </w:rPr>
            </w:pPr>
          </w:p>
        </w:tc>
        <w:tc>
          <w:tcPr>
            <w:tcW w:w="1890" w:type="dxa"/>
            <w:vAlign w:val="center"/>
          </w:tcPr>
          <w:p>
            <w:pPr>
              <w:pStyle w:val="485"/>
              <w:ind w:firstLine="0" w:firstLineChars="0"/>
              <w:jc w:val="center"/>
              <w:rPr>
                <w:b/>
                <w:bCs/>
              </w:rPr>
            </w:pPr>
          </w:p>
        </w:tc>
        <w:tc>
          <w:tcPr>
            <w:tcW w:w="1220" w:type="dxa"/>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5"/>
              <w:ind w:firstLine="0" w:firstLineChars="0"/>
              <w:jc w:val="center"/>
              <w:rPr>
                <w:b/>
                <w:bCs/>
              </w:rPr>
            </w:pPr>
          </w:p>
        </w:tc>
        <w:tc>
          <w:tcPr>
            <w:tcW w:w="2762" w:type="dxa"/>
            <w:vAlign w:val="center"/>
          </w:tcPr>
          <w:p>
            <w:pPr>
              <w:pStyle w:val="485"/>
              <w:ind w:firstLine="0" w:firstLineChars="0"/>
              <w:jc w:val="center"/>
              <w:rPr>
                <w:b/>
                <w:bCs/>
              </w:rPr>
            </w:pPr>
          </w:p>
        </w:tc>
        <w:tc>
          <w:tcPr>
            <w:tcW w:w="1796" w:type="dxa"/>
            <w:vAlign w:val="center"/>
          </w:tcPr>
          <w:p>
            <w:pPr>
              <w:pStyle w:val="485"/>
              <w:ind w:firstLine="0" w:firstLineChars="0"/>
              <w:jc w:val="center"/>
              <w:rPr>
                <w:b/>
                <w:bCs/>
              </w:rPr>
            </w:pPr>
          </w:p>
        </w:tc>
        <w:tc>
          <w:tcPr>
            <w:tcW w:w="1225" w:type="dxa"/>
            <w:vAlign w:val="center"/>
          </w:tcPr>
          <w:p>
            <w:pPr>
              <w:pStyle w:val="485"/>
              <w:ind w:firstLine="0" w:firstLineChars="0"/>
              <w:jc w:val="center"/>
              <w:rPr>
                <w:b/>
                <w:bCs/>
              </w:rPr>
            </w:pPr>
          </w:p>
        </w:tc>
        <w:tc>
          <w:tcPr>
            <w:tcW w:w="1890" w:type="dxa"/>
            <w:vAlign w:val="center"/>
          </w:tcPr>
          <w:p>
            <w:pPr>
              <w:pStyle w:val="485"/>
              <w:ind w:firstLine="0" w:firstLineChars="0"/>
              <w:jc w:val="center"/>
              <w:rPr>
                <w:b/>
                <w:bCs/>
              </w:rPr>
            </w:pPr>
          </w:p>
        </w:tc>
        <w:tc>
          <w:tcPr>
            <w:tcW w:w="1220" w:type="dxa"/>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5"/>
              <w:ind w:firstLine="0" w:firstLineChars="0"/>
              <w:jc w:val="center"/>
              <w:rPr>
                <w:b/>
                <w:bCs/>
              </w:rPr>
            </w:pPr>
            <w:r>
              <w:rPr>
                <w:rFonts w:hint="eastAsia"/>
                <w:b/>
                <w:bCs/>
              </w:rPr>
              <w:t>......</w:t>
            </w:r>
          </w:p>
        </w:tc>
        <w:tc>
          <w:tcPr>
            <w:tcW w:w="2762" w:type="dxa"/>
            <w:vAlign w:val="center"/>
          </w:tcPr>
          <w:p>
            <w:pPr>
              <w:pStyle w:val="485"/>
              <w:ind w:firstLine="0" w:firstLineChars="0"/>
              <w:jc w:val="center"/>
              <w:rPr>
                <w:b/>
                <w:bCs/>
              </w:rPr>
            </w:pPr>
          </w:p>
        </w:tc>
        <w:tc>
          <w:tcPr>
            <w:tcW w:w="1796" w:type="dxa"/>
            <w:vAlign w:val="center"/>
          </w:tcPr>
          <w:p>
            <w:pPr>
              <w:pStyle w:val="485"/>
              <w:ind w:firstLine="0" w:firstLineChars="0"/>
              <w:jc w:val="center"/>
              <w:rPr>
                <w:b/>
                <w:bCs/>
              </w:rPr>
            </w:pPr>
          </w:p>
        </w:tc>
        <w:tc>
          <w:tcPr>
            <w:tcW w:w="1225" w:type="dxa"/>
            <w:vAlign w:val="center"/>
          </w:tcPr>
          <w:p>
            <w:pPr>
              <w:pStyle w:val="485"/>
              <w:ind w:firstLine="0" w:firstLineChars="0"/>
              <w:jc w:val="center"/>
              <w:rPr>
                <w:b/>
                <w:bCs/>
              </w:rPr>
            </w:pPr>
          </w:p>
        </w:tc>
        <w:tc>
          <w:tcPr>
            <w:tcW w:w="1890" w:type="dxa"/>
            <w:vAlign w:val="center"/>
          </w:tcPr>
          <w:p>
            <w:pPr>
              <w:pStyle w:val="485"/>
              <w:ind w:firstLine="0" w:firstLineChars="0"/>
              <w:jc w:val="center"/>
              <w:rPr>
                <w:b/>
                <w:bCs/>
              </w:rPr>
            </w:pPr>
          </w:p>
        </w:tc>
        <w:tc>
          <w:tcPr>
            <w:tcW w:w="1220" w:type="dxa"/>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pPr>
              <w:pStyle w:val="485"/>
              <w:ind w:firstLine="0" w:firstLineChars="0"/>
              <w:jc w:val="center"/>
              <w:rPr>
                <w:b/>
                <w:bCs/>
              </w:rPr>
            </w:pPr>
            <w:r>
              <w:rPr>
                <w:rFonts w:hint="eastAsia"/>
                <w:b/>
                <w:bCs/>
              </w:rPr>
              <w:t>报价总价（小写）</w:t>
            </w:r>
          </w:p>
        </w:tc>
        <w:tc>
          <w:tcPr>
            <w:tcW w:w="6131" w:type="dxa"/>
            <w:gridSpan w:val="4"/>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pPr>
              <w:pStyle w:val="485"/>
              <w:ind w:firstLine="0" w:firstLineChars="0"/>
              <w:jc w:val="center"/>
              <w:rPr>
                <w:b/>
                <w:bCs/>
              </w:rPr>
            </w:pPr>
            <w:r>
              <w:rPr>
                <w:rFonts w:hint="eastAsia"/>
                <w:b/>
                <w:bCs/>
              </w:rPr>
              <w:t>报价总价（大写）</w:t>
            </w:r>
          </w:p>
        </w:tc>
        <w:tc>
          <w:tcPr>
            <w:tcW w:w="6131" w:type="dxa"/>
            <w:gridSpan w:val="4"/>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pPr>
              <w:pStyle w:val="485"/>
              <w:ind w:firstLine="0" w:firstLineChars="0"/>
              <w:jc w:val="center"/>
              <w:rPr>
                <w:b/>
                <w:bCs/>
              </w:rPr>
            </w:pPr>
            <w:r>
              <w:rPr>
                <w:rFonts w:hint="eastAsia"/>
                <w:b/>
                <w:bCs/>
              </w:rPr>
              <w:t>服务期</w:t>
            </w:r>
          </w:p>
        </w:tc>
        <w:tc>
          <w:tcPr>
            <w:tcW w:w="6131" w:type="dxa"/>
            <w:gridSpan w:val="4"/>
            <w:vAlign w:val="center"/>
          </w:tcPr>
          <w:p>
            <w:pPr>
              <w:pStyle w:val="485"/>
              <w:ind w:firstLine="0" w:firstLineChars="0"/>
              <w:jc w:val="center"/>
              <w:rPr>
                <w:b/>
                <w:bCs/>
              </w:rPr>
            </w:pPr>
          </w:p>
        </w:tc>
      </w:tr>
    </w:tbl>
    <w:p>
      <w:pPr>
        <w:ind w:firstLine="0" w:firstLineChars="0"/>
        <w:rPr>
          <w:rFonts w:hint="eastAsia" w:ascii="宋体" w:hAnsi="宋体" w:cs="宋体"/>
          <w:b/>
          <w:kern w:val="0"/>
          <w:lang w:val="zh-CN"/>
        </w:rPr>
      </w:pPr>
      <w:r>
        <w:rPr>
          <w:rFonts w:hint="eastAsia" w:ascii="宋体" w:hAnsi="宋体" w:cs="宋体"/>
          <w:b/>
          <w:kern w:val="0"/>
          <w:lang w:val="zh-CN"/>
        </w:rPr>
        <w:t>注：</w:t>
      </w:r>
    </w:p>
    <w:p>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4"/>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2"/>
        <w:rPr>
          <w:rFonts w:hint="eastAsia"/>
        </w:rPr>
      </w:pPr>
      <w:bookmarkStart w:id="479" w:name="_Toc1047"/>
      <w:bookmarkStart w:id="480" w:name="_Toc19337"/>
      <w:r>
        <w:rPr>
          <w:rFonts w:hint="eastAsia"/>
        </w:rPr>
        <w:t>二、报价情况说明（如果有）</w:t>
      </w:r>
    </w:p>
    <w:p>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pPr>
        <w:pStyle w:val="2"/>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pPr>
        <w:pStyle w:val="2"/>
        <w:rPr>
          <w:rFonts w:hint="eastAsia"/>
        </w:rPr>
      </w:pPr>
      <w:r>
        <w:rPr>
          <w:rFonts w:hint="eastAsia"/>
        </w:rPr>
        <w:t>三、中小企业声明函（如果有）</w:t>
      </w:r>
      <w:bookmarkEnd w:id="479"/>
      <w:bookmarkEnd w:id="480"/>
    </w:p>
    <w:p>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4"/>
        <w:keepNext w:val="0"/>
        <w:pageBreakBefore w:val="0"/>
        <w:tabs>
          <w:tab w:val="clear" w:pos="720"/>
        </w:tabs>
        <w:spacing w:before="120" w:after="120"/>
        <w:ind w:firstLine="640"/>
        <w:outlineLvl w:val="9"/>
        <w:rPr>
          <w:rFonts w:hint="eastAsia" w:ascii="宋体" w:hAnsi="宋体" w:eastAsia="宋体" w:cs="宋体"/>
          <w:b w:val="0"/>
          <w:sz w:val="32"/>
          <w:szCs w:val="32"/>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ind w:right="420" w:firstLine="3614" w:firstLineChars="1000"/>
        <w:rPr>
          <w:rFonts w:hint="eastAsia" w:ascii="宋体" w:hAnsi="宋体" w:cs="宋体"/>
          <w:b/>
          <w:kern w:val="0"/>
          <w:sz w:val="36"/>
          <w:szCs w:val="36"/>
        </w:rPr>
      </w:pPr>
    </w:p>
    <w:p>
      <w:pPr>
        <w:pStyle w:val="2"/>
        <w:rPr>
          <w:rFonts w:hint="eastAsia"/>
        </w:rPr>
      </w:pPr>
      <w:bookmarkStart w:id="481" w:name="_Toc30052"/>
      <w:bookmarkStart w:id="482" w:name="_Toc29378"/>
      <w:bookmarkStart w:id="483" w:name="_Toc465665161"/>
      <w:r>
        <w:rPr>
          <w:rFonts w:hint="eastAsia"/>
        </w:rPr>
        <w:t>附件</w:t>
      </w:r>
      <w:bookmarkEnd w:id="481"/>
      <w:bookmarkEnd w:id="482"/>
      <w:bookmarkEnd w:id="483"/>
    </w:p>
    <w:p>
      <w:pPr>
        <w:pStyle w:val="4"/>
      </w:pPr>
      <w:r>
        <w:rPr>
          <w:rFonts w:hint="eastAsia"/>
        </w:rPr>
        <w:t>附件1：残疾人福利性单位声明函</w:t>
      </w:r>
    </w:p>
    <w:p>
      <w:pPr>
        <w:ind w:firstLine="667"/>
        <w:rPr>
          <w:rFonts w:hint="eastAsia" w:ascii="宋体" w:hAnsi="宋体" w:cs="宋体"/>
          <w:b/>
          <w:spacing w:val="6"/>
          <w:sz w:val="32"/>
          <w:szCs w:val="32"/>
        </w:rPr>
      </w:pPr>
    </w:p>
    <w:p>
      <w:pPr>
        <w:ind w:firstLine="667"/>
        <w:jc w:val="center"/>
        <w:rPr>
          <w:rFonts w:hint="eastAsia" w:ascii="宋体" w:hAnsi="宋体" w:cs="宋体"/>
          <w:b/>
          <w:spacing w:val="6"/>
          <w:sz w:val="32"/>
          <w:szCs w:val="32"/>
        </w:rPr>
      </w:pPr>
      <w:bookmarkStart w:id="484" w:name="OLE_LINK14"/>
      <w:bookmarkStart w:id="485" w:name="OLE_LINK13"/>
      <w:r>
        <w:rPr>
          <w:rFonts w:hint="eastAsia" w:ascii="宋体" w:hAnsi="宋体" w:cs="宋体"/>
          <w:b/>
          <w:spacing w:val="6"/>
          <w:sz w:val="32"/>
          <w:szCs w:val="32"/>
        </w:rPr>
        <w:t>残疾人福利性单位声明函</w:t>
      </w:r>
    </w:p>
    <w:bookmarkEnd w:id="484"/>
    <w:bookmarkEnd w:id="485"/>
    <w:p>
      <w:pPr>
        <w:ind w:firstLine="626"/>
        <w:rPr>
          <w:rFonts w:hint="eastAsia" w:ascii="宋体" w:hAnsi="宋体" w:cs="宋体"/>
          <w:b/>
          <w:spacing w:val="6"/>
          <w:sz w:val="30"/>
          <w:szCs w:val="30"/>
        </w:rPr>
      </w:pPr>
    </w:p>
    <w:p>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ind w:firstLine="480"/>
        <w:rPr>
          <w:rFonts w:hint="eastAsia" w:ascii="宋体" w:hAnsi="宋体" w:cs="宋体"/>
        </w:rPr>
      </w:pPr>
      <w:r>
        <w:rPr>
          <w:rFonts w:hint="eastAsia" w:ascii="宋体" w:hAnsi="宋体" w:cs="宋体"/>
        </w:rPr>
        <w:t>本单位对上述声明的真实性负责。如有虚假，将依法承担相应责任。</w:t>
      </w:r>
    </w:p>
    <w:p>
      <w:pPr>
        <w:ind w:firstLine="480"/>
        <w:rPr>
          <w:rFonts w:hint="eastAsia" w:ascii="宋体" w:hAnsi="宋体" w:cs="宋体"/>
        </w:rPr>
      </w:pPr>
    </w:p>
    <w:p>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jc w:val="center"/>
        <w:rPr>
          <w:rFonts w:hint="eastAsia" w:ascii="宋体" w:hAnsi="宋体" w:cs="宋体"/>
        </w:rPr>
      </w:pPr>
      <w:r>
        <w:rPr>
          <w:rFonts w:hint="eastAsia" w:ascii="宋体" w:hAnsi="宋体" w:cs="宋体"/>
        </w:rPr>
        <w:t xml:space="preserve">       日  期：</w:t>
      </w: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pPr>
        <w:pStyle w:val="4"/>
      </w:pPr>
      <w:r>
        <w:rPr>
          <w:rFonts w:hint="eastAsia"/>
        </w:rPr>
        <w:t>附件2：质疑函范本及制作说明</w:t>
      </w:r>
    </w:p>
    <w:p>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pacing w:before="240" w:beforeLines="100"/>
        <w:ind w:firstLine="480"/>
        <w:rPr>
          <w:rFonts w:hint="eastAsia" w:ascii="宋体" w:hAnsi="宋体" w:cs="宋体"/>
          <w:bCs/>
        </w:rPr>
      </w:pPr>
      <w:r>
        <w:rPr>
          <w:rFonts w:hint="eastAsia" w:ascii="宋体" w:hAnsi="宋体" w:cs="宋体"/>
          <w:bCs/>
        </w:rPr>
        <w:t>一、质疑供应商基本信息</w:t>
      </w:r>
    </w:p>
    <w:p>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hint="eastAsia" w:ascii="宋体" w:hAnsi="宋体" w:cs="宋体"/>
          <w:bCs/>
        </w:rPr>
      </w:pPr>
      <w:r>
        <w:rPr>
          <w:rFonts w:hint="eastAsia" w:ascii="宋体" w:hAnsi="宋体" w:cs="宋体"/>
          <w:bCs/>
        </w:rPr>
        <w:t>二、质疑项目基本情况</w:t>
      </w:r>
    </w:p>
    <w:p>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pPr>
        <w:ind w:firstLine="480"/>
        <w:rPr>
          <w:rFonts w:hint="eastAsia" w:ascii="宋体" w:hAnsi="宋体" w:cs="宋体"/>
          <w:bCs/>
        </w:rPr>
      </w:pPr>
      <w:r>
        <w:rPr>
          <w:rFonts w:hint="eastAsia" w:ascii="宋体" w:hAnsi="宋体" w:cs="宋体"/>
          <w:bCs/>
        </w:rPr>
        <w:t>三、质疑事项具体内容</w:t>
      </w:r>
    </w:p>
    <w:p>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质疑事项2</w:t>
      </w:r>
    </w:p>
    <w:p>
      <w:pPr>
        <w:ind w:firstLine="480"/>
        <w:rPr>
          <w:rFonts w:hint="eastAsia" w:ascii="宋体" w:hAnsi="宋体" w:cs="宋体"/>
        </w:rPr>
      </w:pPr>
      <w:r>
        <w:rPr>
          <w:rFonts w:hint="eastAsia" w:ascii="宋体" w:hAnsi="宋体" w:cs="宋体"/>
        </w:rPr>
        <w:t>……</w:t>
      </w:r>
    </w:p>
    <w:p>
      <w:pPr>
        <w:ind w:firstLine="480"/>
        <w:rPr>
          <w:rFonts w:hint="eastAsia" w:ascii="宋体" w:hAnsi="宋体" w:cs="宋体"/>
          <w:bCs/>
        </w:rPr>
      </w:pPr>
      <w:r>
        <w:rPr>
          <w:rFonts w:hint="eastAsia" w:ascii="宋体" w:hAnsi="宋体" w:cs="宋体"/>
          <w:bCs/>
        </w:rPr>
        <w:t>四、与质疑事项相关的质疑请求</w:t>
      </w:r>
    </w:p>
    <w:p>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 xml:space="preserve">签字(签章)：                   公章：                      </w:t>
      </w:r>
    </w:p>
    <w:p>
      <w:pPr>
        <w:ind w:firstLine="480"/>
        <w:rPr>
          <w:rFonts w:hint="eastAsia" w:ascii="宋体" w:hAnsi="宋体" w:cs="宋体"/>
        </w:rPr>
      </w:pPr>
      <w:r>
        <w:rPr>
          <w:rFonts w:hint="eastAsia" w:ascii="宋体" w:hAnsi="宋体" w:cs="宋体"/>
        </w:rPr>
        <w:t xml:space="preserve">日期：    </w:t>
      </w:r>
    </w:p>
    <w:p>
      <w:pPr>
        <w:jc w:val="center"/>
        <w:rPr>
          <w:rFonts w:hint="eastAsia" w:ascii="宋体" w:hAnsi="宋体" w:cs="宋体"/>
          <w:b/>
          <w:bCs/>
        </w:rPr>
      </w:pPr>
    </w:p>
    <w:p>
      <w:pPr>
        <w:rPr>
          <w:rFonts w:hint="eastAsia" w:ascii="宋体" w:hAnsi="宋体" w:cs="宋体"/>
          <w:b/>
        </w:rPr>
      </w:pPr>
    </w:p>
    <w:p>
      <w:pPr>
        <w:rPr>
          <w:rFonts w:hint="eastAsia" w:ascii="宋体" w:hAnsi="宋体" w:cs="宋体"/>
          <w:b/>
        </w:rPr>
      </w:pPr>
    </w:p>
    <w:p>
      <w:pPr>
        <w:rPr>
          <w:rFonts w:hint="eastAsia" w:ascii="宋体" w:hAnsi="宋体" w:cs="宋体"/>
          <w:b/>
        </w:rPr>
      </w:pPr>
      <w:r>
        <w:rPr>
          <w:rFonts w:hint="eastAsia" w:ascii="宋体" w:hAnsi="宋体" w:cs="宋体"/>
          <w:b/>
        </w:rPr>
        <w:t>质疑函制作说明：</w:t>
      </w:r>
    </w:p>
    <w:p>
      <w:pPr>
        <w:widowControl/>
        <w:ind w:firstLine="480"/>
        <w:jc w:val="left"/>
        <w:rPr>
          <w:rFonts w:hint="eastAsia" w:ascii="宋体" w:hAnsi="宋体" w:cs="宋体"/>
        </w:rPr>
      </w:pPr>
      <w:r>
        <w:rPr>
          <w:rFonts w:hint="eastAsia" w:ascii="宋体" w:hAnsi="宋体" w:cs="宋体"/>
        </w:rPr>
        <w:t>1.供应商提出质疑时，应提交质疑函和必要的证明材料。</w:t>
      </w:r>
    </w:p>
    <w:p>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pPr>
        <w:widowControl/>
        <w:ind w:firstLine="480"/>
        <w:jc w:val="left"/>
        <w:rPr>
          <w:rFonts w:hint="eastAsia" w:ascii="宋体" w:hAnsi="宋体" w:cs="宋体"/>
        </w:rPr>
      </w:pPr>
      <w:r>
        <w:rPr>
          <w:rFonts w:hint="eastAsia" w:ascii="宋体" w:hAnsi="宋体" w:cs="宋体"/>
        </w:rPr>
        <w:t>5.质疑函的质疑请求应与质疑事项相关。</w:t>
      </w:r>
    </w:p>
    <w:p>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hint="eastAsia" w:ascii="宋体" w:hAnsi="宋体" w:cs="宋体"/>
          <w:sz w:val="30"/>
          <w:szCs w:val="30"/>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center"/>
        <w:rPr>
          <w:rFonts w:hint="eastAsia" w:ascii="宋体" w:hAnsi="宋体" w:cs="宋体"/>
          <w:b/>
          <w:spacing w:val="6"/>
          <w:sz w:val="32"/>
          <w:szCs w:val="32"/>
        </w:rPr>
      </w:pPr>
    </w:p>
    <w:p>
      <w:pPr>
        <w:ind w:firstLine="667"/>
        <w:jc w:val="left"/>
        <w:rPr>
          <w:rFonts w:hint="eastAsia" w:ascii="宋体" w:hAnsi="宋体" w:cs="宋体"/>
          <w:b/>
          <w:spacing w:val="6"/>
          <w:sz w:val="32"/>
          <w:szCs w:val="32"/>
        </w:rPr>
      </w:pPr>
    </w:p>
    <w:p>
      <w:pPr>
        <w:pStyle w:val="4"/>
      </w:pPr>
      <w:r>
        <w:rPr>
          <w:rFonts w:hint="eastAsia"/>
        </w:rPr>
        <w:t>附件3：投诉书范本及制作说明</w:t>
      </w:r>
    </w:p>
    <w:p>
      <w:pPr>
        <w:jc w:val="center"/>
        <w:rPr>
          <w:rFonts w:hint="eastAsia" w:ascii="宋体" w:hAnsi="宋体" w:cs="宋体"/>
          <w:b/>
        </w:rPr>
      </w:pPr>
    </w:p>
    <w:p>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pPr>
        <w:ind w:firstLine="480"/>
        <w:rPr>
          <w:rFonts w:hint="eastAsia" w:ascii="宋体" w:hAnsi="宋体" w:cs="宋体"/>
        </w:rPr>
      </w:pPr>
      <w:r>
        <w:rPr>
          <w:rFonts w:hint="eastAsia" w:ascii="宋体" w:hAnsi="宋体" w:cs="宋体"/>
        </w:rPr>
        <w:t>一、投诉相关主体基本情况</w:t>
      </w:r>
    </w:p>
    <w:p>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被投诉人2</w:t>
      </w:r>
    </w:p>
    <w:p>
      <w:pPr>
        <w:ind w:firstLine="480"/>
        <w:rPr>
          <w:rFonts w:hint="eastAsia" w:ascii="宋体" w:hAnsi="宋体" w:cs="宋体"/>
          <w:u w:val="dotted"/>
        </w:rPr>
      </w:pPr>
      <w:r>
        <w:rPr>
          <w:rFonts w:hint="eastAsia" w:ascii="宋体" w:hAnsi="宋体" w:cs="宋体"/>
        </w:rPr>
        <w:t>……</w:t>
      </w:r>
    </w:p>
    <w:p>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二、投诉项目基本情况</w:t>
      </w:r>
    </w:p>
    <w:p>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三、质疑基本情况</w:t>
      </w:r>
    </w:p>
    <w:p>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ind w:firstLine="480"/>
        <w:rPr>
          <w:rFonts w:hint="eastAsia" w:ascii="宋体" w:hAnsi="宋体" w:cs="宋体"/>
        </w:rPr>
      </w:pPr>
      <w:r>
        <w:rPr>
          <w:rFonts w:hint="eastAsia" w:ascii="宋体" w:hAnsi="宋体" w:cs="宋体"/>
        </w:rPr>
        <w:t>四、投诉事项具体内容</w:t>
      </w:r>
    </w:p>
    <w:p>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u w:val="dotted"/>
        </w:rPr>
        <w:t xml:space="preserve">                                                                        </w:t>
      </w:r>
    </w:p>
    <w:p>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pPr>
        <w:ind w:firstLine="480"/>
        <w:rPr>
          <w:rFonts w:hint="eastAsia" w:ascii="宋体" w:hAnsi="宋体" w:cs="宋体"/>
          <w:u w:val="dotted"/>
        </w:rPr>
      </w:pPr>
      <w:r>
        <w:rPr>
          <w:rFonts w:hint="eastAsia" w:ascii="宋体" w:hAnsi="宋体" w:cs="宋体"/>
          <w:u w:val="dotted"/>
        </w:rPr>
        <w:t xml:space="preserve">                                                                        </w:t>
      </w:r>
    </w:p>
    <w:p>
      <w:pPr>
        <w:ind w:firstLine="480"/>
        <w:rPr>
          <w:rFonts w:hint="eastAsia" w:ascii="宋体" w:hAnsi="宋体" w:cs="宋体"/>
        </w:rPr>
      </w:pPr>
      <w:r>
        <w:rPr>
          <w:rFonts w:hint="eastAsia" w:ascii="宋体" w:hAnsi="宋体" w:cs="宋体"/>
        </w:rPr>
        <w:t>投诉事项2</w:t>
      </w:r>
    </w:p>
    <w:p>
      <w:pPr>
        <w:ind w:firstLine="480"/>
        <w:rPr>
          <w:rFonts w:hint="eastAsia" w:ascii="宋体" w:hAnsi="宋体" w:cs="宋体"/>
          <w:u w:val="dotted"/>
        </w:rPr>
      </w:pPr>
      <w:r>
        <w:rPr>
          <w:rFonts w:hint="eastAsia" w:ascii="宋体" w:hAnsi="宋体" w:cs="宋体"/>
        </w:rPr>
        <w:t>……</w:t>
      </w:r>
    </w:p>
    <w:p>
      <w:pPr>
        <w:ind w:firstLine="480"/>
        <w:rPr>
          <w:rFonts w:hint="eastAsia" w:ascii="宋体" w:hAnsi="宋体" w:cs="宋体"/>
        </w:rPr>
      </w:pPr>
      <w:r>
        <w:rPr>
          <w:rFonts w:hint="eastAsia" w:ascii="宋体" w:hAnsi="宋体" w:cs="宋体"/>
        </w:rPr>
        <w:t>五、与投诉事项相关的投诉请求</w:t>
      </w:r>
    </w:p>
    <w:p>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ind w:firstLine="480"/>
        <w:rPr>
          <w:rFonts w:hint="eastAsia" w:ascii="宋体" w:hAnsi="宋体" w:cs="宋体"/>
          <w:u w:val="single"/>
        </w:rPr>
      </w:pPr>
      <w:r>
        <w:rPr>
          <w:rFonts w:hint="eastAsia" w:ascii="宋体" w:hAnsi="宋体" w:cs="宋体"/>
        </w:rPr>
        <w:t xml:space="preserve">                                                                                                    </w:t>
      </w:r>
    </w:p>
    <w:p>
      <w:pPr>
        <w:ind w:firstLine="480"/>
        <w:rPr>
          <w:rFonts w:hint="eastAsia" w:ascii="宋体" w:hAnsi="宋体" w:cs="宋体"/>
        </w:rPr>
      </w:pPr>
      <w:r>
        <w:rPr>
          <w:rFonts w:hint="eastAsia" w:ascii="宋体" w:hAnsi="宋体" w:cs="宋体"/>
        </w:rPr>
        <w:t xml:space="preserve">签字(签章)：                   公章：                      </w:t>
      </w:r>
    </w:p>
    <w:p>
      <w:pPr>
        <w:ind w:firstLine="480"/>
        <w:rPr>
          <w:rFonts w:hint="eastAsia" w:ascii="宋体" w:hAnsi="宋体" w:cs="宋体"/>
        </w:rPr>
      </w:pPr>
      <w:r>
        <w:rPr>
          <w:rFonts w:hint="eastAsia" w:ascii="宋体" w:hAnsi="宋体" w:cs="宋体"/>
        </w:rPr>
        <w:t xml:space="preserve">日期：    </w:t>
      </w:r>
    </w:p>
    <w:p>
      <w:pPr>
        <w:rPr>
          <w:rFonts w:hint="eastAsia" w:ascii="宋体" w:hAnsi="宋体" w:cs="宋体"/>
          <w:b/>
        </w:rPr>
      </w:pPr>
    </w:p>
    <w:p>
      <w:pPr>
        <w:rPr>
          <w:rFonts w:hint="eastAsia" w:ascii="宋体" w:hAnsi="宋体" w:cs="宋体"/>
          <w:b/>
        </w:rPr>
      </w:pPr>
    </w:p>
    <w:p>
      <w:pPr>
        <w:rPr>
          <w:rFonts w:hint="eastAsia" w:ascii="宋体" w:hAnsi="宋体" w:cs="宋体"/>
          <w:b/>
        </w:rPr>
        <w:sectPr>
          <w:pgSz w:w="11905" w:h="16838"/>
          <w:pgMar w:top="1440" w:right="1797" w:bottom="1440" w:left="1797" w:header="851" w:footer="992" w:gutter="0"/>
          <w:cols w:space="0" w:num="1"/>
          <w:titlePg/>
          <w:docGrid w:linePitch="312" w:charSpace="0"/>
        </w:sectPr>
      </w:pPr>
    </w:p>
    <w:p>
      <w:pPr>
        <w:rPr>
          <w:rFonts w:hint="eastAsia" w:ascii="宋体" w:hAnsi="宋体" w:cs="宋体"/>
          <w:b/>
        </w:rPr>
      </w:pPr>
      <w:r>
        <w:rPr>
          <w:rFonts w:hint="eastAsia" w:ascii="宋体" w:hAnsi="宋体" w:cs="宋体"/>
          <w:b/>
        </w:rPr>
        <w:t>投诉书制作说明：</w:t>
      </w:r>
    </w:p>
    <w:p>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pPr>
        <w:widowControl/>
        <w:ind w:firstLine="480"/>
        <w:jc w:val="left"/>
        <w:rPr>
          <w:rFonts w:hint="eastAsia" w:ascii="宋体" w:hAnsi="宋体" w:cs="宋体"/>
        </w:rPr>
      </w:pPr>
      <w:r>
        <w:rPr>
          <w:rFonts w:hint="eastAsia" w:ascii="宋体" w:hAnsi="宋体" w:cs="宋体"/>
        </w:rPr>
        <w:t>6.投诉书的投诉请求应与投诉事项相关。</w:t>
      </w:r>
    </w:p>
    <w:p>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pStyle w:val="2"/>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pPr>
        <w:pStyle w:val="4"/>
      </w:pPr>
      <w:r>
        <w:rPr>
          <w:rFonts w:hint="eastAsia"/>
        </w:rPr>
        <w:t>附件4：业务专用章使用说明函</w:t>
      </w:r>
    </w:p>
    <w:p>
      <w:pPr>
        <w:ind w:firstLine="480"/>
        <w:rPr>
          <w:rFonts w:hint="eastAsia" w:ascii="宋体" w:hAnsi="宋体" w:cs="宋体"/>
        </w:rPr>
      </w:pPr>
      <w:r>
        <w:rPr>
          <w:rFonts w:hint="eastAsia" w:ascii="宋体" w:hAnsi="宋体" w:cs="宋体"/>
          <w:u w:val="single"/>
        </w:rPr>
        <w:t>（采购人）、（采购代理机构）</w:t>
      </w:r>
    </w:p>
    <w:p>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rPr>
          <w:rFonts w:hint="eastAsia" w:ascii="宋体" w:hAnsi="宋体" w:cs="宋体"/>
        </w:rPr>
      </w:pPr>
      <w:r>
        <w:rPr>
          <w:rFonts w:hint="eastAsia" w:ascii="宋体" w:hAnsi="宋体" w:cs="宋体"/>
        </w:rPr>
        <w:t>特此说明。</w:t>
      </w: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firstLine="480"/>
        <w:rPr>
          <w:rFonts w:hint="eastAsia" w:ascii="宋体" w:hAnsi="宋体" w:cs="宋体"/>
        </w:rPr>
      </w:pPr>
    </w:p>
    <w:p>
      <w:pPr>
        <w:ind w:right="480" w:firstLine="4080" w:firstLineChars="1700"/>
        <w:rPr>
          <w:rFonts w:hint="eastAsia" w:ascii="宋体" w:hAnsi="宋体" w:cs="宋体"/>
        </w:rPr>
      </w:pPr>
      <w:r>
        <w:rPr>
          <w:rFonts w:hint="eastAsia" w:ascii="宋体" w:hAnsi="宋体" w:cs="宋体"/>
        </w:rPr>
        <w:t>投标单位（法定名称章）：</w:t>
      </w:r>
    </w:p>
    <w:p>
      <w:pPr>
        <w:ind w:right="1440" w:firstLine="480"/>
        <w:jc w:val="center"/>
        <w:rPr>
          <w:rFonts w:hint="eastAsia" w:ascii="宋体" w:hAnsi="宋体" w:cs="宋体"/>
        </w:rPr>
      </w:pPr>
      <w:r>
        <w:rPr>
          <w:rFonts w:hint="eastAsia" w:ascii="宋体" w:hAnsi="宋体" w:cs="宋体"/>
        </w:rPr>
        <w:t xml:space="preserve">                         日期：  年   月 日</w:t>
      </w:r>
    </w:p>
    <w:p>
      <w:pPr>
        <w:rPr>
          <w:rFonts w:hint="eastAsia" w:ascii="宋体" w:hAnsi="宋体" w:cs="宋体"/>
        </w:rPr>
      </w:pPr>
      <w:r>
        <w:rPr>
          <w:rFonts w:hint="eastAsia" w:ascii="宋体" w:hAnsi="宋体" w:cs="宋体"/>
          <w:b/>
          <w:bCs/>
        </w:rPr>
        <w:t>附：</w:t>
      </w:r>
    </w:p>
    <w:p>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pStyle w:val="4"/>
        <w:rPr>
          <w:lang w:val="zh-CN"/>
        </w:rPr>
      </w:pPr>
      <w:r>
        <w:rPr>
          <w:rFonts w:hint="eastAsia"/>
        </w:rPr>
        <w:t>附件5：</w:t>
      </w:r>
      <w:r>
        <w:rPr>
          <w:rFonts w:hint="eastAsia"/>
          <w:lang w:val="zh-CN"/>
        </w:rPr>
        <w:t>联合协议</w:t>
      </w:r>
    </w:p>
    <w:p>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ind w:firstLine="480"/>
        <w:rPr>
          <w:rFonts w:hint="eastAsia" w:ascii="宋体" w:hAnsi="宋体" w:cs="宋体"/>
          <w:kern w:val="0"/>
          <w:lang w:val="zh-CN"/>
        </w:rPr>
      </w:pPr>
      <w:r>
        <w:rPr>
          <w:rFonts w:hint="eastAsia" w:ascii="宋体" w:hAnsi="宋体" w:cs="宋体"/>
          <w:kern w:val="0"/>
          <w:lang w:val="zh-CN"/>
        </w:rPr>
        <w:t>三、本次联合投标中，分工如下：</w:t>
      </w:r>
    </w:p>
    <w:p>
      <w:pPr>
        <w:ind w:firstLine="480"/>
        <w:rPr>
          <w:rFonts w:hint="eastAsia" w:ascii="宋体" w:hAnsi="宋体" w:cs="宋体"/>
          <w:kern w:val="0"/>
          <w:lang w:val="zh-CN"/>
        </w:rPr>
      </w:pPr>
      <w:bookmarkStart w:id="48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lang w:val="zh-CN"/>
        </w:rPr>
        <w:t>……</w:t>
      </w:r>
    </w:p>
    <w:bookmarkEnd w:id="486"/>
    <w:p>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480"/>
        <w:rPr>
          <w:rFonts w:hint="eastAsia" w:ascii="宋体" w:hAnsi="宋体" w:cs="宋体"/>
          <w:kern w:val="0"/>
          <w:lang w:val="zh-CN"/>
        </w:rPr>
      </w:pPr>
    </w:p>
    <w:p>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ind w:right="420" w:firstLine="480"/>
        <w:rPr>
          <w:rFonts w:hint="eastAsia" w:ascii="宋体" w:hAnsi="宋体" w:cs="宋体"/>
        </w:rPr>
      </w:pPr>
      <w:r>
        <w:rPr>
          <w:rFonts w:hint="eastAsia" w:ascii="宋体" w:hAnsi="宋体" w:cs="宋体"/>
        </w:rPr>
        <w:t>注：按本格式和要求提供。</w:t>
      </w: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jc w:val="center"/>
        <w:rPr>
          <w:rFonts w:hint="eastAsia" w:ascii="宋体" w:hAnsi="宋体" w:cs="宋体"/>
          <w:b/>
          <w:spacing w:val="6"/>
          <w:sz w:val="32"/>
          <w:szCs w:val="32"/>
        </w:rPr>
      </w:pPr>
    </w:p>
    <w:p>
      <w:pPr>
        <w:autoSpaceDE w:val="0"/>
        <w:autoSpaceDN w:val="0"/>
        <w:ind w:firstLine="667"/>
        <w:rPr>
          <w:rFonts w:hint="eastAsia" w:ascii="宋体" w:hAnsi="宋体" w:cs="宋体"/>
          <w:b/>
          <w:spacing w:val="6"/>
          <w:sz w:val="32"/>
          <w:szCs w:val="32"/>
        </w:rPr>
      </w:pPr>
    </w:p>
    <w:p>
      <w:pPr>
        <w:pStyle w:val="2"/>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pPr>
        <w:pStyle w:val="4"/>
      </w:pPr>
      <w:r>
        <w:rPr>
          <w:rFonts w:hint="eastAsia"/>
        </w:rPr>
        <w:t>附件6：分包意向协议</w:t>
      </w:r>
    </w:p>
    <w:p>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ind w:firstLine="480"/>
      </w:pPr>
      <w:r>
        <w:rPr>
          <w:rFonts w:hint="eastAsia"/>
        </w:rPr>
        <w:t>……</w:t>
      </w:r>
    </w:p>
    <w:p>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pacing w:line="420" w:lineRule="atLeast"/>
        <w:ind w:firstLine="480"/>
        <w:rPr>
          <w:rFonts w:hint="eastAsia" w:ascii="宋体" w:hAnsi="宋体" w:cs="宋体"/>
          <w:u w:val="single"/>
        </w:rPr>
      </w:pPr>
      <w:r>
        <w:rPr>
          <w:rFonts w:hint="eastAsia" w:ascii="宋体" w:hAnsi="宋体" w:cs="宋体"/>
          <w:u w:val="single"/>
        </w:rPr>
        <w:t xml:space="preserve">                                                                                  </w:t>
      </w:r>
    </w:p>
    <w:p>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pacing w:line="420" w:lineRule="atLeast"/>
        <w:ind w:firstLine="480"/>
        <w:rPr>
          <w:rFonts w:hint="eastAsia" w:ascii="宋体" w:hAnsi="宋体" w:cs="宋体"/>
          <w:kern w:val="0"/>
          <w:lang w:val="zh-CN"/>
        </w:rPr>
      </w:pPr>
      <w:r>
        <w:rPr>
          <w:rFonts w:hint="eastAsia" w:ascii="宋体" w:hAnsi="宋体" w:cs="宋体"/>
          <w:u w:val="single"/>
        </w:rPr>
        <w:t xml:space="preserve">                                                                                       </w:t>
      </w:r>
    </w:p>
    <w:p>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pacing w:line="420" w:lineRule="atLeast"/>
        <w:ind w:firstLine="480"/>
        <w:rPr>
          <w:rFonts w:hint="eastAsia" w:ascii="宋体" w:hAnsi="宋体" w:cs="宋体"/>
          <w:kern w:val="0"/>
          <w:lang w:val="zh-CN"/>
        </w:rPr>
      </w:pPr>
      <w:r>
        <w:rPr>
          <w:rFonts w:hint="eastAsia" w:ascii="宋体" w:hAnsi="宋体" w:cs="宋体"/>
          <w:u w:val="single"/>
        </w:rPr>
        <w:t xml:space="preserve">                                                                                     </w:t>
      </w:r>
    </w:p>
    <w:p>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pacing w:line="420" w:lineRule="atLeast"/>
        <w:ind w:firstLine="480"/>
        <w:rPr>
          <w:rFonts w:hint="eastAsia" w:ascii="宋体" w:hAnsi="宋体" w:cs="宋体"/>
          <w:kern w:val="0"/>
          <w:lang w:val="zh-CN"/>
        </w:rPr>
      </w:pPr>
      <w:r>
        <w:rPr>
          <w:rFonts w:hint="eastAsia" w:ascii="宋体" w:hAnsi="宋体" w:cs="宋体"/>
          <w:u w:val="single"/>
        </w:rPr>
        <w:t xml:space="preserve">                                                                                     </w:t>
      </w:r>
    </w:p>
    <w:p>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pacing w:line="420" w:lineRule="atLeast"/>
        <w:ind w:firstLine="480"/>
        <w:rPr>
          <w:rFonts w:hint="eastAsia" w:ascii="宋体" w:hAnsi="宋体" w:cs="宋体"/>
          <w:kern w:val="0"/>
          <w:lang w:val="zh-CN"/>
        </w:rPr>
      </w:pPr>
      <w:r>
        <w:rPr>
          <w:rFonts w:hint="eastAsia" w:ascii="宋体" w:hAnsi="宋体" w:cs="宋体"/>
          <w:u w:val="single"/>
        </w:rPr>
        <w:t xml:space="preserve">                                                                                  </w:t>
      </w:r>
    </w:p>
    <w:p>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pPr>
        <w:spacing w:line="420" w:lineRule="atLeast"/>
        <w:ind w:firstLine="5760" w:firstLineChars="2400"/>
        <w:rPr>
          <w:rFonts w:hint="eastAsia" w:ascii="宋体" w:hAnsi="宋体" w:cs="宋体"/>
        </w:rPr>
      </w:pPr>
      <w:r>
        <w:rPr>
          <w:rFonts w:hint="eastAsia" w:ascii="宋体" w:hAnsi="宋体" w:cs="宋体"/>
          <w:kern w:val="0"/>
          <w:lang w:val="zh-CN"/>
        </w:rPr>
        <w:t>……</w:t>
      </w:r>
    </w:p>
    <w:p>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pPr>
        <w:pStyle w:val="4"/>
      </w:pPr>
      <w:r>
        <w:rPr>
          <w:rFonts w:hint="eastAsia"/>
        </w:rPr>
        <w:t>附件7：中小企业声明函</w:t>
      </w:r>
    </w:p>
    <w:p>
      <w:pPr>
        <w:ind w:firstLine="480"/>
        <w:jc w:val="center"/>
        <w:rPr>
          <w:rFonts w:hint="eastAsia" w:ascii="宋体" w:hAnsi="宋体" w:cs="宋体"/>
          <w:u w:val="single"/>
        </w:rPr>
      </w:pPr>
    </w:p>
    <w:p>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hint="eastAsia" w:ascii="宋体" w:hAnsi="宋体" w:cs="宋体"/>
        </w:rPr>
      </w:pPr>
      <w:r>
        <w:rPr>
          <w:rFonts w:hint="eastAsia" w:ascii="宋体" w:hAnsi="宋体" w:cs="宋体"/>
        </w:rPr>
        <w:t>……</w:t>
      </w:r>
    </w:p>
    <w:p>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pPr>
        <w:ind w:firstLine="480"/>
      </w:pPr>
    </w:p>
    <w:p>
      <w:pPr>
        <w:ind w:firstLine="5160" w:firstLineChars="2150"/>
        <w:rPr>
          <w:rFonts w:hint="eastAsia" w:ascii="宋体" w:hAnsi="宋体" w:cs="宋体"/>
          <w:kern w:val="0"/>
        </w:rPr>
      </w:pPr>
      <w:r>
        <w:rPr>
          <w:rFonts w:hint="eastAsia" w:ascii="宋体" w:hAnsi="宋体" w:cs="宋体"/>
          <w:kern w:val="0"/>
          <w:lang w:val="zh-CN"/>
        </w:rPr>
        <w:t>投标人名称(电子签名)：</w:t>
      </w:r>
    </w:p>
    <w:p>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22"/>
        <w:jc w:val="left"/>
        <w:rPr>
          <w:rFonts w:hint="eastAsia"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ind w:right="420" w:firstLine="480"/>
        <w:rPr>
          <w:rFonts w:hint="eastAsia" w:ascii="宋体" w:hAnsi="宋体" w:cs="宋体"/>
        </w:rPr>
      </w:pPr>
      <w:r>
        <w:rPr>
          <w:rFonts w:hint="eastAsia" w:ascii="宋体" w:hAnsi="宋体" w:cs="宋体"/>
        </w:rPr>
        <w:t>注：</w:t>
      </w:r>
    </w:p>
    <w:p>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firstLine="643"/>
        <w:jc w:val="center"/>
        <w:rPr>
          <w:rFonts w:hint="eastAsia" w:ascii="宋体" w:hAnsi="宋体" w:cs="宋体"/>
          <w:b/>
          <w:sz w:val="32"/>
          <w:szCs w:val="32"/>
        </w:rPr>
      </w:pPr>
    </w:p>
    <w:p>
      <w:pPr>
        <w:ind w:right="420" w:firstLine="480"/>
        <w:rPr>
          <w:rFonts w:hint="eastAsia" w:ascii="宋体" w:hAnsi="宋体" w:cs="宋体"/>
        </w:rPr>
      </w:pPr>
    </w:p>
    <w:p>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ind w:firstLine="360"/>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ind w:firstLine="36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9"/>
                      <w:ind w:firstLine="36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D8284301"/>
    <w:multiLevelType w:val="singleLevel"/>
    <w:tmpl w:val="D8284301"/>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abstractNum w:abstractNumId="4">
    <w:nsid w:val="5772DB6C"/>
    <w:multiLevelType w:val="singleLevel"/>
    <w:tmpl w:val="5772DB6C"/>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5BA0"/>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9E"/>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97"/>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5A2A"/>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91D"/>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873"/>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0F585C"/>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61CB1"/>
    <w:rsid w:val="034A50BF"/>
    <w:rsid w:val="036634D2"/>
    <w:rsid w:val="03764ACC"/>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30C95"/>
    <w:rsid w:val="04B57B90"/>
    <w:rsid w:val="04C630A7"/>
    <w:rsid w:val="04C737B8"/>
    <w:rsid w:val="04D3209A"/>
    <w:rsid w:val="04D56F62"/>
    <w:rsid w:val="04EE7C6A"/>
    <w:rsid w:val="04F66F48"/>
    <w:rsid w:val="05251E14"/>
    <w:rsid w:val="054776DC"/>
    <w:rsid w:val="055B4188"/>
    <w:rsid w:val="05685F23"/>
    <w:rsid w:val="0587093E"/>
    <w:rsid w:val="058A3B66"/>
    <w:rsid w:val="05A16594"/>
    <w:rsid w:val="05A65FD8"/>
    <w:rsid w:val="05A7762D"/>
    <w:rsid w:val="05AB5E10"/>
    <w:rsid w:val="05B021BF"/>
    <w:rsid w:val="05B367D5"/>
    <w:rsid w:val="05D22492"/>
    <w:rsid w:val="05F67935"/>
    <w:rsid w:val="060E5941"/>
    <w:rsid w:val="06110FAF"/>
    <w:rsid w:val="06173EC2"/>
    <w:rsid w:val="06493CA7"/>
    <w:rsid w:val="065A6178"/>
    <w:rsid w:val="066F1CF3"/>
    <w:rsid w:val="06930BB8"/>
    <w:rsid w:val="06CC603E"/>
    <w:rsid w:val="06F47BA9"/>
    <w:rsid w:val="070E35AC"/>
    <w:rsid w:val="07245D42"/>
    <w:rsid w:val="07264C62"/>
    <w:rsid w:val="07760839"/>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8552F6"/>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591A56"/>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721436"/>
    <w:rsid w:val="0C7E08A9"/>
    <w:rsid w:val="0C82094D"/>
    <w:rsid w:val="0C8445DA"/>
    <w:rsid w:val="0C87121B"/>
    <w:rsid w:val="0CC007F7"/>
    <w:rsid w:val="0CC617AC"/>
    <w:rsid w:val="0CD717A0"/>
    <w:rsid w:val="0CE618DF"/>
    <w:rsid w:val="0CFE707A"/>
    <w:rsid w:val="0D063BDA"/>
    <w:rsid w:val="0D08375F"/>
    <w:rsid w:val="0D184CFB"/>
    <w:rsid w:val="0D251768"/>
    <w:rsid w:val="0D327A97"/>
    <w:rsid w:val="0D3825BF"/>
    <w:rsid w:val="0D3D6507"/>
    <w:rsid w:val="0D4A7419"/>
    <w:rsid w:val="0D827401"/>
    <w:rsid w:val="0D84094E"/>
    <w:rsid w:val="0D8A00E9"/>
    <w:rsid w:val="0D8D589E"/>
    <w:rsid w:val="0D914EAB"/>
    <w:rsid w:val="0DA01C73"/>
    <w:rsid w:val="0DC7755F"/>
    <w:rsid w:val="0DD63300"/>
    <w:rsid w:val="0DDC300B"/>
    <w:rsid w:val="0DF50604"/>
    <w:rsid w:val="0DF702FE"/>
    <w:rsid w:val="0E060E51"/>
    <w:rsid w:val="0E207BB1"/>
    <w:rsid w:val="0E5604B2"/>
    <w:rsid w:val="0E5D0DE2"/>
    <w:rsid w:val="0E6D0107"/>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CD24F3"/>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40B75"/>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4E629C1"/>
    <w:rsid w:val="14EF1875"/>
    <w:rsid w:val="150536C3"/>
    <w:rsid w:val="150C1963"/>
    <w:rsid w:val="151447A0"/>
    <w:rsid w:val="152807B7"/>
    <w:rsid w:val="154A6454"/>
    <w:rsid w:val="15762120"/>
    <w:rsid w:val="158626FD"/>
    <w:rsid w:val="15D33E82"/>
    <w:rsid w:val="15F60C24"/>
    <w:rsid w:val="16382D92"/>
    <w:rsid w:val="166444E5"/>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89B3C8E"/>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6371B"/>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736424"/>
    <w:rsid w:val="1C88086E"/>
    <w:rsid w:val="1CA41E93"/>
    <w:rsid w:val="1CC03DE6"/>
    <w:rsid w:val="1CC40E9D"/>
    <w:rsid w:val="1D266CE1"/>
    <w:rsid w:val="1D3963AF"/>
    <w:rsid w:val="1D3F13B8"/>
    <w:rsid w:val="1D554554"/>
    <w:rsid w:val="1D5F7333"/>
    <w:rsid w:val="1D6A673C"/>
    <w:rsid w:val="1D9247AE"/>
    <w:rsid w:val="1DB567EC"/>
    <w:rsid w:val="1DCA68FD"/>
    <w:rsid w:val="1DE2702B"/>
    <w:rsid w:val="1DE53C6C"/>
    <w:rsid w:val="1DF51A98"/>
    <w:rsid w:val="1E3D060F"/>
    <w:rsid w:val="1E3F7D2E"/>
    <w:rsid w:val="1E4134E4"/>
    <w:rsid w:val="1E5062B3"/>
    <w:rsid w:val="1E523514"/>
    <w:rsid w:val="1E714A66"/>
    <w:rsid w:val="1E7C6FB9"/>
    <w:rsid w:val="1E802593"/>
    <w:rsid w:val="1E8474D2"/>
    <w:rsid w:val="1E8B6156"/>
    <w:rsid w:val="1EA703CC"/>
    <w:rsid w:val="1EAE454F"/>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31813"/>
    <w:rsid w:val="208921B3"/>
    <w:rsid w:val="20973DEB"/>
    <w:rsid w:val="20B26522"/>
    <w:rsid w:val="20B44310"/>
    <w:rsid w:val="20ED311F"/>
    <w:rsid w:val="20F41B9B"/>
    <w:rsid w:val="2103170F"/>
    <w:rsid w:val="211116EB"/>
    <w:rsid w:val="214D1CF5"/>
    <w:rsid w:val="216133FC"/>
    <w:rsid w:val="216C51F8"/>
    <w:rsid w:val="216F4B60"/>
    <w:rsid w:val="21AC0D29"/>
    <w:rsid w:val="21BB6B29"/>
    <w:rsid w:val="21D56769"/>
    <w:rsid w:val="21E52EF3"/>
    <w:rsid w:val="21FB5D7B"/>
    <w:rsid w:val="22015E94"/>
    <w:rsid w:val="220B1C3D"/>
    <w:rsid w:val="22174719"/>
    <w:rsid w:val="221C3808"/>
    <w:rsid w:val="221D1D20"/>
    <w:rsid w:val="22334A87"/>
    <w:rsid w:val="22483EC5"/>
    <w:rsid w:val="22591518"/>
    <w:rsid w:val="226E3AF7"/>
    <w:rsid w:val="2289377F"/>
    <w:rsid w:val="22AB7CC8"/>
    <w:rsid w:val="22BE6801"/>
    <w:rsid w:val="23005595"/>
    <w:rsid w:val="232F4EF8"/>
    <w:rsid w:val="233500BF"/>
    <w:rsid w:val="23377FF7"/>
    <w:rsid w:val="235C3540"/>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5FA451E"/>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6541A3"/>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3A138D"/>
    <w:rsid w:val="2A4F6D47"/>
    <w:rsid w:val="2A6D6092"/>
    <w:rsid w:val="2A7059AD"/>
    <w:rsid w:val="2A7A159A"/>
    <w:rsid w:val="2A7D76B4"/>
    <w:rsid w:val="2A945420"/>
    <w:rsid w:val="2AC646EF"/>
    <w:rsid w:val="2ACE5934"/>
    <w:rsid w:val="2AFA4BDA"/>
    <w:rsid w:val="2B4324C3"/>
    <w:rsid w:val="2B437463"/>
    <w:rsid w:val="2B6A7747"/>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B30913"/>
    <w:rsid w:val="2DCE5BE2"/>
    <w:rsid w:val="2DD15014"/>
    <w:rsid w:val="2DF72DE4"/>
    <w:rsid w:val="2E0220AF"/>
    <w:rsid w:val="2E4B082A"/>
    <w:rsid w:val="2E5D4E86"/>
    <w:rsid w:val="2E5D790B"/>
    <w:rsid w:val="2E9A3C18"/>
    <w:rsid w:val="2EA80FBB"/>
    <w:rsid w:val="2EAA1469"/>
    <w:rsid w:val="2EBB0FEE"/>
    <w:rsid w:val="2EC63002"/>
    <w:rsid w:val="2F0A6B38"/>
    <w:rsid w:val="2F0F0341"/>
    <w:rsid w:val="2F145890"/>
    <w:rsid w:val="2F946CCB"/>
    <w:rsid w:val="2FA06539"/>
    <w:rsid w:val="2FB45B8C"/>
    <w:rsid w:val="2FCC64C4"/>
    <w:rsid w:val="2FD25781"/>
    <w:rsid w:val="2FDC745C"/>
    <w:rsid w:val="2FFD7934"/>
    <w:rsid w:val="301744FA"/>
    <w:rsid w:val="305407BD"/>
    <w:rsid w:val="30733ACD"/>
    <w:rsid w:val="308C3862"/>
    <w:rsid w:val="30931AAA"/>
    <w:rsid w:val="309379D8"/>
    <w:rsid w:val="30A270F7"/>
    <w:rsid w:val="30DE1C85"/>
    <w:rsid w:val="30DF1478"/>
    <w:rsid w:val="30EC586F"/>
    <w:rsid w:val="311D107C"/>
    <w:rsid w:val="316A4D30"/>
    <w:rsid w:val="319C6071"/>
    <w:rsid w:val="31AC537E"/>
    <w:rsid w:val="31E3679B"/>
    <w:rsid w:val="31E732FD"/>
    <w:rsid w:val="31ED2BE1"/>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D3D20"/>
    <w:rsid w:val="34AF62C9"/>
    <w:rsid w:val="34C06EA1"/>
    <w:rsid w:val="34CB4388"/>
    <w:rsid w:val="34FA31E1"/>
    <w:rsid w:val="34FA6E12"/>
    <w:rsid w:val="35460B53"/>
    <w:rsid w:val="354D7158"/>
    <w:rsid w:val="357243A5"/>
    <w:rsid w:val="358C39DC"/>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704AA"/>
    <w:rsid w:val="38196A86"/>
    <w:rsid w:val="38224F00"/>
    <w:rsid w:val="38296C89"/>
    <w:rsid w:val="383002EB"/>
    <w:rsid w:val="383218F5"/>
    <w:rsid w:val="384A10CB"/>
    <w:rsid w:val="385616DA"/>
    <w:rsid w:val="38586797"/>
    <w:rsid w:val="38653F8D"/>
    <w:rsid w:val="38B44A00"/>
    <w:rsid w:val="38BC0149"/>
    <w:rsid w:val="38D87D1C"/>
    <w:rsid w:val="38FF2E4A"/>
    <w:rsid w:val="394418E0"/>
    <w:rsid w:val="39557407"/>
    <w:rsid w:val="39636459"/>
    <w:rsid w:val="396B7F6C"/>
    <w:rsid w:val="399F4BAB"/>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E15B0C"/>
    <w:rsid w:val="3BF15831"/>
    <w:rsid w:val="3C041233"/>
    <w:rsid w:val="3C105946"/>
    <w:rsid w:val="3C3F64CE"/>
    <w:rsid w:val="3C471448"/>
    <w:rsid w:val="3C5F759A"/>
    <w:rsid w:val="3C6C18CE"/>
    <w:rsid w:val="3C6C525A"/>
    <w:rsid w:val="3C922C1B"/>
    <w:rsid w:val="3CCE23CB"/>
    <w:rsid w:val="3CD17D17"/>
    <w:rsid w:val="3CF97CD1"/>
    <w:rsid w:val="3D3C7F39"/>
    <w:rsid w:val="3D440F09"/>
    <w:rsid w:val="3D4504A0"/>
    <w:rsid w:val="3D6702AE"/>
    <w:rsid w:val="3D807383"/>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ECD2378"/>
    <w:rsid w:val="3F060E16"/>
    <w:rsid w:val="3F1D1096"/>
    <w:rsid w:val="3F2F0234"/>
    <w:rsid w:val="3F5E5225"/>
    <w:rsid w:val="3F6363FE"/>
    <w:rsid w:val="3F756B8F"/>
    <w:rsid w:val="3F95482B"/>
    <w:rsid w:val="3FA94F62"/>
    <w:rsid w:val="3FB26998"/>
    <w:rsid w:val="3FC0345D"/>
    <w:rsid w:val="3FFC538D"/>
    <w:rsid w:val="4019356B"/>
    <w:rsid w:val="40421A8A"/>
    <w:rsid w:val="404544F3"/>
    <w:rsid w:val="404552A0"/>
    <w:rsid w:val="40592157"/>
    <w:rsid w:val="406E1CAE"/>
    <w:rsid w:val="40A0133A"/>
    <w:rsid w:val="40AC64D2"/>
    <w:rsid w:val="40C31A53"/>
    <w:rsid w:val="40C615C5"/>
    <w:rsid w:val="40FF545D"/>
    <w:rsid w:val="410067C8"/>
    <w:rsid w:val="41322966"/>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4165E"/>
    <w:rsid w:val="43174B3D"/>
    <w:rsid w:val="434B790E"/>
    <w:rsid w:val="43516679"/>
    <w:rsid w:val="4360274F"/>
    <w:rsid w:val="43805C0B"/>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BA67D4"/>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4559C6"/>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CD47473"/>
    <w:rsid w:val="4D077F3C"/>
    <w:rsid w:val="4D123355"/>
    <w:rsid w:val="4D2A3B31"/>
    <w:rsid w:val="4D312C52"/>
    <w:rsid w:val="4D905305"/>
    <w:rsid w:val="4D964A72"/>
    <w:rsid w:val="4D994499"/>
    <w:rsid w:val="4D9C1254"/>
    <w:rsid w:val="4E1753BE"/>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24706D"/>
    <w:rsid w:val="5142540C"/>
    <w:rsid w:val="514C5AD9"/>
    <w:rsid w:val="51501312"/>
    <w:rsid w:val="518832C8"/>
    <w:rsid w:val="518A1BE1"/>
    <w:rsid w:val="518F1137"/>
    <w:rsid w:val="519D3C50"/>
    <w:rsid w:val="51A0432A"/>
    <w:rsid w:val="51A842FD"/>
    <w:rsid w:val="51A86090"/>
    <w:rsid w:val="51AD6B85"/>
    <w:rsid w:val="51B7396D"/>
    <w:rsid w:val="51CB2747"/>
    <w:rsid w:val="52211C06"/>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BB02B6"/>
    <w:rsid w:val="55CD357A"/>
    <w:rsid w:val="55DC29B6"/>
    <w:rsid w:val="55DD4241"/>
    <w:rsid w:val="56082A0F"/>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D14FBA"/>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E82615"/>
    <w:rsid w:val="5BF3564B"/>
    <w:rsid w:val="5C02690E"/>
    <w:rsid w:val="5C196DA7"/>
    <w:rsid w:val="5C2A048C"/>
    <w:rsid w:val="5C530A93"/>
    <w:rsid w:val="5C634C3E"/>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A152C6"/>
    <w:rsid w:val="60AC408B"/>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3BA6ABF"/>
    <w:rsid w:val="64055776"/>
    <w:rsid w:val="64240056"/>
    <w:rsid w:val="643E143A"/>
    <w:rsid w:val="64491666"/>
    <w:rsid w:val="64632C12"/>
    <w:rsid w:val="648B6EEF"/>
    <w:rsid w:val="64C158BF"/>
    <w:rsid w:val="64CE2EAA"/>
    <w:rsid w:val="64E624BC"/>
    <w:rsid w:val="650A5C8A"/>
    <w:rsid w:val="65120B64"/>
    <w:rsid w:val="652F4898"/>
    <w:rsid w:val="653C3090"/>
    <w:rsid w:val="653C4FAA"/>
    <w:rsid w:val="65425461"/>
    <w:rsid w:val="65854376"/>
    <w:rsid w:val="658767BE"/>
    <w:rsid w:val="65892531"/>
    <w:rsid w:val="658F6D0E"/>
    <w:rsid w:val="65951872"/>
    <w:rsid w:val="65B33BEC"/>
    <w:rsid w:val="66195831"/>
    <w:rsid w:val="66287D10"/>
    <w:rsid w:val="662E75B1"/>
    <w:rsid w:val="66342C2E"/>
    <w:rsid w:val="663E784C"/>
    <w:rsid w:val="6678210A"/>
    <w:rsid w:val="668B6A45"/>
    <w:rsid w:val="66A40E14"/>
    <w:rsid w:val="66C85FD6"/>
    <w:rsid w:val="672243F5"/>
    <w:rsid w:val="672F3F24"/>
    <w:rsid w:val="673E055F"/>
    <w:rsid w:val="67450E58"/>
    <w:rsid w:val="67551CE3"/>
    <w:rsid w:val="67577E13"/>
    <w:rsid w:val="678D5965"/>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D87C9F"/>
    <w:rsid w:val="69F12B0F"/>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C1119E5"/>
    <w:rsid w:val="6C196F71"/>
    <w:rsid w:val="6C226FCB"/>
    <w:rsid w:val="6C31226F"/>
    <w:rsid w:val="6C4660E2"/>
    <w:rsid w:val="6C552F0B"/>
    <w:rsid w:val="6C8C67B7"/>
    <w:rsid w:val="6C9D744C"/>
    <w:rsid w:val="6CAB52CB"/>
    <w:rsid w:val="6CDE7E4F"/>
    <w:rsid w:val="6CE3525E"/>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9F6FDD"/>
    <w:rsid w:val="6ECB7DD2"/>
    <w:rsid w:val="6ED446C5"/>
    <w:rsid w:val="6F0D3F47"/>
    <w:rsid w:val="6F2A7D94"/>
    <w:rsid w:val="6F2F53F0"/>
    <w:rsid w:val="6F8331F1"/>
    <w:rsid w:val="6FAE1A09"/>
    <w:rsid w:val="6FCE5D0B"/>
    <w:rsid w:val="6FD75BF8"/>
    <w:rsid w:val="707723D0"/>
    <w:rsid w:val="70AB7EBB"/>
    <w:rsid w:val="70BE583B"/>
    <w:rsid w:val="70C54F37"/>
    <w:rsid w:val="70E66662"/>
    <w:rsid w:val="70EB72D7"/>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BA43E6"/>
    <w:rsid w:val="73720D0C"/>
    <w:rsid w:val="73A50197"/>
    <w:rsid w:val="73AF7192"/>
    <w:rsid w:val="73C0646E"/>
    <w:rsid w:val="741325D9"/>
    <w:rsid w:val="741743EB"/>
    <w:rsid w:val="742222F5"/>
    <w:rsid w:val="74476126"/>
    <w:rsid w:val="746D05CC"/>
    <w:rsid w:val="74706664"/>
    <w:rsid w:val="74790B89"/>
    <w:rsid w:val="747F3682"/>
    <w:rsid w:val="749C4185"/>
    <w:rsid w:val="74B43BD3"/>
    <w:rsid w:val="74CB2696"/>
    <w:rsid w:val="74EF5F37"/>
    <w:rsid w:val="75067759"/>
    <w:rsid w:val="752E6DCD"/>
    <w:rsid w:val="7551380D"/>
    <w:rsid w:val="75600BE5"/>
    <w:rsid w:val="7561323F"/>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813724"/>
    <w:rsid w:val="779F4A84"/>
    <w:rsid w:val="77AF3E74"/>
    <w:rsid w:val="77C6711F"/>
    <w:rsid w:val="77D1700D"/>
    <w:rsid w:val="77E918D9"/>
    <w:rsid w:val="77EC04CC"/>
    <w:rsid w:val="78775729"/>
    <w:rsid w:val="78A42DB0"/>
    <w:rsid w:val="78A656AB"/>
    <w:rsid w:val="78B2245C"/>
    <w:rsid w:val="78E172CC"/>
    <w:rsid w:val="78EA1D1F"/>
    <w:rsid w:val="78EA4D47"/>
    <w:rsid w:val="78F65A4C"/>
    <w:rsid w:val="7904172F"/>
    <w:rsid w:val="790F7E27"/>
    <w:rsid w:val="792A231A"/>
    <w:rsid w:val="79316829"/>
    <w:rsid w:val="797E66A9"/>
    <w:rsid w:val="798518A4"/>
    <w:rsid w:val="79916E2D"/>
    <w:rsid w:val="79A97383"/>
    <w:rsid w:val="79E27E8B"/>
    <w:rsid w:val="79F850CE"/>
    <w:rsid w:val="79FD0CA2"/>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7D079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5C7A06"/>
    <w:rsid w:val="7E750A33"/>
    <w:rsid w:val="7E795122"/>
    <w:rsid w:val="7E9A4E1F"/>
    <w:rsid w:val="7EA7723A"/>
    <w:rsid w:val="7EC55BB5"/>
    <w:rsid w:val="7ECF88B1"/>
    <w:rsid w:val="7EDF3993"/>
    <w:rsid w:val="7EE718FB"/>
    <w:rsid w:val="7EEF4326"/>
    <w:rsid w:val="7EF56FBB"/>
    <w:rsid w:val="7F0768EB"/>
    <w:rsid w:val="7F143BEC"/>
    <w:rsid w:val="7F3B48A0"/>
    <w:rsid w:val="7F5F61A8"/>
    <w:rsid w:val="7F715AF2"/>
    <w:rsid w:val="7F886E69"/>
    <w:rsid w:val="7FC627FF"/>
    <w:rsid w:val="7FDB3BED"/>
    <w:rsid w:val="BB7FA927"/>
    <w:rsid w:val="EFAF017F"/>
    <w:rsid w:val="F5FFD31F"/>
    <w:rsid w:val="F7FD1965"/>
    <w:rsid w:val="FFFF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qFormat/>
    <w:uiPriority w:val="9"/>
    <w:pPr>
      <w:keepNext/>
      <w:keepLines/>
      <w:tabs>
        <w:tab w:val="left" w:pos="432"/>
      </w:tabs>
      <w:ind w:firstLine="0" w:firstLineChars="0"/>
      <w:jc w:val="center"/>
      <w:outlineLvl w:val="0"/>
    </w:pPr>
    <w:rPr>
      <w:b/>
      <w:bCs/>
      <w:kern w:val="44"/>
      <w:sz w:val="36"/>
      <w:szCs w:val="44"/>
    </w:rPr>
  </w:style>
  <w:style w:type="paragraph" w:styleId="2">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1"/>
    <w:link w:val="432"/>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7"/>
    <w:qFormat/>
    <w:uiPriority w:val="0"/>
    <w:pPr>
      <w:spacing w:line="480" w:lineRule="exact"/>
      <w:ind w:firstLine="480"/>
    </w:pPr>
    <w:rPr>
      <w:rFonts w:ascii="宋体" w:hAnsi="宋体"/>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qFormat/>
    <w:uiPriority w:val="0"/>
    <w:pPr>
      <w:adjustRightInd/>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2"/>
    <w:qFormat/>
    <w:uiPriority w:val="0"/>
    <w:pPr>
      <w:widowControl/>
      <w:adjustRightInd/>
      <w:ind w:firstLine="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Cs w:val="21"/>
      <w:lang w:val="zh-CN"/>
    </w:rPr>
  </w:style>
  <w:style w:type="paragraph" w:styleId="36">
    <w:name w:val="Body Text Indent 2"/>
    <w:basedOn w:val="1"/>
    <w:link w:val="310"/>
    <w:qFormat/>
    <w:uiPriority w:val="0"/>
    <w:pPr>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5"/>
    <w:qFormat/>
    <w:uiPriority w:val="99"/>
    <w:pPr>
      <w:tabs>
        <w:tab w:val="center" w:pos="4153"/>
        <w:tab w:val="right" w:pos="8306"/>
      </w:tabs>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pPr>
  </w:style>
  <w:style w:type="paragraph" w:styleId="45">
    <w:name w:val="index 1"/>
    <w:basedOn w:val="1"/>
    <w:next w:val="1"/>
    <w:qFormat/>
    <w:uiPriority w:val="0"/>
    <w:pPr>
      <w:adjustRightInd/>
      <w:ind w:firstLine="200"/>
      <w:jc w:val="center"/>
    </w:pPr>
    <w:rPr>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next w:val="50"/>
    <w:link w:val="323"/>
    <w:qFormat/>
    <w:uiPriority w:val="0"/>
    <w:pPr>
      <w:ind w:firstLine="420"/>
    </w:pPr>
    <w:rPr>
      <w:rFonts w:hAnsi="Calibri" w:cs="Times New Roman"/>
      <w:snapToGrid/>
      <w:szCs w:val="20"/>
    </w:rPr>
  </w:style>
  <w:style w:type="paragraph" w:styleId="61">
    <w:name w:val="Body Text First Indent 2"/>
    <w:basedOn w:val="24"/>
    <w:next w:val="60"/>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Body Text First Indent 21"/>
    <w:basedOn w:val="82"/>
    <w:qFormat/>
    <w:uiPriority w:val="0"/>
    <w:pPr>
      <w:spacing w:after="120" w:line="240" w:lineRule="auto"/>
      <w:ind w:left="420" w:leftChars="200" w:firstLine="420"/>
    </w:pPr>
    <w:rPr>
      <w:sz w:val="21"/>
    </w:rPr>
  </w:style>
  <w:style w:type="paragraph" w:customStyle="1" w:styleId="82">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qFormat/>
    <w:uiPriority w:val="0"/>
    <w:pPr>
      <w:adjustRightInd/>
      <w:ind w:firstLine="420"/>
    </w:pPr>
    <w:rPr>
      <w:rFonts w:eastAsia="仿宋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ind w:firstLine="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ind w:firstLine="510"/>
    </w:pPr>
    <w:rPr>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rFonts w:ascii="Times New Roman" w:hAnsi="Times New Roman" w:eastAsia="宋体"/>
      <w:sz w:val="24"/>
      <w:szCs w:val="22"/>
      <w:lang w:val="en-US" w:eastAsia="zh-CN" w:bidi="ar-SA"/>
    </w:rPr>
  </w:style>
  <w:style w:type="paragraph" w:customStyle="1" w:styleId="143">
    <w:name w:val="无间隔1"/>
    <w:link w:val="142"/>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pacing w:before="240" w:after="240" w:line="240" w:lineRule="auto"/>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ind w:firstLine="480"/>
    </w:pPr>
    <w:rPr>
      <w:rFonts w:ascii="Tahoma" w:hAnsi="Tahoma"/>
      <w:kern w:val="0"/>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ind w:firstLine="48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79"/>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ind w:firstLine="48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ind w:firstLine="48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ind w:left="720" w:firstLine="200"/>
      <w:jc w:val="left"/>
    </w:pPr>
    <w:rPr>
      <w:kern w:val="0"/>
      <w:szCs w:val="20"/>
      <w:lang w:eastAsia="en-US"/>
    </w:rPr>
  </w:style>
  <w:style w:type="paragraph" w:styleId="260">
    <w:name w:val="List Paragraph"/>
    <w:basedOn w:val="1"/>
    <w:qFormat/>
    <w:uiPriority w:val="34"/>
    <w:pPr>
      <w:ind w:firstLine="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ind w:firstLine="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rFonts w:ascii="Times New Roman" w:hAnsi="Times New Roman" w:eastAsia="宋体"/>
      <w:b/>
      <w:bCs/>
      <w:kern w:val="44"/>
      <w:sz w:val="36"/>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宋体" w:hAnsi="宋体" w:eastAsia="宋体" w:cs="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ind w:firstLine="36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ind w:firstLine="48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ind w:firstLine="48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ind w:firstLine="48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jc w:val="center"/>
    </w:pPr>
    <w:rPr>
      <w:rFonts w:ascii="宋体" w:hAnsi="宋体" w:cs="宋体"/>
      <w:b/>
      <w:bCs/>
      <w:szCs w:val="20"/>
    </w:rPr>
  </w:style>
  <w:style w:type="paragraph" w:customStyle="1" w:styleId="443">
    <w:name w:val="标题4_自定义"/>
    <w:basedOn w:val="5"/>
    <w:qFormat/>
    <w:uiPriority w:val="0"/>
    <w:pPr>
      <w:adjustRightInd/>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ind w:firstLine="510"/>
    </w:pPr>
    <w:rPr>
      <w:szCs w:val="20"/>
    </w:rPr>
  </w:style>
  <w:style w:type="paragraph" w:customStyle="1" w:styleId="468">
    <w:name w:val="Test2"/>
    <w:basedOn w:val="2"/>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3">
    <w:name w:val="样式 宋体 行距: 1.5 倍行距 首行缩进:  2 字符"/>
    <w:basedOn w:val="1"/>
    <w:qFormat/>
    <w:uiPriority w:val="0"/>
    <w:pPr>
      <w:adjustRightInd/>
      <w:ind w:firstLine="42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pacing w:before="120" w:after="160"/>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ind w:firstLine="48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ind w:firstLine="480"/>
    </w:pPr>
    <w:rPr>
      <w:rFonts w:ascii="Arial" w:hAnsi="Arial"/>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ind w:firstLine="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5"/>
    <w:qFormat/>
    <w:uiPriority w:val="0"/>
    <w:pPr>
      <w:adjustRightInd/>
      <w:ind w:firstLine="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jc w:val="right"/>
    </w:pPr>
  </w:style>
  <w:style w:type="paragraph" w:customStyle="1" w:styleId="526">
    <w:name w:val="Char Char11 Char Char Char Char Char Char Char Char Char"/>
    <w:basedOn w:val="1"/>
    <w:qFormat/>
    <w:uiPriority w:val="0"/>
    <w:rPr>
      <w:szCs w:val="20"/>
    </w:rPr>
  </w:style>
  <w:style w:type="paragraph" w:customStyle="1" w:styleId="527">
    <w:name w:val="正文1.25"/>
    <w:basedOn w:val="1"/>
    <w:qFormat/>
    <w:uiPriority w:val="0"/>
    <w:pPr>
      <w:adjustRightInd/>
      <w:spacing w:line="300" w:lineRule="auto"/>
      <w:ind w:firstLine="480"/>
    </w:pPr>
    <w:rPr>
      <w:szCs w:val="20"/>
    </w:rPr>
  </w:style>
  <w:style w:type="paragraph" w:customStyle="1" w:styleId="528">
    <w:name w:val="1正文"/>
    <w:basedOn w:val="1"/>
    <w:qFormat/>
    <w:uiPriority w:val="0"/>
    <w:pPr>
      <w:adjustRightInd/>
      <w:ind w:firstLine="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pPr>
    <w:rPr>
      <w:szCs w:val="20"/>
    </w:rPr>
  </w:style>
  <w:style w:type="paragraph" w:customStyle="1" w:styleId="536">
    <w:name w:val="彩色列表 - 强调文字颜色 11"/>
    <w:basedOn w:val="1"/>
    <w:qFormat/>
    <w:uiPriority w:val="0"/>
    <w:pPr>
      <w:adjustRightInd/>
      <w:ind w:firstLine="420"/>
    </w:pPr>
    <w:rPr>
      <w:rFonts w:ascii="Calibri" w:hAnsi="Calibri"/>
      <w:szCs w:val="22"/>
    </w:rPr>
  </w:style>
  <w:style w:type="paragraph" w:customStyle="1" w:styleId="537">
    <w:name w:val="加粗正文"/>
    <w:basedOn w:val="1"/>
    <w:qFormat/>
    <w:uiPriority w:val="0"/>
    <w:pPr>
      <w:adjustRightInd/>
      <w:spacing w:before="156" w:beforeLines="50" w:after="156" w:afterLines="50"/>
      <w:ind w:firstLine="422"/>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79"/>
    <w:next w:val="7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0">
    <w:name w:val="正文文字 2"/>
    <w:basedOn w:val="79"/>
    <w:next w:val="7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5">
    <w:name w:val="Char Char111"/>
    <w:basedOn w:val="1"/>
    <w:qFormat/>
    <w:uiPriority w:val="0"/>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ind w:firstLine="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ind w:firstLine="42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pPr>
    <w:rPr>
      <w:b/>
    </w:rPr>
  </w:style>
  <w:style w:type="paragraph" w:customStyle="1" w:styleId="586">
    <w:name w:val="Char Char1101"/>
    <w:basedOn w:val="1"/>
    <w:qFormat/>
    <w:uiPriority w:val="0"/>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ind w:firstLine="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pPr>
    <w:rPr>
      <w:rFonts w:ascii="宋体"/>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5"/>
    <w:qFormat/>
    <w:uiPriority w:val="0"/>
    <w:rPr>
      <w:rFonts w:ascii="宋体"/>
      <w:b/>
      <w:szCs w:val="20"/>
    </w:rPr>
  </w:style>
  <w:style w:type="paragraph" w:customStyle="1" w:styleId="606">
    <w:name w:val="规划正文"/>
    <w:basedOn w:val="1"/>
    <w:qFormat/>
    <w:uiPriority w:val="0"/>
    <w:pPr>
      <w:adjustRightInd/>
      <w:spacing w:before="312" w:beforeLines="100"/>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ind w:firstLine="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qFormat/>
    <w:uiPriority w:val="0"/>
    <w:pPr>
      <w:ind w:firstLine="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ind w:firstLine="200"/>
    </w:pPr>
    <w:rPr>
      <w:rFonts w:ascii="Arial" w:hAnsi="Arial"/>
      <w:szCs w:val="20"/>
    </w:rPr>
  </w:style>
  <w:style w:type="paragraph" w:customStyle="1" w:styleId="647">
    <w:name w:val="Char1 Char Char Char1"/>
    <w:basedOn w:val="1"/>
    <w:qFormat/>
    <w:uiPriority w:val="0"/>
    <w:pPr>
      <w:adjustRightInd/>
      <w:ind w:firstLine="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i/>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rPr>
      <w:szCs w:val="20"/>
    </w:rPr>
  </w:style>
  <w:style w:type="paragraph" w:customStyle="1" w:styleId="691">
    <w:name w:val="金宏发行正文 Char"/>
    <w:basedOn w:val="1"/>
    <w:qFormat/>
    <w:uiPriority w:val="0"/>
    <w:pPr>
      <w:adjustRightInd/>
      <w:spacing w:line="500" w:lineRule="exact"/>
      <w:ind w:firstLine="56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qFormat/>
    <w:uiPriority w:val="0"/>
    <w:pPr>
      <w:adjustRightInd/>
      <w:jc w:val="center"/>
    </w:pPr>
  </w:style>
  <w:style w:type="paragraph" w:customStyle="1" w:styleId="701">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pacing w:after="120"/>
      <w:ind w:left="420" w:leftChars="200" w:firstLine="48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rPr>
      <w:szCs w:val="20"/>
    </w:rPr>
  </w:style>
  <w:style w:type="paragraph" w:customStyle="1" w:styleId="707">
    <w:name w:val="小项目标题"/>
    <w:basedOn w:val="1"/>
    <w:qFormat/>
    <w:uiPriority w:val="0"/>
    <w:pPr>
      <w:adjustRightInd/>
      <w:spacing w:before="100" w:beforeAutospacing="1" w:after="100" w:afterAutospacing="1"/>
      <w:ind w:left="480" w:leftChars="200" w:firstLine="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2"/>
    <w:qFormat/>
    <w:uiPriority w:val="0"/>
    <w:pPr>
      <w:spacing w:before="120" w:after="12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3">
    <w:name w:val="4"/>
    <w:basedOn w:val="1"/>
    <w:next w:val="36"/>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qFormat/>
    <w:uiPriority w:val="0"/>
    <w:pPr>
      <w:keepLines w:val="0"/>
      <w:spacing w:line="240" w:lineRule="auto"/>
    </w:pPr>
    <w:rPr>
      <w:rFonts w:cs="宋体"/>
      <w:sz w:val="21"/>
      <w:szCs w:val="20"/>
    </w:rPr>
  </w:style>
  <w:style w:type="paragraph" w:customStyle="1" w:styleId="727">
    <w:name w:val="样式 仿宋_GB2312 小三 左侧:  1.06 厘米"/>
    <w:basedOn w:val="1"/>
    <w:qFormat/>
    <w:uiPriority w:val="0"/>
    <w:pPr>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0">
    <w:name w:val="正文（标题三）"/>
    <w:basedOn w:val="1"/>
    <w:qFormat/>
    <w:uiPriority w:val="0"/>
    <w:pPr>
      <w:ind w:firstLine="200"/>
    </w:pPr>
  </w:style>
  <w:style w:type="paragraph" w:customStyle="1" w:styleId="741">
    <w:name w:val="样式 正1 + 首行缩进:  2 字符"/>
    <w:basedOn w:val="1"/>
    <w:qFormat/>
    <w:uiPriority w:val="0"/>
    <w:pPr>
      <w:adjustRightInd/>
      <w:ind w:firstLine="48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4">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qFormat/>
    <w:uiPriority w:val="0"/>
    <w:pPr>
      <w:adjustRightInd/>
      <w:ind w:firstLine="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qFormat/>
    <w:uiPriority w:val="0"/>
    <w:pPr>
      <w:adjustRightInd/>
    </w:pPr>
    <w:rPr>
      <w:rFonts w:ascii="宋体" w:hAnsi="宋体"/>
      <w:szCs w:val="20"/>
    </w:rPr>
  </w:style>
  <w:style w:type="paragraph" w:customStyle="1" w:styleId="753">
    <w:name w:val="深色列表 - 强调文字颜色 51"/>
    <w:basedOn w:val="1"/>
    <w:qFormat/>
    <w:uiPriority w:val="0"/>
    <w:pPr>
      <w:adjustRightInd/>
      <w:ind w:firstLine="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qFormat/>
    <w:uiPriority w:val="34"/>
    <w:pPr>
      <w:adjustRightInd/>
      <w:ind w:firstLine="42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ind w:firstLine="48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ind w:firstLine="48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pPr>
    <w:rPr>
      <w:rFonts w:ascii="Tahoma" w:hAnsi="Tahoma"/>
      <w:szCs w:val="20"/>
    </w:rPr>
  </w:style>
  <w:style w:type="paragraph" w:customStyle="1" w:styleId="792">
    <w:name w:val="列出段落1"/>
    <w:basedOn w:val="1"/>
    <w:qFormat/>
    <w:uiPriority w:val="0"/>
    <w:pPr>
      <w:adjustRightInd/>
      <w:ind w:firstLine="42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qFormat/>
    <w:uiPriority w:val="34"/>
    <w:pPr>
      <w:adjustRightInd/>
      <w:ind w:firstLine="420"/>
    </w:pPr>
    <w:rPr>
      <w:rFonts w:ascii="Calibri" w:hAnsi="Calibri"/>
      <w:szCs w:val="22"/>
    </w:rPr>
  </w:style>
  <w:style w:type="paragraph" w:customStyle="1" w:styleId="801">
    <w:name w:val="首行缩进"/>
    <w:basedOn w:val="1"/>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pPr>
    <w:rPr>
      <w:rFonts w:ascii="Arial" w:hAnsi="Arial" w:eastAsia="黑体" w:cs="Arial"/>
      <w:snapToGrid w:val="0"/>
      <w:kern w:val="0"/>
      <w:szCs w:val="21"/>
    </w:rPr>
  </w:style>
  <w:style w:type="paragraph" w:customStyle="1" w:styleId="807">
    <w:name w:val="样式 首行缩进:  2 字符"/>
    <w:basedOn w:val="1"/>
    <w:qFormat/>
    <w:uiPriority w:val="0"/>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ind w:firstLine="480"/>
    </w:pPr>
    <w:rPr>
      <w:szCs w:val="20"/>
    </w:rPr>
  </w:style>
  <w:style w:type="paragraph" w:customStyle="1" w:styleId="809">
    <w:name w:val="P1"/>
    <w:basedOn w:val="1"/>
    <w:qFormat/>
    <w:uiPriority w:val="0"/>
    <w:pPr>
      <w:adjustRightInd/>
      <w:spacing w:line="288" w:lineRule="auto"/>
      <w:ind w:firstLine="425"/>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qFormat/>
    <w:uiPriority w:val="0"/>
    <w:rPr>
      <w:szCs w:val="20"/>
    </w:rPr>
  </w:style>
  <w:style w:type="paragraph" w:customStyle="1" w:styleId="818">
    <w:name w:val="正文4"/>
    <w:basedOn w:val="1"/>
    <w:qFormat/>
    <w:uiPriority w:val="0"/>
    <w:pPr>
      <w:tabs>
        <w:tab w:val="left" w:pos="720"/>
      </w:tabs>
      <w:adjustRightInd/>
      <w:spacing w:before="60" w:after="60"/>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qFormat/>
    <w:uiPriority w:val="0"/>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qFormat/>
    <w:uiPriority w:val="0"/>
    <w:pPr>
      <w:adjustRightInd/>
      <w:spacing w:before="20" w:after="20"/>
      <w:ind w:firstLine="200"/>
    </w:pPr>
    <w:rPr>
      <w:rFonts w:ascii="Century Gothic" w:hAnsi="Century Gothic"/>
      <w:szCs w:val="20"/>
    </w:rPr>
  </w:style>
  <w:style w:type="paragraph" w:customStyle="1" w:styleId="831">
    <w:name w:val="插图说明"/>
    <w:basedOn w:val="1"/>
    <w:qFormat/>
    <w:uiPriority w:val="0"/>
    <w:pPr>
      <w:spacing w:after="240"/>
      <w:ind w:firstLine="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qFormat/>
    <w:uiPriority w:val="0"/>
    <w:pPr>
      <w:adjustRightInd/>
      <w:ind w:firstLine="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qFormat/>
    <w:uiPriority w:val="2"/>
    <w:pPr>
      <w:adjustRightInd/>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1"/>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qFormat/>
    <w:uiPriority w:val="0"/>
    <w:pPr>
      <w:ind w:firstLine="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pPr>
    <w:rPr>
      <w:rFonts w:ascii="Tahoma" w:hAnsi="Tahoma"/>
      <w:szCs w:val="20"/>
    </w:rPr>
  </w:style>
  <w:style w:type="paragraph" w:customStyle="1" w:styleId="874">
    <w:name w:val="_Style 12"/>
    <w:basedOn w:val="18"/>
    <w:qFormat/>
    <w:uiPriority w:val="0"/>
  </w:style>
  <w:style w:type="paragraph" w:customStyle="1" w:styleId="875">
    <w:name w:val="样式 首行缩进:  0 字符"/>
    <w:basedOn w:val="1"/>
    <w:qFormat/>
    <w:uiPriority w:val="0"/>
    <w:pPr>
      <w:adjustRightInd/>
      <w:ind w:firstLine="200"/>
    </w:pPr>
    <w:rPr>
      <w:rFonts w:ascii="Arial" w:hAnsi="Arial" w:cs="宋体"/>
      <w:szCs w:val="20"/>
    </w:rPr>
  </w:style>
  <w:style w:type="paragraph" w:customStyle="1" w:styleId="876">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qFormat/>
    <w:uiPriority w:val="34"/>
    <w:pPr>
      <w:adjustRightInd/>
      <w:ind w:firstLine="200"/>
    </w:pPr>
    <w:rPr>
      <w:rFonts w:ascii="Calibri" w:hAnsi="Calibri"/>
      <w:sz w:val="28"/>
      <w:szCs w:val="20"/>
    </w:rPr>
  </w:style>
  <w:style w:type="paragraph" w:customStyle="1" w:styleId="878">
    <w:name w:val="方案正文"/>
    <w:basedOn w:val="1"/>
    <w:qFormat/>
    <w:uiPriority w:val="0"/>
    <w:pPr>
      <w:spacing w:line="324" w:lineRule="auto"/>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ind w:firstLine="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pPr>
    <w:rPr>
      <w:rFonts w:ascii="Tahoma" w:hAnsi="Tahoma"/>
      <w:szCs w:val="20"/>
    </w:rPr>
  </w:style>
  <w:style w:type="paragraph" w:customStyle="1" w:styleId="884">
    <w:name w:val="GP正文(首行缩进)"/>
    <w:basedOn w:val="1"/>
    <w:qFormat/>
    <w:uiPriority w:val="0"/>
    <w:pPr>
      <w:adjustRightInd/>
      <w:ind w:firstLine="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ind w:left="200" w:leftChars="200" w:firstLine="200"/>
    </w:p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pPr>
    <w:rPr>
      <w:rFonts w:ascii="仿宋_GB2312" w:hAnsi="仿宋" w:eastAsia="仿宋_GB2312"/>
    </w:rPr>
  </w:style>
  <w:style w:type="paragraph" w:customStyle="1" w:styleId="908">
    <w:name w:val="_Style 8"/>
    <w:basedOn w:val="1"/>
    <w:qFormat/>
    <w:uiPriority w:val="34"/>
    <w:pPr>
      <w:adjustRightInd/>
      <w:ind w:firstLine="42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ind w:firstLine="480"/>
    </w:p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ind w:firstLine="48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2"/>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3"/>
    <w:basedOn w:val="1"/>
    <w:qFormat/>
    <w:uiPriority w:val="0"/>
    <w:pPr>
      <w:spacing w:line="240" w:lineRule="auto"/>
      <w:jc w:val="center"/>
      <w:outlineLvl w:val="0"/>
    </w:pPr>
    <w:rPr>
      <w:rFonts w:hint="eastAsia" w:ascii="宋体" w:hAnsi="宋体" w:cs="宋体"/>
      <w:bCs/>
    </w:rPr>
  </w:style>
  <w:style w:type="character" w:customStyle="1" w:styleId="968">
    <w:name w:val="NormalCharacter"/>
    <w:qFormat/>
    <w:uiPriority w:val="0"/>
  </w:style>
  <w:style w:type="paragraph" w:customStyle="1" w:styleId="969">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0">
    <w:name w:val="A_正文_注释"/>
    <w:basedOn w:val="1"/>
    <w:qFormat/>
    <w:uiPriority w:val="0"/>
    <w:pPr>
      <w:tabs>
        <w:tab w:val="left" w:pos="1547"/>
      </w:tabs>
      <w:ind w:firstLine="600"/>
    </w:pPr>
    <w:rPr>
      <w:rFonts w:eastAsia="仿宋"/>
      <w:color w:val="0070C0"/>
    </w:rPr>
  </w:style>
  <w:style w:type="paragraph" w:customStyle="1" w:styleId="971">
    <w:name w:val="A_正文_黑"/>
    <w:basedOn w:val="970"/>
    <w:qFormat/>
    <w:uiPriority w:val="0"/>
    <w:rPr>
      <w:color w:val="000000" w:themeColor="text1"/>
      <w14:textFill>
        <w14:solidFill>
          <w14:schemeClr w14:val="tx1"/>
        </w14:solidFill>
      </w14:textFill>
    </w:rPr>
  </w:style>
  <w:style w:type="character" w:customStyle="1" w:styleId="972">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32365</Words>
  <Characters>34301</Characters>
  <Lines>300</Lines>
  <Paragraphs>84</Paragraphs>
  <TotalTime>37</TotalTime>
  <ScaleCrop>false</ScaleCrop>
  <LinksUpToDate>false</LinksUpToDate>
  <CharactersWithSpaces>39876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Administrator</cp:lastModifiedBy>
  <cp:lastPrinted>2021-12-28T11:06:00Z</cp:lastPrinted>
  <dcterms:modified xsi:type="dcterms:W3CDTF">2024-09-18T05:26:49Z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1DBD381F5DCC4C67A24E39798437F530</vt:lpwstr>
  </property>
</Properties>
</file>