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rPr>
      </w:pPr>
    </w:p>
    <w:p>
      <w:pPr>
        <w:jc w:val="center"/>
        <w:rPr>
          <w:rFonts w:ascii="宋体" w:hAnsi="宋体" w:cs="宋体"/>
          <w:b/>
        </w:rPr>
      </w:pPr>
    </w:p>
    <w:p>
      <w:pPr>
        <w:adjustRightInd/>
        <w:ind w:firstLine="883"/>
        <w:jc w:val="center"/>
        <w:rPr>
          <w:rFonts w:ascii="宋体" w:hAnsi="宋体" w:cs="宋体"/>
          <w:b/>
          <w:sz w:val="44"/>
          <w:szCs w:val="44"/>
        </w:rPr>
      </w:pPr>
    </w:p>
    <w:p>
      <w:pPr>
        <w:adjustRightInd/>
        <w:ind w:firstLine="964"/>
        <w:rPr>
          <w:rFonts w:ascii="宋体" w:hAnsi="宋体" w:cs="宋体"/>
          <w:b/>
          <w:sz w:val="48"/>
          <w:szCs w:val="48"/>
        </w:rPr>
      </w:pPr>
    </w:p>
    <w:p>
      <w:pPr>
        <w:adjustRightInd/>
        <w:ind w:firstLine="0" w:firstLineChars="0"/>
        <w:jc w:val="center"/>
        <w:rPr>
          <w:rFonts w:ascii="宋体" w:hAnsi="宋体" w:cs="宋体"/>
          <w:b/>
          <w:bCs/>
          <w:sz w:val="48"/>
          <w:szCs w:val="48"/>
        </w:rPr>
      </w:pPr>
      <w:r>
        <w:rPr>
          <w:rFonts w:hint="eastAsia" w:ascii="宋体" w:hAnsi="宋体" w:cs="宋体"/>
          <w:b/>
          <w:bCs/>
          <w:sz w:val="48"/>
          <w:szCs w:val="48"/>
        </w:rPr>
        <w:t>2024年浙江“福彩文化月”活动项目</w:t>
      </w:r>
    </w:p>
    <w:p>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pPr>
        <w:adjustRightInd/>
        <w:ind w:firstLine="0" w:firstLineChars="0"/>
        <w:jc w:val="center"/>
        <w:rPr>
          <w:rFonts w:ascii="宋体" w:hAnsi="宋体" w:cs="宋体"/>
          <w:b/>
          <w:sz w:val="44"/>
          <w:szCs w:val="44"/>
        </w:rPr>
      </w:pPr>
      <w:r>
        <w:rPr>
          <w:rFonts w:hint="eastAsia" w:ascii="宋体" w:hAnsi="宋体" w:cs="宋体"/>
          <w:b/>
          <w:sz w:val="44"/>
          <w:szCs w:val="44"/>
        </w:rPr>
        <w:t xml:space="preserve"> （电子招投标）</w:t>
      </w:r>
    </w:p>
    <w:p>
      <w:pPr>
        <w:ind w:firstLine="0" w:firstLineChars="0"/>
        <w:jc w:val="center"/>
        <w:rPr>
          <w:rFonts w:ascii="宋体" w:hAnsi="宋体" w:cs="宋体"/>
          <w:color w:val="FF0000"/>
          <w:sz w:val="30"/>
          <w:szCs w:val="30"/>
        </w:rPr>
      </w:pPr>
      <w:r>
        <w:rPr>
          <w:rFonts w:hint="eastAsia" w:ascii="宋体" w:hAnsi="宋体" w:cs="宋体"/>
          <w:sz w:val="30"/>
          <w:szCs w:val="30"/>
        </w:rPr>
        <w:t>编号:ZJXL-FCZX-202412</w:t>
      </w:r>
    </w:p>
    <w:p>
      <w:pPr>
        <w:pStyle w:val="23"/>
        <w:ind w:firstLine="0" w:firstLineChars="0"/>
        <w:jc w:val="center"/>
        <w:rPr>
          <w:rFonts w:eastAsia="微软雅黑"/>
          <w:color w:val="auto"/>
          <w:lang w:val="en-US"/>
        </w:rPr>
      </w:pPr>
      <w:r>
        <w:rPr>
          <w:rFonts w:hint="eastAsia" w:hAnsi="宋体" w:cs="宋体"/>
          <w:color w:val="auto"/>
          <w:sz w:val="30"/>
          <w:szCs w:val="30"/>
        </w:rPr>
        <w:t>确认书号：</w:t>
      </w:r>
      <w:r>
        <w:rPr>
          <w:color w:val="auto"/>
        </w:rPr>
        <w:fldChar w:fldCharType="begin"/>
      </w:r>
      <w:r>
        <w:rPr>
          <w:color w:val="auto"/>
        </w:rPr>
        <w:instrText xml:space="preserve"> HYPERLINK "https://pay.zcygov.cn/purchaseplan_front/" \l "/plan/list/detail?id=1000000000002132251&amp;encrypt=c0dae0ef925e618d77b99e0171178b8a" \t "_blank" </w:instrText>
      </w:r>
      <w:r>
        <w:rPr>
          <w:color w:val="auto"/>
        </w:rPr>
        <w:fldChar w:fldCharType="separate"/>
      </w:r>
      <w:r>
        <w:rPr>
          <w:rFonts w:hint="eastAsia" w:hAnsi="宋体" w:cs="宋体"/>
          <w:color w:val="auto"/>
          <w:sz w:val="30"/>
          <w:szCs w:val="30"/>
        </w:rPr>
        <w:t>浙财采确</w:t>
      </w:r>
      <w:r>
        <w:rPr>
          <w:rFonts w:hint="eastAsia" w:hAnsi="宋体" w:cs="宋体"/>
          <w:color w:val="auto"/>
          <w:sz w:val="30"/>
          <w:szCs w:val="30"/>
        </w:rPr>
        <w:fldChar w:fldCharType="end"/>
      </w:r>
      <w:r>
        <w:rPr>
          <w:rFonts w:hint="eastAsia" w:hAnsi="宋体" w:cs="宋体"/>
          <w:color w:val="auto"/>
          <w:sz w:val="30"/>
          <w:szCs w:val="30"/>
        </w:rPr>
        <w:t>[2024]</w:t>
      </w:r>
      <w:r>
        <w:rPr>
          <w:rFonts w:hint="eastAsia" w:hAnsi="宋体" w:cs="宋体"/>
          <w:color w:val="auto"/>
          <w:sz w:val="30"/>
          <w:szCs w:val="30"/>
          <w:lang w:val="en-US"/>
        </w:rPr>
        <w:t>56547</w:t>
      </w:r>
      <w:r>
        <w:rPr>
          <w:rFonts w:hint="eastAsia" w:hAnsi="宋体" w:cs="宋体"/>
          <w:color w:val="auto"/>
          <w:sz w:val="30"/>
          <w:szCs w:val="30"/>
        </w:rPr>
        <w:t>号</w:t>
      </w:r>
    </w:p>
    <w:p>
      <w:pPr>
        <w:adjustRightInd/>
        <w:ind w:firstLine="560"/>
        <w:rPr>
          <w:rFonts w:ascii="宋体" w:hAnsi="宋体" w:cs="宋体"/>
          <w:sz w:val="28"/>
          <w:szCs w:val="20"/>
        </w:rPr>
      </w:pPr>
    </w:p>
    <w:p>
      <w:pPr>
        <w:ind w:firstLine="883"/>
        <w:jc w:val="center"/>
        <w:rPr>
          <w:rFonts w:ascii="宋体" w:hAnsi="宋体" w:cs="宋体"/>
          <w:b/>
          <w:sz w:val="44"/>
          <w:szCs w:val="44"/>
        </w:rPr>
      </w:pPr>
      <w:r>
        <w:rPr>
          <w:rFonts w:hint="eastAsia" w:ascii="宋体" w:hAnsi="宋体" w:cs="宋体"/>
          <w:b/>
          <w:sz w:val="44"/>
          <w:szCs w:val="44"/>
        </w:rPr>
        <w:t xml:space="preserve"> </w:t>
      </w:r>
    </w:p>
    <w:p>
      <w:pPr>
        <w:ind w:firstLine="883"/>
        <w:jc w:val="center"/>
        <w:rPr>
          <w:rFonts w:ascii="宋体" w:hAnsi="宋体" w:cs="宋体"/>
          <w:b/>
          <w:sz w:val="44"/>
          <w:szCs w:val="44"/>
        </w:rPr>
      </w:pPr>
    </w:p>
    <w:p>
      <w:pPr>
        <w:ind w:firstLine="480"/>
        <w:jc w:val="center"/>
        <w:rPr>
          <w:rFonts w:ascii="宋体" w:hAnsi="宋体" w:cs="宋体"/>
        </w:rPr>
      </w:pPr>
    </w:p>
    <w:p>
      <w:pPr>
        <w:ind w:firstLine="0" w:firstLineChars="0"/>
        <w:rPr>
          <w:rFonts w:ascii="宋体" w:hAnsi="宋体" w:cs="宋体"/>
        </w:rPr>
      </w:pPr>
    </w:p>
    <w:p>
      <w:pPr>
        <w:ind w:firstLine="640"/>
        <w:rPr>
          <w:rFonts w:ascii="宋体" w:hAnsi="宋体" w:cs="宋体"/>
          <w:sz w:val="32"/>
          <w:szCs w:val="32"/>
        </w:rPr>
      </w:pPr>
    </w:p>
    <w:p>
      <w:pPr>
        <w:ind w:firstLine="0" w:firstLineChars="0"/>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浙江省福利彩票管理中心</w:t>
      </w:r>
    </w:p>
    <w:p>
      <w:pPr>
        <w:ind w:firstLine="0" w:firstLineChars="0"/>
        <w:jc w:val="center"/>
        <w:rPr>
          <w:rFonts w:ascii="宋体" w:hAnsi="宋体" w:cs="宋体"/>
          <w:bCs/>
          <w:sz w:val="32"/>
          <w:szCs w:val="32"/>
        </w:rPr>
      </w:pPr>
      <w:r>
        <w:rPr>
          <w:rFonts w:hint="eastAsia" w:ascii="宋体" w:hAnsi="宋体" w:cs="宋体"/>
          <w:bCs/>
          <w:sz w:val="32"/>
          <w:szCs w:val="32"/>
        </w:rPr>
        <w:t>浙江信镧建设工程咨询有限公司</w:t>
      </w:r>
    </w:p>
    <w:p>
      <w:pPr>
        <w:ind w:firstLine="0" w:firstLineChars="0"/>
        <w:jc w:val="center"/>
        <w:rPr>
          <w:rFonts w:ascii="宋体" w:hAnsi="宋体" w:cs="宋体"/>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pgNumType w:start="1"/>
          <w:cols w:space="0" w:num="1"/>
          <w:titlePg/>
          <w:docGrid w:linePitch="312" w:charSpace="0"/>
        </w:sectPr>
      </w:pPr>
      <w:r>
        <w:rPr>
          <w:rFonts w:hint="eastAsia" w:ascii="宋体" w:hAnsi="宋体" w:cs="宋体"/>
          <w:bCs/>
          <w:sz w:val="32"/>
          <w:szCs w:val="32"/>
        </w:rPr>
        <w:t>二〇二四年九月</w:t>
      </w:r>
    </w:p>
    <w:p>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pPr>
        <w:ind w:firstLine="480"/>
      </w:pPr>
      <w:r>
        <w:rPr>
          <w:rFonts w:hint="eastAsia"/>
        </w:rPr>
        <w:t>1、电子招投标：本项目以数据电文形式，依托“政府采购云平台（www.zcygov.cn）”进行招投标活动，不接受纸质投标文件；</w:t>
      </w:r>
    </w:p>
    <w:p>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ind w:firstLine="480"/>
      </w:pPr>
      <w:r>
        <w:rPr>
          <w:rFonts w:hint="eastAsia"/>
        </w:rPr>
        <w:t>3、招标文件的获取：使用账号登录或者使用CA登录政采云平台；进入“项目采购”应用，在获取采购文件菜单中选择项目，获取招标文件；</w:t>
      </w:r>
    </w:p>
    <w:p>
      <w:pPr>
        <w:ind w:firstLine="480"/>
      </w:pPr>
      <w:r>
        <w:rPr>
          <w:rFonts w:hint="eastAsia"/>
        </w:rPr>
        <w:t>4、投标文件的制作：在“政采云电子交易客户端”中完成“填写基本信息”、“导入投标文件”、“标书关联”、“标书检查”、“电子签名”、“生成电子标书”等操作；</w:t>
      </w:r>
    </w:p>
    <w:p>
      <w:pPr>
        <w:ind w:firstLine="480"/>
      </w:pPr>
      <w:r>
        <w:rPr>
          <w:rFonts w:hint="eastAsia"/>
        </w:rPr>
        <w:t>5、采购人、采购代理机构将依托政采云平台完成本项目的电子交易活动，平台不接受未按上述方式获取招标文件的供应商进行投标活动；</w:t>
      </w:r>
    </w:p>
    <w:p>
      <w:pPr>
        <w:ind w:firstLine="480"/>
      </w:pPr>
      <w:r>
        <w:rPr>
          <w:rFonts w:hint="eastAsia"/>
        </w:rPr>
        <w:t>6、对未按上述方式获取招标文件的供应商对该文件提出的质疑，采购人或采购代理机构将不予处理；</w:t>
      </w:r>
    </w:p>
    <w:p>
      <w:pPr>
        <w:ind w:firstLine="480"/>
      </w:pPr>
      <w:r>
        <w:rPr>
          <w:rFonts w:hint="eastAsia"/>
        </w:rPr>
        <w:t>7、不提供招标文件纸质版；</w:t>
      </w:r>
    </w:p>
    <w:p>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ind w:firstLine="480"/>
      </w:pPr>
      <w:r>
        <w:rPr>
          <w:rFonts w:hint="eastAsia"/>
        </w:rPr>
        <w:t>10、具体操作指南：详见政采云平台“服务中心-帮助文档-项目采购-操作流程-电子招投标-政府采购项目电子交易管理操作指南-供应商”。</w:t>
      </w:r>
    </w:p>
    <w:p>
      <w:pPr>
        <w:ind w:firstLine="480"/>
        <w:jc w:val="center"/>
        <w:rPr>
          <w:rFonts w:ascii="宋体" w:hAnsi="宋体" w:cs="宋体"/>
        </w:rPr>
      </w:pPr>
      <w:r>
        <w:rPr>
          <w:rFonts w:hint="eastAsia" w:ascii="宋体" w:hAnsi="宋体" w:cs="宋体"/>
        </w:rPr>
        <w:br w:type="page"/>
      </w:r>
      <w:bookmarkStart w:id="0" w:name="_Hlt67893495"/>
      <w:bookmarkEnd w:id="0"/>
    </w:p>
    <w:p>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"_Toc30814"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_Toc30814 \h </w:instrText>
      </w:r>
      <w:r>
        <w:rPr>
          <w:b/>
          <w:bCs/>
        </w:rPr>
        <w:fldChar w:fldCharType="separate"/>
      </w:r>
      <w:r>
        <w:rPr>
          <w:b/>
          <w:bCs/>
        </w:rPr>
        <w:t>4</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"_Toc10346" </w:instrText>
      </w:r>
      <w:r>
        <w:fldChar w:fldCharType="separate"/>
      </w:r>
      <w:r>
        <w:rPr>
          <w:rFonts w:hint="eastAsia"/>
          <w:b/>
          <w:bCs/>
        </w:rPr>
        <w:t>第二部分 投标人须知</w:t>
      </w:r>
      <w:r>
        <w:rPr>
          <w:b/>
          <w:bCs/>
        </w:rPr>
        <w:tab/>
      </w:r>
      <w:r>
        <w:rPr>
          <w:b/>
          <w:bCs/>
        </w:rPr>
        <w:fldChar w:fldCharType="begin"/>
      </w:r>
      <w:r>
        <w:rPr>
          <w:b/>
          <w:bCs/>
        </w:rPr>
        <w:instrText xml:space="preserve"> PAGEREF _Toc10346 \h </w:instrText>
      </w:r>
      <w:r>
        <w:rPr>
          <w:b/>
          <w:bCs/>
        </w:rPr>
        <w:fldChar w:fldCharType="separate"/>
      </w:r>
      <w:r>
        <w:rPr>
          <w:b/>
          <w:bCs/>
        </w:rPr>
        <w:t>8</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"_Toc1565" </w:instrText>
      </w:r>
      <w:r>
        <w:fldChar w:fldCharType="separate"/>
      </w:r>
      <w:r>
        <w:rPr>
          <w:rFonts w:hint="eastAsia"/>
          <w:b/>
          <w:bCs/>
        </w:rPr>
        <w:t>第三部分 采购需求</w:t>
      </w:r>
      <w:r>
        <w:rPr>
          <w:b/>
          <w:bCs/>
        </w:rPr>
        <w:tab/>
      </w:r>
      <w:r>
        <w:rPr>
          <w:b/>
          <w:bCs/>
        </w:rPr>
        <w:fldChar w:fldCharType="begin"/>
      </w:r>
      <w:r>
        <w:rPr>
          <w:b/>
          <w:bCs/>
        </w:rPr>
        <w:instrText xml:space="preserve"> PAGEREF _Toc1565 \h </w:instrText>
      </w:r>
      <w:r>
        <w:rPr>
          <w:b/>
          <w:bCs/>
        </w:rPr>
        <w:fldChar w:fldCharType="separate"/>
      </w:r>
      <w:r>
        <w:rPr>
          <w:b/>
          <w:bCs/>
        </w:rPr>
        <w:t>30</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"_Toc14899"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_Toc14899 \h </w:instrText>
      </w:r>
      <w:r>
        <w:rPr>
          <w:b/>
          <w:bCs/>
        </w:rPr>
        <w:fldChar w:fldCharType="separate"/>
      </w:r>
      <w:r>
        <w:rPr>
          <w:b/>
          <w:bCs/>
        </w:rPr>
        <w:t>34</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"_Toc12885"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_Toc12885 \h </w:instrText>
      </w:r>
      <w:r>
        <w:rPr>
          <w:b/>
          <w:bCs/>
        </w:rPr>
        <w:fldChar w:fldCharType="separate"/>
      </w:r>
      <w:r>
        <w:rPr>
          <w:b/>
          <w:bCs/>
        </w:rPr>
        <w:t>41</w:t>
      </w:r>
      <w:r>
        <w:rPr>
          <w:b/>
          <w:bCs/>
        </w:rPr>
        <w:fldChar w:fldCharType="end"/>
      </w:r>
      <w:r>
        <w:rPr>
          <w:b/>
          <w:bCs/>
        </w:rPr>
        <w:fldChar w:fldCharType="end"/>
      </w:r>
    </w:p>
    <w:p>
      <w:pPr>
        <w:pStyle w:val="44"/>
        <w:tabs>
          <w:tab w:val="right" w:leader="dot" w:pos="8311"/>
        </w:tabs>
        <w:ind w:firstLine="480"/>
        <w:rPr>
          <w:b/>
          <w:bCs/>
        </w:rPr>
      </w:pPr>
      <w:r>
        <w:fldChar w:fldCharType="begin"/>
      </w:r>
      <w:r>
        <w:instrText xml:space="preserve"> HYPERLINK \l "_Toc22767"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_Toc22767 \h </w:instrText>
      </w:r>
      <w:r>
        <w:rPr>
          <w:b/>
          <w:bCs/>
        </w:rPr>
        <w:fldChar w:fldCharType="separate"/>
      </w:r>
      <w:r>
        <w:rPr>
          <w:b/>
          <w:bCs/>
        </w:rPr>
        <w:t>49</w:t>
      </w:r>
      <w:r>
        <w:rPr>
          <w:b/>
          <w:bCs/>
        </w:rPr>
        <w:fldChar w:fldCharType="end"/>
      </w:r>
      <w:r>
        <w:rPr>
          <w:b/>
          <w:bCs/>
        </w:rPr>
        <w:fldChar w:fldCharType="end"/>
      </w:r>
    </w:p>
    <w:p>
      <w:pPr>
        <w:rPr>
          <w:rFonts w:ascii="宋体" w:hAnsi="宋体" w:cs="宋体"/>
          <w:sz w:val="32"/>
          <w:szCs w:val="32"/>
        </w:rPr>
      </w:pPr>
      <w:r>
        <w:rPr>
          <w:rFonts w:ascii="宋体" w:hAnsi="宋体" w:cs="宋体"/>
          <w:b/>
          <w:bCs/>
          <w:szCs w:val="32"/>
        </w:rPr>
        <w:fldChar w:fldCharType="end"/>
      </w:r>
    </w:p>
    <w:p>
      <w:pPr>
        <w:ind w:firstLine="640"/>
        <w:outlineLvl w:val="0"/>
        <w:rPr>
          <w:rFonts w:ascii="宋体" w:hAnsi="宋体" w:cs="宋体"/>
          <w:sz w:val="32"/>
          <w:szCs w:val="32"/>
        </w:rPr>
      </w:pPr>
    </w:p>
    <w:p>
      <w:pPr>
        <w:ind w:firstLine="549" w:firstLineChars="229"/>
        <w:rPr>
          <w:rFonts w:ascii="宋体" w:hAnsi="宋体" w:cs="宋体"/>
        </w:rPr>
      </w:pPr>
      <w:bookmarkStart w:id="3" w:name="_Hlt91233176"/>
      <w:bookmarkEnd w:id="3"/>
      <w:bookmarkStart w:id="4" w:name="_Toc91899869"/>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p>
      <w:pPr>
        <w:ind w:firstLine="549" w:firstLineChars="229"/>
        <w:rPr>
          <w:rFonts w:ascii="宋体" w:hAnsi="宋体" w:cs="宋体"/>
        </w:rPr>
      </w:pPr>
    </w:p>
    <w:bookmarkEnd w:id="4"/>
    <w:p>
      <w:pPr>
        <w:pStyle w:val="3"/>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728647"/>
      <w:bookmarkEnd w:id="5"/>
      <w:bookmarkStart w:id="6" w:name="_Hlt74649545"/>
      <w:bookmarkEnd w:id="6"/>
      <w:bookmarkStart w:id="7" w:name="_Hlt74729822"/>
      <w:bookmarkEnd w:id="7"/>
      <w:bookmarkStart w:id="8" w:name="_Hlt74707423"/>
      <w:bookmarkEnd w:id="8"/>
      <w:bookmarkStart w:id="9" w:name="_Toc19410"/>
      <w:bookmarkStart w:id="10" w:name="_Toc26969"/>
      <w:bookmarkStart w:id="11" w:name="第二部分"/>
      <w:bookmarkStart w:id="12" w:name="_Toc91899870"/>
      <w:bookmarkStart w:id="13" w:name="_Toc91899871"/>
    </w:p>
    <w:p>
      <w:pPr>
        <w:pStyle w:val="3"/>
        <w:rPr>
          <w:rFonts w:ascii="宋体" w:hAnsi="宋体" w:cs="宋体"/>
          <w:szCs w:val="20"/>
        </w:rPr>
      </w:pPr>
      <w:bookmarkStart w:id="14" w:name="_Toc30814"/>
      <w:r>
        <w:rPr>
          <w:rFonts w:hint="eastAsia" w:ascii="宋体" w:hAnsi="宋体" w:cs="宋体"/>
          <w:szCs w:val="20"/>
        </w:rPr>
        <w:t>第一部分 招标公告</w:t>
      </w:r>
      <w:bookmarkEnd w:id="9"/>
      <w:bookmarkEnd w:id="10"/>
      <w:bookmarkEnd w:id="14"/>
    </w:p>
    <w:p>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2024年浙江“福彩文化月”活动项目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 xml:space="preserve">月 </w:t>
      </w:r>
      <w:r>
        <w:rPr>
          <w:rFonts w:hint="eastAsia" w:ascii="宋体" w:hAnsi="宋体" w:cs="宋体"/>
          <w:u w:val="single"/>
          <w:lang w:val="en-US" w:eastAsia="zh-CN"/>
        </w:rPr>
        <w:t>8</w:t>
      </w:r>
      <w:r>
        <w:rPr>
          <w:rFonts w:hint="eastAsia" w:ascii="宋体" w:hAnsi="宋体" w:cs="宋体"/>
          <w:u w:val="single"/>
        </w:rPr>
        <w:t>日09 :</w:t>
      </w:r>
      <w:r>
        <w:rPr>
          <w:rFonts w:hint="eastAsia" w:ascii="宋体" w:hAnsi="宋体" w:cs="宋体"/>
          <w:u w:val="single"/>
          <w:lang w:val="en-US" w:eastAsia="zh-CN"/>
        </w:rPr>
        <w:t>0</w:t>
      </w:r>
      <w:r>
        <w:rPr>
          <w:rFonts w:hint="eastAsia" w:ascii="宋体" w:hAnsi="宋体" w:cs="宋体"/>
          <w:u w:val="single"/>
        </w:rPr>
        <w:fldChar w:fldCharType="end"/>
      </w:r>
      <w:r>
        <w:rPr>
          <w:rFonts w:hint="eastAsia" w:ascii="宋体" w:hAnsi="宋体" w:cs="宋体"/>
          <w:u w:val="single"/>
          <w:lang w:val="en-US" w:eastAsia="zh-CN"/>
        </w:rPr>
        <w:t>0</w:t>
      </w:r>
      <w:r>
        <w:rPr>
          <w:rFonts w:hint="eastAsia" w:ascii="宋体" w:hAnsi="宋体" w:cs="宋体"/>
          <w:bCs/>
        </w:rPr>
        <w:t>（北京时间）前</w:t>
      </w:r>
      <w:r>
        <w:rPr>
          <w:rFonts w:hint="eastAsia" w:ascii="宋体" w:hAnsi="宋体" w:cs="宋体"/>
        </w:rPr>
        <w:t>递交（上传）投标文件。</w:t>
      </w:r>
    </w:p>
    <w:p>
      <w:pPr>
        <w:ind w:firstLine="480"/>
      </w:pPr>
    </w:p>
    <w:p>
      <w:pPr>
        <w:pStyle w:val="2"/>
      </w:pPr>
      <w:r>
        <w:rPr>
          <w:rFonts w:hint="eastAsia"/>
        </w:rPr>
        <w:t xml:space="preserve">一、项目基本情况                                            </w:t>
      </w:r>
    </w:p>
    <w:p>
      <w:pPr>
        <w:rPr>
          <w:rFonts w:ascii="宋体" w:hAnsi="宋体" w:cs="宋体"/>
        </w:rPr>
      </w:pPr>
      <w:r>
        <w:rPr>
          <w:rFonts w:hint="eastAsia" w:ascii="宋体" w:hAnsi="宋体" w:cs="宋体"/>
          <w:b/>
        </w:rPr>
        <w:t>项目编号：</w:t>
      </w:r>
      <w:r>
        <w:rPr>
          <w:rFonts w:hint="eastAsia" w:ascii="宋体" w:hAnsi="宋体" w:cs="宋体"/>
          <w:bCs/>
        </w:rPr>
        <w:t>ZJXL-FCZX-202412</w:t>
      </w:r>
    </w:p>
    <w:p>
      <w:pPr>
        <w:rPr>
          <w:rFonts w:ascii="宋体" w:hAnsi="宋体" w:cs="宋体"/>
        </w:rPr>
      </w:pPr>
      <w:r>
        <w:rPr>
          <w:rFonts w:hint="eastAsia" w:ascii="宋体" w:hAnsi="宋体" w:cs="宋体"/>
          <w:b/>
        </w:rPr>
        <w:t>项目名称：</w:t>
      </w:r>
      <w:r>
        <w:rPr>
          <w:rFonts w:hint="eastAsia" w:ascii="宋体" w:hAnsi="宋体" w:cs="宋体"/>
        </w:rPr>
        <w:t>2024年浙江“福彩文化月”活动项目</w:t>
      </w:r>
    </w:p>
    <w:p>
      <w:pPr>
        <w:rPr>
          <w:rFonts w:ascii="宋体" w:hAnsi="宋体" w:cs="宋体"/>
        </w:rPr>
      </w:pPr>
      <w:r>
        <w:rPr>
          <w:rFonts w:hint="eastAsia" w:ascii="宋体" w:hAnsi="宋体" w:cs="宋体"/>
          <w:b/>
        </w:rPr>
        <w:t>预算金额（元）：</w:t>
      </w:r>
      <w:r>
        <w:rPr>
          <w:rFonts w:hint="eastAsia" w:ascii="宋体" w:hAnsi="宋体" w:cs="宋体"/>
        </w:rPr>
        <w:t xml:space="preserve">2000000 </w:t>
      </w:r>
    </w:p>
    <w:p>
      <w:pPr>
        <w:rPr>
          <w:rFonts w:ascii="宋体" w:hAnsi="宋体" w:cs="宋体"/>
          <w:color w:val="FF0000"/>
        </w:rPr>
      </w:pPr>
      <w:r>
        <w:rPr>
          <w:rFonts w:hint="eastAsia" w:ascii="宋体" w:hAnsi="宋体" w:cs="宋体"/>
          <w:b/>
        </w:rPr>
        <w:t>最高限价（元）：</w:t>
      </w:r>
      <w:r>
        <w:rPr>
          <w:rFonts w:hint="eastAsia" w:ascii="宋体" w:hAnsi="宋体" w:cs="宋体"/>
        </w:rPr>
        <w:t xml:space="preserve">2000000 </w:t>
      </w:r>
    </w:p>
    <w:p>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pPr>
              <w:pStyle w:val="143"/>
              <w:widowControl w:val="0"/>
            </w:pPr>
            <w:r>
              <w:rPr>
                <w:rFonts w:hint="eastAsia"/>
              </w:rPr>
              <w:t>标项号</w:t>
            </w:r>
          </w:p>
        </w:tc>
        <w:tc>
          <w:tcPr>
            <w:tcW w:w="1381" w:type="dxa"/>
            <w:vAlign w:val="center"/>
          </w:tcPr>
          <w:p>
            <w:pPr>
              <w:pStyle w:val="143"/>
              <w:widowControl w:val="0"/>
            </w:pPr>
            <w:r>
              <w:rPr>
                <w:rFonts w:hint="eastAsia"/>
              </w:rPr>
              <w:t>标项名称</w:t>
            </w:r>
          </w:p>
        </w:tc>
        <w:tc>
          <w:tcPr>
            <w:tcW w:w="799" w:type="dxa"/>
            <w:vAlign w:val="center"/>
          </w:tcPr>
          <w:p>
            <w:pPr>
              <w:pStyle w:val="143"/>
              <w:widowControl w:val="0"/>
            </w:pPr>
            <w:r>
              <w:rPr>
                <w:rFonts w:hint="eastAsia"/>
              </w:rPr>
              <w:t>数量</w:t>
            </w:r>
          </w:p>
        </w:tc>
        <w:tc>
          <w:tcPr>
            <w:tcW w:w="1317" w:type="dxa"/>
            <w:vAlign w:val="center"/>
          </w:tcPr>
          <w:p>
            <w:pPr>
              <w:pStyle w:val="143"/>
              <w:widowControl w:val="0"/>
            </w:pPr>
            <w:r>
              <w:rPr>
                <w:rFonts w:hint="eastAsia"/>
              </w:rPr>
              <w:t>预算金额（元）</w:t>
            </w:r>
          </w:p>
        </w:tc>
        <w:tc>
          <w:tcPr>
            <w:tcW w:w="3224" w:type="dxa"/>
            <w:vAlign w:val="center"/>
          </w:tcPr>
          <w:p>
            <w:pPr>
              <w:pStyle w:val="143"/>
              <w:widowControl w:val="0"/>
            </w:pPr>
            <w:r>
              <w:t>简要规格描述或项目基本概况介绍、用途：</w:t>
            </w:r>
          </w:p>
        </w:tc>
        <w:tc>
          <w:tcPr>
            <w:tcW w:w="1241" w:type="dxa"/>
            <w:vAlign w:val="center"/>
          </w:tcPr>
          <w:p>
            <w:pPr>
              <w:pStyle w:val="143"/>
              <w:widowControl w:val="0"/>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pPr>
              <w:pStyle w:val="143"/>
              <w:widowControl w:val="0"/>
            </w:pPr>
            <w:r>
              <w:rPr>
                <w:rFonts w:hint="eastAsia"/>
              </w:rPr>
              <w:t>1</w:t>
            </w:r>
          </w:p>
        </w:tc>
        <w:tc>
          <w:tcPr>
            <w:tcW w:w="1381" w:type="dxa"/>
            <w:vAlign w:val="center"/>
          </w:tcPr>
          <w:p>
            <w:pPr>
              <w:pStyle w:val="143"/>
              <w:widowControl w:val="0"/>
            </w:pPr>
            <w:r>
              <w:rPr>
                <w:rFonts w:hint="eastAsia"/>
              </w:rPr>
              <w:t>2024年浙江“福彩文化月”活动项目</w:t>
            </w:r>
          </w:p>
        </w:tc>
        <w:tc>
          <w:tcPr>
            <w:tcW w:w="799" w:type="dxa"/>
            <w:vAlign w:val="center"/>
          </w:tcPr>
          <w:p>
            <w:pPr>
              <w:pStyle w:val="143"/>
              <w:widowControl w:val="0"/>
            </w:pPr>
            <w:r>
              <w:rPr>
                <w:rFonts w:hint="eastAsia"/>
              </w:rPr>
              <w:t>1项</w:t>
            </w:r>
          </w:p>
        </w:tc>
        <w:tc>
          <w:tcPr>
            <w:tcW w:w="1317" w:type="dxa"/>
            <w:vAlign w:val="center"/>
          </w:tcPr>
          <w:p>
            <w:pPr>
              <w:pStyle w:val="143"/>
              <w:widowControl w:val="0"/>
            </w:pPr>
            <w:r>
              <w:rPr>
                <w:rFonts w:hint="eastAsia" w:ascii="宋体" w:hAnsi="宋体" w:cs="宋体"/>
                <w:kern w:val="2"/>
                <w:szCs w:val="24"/>
              </w:rPr>
              <w:t>2000000</w:t>
            </w:r>
            <w:r>
              <w:rPr>
                <w:rFonts w:hint="eastAsia" w:ascii="宋体" w:hAnsi="宋体" w:cs="宋体"/>
              </w:rPr>
              <w:t xml:space="preserve">  </w:t>
            </w:r>
          </w:p>
        </w:tc>
        <w:tc>
          <w:tcPr>
            <w:tcW w:w="3224" w:type="dxa"/>
            <w:vAlign w:val="center"/>
          </w:tcPr>
          <w:p>
            <w:pPr>
              <w:pStyle w:val="143"/>
              <w:widowControl w:val="0"/>
              <w:jc w:val="both"/>
            </w:pPr>
            <w:r>
              <w:rPr>
                <w:rFonts w:hint="eastAsia"/>
              </w:rPr>
              <w:t>围绕福彩文化IP形象推广，捕捉当下年轻人青睐的主题并以此切入，同时融合公益与文化元素，打造形式新颖、富有创意的活动，吸引广泛群体尤其是年轻群体的关注参与，从而推广福彩文化IP，全面展现浙江福彩责任感与文化魅力，详见招标文件第三部分采购需求。</w:t>
            </w:r>
          </w:p>
        </w:tc>
        <w:tc>
          <w:tcPr>
            <w:tcW w:w="1241" w:type="dxa"/>
            <w:vAlign w:val="center"/>
          </w:tcPr>
          <w:p>
            <w:pPr>
              <w:pStyle w:val="143"/>
              <w:widowControl w:val="0"/>
            </w:pPr>
          </w:p>
        </w:tc>
      </w:tr>
    </w:tbl>
    <w:p>
      <w:pPr>
        <w:rPr>
          <w:color w:val="FF0000"/>
        </w:rPr>
      </w:pPr>
      <w:r>
        <w:rPr>
          <w:rFonts w:hint="eastAsia" w:ascii="宋体" w:hAnsi="宋体" w:cs="宋体"/>
          <w:b/>
        </w:rPr>
        <w:t>合同履约期</w:t>
      </w:r>
      <w:r>
        <w:rPr>
          <w:rFonts w:hint="eastAsia" w:ascii="宋体" w:hAnsi="宋体" w:cs="宋体"/>
          <w:b/>
          <w:color w:val="auto"/>
        </w:rPr>
        <w:t>限：</w:t>
      </w:r>
      <w:r>
        <w:rPr>
          <w:rFonts w:hint="eastAsia"/>
          <w:color w:val="auto"/>
        </w:rPr>
        <w:t>合同签订之日起至2</w:t>
      </w:r>
      <w:r>
        <w:rPr>
          <w:color w:val="auto"/>
        </w:rPr>
        <w:t>02</w:t>
      </w:r>
      <w:r>
        <w:rPr>
          <w:rFonts w:hint="eastAsia"/>
          <w:color w:val="auto"/>
        </w:rPr>
        <w:t>4年11月20日前完成</w:t>
      </w:r>
      <w:r>
        <w:rPr>
          <w:rFonts w:hint="eastAsia"/>
          <w:color w:val="auto"/>
          <w:lang w:eastAsia="zh-Hans"/>
        </w:rPr>
        <w:t>本合同项下全部服务</w:t>
      </w:r>
      <w:r>
        <w:rPr>
          <w:rFonts w:hint="eastAsia"/>
          <w:color w:val="auto"/>
        </w:rPr>
        <w:t>项目。</w:t>
      </w:r>
    </w:p>
    <w:p>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8066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2"/>
      </w:pPr>
      <w:r>
        <w:rPr>
          <w:rFonts w:hint="eastAsia"/>
        </w:rPr>
        <w:t>二、申请人的资格要求</w:t>
      </w:r>
    </w:p>
    <w:p>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snapToGrid w:val="0"/>
          <w:kern w:val="28"/>
          <w:szCs w:val="20"/>
        </w:rPr>
        <w:t>2.落实政府采购政策需满足的资格要求：无</w:t>
      </w:r>
      <w:r>
        <w:rPr>
          <w:rFonts w:hint="eastAsia" w:ascii="宋体" w:hAnsi="宋体" w:cs="宋体"/>
        </w:rPr>
        <w:t>；</w:t>
      </w:r>
    </w:p>
    <w:p>
      <w:pPr>
        <w:ind w:firstLine="480"/>
        <w:rPr>
          <w:rFonts w:ascii="宋体" w:hAnsi="宋体" w:cs="宋体"/>
        </w:rPr>
      </w:pPr>
      <w:r>
        <w:rPr>
          <w:rFonts w:hint="eastAsia" w:ascii="宋体" w:hAnsi="宋体" w:cs="宋体"/>
        </w:rPr>
        <w:t>3.本项目的特定资格要求：无；</w:t>
      </w:r>
    </w:p>
    <w:p>
      <w:pPr>
        <w:pStyle w:val="2"/>
      </w:pPr>
      <w:r>
        <w:rPr>
          <w:rFonts w:hint="eastAsia"/>
        </w:rPr>
        <w:t xml:space="preserve">三、获取招标文件 </w:t>
      </w:r>
    </w:p>
    <w:p>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pPr>
        <w:pStyle w:val="2"/>
      </w:pPr>
      <w:r>
        <w:rPr>
          <w:rFonts w:hint="eastAsia"/>
        </w:rPr>
        <w:t>四、提交投标文件截止时间、开标时间和地点</w:t>
      </w:r>
    </w:p>
    <w:p>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8</w:t>
      </w:r>
      <w:r>
        <w:rPr>
          <w:rFonts w:hint="eastAsia" w:ascii="宋体" w:hAnsi="宋体" w:cs="宋体"/>
          <w:u w:val="single"/>
        </w:rPr>
        <w:t xml:space="preserve"> 日09:</w:t>
      </w:r>
      <w:r>
        <w:rPr>
          <w:rFonts w:hint="eastAsia" w:ascii="宋体" w:hAnsi="宋体" w:cs="宋体"/>
          <w:u w:val="single"/>
          <w:lang w:val="en-US" w:eastAsia="zh-CN"/>
        </w:rPr>
        <w:t>00</w:t>
      </w:r>
      <w:r>
        <w:rPr>
          <w:rFonts w:hint="eastAsia" w:ascii="宋体" w:hAnsi="宋体" w:cs="宋体"/>
          <w:bCs/>
          <w:u w:val="single"/>
        </w:rPr>
        <w:t xml:space="preserve"> </w:t>
      </w:r>
      <w:r>
        <w:rPr>
          <w:rFonts w:hint="eastAsia" w:ascii="宋体" w:hAnsi="宋体" w:cs="宋体"/>
        </w:rPr>
        <w:t>（北京时间）</w:t>
      </w:r>
    </w:p>
    <w:p>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pPr>
        <w:rPr>
          <w:rFonts w:ascii="宋体" w:hAnsi="宋体" w:cs="宋体"/>
          <w:bCs/>
          <w:u w:val="single"/>
        </w:rPr>
      </w:pPr>
      <w:r>
        <w:rPr>
          <w:rFonts w:hint="eastAsia" w:ascii="宋体" w:hAnsi="宋体" w:cs="宋体"/>
          <w:b/>
        </w:rPr>
        <w:t>开标时间：</w:t>
      </w:r>
      <w:r>
        <w:rPr>
          <w:rFonts w:hint="eastAsia" w:ascii="宋体" w:hAnsi="宋体" w:cs="宋体"/>
          <w:u w:val="single"/>
        </w:rPr>
        <w:t>2024年</w:t>
      </w:r>
      <w:r>
        <w:rPr>
          <w:rFonts w:hint="eastAsia" w:ascii="宋体" w:hAnsi="宋体" w:cs="宋体"/>
          <w:u w:val="single"/>
          <w:lang w:val="en-US" w:eastAsia="zh-CN"/>
        </w:rPr>
        <w:t>10</w:t>
      </w:r>
      <w:r>
        <w:rPr>
          <w:rFonts w:hint="eastAsia" w:ascii="宋体" w:hAnsi="宋体" w:cs="宋体"/>
          <w:u w:val="single"/>
        </w:rPr>
        <w:t>月</w:t>
      </w:r>
      <w:r>
        <w:rPr>
          <w:rFonts w:hint="eastAsia" w:ascii="宋体" w:hAnsi="宋体" w:cs="宋体"/>
          <w:u w:val="single"/>
          <w:lang w:val="en-US" w:eastAsia="zh-CN"/>
        </w:rPr>
        <w:t>8</w:t>
      </w:r>
      <w:r>
        <w:rPr>
          <w:rFonts w:hint="eastAsia" w:ascii="宋体" w:hAnsi="宋体" w:cs="宋体"/>
          <w:u w:val="single"/>
        </w:rPr>
        <w:t xml:space="preserve"> 日09:</w:t>
      </w:r>
      <w:r>
        <w:rPr>
          <w:rFonts w:hint="eastAsia" w:ascii="宋体" w:hAnsi="宋体" w:cs="宋体"/>
          <w:u w:val="single"/>
          <w:lang w:val="en-US" w:eastAsia="zh-CN"/>
        </w:rPr>
        <w:t>00</w:t>
      </w:r>
      <w:r>
        <w:rPr>
          <w:rFonts w:hint="eastAsia" w:ascii="宋体" w:hAnsi="宋体" w:cs="宋体"/>
        </w:rPr>
        <w:t>（北京时间）</w:t>
      </w:r>
    </w:p>
    <w:p>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pPr>
        <w:pStyle w:val="2"/>
      </w:pPr>
      <w:r>
        <w:rPr>
          <w:rFonts w:hint="eastAsia"/>
        </w:rPr>
        <w:t xml:space="preserve">五、公告期限 </w:t>
      </w:r>
    </w:p>
    <w:p>
      <w:pPr>
        <w:ind w:firstLine="480"/>
        <w:rPr>
          <w:rFonts w:ascii="宋体" w:hAnsi="宋体" w:cs="宋体"/>
        </w:rPr>
      </w:pPr>
      <w:r>
        <w:rPr>
          <w:rFonts w:hint="eastAsia" w:ascii="宋体" w:hAnsi="宋体" w:cs="宋体"/>
        </w:rPr>
        <w:t>自本公告发布之日起5个工作日。</w:t>
      </w:r>
    </w:p>
    <w:p>
      <w:pPr>
        <w:pStyle w:val="2"/>
      </w:pPr>
      <w:r>
        <w:rPr>
          <w:rFonts w:hint="eastAsia"/>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ascii="宋体" w:hAnsi="宋体" w:cs="宋体"/>
        </w:rPr>
      </w:pPr>
      <w:r>
        <w:rPr>
          <w:rFonts w:hint="eastAsia" w:ascii="宋体" w:hAnsi="宋体" w:cs="宋体"/>
        </w:rPr>
        <w:t>4.其他事项：</w:t>
      </w:r>
    </w:p>
    <w:p>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pPr>
        <w:ind w:firstLine="480"/>
        <w:rPr>
          <w:rFonts w:ascii="宋体" w:hAnsi="宋体" w:cs="宋体"/>
        </w:rPr>
      </w:pPr>
      <w:r>
        <w:rPr>
          <w:rFonts w:hint="eastAsia" w:ascii="宋体" w:hAnsi="宋体" w:cs="宋体"/>
        </w:rPr>
        <w:t>（2）招标文件公告期限与招标公告的公告期限一致。</w:t>
      </w:r>
    </w:p>
    <w:p>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pPr>
        <w:ind w:firstLine="480"/>
      </w:pPr>
      <w:r>
        <w:rPr>
          <w:rFonts w:hint="eastAsia" w:ascii="宋体" w:hAnsi="宋体" w:cs="宋体"/>
        </w:rPr>
        <w:t>（4）为采购项目提供整体设计、规范编制或者项目管理、监理、检测等服务后不得再参加该采购项目的其他采购活动。</w:t>
      </w:r>
    </w:p>
    <w:p>
      <w:pPr>
        <w:pStyle w:val="2"/>
      </w:pPr>
      <w:r>
        <w:rPr>
          <w:rFonts w:hint="eastAsia"/>
        </w:rPr>
        <w:t>七、对本次采购提出询问、质疑、投诉，请按以下方式联系</w:t>
      </w:r>
    </w:p>
    <w:p>
      <w:pPr>
        <w:rPr>
          <w:rFonts w:ascii="宋体" w:hAnsi="宋体" w:cs="宋体"/>
        </w:rPr>
      </w:pPr>
      <w:r>
        <w:rPr>
          <w:rFonts w:hint="eastAsia" w:ascii="宋体" w:hAnsi="宋体" w:cs="宋体"/>
          <w:b/>
          <w:bCs/>
        </w:rPr>
        <w:t>1.采购人信息</w:t>
      </w:r>
    </w:p>
    <w:p>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浙江省福利彩票管理中心</w:t>
      </w:r>
    </w:p>
    <w:p>
      <w:pPr>
        <w:ind w:firstLine="480"/>
        <w:rPr>
          <w:rFonts w:ascii="宋体" w:hAnsi="宋体" w:cs="宋体"/>
        </w:rPr>
      </w:pPr>
      <w:r>
        <w:rPr>
          <w:rFonts w:hint="eastAsia" w:ascii="宋体" w:hAnsi="宋体" w:cs="宋体"/>
        </w:rPr>
        <w:t xml:space="preserve">  地    址：杭州市荆长路539号       </w:t>
      </w:r>
    </w:p>
    <w:p>
      <w:pPr>
        <w:ind w:firstLine="720" w:firstLineChars="300"/>
        <w:rPr>
          <w:rFonts w:ascii="宋体" w:hAnsi="宋体" w:cs="宋体"/>
        </w:rPr>
      </w:pPr>
      <w:r>
        <w:rPr>
          <w:rFonts w:hint="eastAsia" w:ascii="宋体" w:hAnsi="宋体" w:cs="宋体"/>
        </w:rPr>
        <w:t>传    真： /</w:t>
      </w:r>
    </w:p>
    <w:p>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梁老师</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项目联系方式（询问）：</w:t>
      </w:r>
      <w:r>
        <w:rPr>
          <w:rFonts w:hint="eastAsia" w:cs="仿宋_GB2312" w:asciiTheme="minorEastAsia" w:hAnsiTheme="minorEastAsia" w:eastAsiaTheme="minorEastAsia"/>
        </w:rPr>
        <w:t>0571-89057766</w:t>
      </w:r>
    </w:p>
    <w:p>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刘老师</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0571-89057793</w:t>
      </w:r>
      <w:r>
        <w:rPr>
          <w:rFonts w:hint="eastAsia" w:ascii="宋体" w:hAnsi="宋体" w:cs="宋体"/>
        </w:rPr>
        <w:t xml:space="preserve">  </w:t>
      </w:r>
    </w:p>
    <w:p>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pPr>
        <w:ind w:firstLine="720" w:firstLineChars="300"/>
        <w:rPr>
          <w:rFonts w:ascii="宋体" w:hAnsi="宋体" w:cs="宋体"/>
        </w:rPr>
      </w:pPr>
      <w:r>
        <w:rPr>
          <w:rFonts w:hint="eastAsia" w:ascii="宋体" w:hAnsi="宋体" w:cs="宋体"/>
        </w:rPr>
        <w:t>名    称：浙江信镧建设工程咨询有限公司</w:t>
      </w:r>
    </w:p>
    <w:p>
      <w:pPr>
        <w:ind w:firstLine="720" w:firstLineChars="300"/>
        <w:rPr>
          <w:rFonts w:ascii="宋体" w:hAnsi="宋体" w:cs="宋体"/>
        </w:rPr>
      </w:pPr>
      <w:r>
        <w:rPr>
          <w:rFonts w:hint="eastAsia" w:ascii="宋体" w:hAnsi="宋体" w:cs="宋体"/>
        </w:rPr>
        <w:t>地    址：浙江省杭州市西湖区文二路391号西湖国际科技大厦B2楼1107室  </w:t>
      </w:r>
    </w:p>
    <w:p>
      <w:pPr>
        <w:ind w:firstLine="480"/>
        <w:rPr>
          <w:rFonts w:ascii="宋体" w:hAnsi="宋体" w:cs="宋体"/>
        </w:rPr>
      </w:pPr>
      <w:r>
        <w:rPr>
          <w:rFonts w:hint="eastAsia" w:ascii="宋体" w:hAnsi="宋体" w:cs="宋体"/>
        </w:rPr>
        <w:t xml:space="preserve">  传    真：0571-85024997               </w:t>
      </w:r>
    </w:p>
    <w:p>
      <w:pPr>
        <w:ind w:firstLine="480"/>
        <w:rPr>
          <w:rFonts w:ascii="宋体" w:hAnsi="宋体" w:cs="宋体"/>
        </w:rPr>
      </w:pPr>
      <w:r>
        <w:rPr>
          <w:rFonts w:hint="eastAsia" w:ascii="宋体" w:hAnsi="宋体" w:cs="宋体"/>
        </w:rPr>
        <w:t xml:space="preserve">  项目联系人（询问）：林佩姬          </w:t>
      </w:r>
    </w:p>
    <w:p>
      <w:pPr>
        <w:ind w:firstLine="480"/>
        <w:rPr>
          <w:rFonts w:ascii="宋体" w:hAnsi="宋体" w:cs="宋体"/>
        </w:rPr>
      </w:pPr>
      <w:r>
        <w:rPr>
          <w:rFonts w:hint="eastAsia" w:ascii="宋体" w:hAnsi="宋体" w:cs="宋体"/>
        </w:rPr>
        <w:t xml:space="preserve">  项目联系方式（询问）：0571-87967630 </w:t>
      </w:r>
    </w:p>
    <w:p>
      <w:pPr>
        <w:ind w:firstLine="480"/>
        <w:rPr>
          <w:rFonts w:ascii="宋体" w:hAnsi="宋体" w:cs="宋体"/>
        </w:rPr>
      </w:pPr>
      <w:r>
        <w:rPr>
          <w:rFonts w:hint="eastAsia" w:ascii="宋体" w:hAnsi="宋体" w:cs="宋体"/>
        </w:rPr>
        <w:t xml:space="preserve">  质疑联系人：葛梅兰              </w:t>
      </w:r>
    </w:p>
    <w:p>
      <w:pPr>
        <w:ind w:firstLine="480"/>
        <w:rPr>
          <w:rFonts w:ascii="宋体" w:hAnsi="宋体" w:cs="宋体"/>
        </w:rPr>
      </w:pPr>
      <w:r>
        <w:rPr>
          <w:rFonts w:hint="eastAsia" w:ascii="宋体" w:hAnsi="宋体" w:cs="宋体"/>
        </w:rPr>
        <w:t xml:space="preserve">  质疑联系方式：0571-87967630 </w:t>
      </w:r>
    </w:p>
    <w:p>
      <w:pPr>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pPr>
        <w:ind w:firstLine="480"/>
        <w:rPr>
          <w:rFonts w:ascii="宋体" w:hAnsi="宋体" w:cs="宋体"/>
        </w:rPr>
      </w:pPr>
      <w:r>
        <w:rPr>
          <w:rFonts w:hint="eastAsia" w:ascii="宋体" w:hAnsi="宋体" w:cs="宋体"/>
        </w:rPr>
        <w:t xml:space="preserve">  名    称：浙江省财政厅政府采购监管处、浙江省政府采购行政裁决服务中心（杭州） </w:t>
      </w:r>
    </w:p>
    <w:p>
      <w:pPr>
        <w:ind w:firstLine="480"/>
        <w:rPr>
          <w:rFonts w:ascii="宋体" w:hAnsi="宋体" w:cs="宋体"/>
        </w:rPr>
      </w:pPr>
      <w:r>
        <w:rPr>
          <w:rFonts w:hint="eastAsia" w:ascii="宋体" w:hAnsi="宋体" w:cs="宋体"/>
        </w:rPr>
        <w:t xml:space="preserve">  地    址：杭州市上城区四季青街道新业路市民之家G03办公室（快递仅限ems或顺丰）</w:t>
      </w:r>
    </w:p>
    <w:p>
      <w:pPr>
        <w:ind w:firstLine="240" w:firstLineChars="100"/>
        <w:rPr>
          <w:rFonts w:ascii="宋体" w:hAnsi="宋体" w:cs="宋体"/>
        </w:rPr>
      </w:pPr>
      <w:r>
        <w:rPr>
          <w:rFonts w:hint="eastAsia" w:ascii="宋体" w:hAnsi="宋体" w:cs="宋体"/>
        </w:rPr>
        <w:t xml:space="preserve">    传    真： /</w:t>
      </w:r>
    </w:p>
    <w:p>
      <w:pPr>
        <w:ind w:firstLine="480"/>
        <w:rPr>
          <w:rFonts w:ascii="宋体" w:hAnsi="宋体" w:cs="宋体"/>
        </w:rPr>
      </w:pPr>
      <w:r>
        <w:rPr>
          <w:rFonts w:hint="eastAsia" w:ascii="宋体" w:hAnsi="宋体" w:cs="宋体"/>
        </w:rPr>
        <w:t xml:space="preserve">  联系人 ：朱女士、王女士     </w:t>
      </w:r>
    </w:p>
    <w:p>
      <w:pPr>
        <w:ind w:firstLine="720" w:firstLineChars="300"/>
        <w:rPr>
          <w:rFonts w:ascii="宋体" w:hAnsi="宋体" w:cs="宋体"/>
        </w:rPr>
      </w:pPr>
      <w:r>
        <w:rPr>
          <w:rFonts w:hint="eastAsia" w:ascii="宋体" w:hAnsi="宋体" w:cs="宋体"/>
        </w:rPr>
        <w:t xml:space="preserve">监督投诉电话：0571-85252453 </w:t>
      </w:r>
    </w:p>
    <w:p>
      <w:pPr>
        <w:pStyle w:val="24"/>
        <w:ind w:firstLine="480"/>
      </w:pPr>
    </w:p>
    <w:p>
      <w:pPr>
        <w:ind w:firstLine="720" w:firstLineChars="300"/>
      </w:pPr>
      <w:r>
        <w:rPr>
          <w:rFonts w:hint="eastAsia" w:ascii="宋体" w:hAnsi="宋体" w:cs="宋体"/>
        </w:rPr>
        <w:t>政策咨询：何一平、冯华，0571-87058424、87055741</w:t>
      </w:r>
    </w:p>
    <w:p>
      <w:pPr>
        <w:ind w:firstLine="240" w:firstLineChars="100"/>
        <w:rPr>
          <w:rFonts w:ascii="宋体" w:hAnsi="宋体" w:cs="宋体"/>
        </w:rPr>
      </w:pPr>
      <w:r>
        <w:rPr>
          <w:rFonts w:hint="eastAsia" w:ascii="宋体" w:hAnsi="宋体" w:cs="宋体"/>
        </w:rPr>
        <w:t>  预算金额未达100万元的采购项目，由采购人处理采购争议。</w:t>
      </w:r>
    </w:p>
    <w:p>
      <w:pPr>
        <w:pStyle w:val="34"/>
        <w:ind w:firstLine="480"/>
        <w:rPr>
          <w:rFonts w:hAnsi="宋体" w:cs="宋体"/>
        </w:rPr>
      </w:pPr>
    </w:p>
    <w:p>
      <w:pPr>
        <w:ind w:firstLine="480"/>
      </w:pPr>
    </w:p>
    <w:p>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pPr>
        <w:pStyle w:val="34"/>
        <w:ind w:firstLine="480"/>
        <w:rPr>
          <w:rFonts w:hAnsi="宋体" w:cs="宋体"/>
        </w:rPr>
      </w:pPr>
      <w:r>
        <w:rPr>
          <w:rFonts w:hint="eastAsia" w:hAnsi="宋体" w:cs="宋体"/>
        </w:rPr>
        <w:t>CA问题联系电话（人工）：汇信CA 400-888-4636；天谷CA 400-087-8198。</w:t>
      </w:r>
    </w:p>
    <w:p>
      <w:pPr>
        <w:pStyle w:val="34"/>
        <w:ind w:firstLine="480"/>
        <w:rPr>
          <w:rFonts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pPr>
        <w:pStyle w:val="3"/>
      </w:pPr>
      <w:bookmarkStart w:id="15" w:name="_Toc21996"/>
      <w:bookmarkStart w:id="16" w:name="_Toc10346"/>
      <w:bookmarkStart w:id="17" w:name="_Toc26813"/>
      <w:bookmarkStart w:id="477" w:name="_GoBack"/>
      <w:bookmarkEnd w:id="477"/>
      <w:r>
        <w:rPr>
          <w:rFonts w:hint="eastAsia"/>
        </w:rPr>
        <w:t>第二部分</w:t>
      </w:r>
      <w:bookmarkEnd w:id="11"/>
      <w:r>
        <w:rPr>
          <w:rFonts w:hint="eastAsia"/>
        </w:rPr>
        <w:t xml:space="preserve"> 投标人须知</w:t>
      </w:r>
      <w:bookmarkEnd w:id="12"/>
      <w:bookmarkEnd w:id="15"/>
      <w:bookmarkEnd w:id="16"/>
      <w:bookmarkEnd w:id="17"/>
    </w:p>
    <w:p>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序号</w:t>
            </w:r>
          </w:p>
        </w:tc>
        <w:tc>
          <w:tcPr>
            <w:tcW w:w="2206" w:type="dxa"/>
            <w:vAlign w:val="center"/>
          </w:tcPr>
          <w:p>
            <w:pPr>
              <w:pStyle w:val="143"/>
              <w:widowControl w:val="0"/>
              <w:rPr>
                <w:b/>
                <w:bCs/>
              </w:rPr>
            </w:pPr>
            <w:r>
              <w:rPr>
                <w:rFonts w:hint="eastAsia"/>
                <w:b/>
                <w:bCs/>
              </w:rPr>
              <w:t>事项</w:t>
            </w:r>
          </w:p>
        </w:tc>
        <w:tc>
          <w:tcPr>
            <w:tcW w:w="5901" w:type="dxa"/>
            <w:vAlign w:val="center"/>
          </w:tcPr>
          <w:p>
            <w:pPr>
              <w:ind w:firstLine="0" w:firstLineChars="0"/>
              <w:jc w:val="center"/>
            </w:pPr>
            <w:r>
              <w:rPr>
                <w:rFonts w:hint="eastAsia" w:ascii="宋体" w:hAnsi="宋体" w:cs="宋体"/>
                <w:b/>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w:t>
            </w:r>
          </w:p>
        </w:tc>
        <w:tc>
          <w:tcPr>
            <w:tcW w:w="2206" w:type="dxa"/>
            <w:vAlign w:val="center"/>
          </w:tcPr>
          <w:p>
            <w:pPr>
              <w:pStyle w:val="143"/>
              <w:widowControl w:val="0"/>
              <w:rPr>
                <w:b/>
                <w:bCs/>
              </w:rPr>
            </w:pPr>
            <w:r>
              <w:rPr>
                <w:rFonts w:hint="eastAsia"/>
                <w:b/>
                <w:bCs/>
              </w:rPr>
              <w:t>项目属性</w:t>
            </w:r>
          </w:p>
        </w:tc>
        <w:tc>
          <w:tcPr>
            <w:tcW w:w="5901" w:type="dxa"/>
            <w:vAlign w:val="center"/>
          </w:tcPr>
          <w:p>
            <w:pPr>
              <w:ind w:firstLine="480"/>
              <w:jc w:val="left"/>
              <w:rPr>
                <w:rFonts w:ascii="宋体" w:hAnsi="宋体" w:cs="宋体"/>
                <w:kern w:val="0"/>
              </w:rPr>
            </w:pPr>
            <w:r>
              <w:rPr>
                <w:rFonts w:hint="eastAsia" w:ascii="宋体" w:hAnsi="宋体"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2</w:t>
            </w:r>
          </w:p>
        </w:tc>
        <w:tc>
          <w:tcPr>
            <w:tcW w:w="2206" w:type="dxa"/>
            <w:vAlign w:val="center"/>
          </w:tcPr>
          <w:p>
            <w:pPr>
              <w:pStyle w:val="143"/>
              <w:widowControl w:val="0"/>
              <w:rPr>
                <w:b/>
                <w:bCs/>
              </w:rPr>
            </w:pPr>
            <w:r>
              <w:rPr>
                <w:rFonts w:hint="eastAsia"/>
                <w:b/>
                <w:bCs/>
              </w:rPr>
              <w:t>采购标的及其对应的中小企业划分标准所属行业</w:t>
            </w:r>
          </w:p>
        </w:tc>
        <w:tc>
          <w:tcPr>
            <w:tcW w:w="5901" w:type="dxa"/>
            <w:vAlign w:val="center"/>
          </w:tcPr>
          <w:p>
            <w:pPr>
              <w:pStyle w:val="143"/>
              <w:widowControl w:val="0"/>
              <w:ind w:firstLine="480" w:firstLineChars="200"/>
              <w:jc w:val="left"/>
              <w:rPr>
                <w:b/>
                <w:bCs/>
              </w:rPr>
            </w:pPr>
            <w:r>
              <w:rPr>
                <w:rFonts w:hint="eastAsia" w:ascii="宋体" w:hAnsi="宋体" w:cs="宋体"/>
                <w:kern w:val="2"/>
                <w:szCs w:val="24"/>
              </w:rPr>
              <w:t>采购标的：2024年浙江“福彩文化月”活动项目，属于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3</w:t>
            </w:r>
          </w:p>
        </w:tc>
        <w:tc>
          <w:tcPr>
            <w:tcW w:w="2206" w:type="dxa"/>
            <w:vAlign w:val="center"/>
          </w:tcPr>
          <w:p>
            <w:pPr>
              <w:pStyle w:val="143"/>
              <w:widowControl w:val="0"/>
              <w:rPr>
                <w:b/>
                <w:bCs/>
              </w:rPr>
            </w:pPr>
            <w:r>
              <w:rPr>
                <w:rFonts w:hint="eastAsia"/>
                <w:b/>
                <w:bCs/>
              </w:rPr>
              <w:t>是否允许采购进口产品</w:t>
            </w:r>
          </w:p>
        </w:tc>
        <w:tc>
          <w:tcPr>
            <w:tcW w:w="5901" w:type="dxa"/>
            <w:vAlign w:val="center"/>
          </w:tcPr>
          <w:p>
            <w:pPr>
              <w:ind w:firstLine="480"/>
              <w:jc w:val="left"/>
              <w:rPr>
                <w:rFonts w:ascii="宋体" w:hAnsi="宋体" w:cs="宋体"/>
                <w:kern w:val="0"/>
              </w:rPr>
            </w:pPr>
            <w:sdt>
              <w:sdtPr>
                <w:rPr>
                  <w:rFonts w:hint="eastAsia" w:ascii="宋体" w:hAnsi="宋体" w:cs="宋体"/>
                  <w:kern w:val="0"/>
                </w:rPr>
                <w:id w:val="147477705"/>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pPr>
              <w:ind w:firstLine="480"/>
              <w:jc w:val="left"/>
            </w:pPr>
            <w:sdt>
              <w:sdtPr>
                <w:rPr>
                  <w:rFonts w:hint="eastAsia" w:ascii="宋体" w:hAnsi="宋体" w:cs="宋体"/>
                  <w:kern w:val="0"/>
                </w:rPr>
                <w:id w:val="14748310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4</w:t>
            </w:r>
          </w:p>
        </w:tc>
        <w:tc>
          <w:tcPr>
            <w:tcW w:w="2206" w:type="dxa"/>
            <w:vAlign w:val="center"/>
          </w:tcPr>
          <w:p>
            <w:pPr>
              <w:pStyle w:val="143"/>
              <w:widowControl w:val="0"/>
              <w:rPr>
                <w:b/>
                <w:bCs/>
              </w:rPr>
            </w:pPr>
            <w:r>
              <w:rPr>
                <w:rFonts w:hint="eastAsia"/>
                <w:b/>
                <w:bCs/>
              </w:rPr>
              <w:t>是否允许转包与分包</w:t>
            </w:r>
          </w:p>
        </w:tc>
        <w:tc>
          <w:tcPr>
            <w:tcW w:w="5901" w:type="dxa"/>
            <w:vAlign w:val="center"/>
          </w:tcPr>
          <w:p>
            <w:pPr>
              <w:ind w:firstLine="480"/>
              <w:jc w:val="left"/>
              <w:rPr>
                <w:rFonts w:ascii="宋体" w:hAnsi="宋体" w:cs="宋体"/>
                <w:kern w:val="0"/>
              </w:rPr>
            </w:pPr>
            <w:r>
              <w:rPr>
                <w:rFonts w:hint="eastAsia" w:ascii="宋体" w:hAnsi="宋体" w:cs="宋体"/>
                <w:kern w:val="0"/>
              </w:rPr>
              <w:t>转包：本项目不允许转包</w:t>
            </w:r>
          </w:p>
          <w:p>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457621"/>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pPr>
              <w:ind w:firstLine="480"/>
              <w:jc w:val="left"/>
            </w:pPr>
            <w:r>
              <w:rPr>
                <w:rFonts w:hint="eastAsia" w:ascii="宋体" w:hAnsi="宋体" w:cs="宋体"/>
                <w:kern w:val="0"/>
              </w:rPr>
              <w:t xml:space="preserve">     </w:t>
            </w:r>
            <w:sdt>
              <w:sdtPr>
                <w:rPr>
                  <w:rFonts w:hint="eastAsia" w:ascii="宋体" w:hAnsi="宋体" w:cs="宋体"/>
                  <w:b/>
                  <w:bCs/>
                  <w:kern w:val="0"/>
                </w:rPr>
                <w:id w:val="147473557"/>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5</w:t>
            </w:r>
          </w:p>
        </w:tc>
        <w:tc>
          <w:tcPr>
            <w:tcW w:w="2206" w:type="dxa"/>
            <w:vAlign w:val="center"/>
          </w:tcPr>
          <w:p>
            <w:pPr>
              <w:pStyle w:val="143"/>
              <w:widowControl w:val="0"/>
              <w:rPr>
                <w:b/>
                <w:bCs/>
              </w:rPr>
            </w:pPr>
            <w:r>
              <w:rPr>
                <w:rFonts w:hint="eastAsia"/>
                <w:b/>
                <w:bCs/>
              </w:rPr>
              <w:t>开标前答疑会或现场考察</w:t>
            </w:r>
          </w:p>
        </w:tc>
        <w:tc>
          <w:tcPr>
            <w:tcW w:w="5901" w:type="dxa"/>
            <w:vAlign w:val="center"/>
          </w:tcPr>
          <w:p>
            <w:pPr>
              <w:ind w:firstLine="480"/>
              <w:rPr>
                <w:rFonts w:ascii="宋体" w:hAnsi="宋体" w:cs="宋体"/>
              </w:rPr>
            </w:pPr>
            <w:sdt>
              <w:sdtPr>
                <w:rPr>
                  <w:rFonts w:hint="eastAsia" w:ascii="宋体" w:hAnsi="宋体" w:cs="宋体"/>
                  <w:kern w:val="0"/>
                </w:rPr>
                <w:id w:val="147462795"/>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pPr>
              <w:ind w:firstLine="480"/>
              <w:rPr>
                <w:rFonts w:ascii="宋体" w:hAnsi="宋体" w:cs="宋体"/>
                <w:kern w:val="0"/>
              </w:rPr>
            </w:pPr>
            <w:sdt>
              <w:sdtPr>
                <w:rPr>
                  <w:rFonts w:hint="eastAsia" w:ascii="宋体" w:hAnsi="宋体" w:cs="宋体"/>
                  <w:kern w:val="0"/>
                </w:rPr>
                <w:id w:val="14747336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6</w:t>
            </w:r>
          </w:p>
        </w:tc>
        <w:tc>
          <w:tcPr>
            <w:tcW w:w="2206" w:type="dxa"/>
            <w:vAlign w:val="center"/>
          </w:tcPr>
          <w:p>
            <w:pPr>
              <w:pStyle w:val="143"/>
              <w:widowControl w:val="0"/>
              <w:rPr>
                <w:b/>
                <w:bCs/>
              </w:rPr>
            </w:pPr>
            <w:r>
              <w:rPr>
                <w:rFonts w:hint="eastAsia"/>
                <w:b/>
                <w:bCs/>
              </w:rPr>
              <w:t>样品提供</w:t>
            </w:r>
          </w:p>
        </w:tc>
        <w:tc>
          <w:tcPr>
            <w:tcW w:w="5901" w:type="dxa"/>
            <w:vAlign w:val="center"/>
          </w:tcPr>
          <w:p>
            <w:pPr>
              <w:ind w:firstLine="480"/>
              <w:jc w:val="left"/>
              <w:rPr>
                <w:rFonts w:ascii="宋体" w:hAnsi="宋体" w:cs="宋体"/>
              </w:rPr>
            </w:pPr>
            <w:sdt>
              <w:sdtPr>
                <w:rPr>
                  <w:rFonts w:hint="eastAsia" w:ascii="宋体" w:hAnsi="宋体" w:cs="宋体"/>
                  <w:kern w:val="0"/>
                </w:rPr>
                <w:id w:val="147451527"/>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pPr>
              <w:ind w:firstLine="480"/>
              <w:jc w:val="left"/>
              <w:rPr>
                <w:rFonts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7</w:t>
            </w:r>
          </w:p>
        </w:tc>
        <w:tc>
          <w:tcPr>
            <w:tcW w:w="2206" w:type="dxa"/>
            <w:vAlign w:val="center"/>
          </w:tcPr>
          <w:p>
            <w:pPr>
              <w:pStyle w:val="143"/>
              <w:widowControl w:val="0"/>
              <w:rPr>
                <w:b/>
                <w:bCs/>
              </w:rPr>
            </w:pPr>
            <w:r>
              <w:rPr>
                <w:rFonts w:hint="eastAsia"/>
                <w:b/>
                <w:bCs/>
              </w:rPr>
              <w:t>方案讲解演示</w:t>
            </w:r>
          </w:p>
        </w:tc>
        <w:tc>
          <w:tcPr>
            <w:tcW w:w="5901" w:type="dxa"/>
            <w:vAlign w:val="center"/>
          </w:tcPr>
          <w:p>
            <w:pPr>
              <w:ind w:firstLine="480"/>
              <w:jc w:val="left"/>
              <w:rPr>
                <w:rFonts w:ascii="宋体" w:hAnsi="宋体" w:cs="宋体"/>
              </w:rPr>
            </w:pPr>
            <w:sdt>
              <w:sdtPr>
                <w:rPr>
                  <w:rFonts w:hint="eastAsia" w:ascii="宋体" w:hAnsi="宋体" w:cs="宋体"/>
                  <w:kern w:val="0"/>
                </w:rPr>
                <w:id w:val="147473042"/>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8</w:t>
            </w:r>
          </w:p>
        </w:tc>
        <w:tc>
          <w:tcPr>
            <w:tcW w:w="2206" w:type="dxa"/>
            <w:vMerge w:val="restart"/>
            <w:vAlign w:val="center"/>
          </w:tcPr>
          <w:p>
            <w:pPr>
              <w:pStyle w:val="143"/>
              <w:widowControl w:val="0"/>
              <w:rPr>
                <w:b/>
                <w:bCs/>
              </w:rPr>
            </w:pPr>
            <w:r>
              <w:rPr>
                <w:rFonts w:hint="eastAsia"/>
                <w:b/>
                <w:bCs/>
              </w:rPr>
              <w:t>投标人应当提供的资格、资信证明文件</w:t>
            </w:r>
          </w:p>
        </w:tc>
        <w:tc>
          <w:tcPr>
            <w:tcW w:w="5901" w:type="dxa"/>
            <w:vAlign w:val="center"/>
          </w:tcPr>
          <w:p>
            <w:pPr>
              <w:ind w:firstLine="480"/>
              <w:rPr>
                <w:rFonts w:ascii="宋体" w:hAnsi="宋体" w:cs="宋体"/>
              </w:rPr>
            </w:pPr>
            <w:r>
              <w:rPr>
                <w:rFonts w:hint="eastAsia" w:ascii="宋体" w:hAnsi="宋体" w:cs="宋体"/>
              </w:rPr>
              <w:t>（1）资格证明文件：见招标文件第二部分11.1。</w:t>
            </w:r>
          </w:p>
          <w:p>
            <w:pPr>
              <w:ind w:firstLine="480"/>
            </w:pPr>
            <w:r>
              <w:rPr>
                <w:rFonts w:hint="eastAsia" w:ascii="宋体" w:hAnsi="宋体" w:cs="宋体"/>
                <w:kern w:val="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pPr>
            <w:r>
              <w:rPr>
                <w:rFonts w:hint="eastAsia" w:ascii="宋体" w:hAnsi="宋体" w:cs="宋体"/>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9</w:t>
            </w:r>
          </w:p>
        </w:tc>
        <w:tc>
          <w:tcPr>
            <w:tcW w:w="2206" w:type="dxa"/>
            <w:vAlign w:val="center"/>
          </w:tcPr>
          <w:p>
            <w:pPr>
              <w:pStyle w:val="143"/>
              <w:widowControl w:val="0"/>
              <w:rPr>
                <w:b/>
                <w:bCs/>
              </w:rPr>
            </w:pPr>
            <w:r>
              <w:rPr>
                <w:rFonts w:hint="eastAsia"/>
                <w:b/>
                <w:bCs/>
              </w:rPr>
              <w:t>节能产品、环境标志产品</w:t>
            </w:r>
          </w:p>
        </w:tc>
        <w:tc>
          <w:tcPr>
            <w:tcW w:w="5901" w:type="dxa"/>
            <w:vAlign w:val="center"/>
          </w:tcPr>
          <w:p>
            <w:pPr>
              <w:ind w:firstLine="480"/>
              <w:jc w:val="left"/>
              <w:rPr>
                <w:color w:val="auto"/>
              </w:rPr>
            </w:pPr>
            <w:r>
              <w:rPr>
                <w:rFonts w:hint="eastAsia"/>
                <w:color w:val="auto"/>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10</w:t>
            </w:r>
          </w:p>
        </w:tc>
        <w:tc>
          <w:tcPr>
            <w:tcW w:w="2206" w:type="dxa"/>
            <w:vAlign w:val="center"/>
          </w:tcPr>
          <w:p>
            <w:pPr>
              <w:pStyle w:val="143"/>
              <w:widowControl w:val="0"/>
              <w:rPr>
                <w:b/>
                <w:bCs/>
              </w:rPr>
            </w:pPr>
            <w:r>
              <w:rPr>
                <w:rFonts w:hint="eastAsia"/>
                <w:b/>
                <w:bCs/>
              </w:rPr>
              <w:t>报价要求</w:t>
            </w:r>
          </w:p>
        </w:tc>
        <w:tc>
          <w:tcPr>
            <w:tcW w:w="5901" w:type="dxa"/>
            <w:vAlign w:val="center"/>
          </w:tcPr>
          <w:p>
            <w:pPr>
              <w:ind w:firstLine="480"/>
              <w:jc w:val="left"/>
              <w:rPr>
                <w:color w:val="auto"/>
                <w:lang w:val="zh-CN"/>
              </w:rPr>
            </w:pPr>
            <w:r>
              <w:rPr>
                <w:rFonts w:hint="eastAsia"/>
                <w:color w:val="auto"/>
                <w:lang w:val="zh-CN"/>
              </w:rPr>
              <w:t>有关本项目实施所需的所有费用（含场地及布置费、人工费、各类物料、物资、宣传品、广告费、税费等完成本项目所需一切费用）均计入报价。投标文件</w:t>
            </w:r>
            <w:r>
              <w:rPr>
                <w:rFonts w:hint="eastAsia"/>
                <w:color w:val="auto"/>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color w:val="auto"/>
                <w:lang w:val="zh-CN"/>
              </w:rPr>
              <w:t>投标文件中价格全部采用人民币报价。招标文件未列明，而投标人认为必需的费用也需列入报价。</w:t>
            </w:r>
          </w:p>
          <w:p>
            <w:pPr>
              <w:ind w:firstLine="0" w:firstLineChars="0"/>
              <w:jc w:val="left"/>
              <w:rPr>
                <w:b/>
                <w:bCs/>
                <w:color w:val="auto"/>
                <w:lang w:val="zh-CN"/>
              </w:rPr>
            </w:pPr>
            <w:r>
              <w:rPr>
                <w:rFonts w:hint="eastAsia"/>
                <w:b/>
                <w:bCs/>
                <w:color w:val="auto"/>
                <w:lang w:val="zh-CN"/>
              </w:rPr>
              <w:t>投标报价出现下列情形的，投标无效：</w:t>
            </w:r>
          </w:p>
          <w:p>
            <w:pPr>
              <w:jc w:val="left"/>
              <w:rPr>
                <w:b/>
                <w:bCs/>
                <w:color w:val="auto"/>
                <w:lang w:val="zh-CN"/>
              </w:rPr>
            </w:pPr>
            <w:r>
              <w:rPr>
                <w:rFonts w:hint="eastAsia"/>
                <w:b/>
                <w:bCs/>
                <w:color w:val="auto"/>
                <w:lang w:val="zh-CN"/>
              </w:rPr>
              <w:t>投标文件出现不是唯一的、有选择性投标报价的；</w:t>
            </w:r>
          </w:p>
          <w:p>
            <w:pPr>
              <w:jc w:val="left"/>
              <w:rPr>
                <w:b/>
                <w:bCs/>
                <w:color w:val="auto"/>
                <w:lang w:val="zh-CN"/>
              </w:rPr>
            </w:pPr>
            <w:r>
              <w:rPr>
                <w:rFonts w:hint="eastAsia"/>
                <w:b/>
                <w:bCs/>
                <w:color w:val="auto"/>
                <w:lang w:val="zh-CN"/>
              </w:rPr>
              <w:t>投标报价超过招标文件中规定的预算金额或者最高限价的;</w:t>
            </w:r>
          </w:p>
          <w:p>
            <w:pPr>
              <w:jc w:val="left"/>
              <w:rPr>
                <w:b/>
                <w:bCs/>
                <w:color w:val="auto"/>
              </w:rPr>
            </w:pPr>
            <w:r>
              <w:rPr>
                <w:rFonts w:hint="eastAsia"/>
                <w:b/>
                <w:bCs/>
                <w:color w:val="auto"/>
              </w:rPr>
              <w:t>报价明显低于其他通过符合性审查投标人的报价，有可能影响产品质量或者不能诚信履约的，未能按要求提供书面说明或者提交相关证明材料证明其报价合理性的；</w:t>
            </w:r>
          </w:p>
          <w:p>
            <w:pPr>
              <w:jc w:val="left"/>
              <w:rPr>
                <w:b/>
                <w:bCs/>
                <w:color w:val="auto"/>
              </w:rPr>
            </w:pPr>
            <w:r>
              <w:rPr>
                <w:rFonts w:hint="eastAsia"/>
                <w:b/>
                <w:bCs/>
                <w:color w:val="auto"/>
              </w:rPr>
              <w:t>投标人对根据修正原则修正后的报价不确认的；</w:t>
            </w:r>
          </w:p>
          <w:p>
            <w:pPr>
              <w:pStyle w:val="79"/>
              <w:ind w:left="0" w:leftChars="0" w:firstLine="482"/>
              <w:rPr>
                <w:color w:val="auto"/>
              </w:rPr>
            </w:pPr>
            <w:r>
              <w:rPr>
                <w:rFonts w:hint="eastAsia" w:ascii="Times New Roman" w:hAnsi="Times New Roman"/>
                <w:b/>
                <w:bCs/>
                <w:color w:val="auto"/>
                <w:spacing w:val="0"/>
                <w:sz w:val="24"/>
                <w:szCs w:val="24"/>
              </w:rPr>
              <w:t>投标</w:t>
            </w:r>
            <w:r>
              <w:rPr>
                <w:rFonts w:hint="eastAsia" w:ascii="Times New Roman" w:hAnsi="Times New Roman"/>
                <w:b/>
                <w:bCs/>
                <w:color w:val="auto"/>
                <w:spacing w:val="0"/>
                <w:sz w:val="24"/>
                <w:szCs w:val="24"/>
                <w:lang w:val="zh-CN"/>
              </w:rPr>
              <w:t>报价不符合</w:t>
            </w:r>
            <w:r>
              <w:rPr>
                <w:rFonts w:hint="eastAsia" w:ascii="Times New Roman" w:hAnsi="Times New Roman"/>
                <w:b/>
                <w:bCs/>
                <w:color w:val="auto"/>
                <w:spacing w:val="0"/>
                <w:sz w:val="24"/>
                <w:szCs w:val="24"/>
              </w:rPr>
              <w:t>招标</w:t>
            </w:r>
            <w:r>
              <w:rPr>
                <w:rFonts w:hint="eastAsia" w:ascii="Times New Roman" w:hAnsi="Times New Roman"/>
                <w:b/>
                <w:bCs/>
                <w:color w:val="auto"/>
                <w:spacing w:val="0"/>
                <w:sz w:val="24"/>
                <w:szCs w:val="24"/>
                <w:lang w:val="zh-CN"/>
              </w:rPr>
              <w:t>文件规定要求进行报价的。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pPr>
              <w:pStyle w:val="143"/>
              <w:widowControl w:val="0"/>
              <w:rPr>
                <w:b/>
                <w:bCs/>
              </w:rPr>
            </w:pPr>
            <w:r>
              <w:rPr>
                <w:rFonts w:hint="eastAsia"/>
                <w:b/>
                <w:bCs/>
              </w:rPr>
              <w:t>11</w:t>
            </w:r>
          </w:p>
        </w:tc>
        <w:tc>
          <w:tcPr>
            <w:tcW w:w="2206" w:type="dxa"/>
            <w:vAlign w:val="center"/>
          </w:tcPr>
          <w:p>
            <w:pPr>
              <w:pStyle w:val="143"/>
              <w:widowControl w:val="0"/>
              <w:rPr>
                <w:b/>
                <w:bCs/>
              </w:rPr>
            </w:pPr>
            <w:r>
              <w:rPr>
                <w:rFonts w:hint="eastAsia"/>
                <w:b/>
                <w:bCs/>
              </w:rPr>
              <w:t>中小企业信用融资</w:t>
            </w:r>
          </w:p>
        </w:tc>
        <w:tc>
          <w:tcPr>
            <w:tcW w:w="5901" w:type="dxa"/>
            <w:vAlign w:val="center"/>
          </w:tcPr>
          <w:p>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12</w:t>
            </w:r>
          </w:p>
        </w:tc>
        <w:tc>
          <w:tcPr>
            <w:tcW w:w="2206" w:type="dxa"/>
            <w:vAlign w:val="center"/>
          </w:tcPr>
          <w:p>
            <w:pPr>
              <w:pStyle w:val="143"/>
              <w:widowControl w:val="0"/>
              <w:rPr>
                <w:b/>
                <w:bCs/>
              </w:rPr>
            </w:pPr>
            <w:r>
              <w:rPr>
                <w:rFonts w:hint="eastAsia"/>
                <w:b/>
                <w:bCs/>
              </w:rPr>
              <w:t>备份投标文件送达地点和签收人员</w:t>
            </w:r>
          </w:p>
        </w:tc>
        <w:tc>
          <w:tcPr>
            <w:tcW w:w="5901" w:type="dxa"/>
            <w:vAlign w:val="center"/>
          </w:tcPr>
          <w:p>
            <w:pPr>
              <w:pStyle w:val="34"/>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kern w:val="28"/>
                <w:szCs w:val="24"/>
                <w:u w:val="single"/>
              </w:rPr>
              <w:t>胡校芳</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pPr>
              <w:pStyle w:val="143"/>
              <w:widowControl w:val="0"/>
              <w:rPr>
                <w:b/>
                <w:bCs/>
              </w:rPr>
            </w:pPr>
            <w:r>
              <w:rPr>
                <w:rFonts w:hint="eastAsia"/>
                <w:b/>
                <w:bCs/>
              </w:rPr>
              <w:t>13</w:t>
            </w:r>
          </w:p>
        </w:tc>
        <w:tc>
          <w:tcPr>
            <w:tcW w:w="2206" w:type="dxa"/>
            <w:vMerge w:val="restart"/>
            <w:vAlign w:val="center"/>
          </w:tcPr>
          <w:p>
            <w:pPr>
              <w:pStyle w:val="143"/>
              <w:widowControl w:val="0"/>
              <w:rPr>
                <w:b/>
                <w:bCs/>
              </w:rPr>
            </w:pPr>
            <w:r>
              <w:rPr>
                <w:rFonts w:hint="eastAsia"/>
                <w:b/>
                <w:bCs/>
              </w:rPr>
              <w:t>特别说明</w:t>
            </w:r>
          </w:p>
        </w:tc>
        <w:tc>
          <w:tcPr>
            <w:tcW w:w="5901" w:type="dxa"/>
            <w:vAlign w:val="center"/>
          </w:tcPr>
          <w:p>
            <w:r>
              <w:rPr>
                <w:rFonts w:hint="eastAsia"/>
                <w:b/>
                <w:bCs/>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tabs>
                <w:tab w:val="left" w:pos="900"/>
              </w:tabs>
              <w:ind w:firstLine="480"/>
            </w:pPr>
            <w:r>
              <w:rPr>
                <w:rFonts w:hint="eastAsia"/>
              </w:rPr>
              <w:t>联合体投标的，联合体各方分别提供与联合体协议中规定的分工内容相应的业绩证明材料。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47468960"/>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pPr>
              <w:ind w:firstLine="480"/>
              <w:jc w:val="left"/>
            </w:pPr>
            <w:sdt>
              <w:sdtPr>
                <w:rPr>
                  <w:rFonts w:hint="eastAsia" w:cs="Arial" w:asciiTheme="minorEastAsia" w:hAnsiTheme="minorEastAsia" w:eastAsiaTheme="minorEastAsia"/>
                  <w:kern w:val="0"/>
                </w:rPr>
                <w:id w:val="147465277"/>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pPr>
              <w:pStyle w:val="143"/>
              <w:widowControl w:val="0"/>
              <w:rPr>
                <w:b/>
                <w:bCs/>
              </w:rPr>
            </w:pPr>
            <w:bookmarkStart w:id="20" w:name="第三部分"/>
            <w:bookmarkStart w:id="21" w:name="_Toc164416483"/>
          </w:p>
        </w:tc>
        <w:tc>
          <w:tcPr>
            <w:tcW w:w="2206" w:type="dxa"/>
            <w:vMerge w:val="continue"/>
            <w:vAlign w:val="center"/>
          </w:tcPr>
          <w:p>
            <w:pPr>
              <w:pStyle w:val="143"/>
              <w:widowControl w:val="0"/>
              <w:rPr>
                <w:b/>
                <w:bCs/>
              </w:rPr>
            </w:pPr>
          </w:p>
        </w:tc>
        <w:tc>
          <w:tcPr>
            <w:tcW w:w="5901" w:type="dxa"/>
            <w:vAlign w:val="center"/>
          </w:tcPr>
          <w:p>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14</w:t>
            </w:r>
          </w:p>
        </w:tc>
        <w:tc>
          <w:tcPr>
            <w:tcW w:w="2206" w:type="dxa"/>
            <w:vAlign w:val="center"/>
          </w:tcPr>
          <w:p>
            <w:pPr>
              <w:pStyle w:val="143"/>
              <w:widowControl w:val="0"/>
              <w:rPr>
                <w:b/>
                <w:bCs/>
              </w:rPr>
            </w:pPr>
            <w:r>
              <w:rPr>
                <w:rFonts w:hint="eastAsia"/>
                <w:b/>
                <w:bCs/>
              </w:rPr>
              <w:t>采购代理服务费</w:t>
            </w:r>
          </w:p>
        </w:tc>
        <w:tc>
          <w:tcPr>
            <w:tcW w:w="5901" w:type="dxa"/>
            <w:vAlign w:val="center"/>
          </w:tcPr>
          <w:p>
            <w:pPr>
              <w:ind w:firstLine="480"/>
              <w:rPr>
                <w:rFonts w:ascii="宋体" w:hAnsi="宋体" w:cs="宋体"/>
                <w:kern w:val="0"/>
              </w:rPr>
            </w:pPr>
            <w:r>
              <w:rPr>
                <w:rFonts w:hint="eastAsia" w:ascii="宋体" w:hAnsi="宋体" w:cs="宋体"/>
                <w:kern w:val="0"/>
              </w:rPr>
              <w:t>本项目的采购代理服务费为：</w:t>
            </w:r>
          </w:p>
          <w:p>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pPr>
              <w:ind w:firstLine="480"/>
              <w:rPr>
                <w:rFonts w:ascii="宋体" w:hAnsi="宋体" w:cs="宋体"/>
                <w:kern w:val="0"/>
              </w:rPr>
            </w:pPr>
            <w:r>
              <w:rPr>
                <w:rFonts w:hint="eastAsia" w:ascii="宋体" w:hAnsi="宋体" w:cs="宋体"/>
                <w:kern w:val="0"/>
              </w:rPr>
              <w:t>（2）各区段具体收费标准如下：</w:t>
            </w:r>
          </w:p>
          <w:p>
            <w:pPr>
              <w:ind w:firstLine="480"/>
              <w:rPr>
                <w:rFonts w:ascii="宋体" w:hAnsi="宋体" w:cs="宋体"/>
                <w:kern w:val="0"/>
              </w:rPr>
            </w:pPr>
            <w:r>
              <w:rPr>
                <w:rFonts w:hint="eastAsia" w:ascii="宋体" w:hAnsi="宋体" w:cs="宋体"/>
                <w:kern w:val="0"/>
              </w:rPr>
              <w:t>成交金额              费率</w:t>
            </w:r>
          </w:p>
          <w:p>
            <w:pPr>
              <w:ind w:firstLine="480"/>
              <w:rPr>
                <w:rFonts w:ascii="宋体" w:hAnsi="宋体" w:cs="宋体"/>
                <w:kern w:val="0"/>
              </w:rPr>
            </w:pPr>
            <w:r>
              <w:rPr>
                <w:rFonts w:hint="eastAsia" w:ascii="宋体" w:hAnsi="宋体" w:cs="宋体"/>
                <w:kern w:val="0"/>
              </w:rPr>
              <w:t>100万元以下          1.2%</w:t>
            </w:r>
          </w:p>
          <w:p>
            <w:pPr>
              <w:ind w:firstLine="480"/>
              <w:rPr>
                <w:rFonts w:ascii="宋体" w:hAnsi="宋体" w:cs="宋体"/>
                <w:kern w:val="0"/>
              </w:rPr>
            </w:pPr>
            <w:r>
              <w:rPr>
                <w:rFonts w:hint="eastAsia" w:ascii="宋体" w:hAnsi="宋体" w:cs="宋体"/>
                <w:kern w:val="0"/>
              </w:rPr>
              <w:t>100-500万元          0.64%</w:t>
            </w:r>
          </w:p>
          <w:p>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pPr>
              <w:ind w:firstLine="480"/>
              <w:rPr>
                <w:rFonts w:ascii="宋体" w:hAnsi="宋体" w:cs="宋体"/>
              </w:rPr>
            </w:pPr>
            <w:r>
              <w:rPr>
                <w:rFonts w:hint="eastAsia" w:ascii="宋体" w:hAnsi="宋体" w:cs="宋体"/>
                <w:kern w:val="0"/>
              </w:rPr>
              <w:t>收款</w:t>
            </w:r>
            <w:r>
              <w:rPr>
                <w:rFonts w:hint="eastAsia" w:ascii="宋体" w:hAnsi="宋体" w:cs="宋体"/>
              </w:rPr>
              <w:t>账号：</w:t>
            </w:r>
          </w:p>
          <w:p>
            <w:pPr>
              <w:ind w:firstLine="480"/>
              <w:rPr>
                <w:rFonts w:ascii="宋体" w:hAnsi="宋体" w:cs="宋体"/>
                <w:kern w:val="0"/>
              </w:rPr>
            </w:pPr>
            <w:r>
              <w:rPr>
                <w:rFonts w:hint="eastAsia" w:ascii="宋体" w:hAnsi="宋体" w:cs="宋体"/>
                <w:kern w:val="0"/>
              </w:rPr>
              <w:t>收款单位（户名）：浙江信镧建设工程咨询有限公司</w:t>
            </w:r>
          </w:p>
          <w:p>
            <w:pPr>
              <w:ind w:firstLine="480"/>
              <w:rPr>
                <w:rFonts w:ascii="宋体" w:hAnsi="宋体" w:cs="宋体"/>
                <w:kern w:val="0"/>
              </w:rPr>
            </w:pPr>
            <w:r>
              <w:rPr>
                <w:rFonts w:hint="eastAsia" w:ascii="宋体" w:hAnsi="宋体" w:cs="宋体"/>
                <w:kern w:val="0"/>
              </w:rPr>
              <w:t>开户银行：交通银行杭州华浙广场支行</w:t>
            </w:r>
          </w:p>
          <w:p>
            <w:pPr>
              <w:ind w:firstLine="463" w:firstLineChars="193"/>
              <w:rPr>
                <w:rFonts w:ascii="宋体" w:hAnsi="宋体" w:cs="宋体"/>
              </w:rPr>
            </w:pPr>
            <w:r>
              <w:rPr>
                <w:rFonts w:hint="eastAsia" w:ascii="宋体" w:hAnsi="宋体" w:cs="宋体"/>
                <w:kern w:val="0"/>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pStyle w:val="143"/>
              <w:widowControl w:val="0"/>
              <w:rPr>
                <w:b/>
                <w:bCs/>
              </w:rPr>
            </w:pPr>
            <w:r>
              <w:rPr>
                <w:rFonts w:hint="eastAsia"/>
                <w:b/>
                <w:bCs/>
              </w:rPr>
              <w:t>15</w:t>
            </w:r>
          </w:p>
        </w:tc>
        <w:tc>
          <w:tcPr>
            <w:tcW w:w="2206" w:type="dxa"/>
            <w:vMerge w:val="restart"/>
            <w:vAlign w:val="center"/>
          </w:tcPr>
          <w:p>
            <w:pPr>
              <w:pStyle w:val="143"/>
              <w:widowControl w:val="0"/>
              <w:rPr>
                <w:b/>
                <w:bCs/>
              </w:rPr>
            </w:pPr>
            <w:r>
              <w:rPr>
                <w:rFonts w:hint="eastAsia"/>
                <w:b/>
                <w:bCs/>
              </w:rPr>
              <w:t>其他注意事项</w:t>
            </w:r>
          </w:p>
        </w:tc>
        <w:tc>
          <w:tcPr>
            <w:tcW w:w="5901" w:type="dxa"/>
            <w:vAlign w:val="center"/>
          </w:tcPr>
          <w:p>
            <w:pPr>
              <w:pStyle w:val="725"/>
              <w:spacing w:line="360" w:lineRule="auto"/>
              <w:ind w:firstLine="482"/>
              <w:rPr>
                <w:rFonts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pStyle w:val="143"/>
              <w:widowControl w:val="0"/>
              <w:rPr>
                <w:b/>
                <w:bCs/>
              </w:rPr>
            </w:pPr>
          </w:p>
        </w:tc>
        <w:tc>
          <w:tcPr>
            <w:tcW w:w="2206" w:type="dxa"/>
            <w:vMerge w:val="continue"/>
            <w:vAlign w:val="center"/>
          </w:tcPr>
          <w:p>
            <w:pPr>
              <w:pStyle w:val="143"/>
              <w:widowControl w:val="0"/>
              <w:rPr>
                <w:b/>
                <w:bCs/>
              </w:rPr>
            </w:pPr>
          </w:p>
        </w:tc>
        <w:tc>
          <w:tcPr>
            <w:tcW w:w="5901" w:type="dxa"/>
            <w:vAlign w:val="center"/>
          </w:tcPr>
          <w:p>
            <w:pPr>
              <w:pStyle w:val="725"/>
              <w:spacing w:line="360" w:lineRule="auto"/>
              <w:ind w:firstLine="482"/>
              <w:rPr>
                <w:rFonts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pStyle w:val="143"/>
              <w:widowControl w:val="0"/>
              <w:rPr>
                <w:b/>
                <w:bCs/>
              </w:rPr>
            </w:pPr>
            <w:r>
              <w:rPr>
                <w:rFonts w:hint="eastAsia"/>
                <w:b/>
                <w:bCs/>
              </w:rPr>
              <w:t>16</w:t>
            </w:r>
          </w:p>
        </w:tc>
        <w:tc>
          <w:tcPr>
            <w:tcW w:w="2206" w:type="dxa"/>
            <w:vAlign w:val="center"/>
          </w:tcPr>
          <w:p>
            <w:pPr>
              <w:pStyle w:val="143"/>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pPr>
        <w:pStyle w:val="4"/>
      </w:pPr>
      <w:bookmarkStart w:id="26" w:name="_Toc3424"/>
      <w:bookmarkStart w:id="27" w:name="_Toc2518"/>
      <w:r>
        <w:rPr>
          <w:rFonts w:hint="eastAsia"/>
        </w:rPr>
        <w:t>一、总则</w:t>
      </w:r>
      <w:bookmarkEnd w:id="26"/>
      <w:bookmarkEnd w:id="27"/>
    </w:p>
    <w:p>
      <w:pPr>
        <w:pStyle w:val="2"/>
      </w:pPr>
      <w:r>
        <w:rPr>
          <w:rFonts w:hint="eastAsia"/>
        </w:rPr>
        <w:t>1.适用范围</w:t>
      </w:r>
    </w:p>
    <w:p>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pPr>
        <w:pStyle w:val="2"/>
      </w:pPr>
      <w:r>
        <w:rPr>
          <w:rFonts w:hint="eastAsia"/>
        </w:rPr>
        <w:t>2.定义</w:t>
      </w:r>
    </w:p>
    <w:p>
      <w:pPr>
        <w:ind w:firstLine="480"/>
        <w:rPr>
          <w:rFonts w:ascii="宋体" w:hAnsi="宋体" w:cs="宋体"/>
        </w:rPr>
      </w:pPr>
      <w:r>
        <w:rPr>
          <w:rFonts w:hint="eastAsia" w:ascii="宋体" w:hAnsi="宋体" w:cs="宋体"/>
        </w:rPr>
        <w:t>2.1 “采购人”系指招标公告中载明的本项目的采购人。</w:t>
      </w:r>
    </w:p>
    <w:p>
      <w:pPr>
        <w:ind w:firstLine="480"/>
        <w:rPr>
          <w:rFonts w:ascii="宋体" w:hAnsi="宋体" w:cs="宋体"/>
        </w:rPr>
      </w:pPr>
      <w:r>
        <w:rPr>
          <w:rFonts w:hint="eastAsia" w:ascii="宋体" w:hAnsi="宋体" w:cs="宋体"/>
        </w:rPr>
        <w:t>2.2 “采购代理机构”系指招标公告中载明的本项目的采购代理机构。</w:t>
      </w:r>
    </w:p>
    <w:p>
      <w:pPr>
        <w:ind w:firstLine="480"/>
        <w:rPr>
          <w:rFonts w:ascii="宋体" w:hAnsi="宋体" w:cs="宋体"/>
        </w:rPr>
      </w:pPr>
      <w:r>
        <w:rPr>
          <w:rFonts w:hint="eastAsia" w:ascii="宋体" w:hAnsi="宋体" w:cs="宋体"/>
        </w:rPr>
        <w:t>2.3 “投标人”系指是指响应招标、参加投标竞争的法人、其他组织或者自然人。</w:t>
      </w:r>
    </w:p>
    <w:p>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rFonts w:ascii="宋体" w:hAnsi="宋体" w:cs="宋体"/>
        </w:rPr>
      </w:pPr>
      <w:r>
        <w:rPr>
          <w:rFonts w:hint="eastAsia" w:ascii="宋体" w:hAnsi="宋体" w:cs="宋体"/>
        </w:rPr>
        <w:t>2.6“电子交易平台”是指本项目政府采购活动所依托的政府采购云平台（https://www.zcygov.cn/）。</w:t>
      </w:r>
    </w:p>
    <w:p>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pPr>
        <w:pStyle w:val="2"/>
      </w:pPr>
      <w:r>
        <w:rPr>
          <w:rFonts w:hint="eastAsia"/>
        </w:rPr>
        <w:t>3.采购项目需要落实的政府采购政策</w:t>
      </w:r>
    </w:p>
    <w:p>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pPr>
        <w:ind w:firstLine="241" w:firstLineChars="100"/>
        <w:rPr>
          <w:rFonts w:ascii="宋体" w:hAnsi="宋体" w:cs="宋体"/>
          <w:b/>
          <w:bCs/>
        </w:rPr>
      </w:pPr>
      <w:r>
        <w:rPr>
          <w:rFonts w:hint="eastAsia" w:ascii="宋体" w:hAnsi="宋体" w:cs="宋体"/>
          <w:b/>
          <w:bCs/>
        </w:rPr>
        <w:t>3.2 支持绿色发展</w:t>
      </w:r>
    </w:p>
    <w:p>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ind w:firstLine="241" w:firstLineChars="100"/>
        <w:rPr>
          <w:rFonts w:ascii="宋体" w:hAnsi="宋体" w:cs="宋体"/>
          <w:b/>
          <w:bCs/>
        </w:rPr>
      </w:pPr>
      <w:r>
        <w:rPr>
          <w:rFonts w:hint="eastAsia" w:ascii="宋体" w:hAnsi="宋体" w:cs="宋体"/>
          <w:b/>
          <w:bCs/>
        </w:rPr>
        <w:t>3.3支持中小企业发展</w:t>
      </w:r>
    </w:p>
    <w:p>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pPr>
        <w:ind w:firstLine="480"/>
        <w:rPr>
          <w:rFonts w:ascii="宋体" w:hAnsi="宋体" w:cs="宋体"/>
        </w:rPr>
      </w:pPr>
      <w:r>
        <w:rPr>
          <w:rFonts w:hint="eastAsia" w:ascii="宋体" w:hAnsi="宋体" w:cs="宋体"/>
        </w:rPr>
        <w:t>符合中小企业划分标准的个体工商户，在政府采购活动中视同中小企业。</w:t>
      </w:r>
    </w:p>
    <w:p>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pPr>
        <w:ind w:firstLine="241" w:firstLineChars="100"/>
        <w:rPr>
          <w:rFonts w:ascii="宋体" w:hAnsi="宋体" w:cs="宋体"/>
          <w:b/>
          <w:bCs/>
        </w:rPr>
      </w:pPr>
      <w:r>
        <w:rPr>
          <w:rFonts w:hint="eastAsia" w:ascii="宋体" w:hAnsi="宋体" w:cs="宋体"/>
          <w:b/>
          <w:bCs/>
        </w:rPr>
        <w:t>3.4支持创新发展</w:t>
      </w:r>
    </w:p>
    <w:p>
      <w:pPr>
        <w:ind w:firstLine="480"/>
        <w:rPr>
          <w:rFonts w:ascii="宋体" w:hAnsi="宋体" w:cs="宋体"/>
        </w:rPr>
      </w:pPr>
      <w:r>
        <w:rPr>
          <w:rFonts w:hint="eastAsia" w:ascii="宋体" w:hAnsi="宋体" w:cs="宋体"/>
        </w:rPr>
        <w:t>3.4.1 采购人优先采购被认定为首台套产品和“制造精品”的自主创新产品。</w:t>
      </w:r>
    </w:p>
    <w:p>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pPr>
        <w:ind w:firstLine="241" w:firstLineChars="100"/>
        <w:rPr>
          <w:rFonts w:ascii="宋体" w:hAnsi="宋体" w:cs="宋体"/>
          <w:b/>
          <w:bCs/>
        </w:rPr>
      </w:pPr>
      <w:r>
        <w:rPr>
          <w:rFonts w:hint="eastAsia" w:ascii="宋体" w:hAnsi="宋体" w:cs="宋体"/>
          <w:b/>
          <w:bCs/>
        </w:rPr>
        <w:t>3.5平等对待内外资企业和符合条件的破产重整企业</w:t>
      </w:r>
    </w:p>
    <w:p>
      <w:pPr>
        <w:ind w:firstLine="480"/>
      </w:pPr>
      <w:r>
        <w:rPr>
          <w:rFonts w:hint="eastAsia"/>
        </w:rPr>
        <w:t>平等对待内外资企业和符合条件的破产重整企业，切实保障企业公平竞争，平等维护企业的合法利益。</w:t>
      </w:r>
    </w:p>
    <w:p>
      <w:pPr>
        <w:pStyle w:val="2"/>
      </w:pPr>
      <w:r>
        <w:rPr>
          <w:rFonts w:hint="eastAsia" w:ascii="宋体" w:hAnsi="宋体" w:cs="宋体"/>
        </w:rPr>
        <w:t>4.</w:t>
      </w:r>
      <w:r>
        <w:rPr>
          <w:rFonts w:hint="eastAsia"/>
        </w:rPr>
        <w:t>询问、质疑、投诉</w:t>
      </w:r>
    </w:p>
    <w:p>
      <w:pPr>
        <w:pStyle w:val="5"/>
      </w:pPr>
      <w:r>
        <w:rPr>
          <w:rFonts w:hint="eastAsia"/>
          <w:lang w:val="en-US"/>
        </w:rPr>
        <w:t>4.1</w:t>
      </w:r>
      <w:r>
        <w:t>在线询问、质疑、投诉</w:t>
      </w:r>
    </w:p>
    <w:p>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pPr>
      <w:r>
        <w:rPr>
          <w:rFonts w:hint="eastAsia"/>
          <w:lang w:val="en-US"/>
        </w:rPr>
        <w:t>4.</w:t>
      </w:r>
      <w:r>
        <w:rPr>
          <w:rFonts w:hint="eastAsia"/>
        </w:rPr>
        <w:t>2供应商询问</w:t>
      </w:r>
    </w:p>
    <w:p>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5"/>
      </w:pPr>
      <w:r>
        <w:rPr>
          <w:rFonts w:hint="eastAsia"/>
          <w:lang w:val="en-US"/>
        </w:rPr>
        <w:t>4.</w:t>
      </w:r>
      <w:r>
        <w:rPr>
          <w:rFonts w:hint="eastAsia"/>
        </w:rPr>
        <w:t>3供应商质疑</w:t>
      </w:r>
    </w:p>
    <w:p>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pPr>
        <w:ind w:firstLine="480"/>
        <w:rPr>
          <w:rFonts w:ascii="宋体" w:hAnsi="宋体" w:cs="宋体"/>
        </w:rPr>
      </w:pPr>
      <w:r>
        <w:rPr>
          <w:rFonts w:hint="eastAsia" w:ascii="宋体" w:hAnsi="宋体" w:cs="宋体"/>
        </w:rPr>
        <w:t>4.3.3供应商提出质疑应当提交质疑函和必要的证明材料。质疑函应当包括下列内容：</w:t>
      </w:r>
    </w:p>
    <w:p>
      <w:pPr>
        <w:ind w:firstLine="480"/>
        <w:rPr>
          <w:rFonts w:ascii="宋体" w:hAnsi="宋体" w:cs="宋体"/>
        </w:rPr>
      </w:pPr>
      <w:r>
        <w:rPr>
          <w:rFonts w:hint="eastAsia" w:ascii="宋体" w:hAnsi="宋体" w:cs="宋体"/>
        </w:rPr>
        <w:t>　4.3.3.1供应商的姓名或者名称、地址、邮编、联系人及联系电话；</w:t>
      </w:r>
    </w:p>
    <w:p>
      <w:pPr>
        <w:ind w:firstLine="480"/>
        <w:rPr>
          <w:rFonts w:ascii="宋体" w:hAnsi="宋体" w:cs="宋体"/>
        </w:rPr>
      </w:pPr>
      <w:r>
        <w:rPr>
          <w:rFonts w:hint="eastAsia" w:ascii="宋体" w:hAnsi="宋体" w:cs="宋体"/>
        </w:rPr>
        <w:t>　4.3.3.2质疑项目的名称、编号；</w:t>
      </w:r>
    </w:p>
    <w:p>
      <w:pPr>
        <w:ind w:firstLine="480"/>
        <w:rPr>
          <w:rFonts w:ascii="宋体" w:hAnsi="宋体" w:cs="宋体"/>
        </w:rPr>
      </w:pPr>
      <w:r>
        <w:rPr>
          <w:rFonts w:hint="eastAsia" w:ascii="宋体" w:hAnsi="宋体" w:cs="宋体"/>
        </w:rPr>
        <w:t>　4.3.3.3具体、明确的质疑事项和与质疑事项相关的请求；</w:t>
      </w:r>
    </w:p>
    <w:p>
      <w:pPr>
        <w:ind w:firstLine="480"/>
        <w:rPr>
          <w:rFonts w:ascii="宋体" w:hAnsi="宋体" w:cs="宋体"/>
        </w:rPr>
      </w:pPr>
      <w:r>
        <w:rPr>
          <w:rFonts w:hint="eastAsia" w:ascii="宋体" w:hAnsi="宋体" w:cs="宋体"/>
        </w:rPr>
        <w:t>　4.3.3.4事实依据；</w:t>
      </w:r>
    </w:p>
    <w:p>
      <w:pPr>
        <w:ind w:firstLine="480"/>
        <w:rPr>
          <w:rFonts w:ascii="宋体" w:hAnsi="宋体" w:cs="宋体"/>
        </w:rPr>
      </w:pPr>
      <w:r>
        <w:rPr>
          <w:rFonts w:hint="eastAsia" w:ascii="宋体" w:hAnsi="宋体" w:cs="宋体"/>
        </w:rPr>
        <w:t>　4.3.3.5必要的法律依据；</w:t>
      </w:r>
    </w:p>
    <w:p>
      <w:pPr>
        <w:ind w:firstLine="720" w:firstLineChars="300"/>
        <w:rPr>
          <w:rFonts w:ascii="宋体" w:hAnsi="宋体" w:cs="宋体"/>
        </w:rPr>
      </w:pPr>
      <w:r>
        <w:rPr>
          <w:rFonts w:hint="eastAsia" w:ascii="宋体" w:hAnsi="宋体" w:cs="宋体"/>
        </w:rPr>
        <w:t>4.3.3.6提出质疑的日期。</w:t>
      </w:r>
    </w:p>
    <w:p>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pPr>
        <w:ind w:firstLine="480"/>
        <w:rPr>
          <w:rFonts w:ascii="宋体" w:hAnsi="宋体" w:cs="宋体"/>
        </w:rPr>
      </w:pPr>
      <w:r>
        <w:rPr>
          <w:rFonts w:hint="eastAsia" w:ascii="宋体" w:hAnsi="宋体" w:cs="宋体"/>
        </w:rPr>
        <w:t>质疑函范本及制作说明详见附件2。</w:t>
      </w:r>
    </w:p>
    <w:p>
      <w:pPr>
        <w:ind w:firstLine="480"/>
        <w:rPr>
          <w:rFonts w:ascii="宋体" w:hAnsi="宋体" w:cs="宋体"/>
        </w:rPr>
      </w:pPr>
      <w:r>
        <w:rPr>
          <w:rFonts w:hint="eastAsia" w:ascii="宋体" w:hAnsi="宋体" w:cs="宋体"/>
        </w:rPr>
        <w:t>4.3.4对同一采购程序环节的质疑，供应商须在法定质疑期内一次性提出。</w:t>
      </w:r>
    </w:p>
    <w:p>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ind w:firstLine="480"/>
        <w:rPr>
          <w:rFonts w:ascii="宋体" w:hAnsi="宋体" w:cs="宋体"/>
          <w:lang w:val="zh-CN"/>
        </w:rPr>
      </w:pPr>
      <w:r>
        <w:rPr>
          <w:rFonts w:hint="eastAsia" w:ascii="宋体" w:hAnsi="宋体" w:cs="宋体"/>
        </w:rPr>
        <w:t>代理人提出质疑和投诉，应当提交供应商签署的授权委托书。</w:t>
      </w:r>
    </w:p>
    <w:p>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4"/>
        <w:ind w:firstLine="480"/>
        <w:rPr>
          <w:rFonts w:hAnsi="宋体"/>
        </w:rPr>
      </w:pPr>
      <w:r>
        <w:rPr>
          <w:rFonts w:hint="eastAsia" w:hAnsi="宋体"/>
        </w:rPr>
        <w:t>4.3.6询问或者质疑事项可能影响采购结果的，采购人应当暂停签订合同，已经签订合同的，应当中止履行合同。</w:t>
      </w:r>
    </w:p>
    <w:p>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pPr>
        <w:pStyle w:val="5"/>
      </w:pPr>
      <w:r>
        <w:rPr>
          <w:rFonts w:hint="eastAsia"/>
        </w:rPr>
        <w:t>4.</w:t>
      </w:r>
      <w:r>
        <w:rPr>
          <w:rFonts w:hint="eastAsia"/>
          <w:lang w:val="en-US"/>
        </w:rPr>
        <w:t>4</w:t>
      </w:r>
      <w:r>
        <w:rPr>
          <w:rFonts w:hint="eastAsia"/>
        </w:rPr>
        <w:t>供应商投诉</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pPr>
        <w:pStyle w:val="34"/>
        <w:ind w:firstLine="480"/>
        <w:rPr>
          <w:rFonts w:hAnsi="宋体"/>
          <w:lang w:val="zh-CN"/>
        </w:rPr>
      </w:pPr>
      <w:r>
        <w:rPr>
          <w:rFonts w:hint="eastAsia" w:hAnsi="宋体"/>
        </w:rPr>
        <w:t xml:space="preserve">4.4.4投诉人提起投诉应当符合下列条件： </w:t>
      </w:r>
    </w:p>
    <w:p>
      <w:pPr>
        <w:pStyle w:val="34"/>
        <w:ind w:firstLine="480"/>
        <w:rPr>
          <w:rFonts w:hAnsi="宋体"/>
          <w:lang w:val="zh-CN"/>
        </w:rPr>
      </w:pPr>
      <w:r>
        <w:rPr>
          <w:rFonts w:hint="eastAsia" w:hAnsi="宋体"/>
        </w:rPr>
        <w:t xml:space="preserve">（一）提起投诉前已依法进行质疑； </w:t>
      </w:r>
    </w:p>
    <w:p>
      <w:pPr>
        <w:pStyle w:val="34"/>
        <w:ind w:firstLine="480"/>
        <w:rPr>
          <w:rFonts w:hAnsi="宋体"/>
          <w:lang w:val="zh-CN"/>
        </w:rPr>
      </w:pPr>
      <w:r>
        <w:rPr>
          <w:rFonts w:hint="eastAsia" w:hAnsi="宋体"/>
        </w:rPr>
        <w:t xml:space="preserve">（二）投诉书内容符合本办法的规定； </w:t>
      </w:r>
    </w:p>
    <w:p>
      <w:pPr>
        <w:pStyle w:val="34"/>
        <w:ind w:firstLine="480"/>
        <w:rPr>
          <w:rFonts w:hAnsi="宋体"/>
          <w:lang w:val="zh-CN"/>
        </w:rPr>
      </w:pPr>
      <w:r>
        <w:rPr>
          <w:rFonts w:hint="eastAsia" w:hAnsi="宋体"/>
        </w:rPr>
        <w:t xml:space="preserve">（三）在投诉有效期限内提起投诉； </w:t>
      </w:r>
    </w:p>
    <w:p>
      <w:pPr>
        <w:pStyle w:val="34"/>
        <w:ind w:firstLine="480"/>
        <w:rPr>
          <w:rFonts w:hAnsi="宋体"/>
          <w:lang w:val="zh-CN"/>
        </w:rPr>
      </w:pPr>
      <w:r>
        <w:rPr>
          <w:rFonts w:hint="eastAsia" w:hAnsi="宋体"/>
        </w:rPr>
        <w:t xml:space="preserve">（四）同一投诉事项未经财政部门投诉处理； </w:t>
      </w:r>
    </w:p>
    <w:p>
      <w:pPr>
        <w:pStyle w:val="34"/>
        <w:ind w:firstLine="480"/>
        <w:rPr>
          <w:rFonts w:hAnsi="宋体"/>
          <w:lang w:val="zh-CN"/>
        </w:rPr>
      </w:pPr>
      <w:r>
        <w:rPr>
          <w:rFonts w:hint="eastAsia" w:hAnsi="宋体"/>
        </w:rPr>
        <w:t>（五）财政部规定的其他条件。</w:t>
      </w:r>
    </w:p>
    <w:p>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pPr>
        <w:pStyle w:val="34"/>
        <w:ind w:firstLine="480"/>
        <w:rPr>
          <w:rFonts w:hAnsi="宋体"/>
          <w:lang w:val="zh-CN"/>
        </w:rPr>
      </w:pPr>
      <w:r>
        <w:rPr>
          <w:rFonts w:hint="eastAsia" w:hAnsi="宋体"/>
          <w:lang w:val="zh-CN"/>
        </w:rPr>
        <w:t>（一）捏造事实；</w:t>
      </w:r>
    </w:p>
    <w:p>
      <w:pPr>
        <w:pStyle w:val="34"/>
        <w:ind w:firstLine="480"/>
        <w:rPr>
          <w:rFonts w:hAnsi="宋体"/>
          <w:lang w:val="zh-CN"/>
        </w:rPr>
      </w:pPr>
      <w:r>
        <w:rPr>
          <w:rFonts w:hint="eastAsia" w:hAnsi="宋体"/>
          <w:lang w:val="zh-CN"/>
        </w:rPr>
        <w:t>（二）提供虚假材料；</w:t>
      </w:r>
    </w:p>
    <w:p>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pPr>
        <w:pStyle w:val="34"/>
        <w:ind w:firstLine="480"/>
        <w:rPr>
          <w:rFonts w:hAnsi="宋体"/>
          <w:lang w:val="zh-CN"/>
        </w:rPr>
      </w:pPr>
    </w:p>
    <w:p>
      <w:pPr>
        <w:pStyle w:val="890"/>
        <w:shd w:val="clear" w:color="auto" w:fill="FFFFFF"/>
        <w:spacing w:after="240" w:afterAutospacing="0"/>
        <w:ind w:firstLine="480"/>
        <w:contextualSpacing/>
      </w:pPr>
    </w:p>
    <w:p>
      <w:pPr>
        <w:pStyle w:val="134"/>
        <w:spacing w:before="0"/>
        <w:ind w:firstLine="360"/>
        <w:rPr>
          <w:rFonts w:ascii="宋体" w:hAnsi="宋体" w:cs="宋体"/>
          <w:sz w:val="18"/>
          <w:szCs w:val="18"/>
        </w:rPr>
      </w:pPr>
    </w:p>
    <w:p>
      <w:pPr>
        <w:pStyle w:val="3"/>
        <w:sectPr>
          <w:pgSz w:w="11905" w:h="16838"/>
          <w:pgMar w:top="1440" w:right="1797" w:bottom="1440" w:left="1797" w:header="851" w:footer="992" w:gutter="0"/>
          <w:cols w:space="0" w:num="1"/>
          <w:titlePg/>
          <w:docGrid w:linePitch="312" w:charSpace="0"/>
        </w:sectPr>
      </w:pPr>
    </w:p>
    <w:p>
      <w:pPr>
        <w:pStyle w:val="4"/>
      </w:pPr>
      <w:bookmarkStart w:id="28" w:name="_Toc2155"/>
      <w:bookmarkStart w:id="29" w:name="_Toc6417"/>
      <w:r>
        <w:rPr>
          <w:rFonts w:hint="eastAsia"/>
        </w:rPr>
        <w:t>二、招标文件的构成、澄清、修改</w:t>
      </w:r>
      <w:bookmarkEnd w:id="28"/>
      <w:bookmarkEnd w:id="29"/>
    </w:p>
    <w:p>
      <w:pPr>
        <w:pStyle w:val="2"/>
      </w:pPr>
      <w:r>
        <w:rPr>
          <w:rFonts w:hint="eastAsia"/>
        </w:rPr>
        <w:t>5．招标文件的构成</w:t>
      </w:r>
    </w:p>
    <w:p>
      <w:pPr>
        <w:pStyle w:val="34"/>
        <w:ind w:firstLine="480"/>
        <w:rPr>
          <w:rFonts w:hAnsi="宋体" w:cs="宋体"/>
          <w:szCs w:val="24"/>
        </w:rPr>
      </w:pPr>
      <w:r>
        <w:rPr>
          <w:rFonts w:hint="eastAsia" w:hAnsi="宋体" w:cs="宋体"/>
          <w:szCs w:val="24"/>
        </w:rPr>
        <w:t>5.1 招标文件包括下列文件及附件：</w:t>
      </w:r>
    </w:p>
    <w:p>
      <w:pPr>
        <w:pStyle w:val="34"/>
        <w:tabs>
          <w:tab w:val="left" w:pos="840"/>
        </w:tabs>
        <w:ind w:firstLine="960" w:firstLineChars="400"/>
        <w:rPr>
          <w:rFonts w:hAnsi="宋体" w:cs="宋体"/>
          <w:szCs w:val="24"/>
        </w:rPr>
      </w:pPr>
      <w:r>
        <w:rPr>
          <w:rFonts w:hint="eastAsia" w:hAnsi="宋体" w:cs="宋体"/>
          <w:szCs w:val="24"/>
        </w:rPr>
        <w:t>5.1.1招标公告；</w:t>
      </w:r>
    </w:p>
    <w:p>
      <w:pPr>
        <w:pStyle w:val="34"/>
        <w:tabs>
          <w:tab w:val="left" w:pos="840"/>
        </w:tabs>
        <w:ind w:firstLine="960" w:firstLineChars="400"/>
        <w:rPr>
          <w:rFonts w:hAnsi="宋体" w:cs="宋体"/>
          <w:szCs w:val="24"/>
        </w:rPr>
      </w:pPr>
      <w:r>
        <w:rPr>
          <w:rFonts w:hint="eastAsia" w:hAnsi="宋体" w:cs="宋体"/>
          <w:szCs w:val="24"/>
        </w:rPr>
        <w:t>5.1.2投标人须知；</w:t>
      </w:r>
    </w:p>
    <w:p>
      <w:pPr>
        <w:pStyle w:val="34"/>
        <w:tabs>
          <w:tab w:val="left" w:pos="840"/>
        </w:tabs>
        <w:ind w:firstLine="960" w:firstLineChars="400"/>
        <w:rPr>
          <w:rFonts w:hAnsi="宋体" w:cs="宋体"/>
          <w:szCs w:val="24"/>
        </w:rPr>
      </w:pPr>
      <w:r>
        <w:rPr>
          <w:rFonts w:hint="eastAsia" w:hAnsi="宋体" w:cs="宋体"/>
          <w:szCs w:val="24"/>
        </w:rPr>
        <w:t>5.1.3采购需求；</w:t>
      </w:r>
    </w:p>
    <w:p>
      <w:pPr>
        <w:pStyle w:val="34"/>
        <w:tabs>
          <w:tab w:val="left" w:pos="840"/>
        </w:tabs>
        <w:ind w:firstLine="960" w:firstLineChars="400"/>
        <w:rPr>
          <w:rFonts w:hAnsi="宋体" w:cs="宋体"/>
          <w:szCs w:val="24"/>
        </w:rPr>
      </w:pPr>
      <w:r>
        <w:rPr>
          <w:rFonts w:hint="eastAsia" w:hAnsi="宋体" w:cs="宋体"/>
          <w:szCs w:val="24"/>
        </w:rPr>
        <w:t>5.1.4评标办法；</w:t>
      </w:r>
    </w:p>
    <w:p>
      <w:pPr>
        <w:pStyle w:val="34"/>
        <w:tabs>
          <w:tab w:val="left" w:pos="840"/>
        </w:tabs>
        <w:ind w:firstLine="960" w:firstLineChars="400"/>
        <w:rPr>
          <w:rFonts w:hAnsi="宋体" w:cs="宋体"/>
          <w:szCs w:val="24"/>
        </w:rPr>
      </w:pPr>
      <w:r>
        <w:rPr>
          <w:rFonts w:hint="eastAsia" w:hAnsi="宋体" w:cs="宋体"/>
          <w:szCs w:val="24"/>
        </w:rPr>
        <w:t>5.1.5拟签订的合同文本；</w:t>
      </w:r>
    </w:p>
    <w:p>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pPr>
        <w:pStyle w:val="2"/>
      </w:pPr>
      <w:r>
        <w:rPr>
          <w:rFonts w:hint="eastAsia"/>
        </w:rPr>
        <w:t>6. 招标文件的澄清、修改</w:t>
      </w:r>
    </w:p>
    <w:p>
      <w:pPr>
        <w:pStyle w:val="134"/>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4"/>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sectPr>
          <w:pgSz w:w="11905" w:h="16838"/>
          <w:pgMar w:top="1440" w:right="1797" w:bottom="1440" w:left="1797" w:header="851" w:footer="992" w:gutter="0"/>
          <w:cols w:space="0" w:num="1"/>
          <w:titlePg/>
          <w:docGrid w:linePitch="312" w:charSpace="0"/>
        </w:sectPr>
      </w:pPr>
    </w:p>
    <w:p>
      <w:pPr>
        <w:pStyle w:val="4"/>
      </w:pPr>
      <w:bookmarkStart w:id="30" w:name="_Toc21343"/>
      <w:bookmarkStart w:id="31" w:name="_Toc23795"/>
      <w:r>
        <w:rPr>
          <w:rFonts w:hint="eastAsia"/>
        </w:rPr>
        <w:t>三、投标</w:t>
      </w:r>
      <w:bookmarkEnd w:id="30"/>
      <w:bookmarkEnd w:id="31"/>
    </w:p>
    <w:p>
      <w:pPr>
        <w:pStyle w:val="2"/>
      </w:pPr>
      <w:r>
        <w:rPr>
          <w:rFonts w:hint="eastAsia"/>
        </w:rPr>
        <w:t>7. 招标文件的获取</w:t>
      </w:r>
    </w:p>
    <w:p>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pPr>
        <w:pStyle w:val="2"/>
      </w:pPr>
      <w:r>
        <w:rPr>
          <w:rFonts w:hint="eastAsia"/>
        </w:rPr>
        <w:t>8.开标前答疑会或现场考察</w:t>
      </w:r>
    </w:p>
    <w:p>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pPr>
        <w:pStyle w:val="2"/>
      </w:pPr>
      <w:r>
        <w:rPr>
          <w:rFonts w:hint="eastAsia"/>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2"/>
      </w:pPr>
      <w:r>
        <w:rPr>
          <w:rFonts w:hint="eastAsia"/>
        </w:rPr>
        <w:t>10.投标文件的语言</w:t>
      </w:r>
    </w:p>
    <w:p>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pPr>
        <w:pStyle w:val="2"/>
      </w:pPr>
      <w:r>
        <w:rPr>
          <w:rFonts w:hint="eastAsia"/>
        </w:rPr>
        <w:t>11.投标文件的组成</w:t>
      </w:r>
    </w:p>
    <w:p>
      <w:pPr>
        <w:pStyle w:val="5"/>
      </w:pPr>
      <w:r>
        <w:rPr>
          <w:rFonts w:hint="eastAsia"/>
        </w:rPr>
        <w:t>11.1资格文件</w:t>
      </w:r>
    </w:p>
    <w:p>
      <w:pPr>
        <w:ind w:firstLine="480"/>
        <w:rPr>
          <w:rFonts w:ascii="宋体" w:hAnsi="宋体" w:cs="宋体"/>
        </w:rPr>
      </w:pPr>
      <w:r>
        <w:rPr>
          <w:rFonts w:hint="eastAsia" w:ascii="宋体" w:hAnsi="宋体" w:cs="宋体"/>
        </w:rPr>
        <w:t>11.1.1符合参加政府采购活动应当具备的一般条件的承诺函；</w:t>
      </w:r>
    </w:p>
    <w:p>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pPr>
        <w:ind w:firstLine="480"/>
        <w:rPr>
          <w:rFonts w:ascii="宋体" w:hAnsi="宋体" w:cs="宋体"/>
        </w:rPr>
      </w:pPr>
      <w:r>
        <w:rPr>
          <w:rFonts w:hint="eastAsia" w:ascii="宋体" w:hAnsi="宋体" w:cs="宋体"/>
        </w:rPr>
        <w:t>11.1.3落实政府采购政策需满足的资格要求（如有要求)；</w:t>
      </w:r>
    </w:p>
    <w:p>
      <w:pPr>
        <w:ind w:firstLine="480"/>
        <w:rPr>
          <w:rFonts w:ascii="宋体" w:hAnsi="宋体" w:cs="宋体"/>
        </w:rPr>
      </w:pPr>
      <w:r>
        <w:rPr>
          <w:rFonts w:hint="eastAsia" w:ascii="宋体" w:hAnsi="宋体" w:cs="宋体"/>
        </w:rPr>
        <w:t>11.1.4本项目的特定资格要求（如有要求)。</w:t>
      </w:r>
    </w:p>
    <w:p>
      <w:pPr>
        <w:pStyle w:val="5"/>
      </w:pPr>
      <w:r>
        <w:rPr>
          <w:rFonts w:hint="eastAsia"/>
        </w:rPr>
        <w:t>11.2 商务技术文件</w:t>
      </w:r>
    </w:p>
    <w:p>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pPr>
        <w:ind w:firstLine="480"/>
        <w:rPr>
          <w:rFonts w:ascii="宋体" w:hAnsi="宋体" w:cs="宋体"/>
        </w:rPr>
      </w:pPr>
      <w:r>
        <w:rPr>
          <w:rFonts w:hint="eastAsia" w:ascii="宋体" w:hAnsi="宋体" w:cs="宋体"/>
        </w:rPr>
        <w:t>11.2.5评标标准相应的商务技术资料；</w:t>
      </w:r>
    </w:p>
    <w:p>
      <w:pPr>
        <w:ind w:firstLine="480"/>
        <w:rPr>
          <w:rFonts w:ascii="宋体" w:hAnsi="宋体" w:cs="宋体"/>
        </w:rPr>
      </w:pPr>
      <w:r>
        <w:rPr>
          <w:rFonts w:hint="eastAsia" w:ascii="宋体" w:hAnsi="宋体" w:cs="宋体"/>
        </w:rPr>
        <w:t>11.2.6商务偏离表；</w:t>
      </w:r>
    </w:p>
    <w:p>
      <w:pPr>
        <w:ind w:firstLine="480"/>
        <w:rPr>
          <w:rFonts w:ascii="宋体" w:hAnsi="宋体" w:cs="宋体"/>
        </w:rPr>
      </w:pPr>
      <w:r>
        <w:rPr>
          <w:rFonts w:hint="eastAsia" w:ascii="宋体" w:hAnsi="宋体" w:cs="宋体"/>
        </w:rPr>
        <w:t>11.2.7技术偏离表；</w:t>
      </w:r>
    </w:p>
    <w:p>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pPr>
        <w:ind w:firstLine="480"/>
        <w:rPr>
          <w:rFonts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pPr>
        <w:pStyle w:val="5"/>
        <w:rPr>
          <w:u w:val="single"/>
        </w:rPr>
      </w:pPr>
      <w:r>
        <w:rPr>
          <w:rFonts w:hint="eastAsia"/>
          <w:kern w:val="0"/>
        </w:rPr>
        <w:t>11.3</w:t>
      </w:r>
      <w:r>
        <w:rPr>
          <w:rFonts w:hint="eastAsia"/>
        </w:rPr>
        <w:t xml:space="preserve">报价文件 </w:t>
      </w:r>
    </w:p>
    <w:p>
      <w:pPr>
        <w:ind w:firstLine="480"/>
        <w:rPr>
          <w:rFonts w:ascii="宋体" w:hAnsi="宋体" w:cs="宋体"/>
        </w:rPr>
      </w:pPr>
      <w:r>
        <w:rPr>
          <w:rFonts w:hint="eastAsia" w:ascii="宋体" w:hAnsi="宋体" w:cs="宋体"/>
        </w:rPr>
        <w:t>11.3.1开标一览表（报价表）；</w:t>
      </w:r>
    </w:p>
    <w:p>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pPr>
        <w:ind w:firstLine="480"/>
        <w:rPr>
          <w:rFonts w:ascii="宋体" w:hAnsi="宋体" w:cs="宋体"/>
        </w:rPr>
      </w:pPr>
      <w:r>
        <w:rPr>
          <w:rFonts w:hint="eastAsia" w:ascii="宋体" w:hAnsi="宋体" w:cs="宋体"/>
        </w:rPr>
        <w:t>11.3.3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rPr>
        <w:t>如适用</w:t>
      </w:r>
      <w:r>
        <w:rPr>
          <w:rFonts w:hint="eastAsia" w:ascii="宋体" w:hAnsi="宋体" w:cs="宋体"/>
        </w:rPr>
        <w:t>）</w:t>
      </w:r>
    </w:p>
    <w:p>
      <w:pPr>
        <w:rPr>
          <w:rFonts w:ascii="宋体" w:hAnsi="宋体" w:cs="宋体"/>
          <w:b/>
        </w:rPr>
      </w:pPr>
      <w:r>
        <w:rPr>
          <w:rFonts w:hint="eastAsia" w:ascii="宋体" w:hAnsi="宋体" w:cs="宋体"/>
          <w:b/>
        </w:rPr>
        <w:t>投标文件含有采购人不能接受的附加条件的，投标无效；</w:t>
      </w:r>
    </w:p>
    <w:p>
      <w:pPr>
        <w:rPr>
          <w:rFonts w:ascii="宋体" w:hAnsi="宋体" w:cs="宋体"/>
          <w:b/>
          <w:szCs w:val="21"/>
        </w:rPr>
      </w:pPr>
      <w:r>
        <w:rPr>
          <w:rFonts w:hint="eastAsia" w:ascii="宋体" w:hAnsi="宋体" w:cs="宋体"/>
          <w:b/>
        </w:rPr>
        <w:t>投标人提供虚假材料投标的，投标无效。</w:t>
      </w:r>
    </w:p>
    <w:p>
      <w:pPr>
        <w:pStyle w:val="2"/>
      </w:pPr>
      <w:r>
        <w:rPr>
          <w:rFonts w:hint="eastAsia"/>
        </w:rPr>
        <w:t>12</w:t>
      </w:r>
      <w:r>
        <w:rPr>
          <w:rFonts w:hint="eastAsia"/>
          <w:lang w:val="zh-CN"/>
        </w:rPr>
        <w:t xml:space="preserve">. </w:t>
      </w:r>
      <w:r>
        <w:rPr>
          <w:rFonts w:hint="eastAsia"/>
        </w:rPr>
        <w:t>投标文件的编制</w:t>
      </w:r>
    </w:p>
    <w:p>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pPr>
        <w:pStyle w:val="2"/>
      </w:pPr>
      <w:r>
        <w:rPr>
          <w:rFonts w:hint="eastAsia"/>
        </w:rPr>
        <w:t>13.投标文件的签署、盖章</w:t>
      </w:r>
    </w:p>
    <w:p>
      <w:pPr>
        <w:pStyle w:val="134"/>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4"/>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4"/>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2"/>
      </w:pPr>
      <w:r>
        <w:rPr>
          <w:rFonts w:hint="eastAsia"/>
        </w:rPr>
        <w:t>14. 投标文件的提交、补充、修改、撤回</w:t>
      </w:r>
    </w:p>
    <w:p>
      <w:pPr>
        <w:pStyle w:val="134"/>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pPr>
        <w:pStyle w:val="2"/>
      </w:pPr>
      <w:r>
        <w:rPr>
          <w:rFonts w:hint="eastAsia"/>
        </w:rPr>
        <w:t>15.备份投标文件</w:t>
      </w:r>
    </w:p>
    <w:p>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pPr>
        <w:pStyle w:val="2"/>
      </w:pPr>
      <w:r>
        <w:rPr>
          <w:rFonts w:hint="eastAsia"/>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2"/>
      </w:pPr>
      <w:r>
        <w:rPr>
          <w:rFonts w:hint="eastAsia"/>
        </w:rPr>
        <w:t>17.投标有效期</w:t>
      </w:r>
    </w:p>
    <w:p>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4"/>
        <w:spacing w:before="0"/>
        <w:ind w:firstLine="643"/>
        <w:rPr>
          <w:rFonts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4"/>
      </w:pPr>
      <w:bookmarkStart w:id="32" w:name="_Toc2842"/>
      <w:bookmarkStart w:id="33" w:name="_Toc21464"/>
      <w:r>
        <w:rPr>
          <w:rFonts w:hint="eastAsia"/>
        </w:rPr>
        <w:t>四、开标、资格审查与信用信息查询</w:t>
      </w:r>
      <w:bookmarkEnd w:id="32"/>
      <w:bookmarkEnd w:id="33"/>
    </w:p>
    <w:p>
      <w:pPr>
        <w:pStyle w:val="2"/>
      </w:pPr>
      <w:r>
        <w:rPr>
          <w:rFonts w:hint="eastAsia"/>
        </w:rPr>
        <w:t xml:space="preserve">18.开标 </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2"/>
      </w:pPr>
      <w:r>
        <w:rPr>
          <w:rFonts w:hint="eastAsia"/>
        </w:rPr>
        <w:t>19.资格审查</w:t>
      </w:r>
    </w:p>
    <w:p>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2"/>
      </w:pPr>
      <w:r>
        <w:rPr>
          <w:rFonts w:hint="eastAsia"/>
        </w:rPr>
        <w:t>20.信用信息查询</w:t>
      </w:r>
    </w:p>
    <w:p>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pPr>
        <w:pStyle w:val="725"/>
        <w:spacing w:line="360" w:lineRule="auto"/>
        <w:ind w:firstLine="480"/>
        <w:rPr>
          <w:rFonts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pStyle w:val="134"/>
        <w:spacing w:before="0"/>
        <w:ind w:firstLine="480"/>
        <w:rPr>
          <w:rFonts w:ascii="宋体" w:hAnsi="宋体" w:cs="宋体"/>
        </w:rPr>
      </w:pPr>
    </w:p>
    <w:p>
      <w:pPr>
        <w:pStyle w:val="134"/>
        <w:spacing w:before="0"/>
        <w:ind w:firstLine="0" w:firstLineChars="0"/>
        <w:rPr>
          <w:rFonts w:ascii="宋体" w:hAnsi="宋体" w:cs="宋体"/>
          <w:kern w:val="0"/>
          <w:szCs w:val="24"/>
        </w:rPr>
      </w:pPr>
    </w:p>
    <w:p>
      <w:pPr>
        <w:pStyle w:val="3"/>
        <w:sectPr>
          <w:pgSz w:w="11905" w:h="16838"/>
          <w:pgMar w:top="1440" w:right="1797" w:bottom="1440" w:left="1797" w:header="851" w:footer="992" w:gutter="0"/>
          <w:cols w:space="0" w:num="1"/>
          <w:titlePg/>
          <w:docGrid w:linePitch="312" w:charSpace="0"/>
        </w:sectPr>
      </w:pPr>
    </w:p>
    <w:p>
      <w:pPr>
        <w:pStyle w:val="4"/>
      </w:pPr>
      <w:bookmarkStart w:id="34" w:name="_Toc313"/>
      <w:bookmarkStart w:id="35" w:name="_Toc5142"/>
      <w:r>
        <w:rPr>
          <w:rFonts w:hint="eastAsia"/>
        </w:rPr>
        <w:t>五、评标</w:t>
      </w:r>
      <w:bookmarkEnd w:id="34"/>
      <w:bookmarkEnd w:id="35"/>
    </w:p>
    <w:p>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pPr>
        <w:rPr>
          <w:rFonts w:ascii="宋体" w:hAnsi="宋体" w:cs="宋体"/>
          <w:b/>
        </w:rPr>
      </w:pPr>
    </w:p>
    <w:p>
      <w:pPr>
        <w:pStyle w:val="3"/>
        <w:sectPr>
          <w:pgSz w:w="11905" w:h="16838"/>
          <w:pgMar w:top="1440" w:right="1797" w:bottom="1440" w:left="1797" w:header="851" w:footer="992" w:gutter="0"/>
          <w:cols w:space="0" w:num="1"/>
          <w:titlePg/>
          <w:docGrid w:linePitch="312" w:charSpace="0"/>
        </w:sectPr>
      </w:pPr>
    </w:p>
    <w:p>
      <w:pPr>
        <w:pStyle w:val="4"/>
      </w:pPr>
      <w:bookmarkStart w:id="37" w:name="_Toc15047"/>
      <w:bookmarkStart w:id="38" w:name="_Toc30166"/>
      <w:r>
        <w:rPr>
          <w:rFonts w:hint="eastAsia"/>
        </w:rPr>
        <w:t>六、定 标</w:t>
      </w:r>
      <w:bookmarkEnd w:id="37"/>
      <w:bookmarkEnd w:id="38"/>
    </w:p>
    <w:p>
      <w:pPr>
        <w:pStyle w:val="2"/>
      </w:pPr>
      <w:r>
        <w:rPr>
          <w:rFonts w:hint="eastAsia"/>
        </w:rPr>
        <w:t>22. 确定中标供应商</w:t>
      </w:r>
    </w:p>
    <w:p>
      <w:pPr>
        <w:pStyle w:val="134"/>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pPr>
        <w:pStyle w:val="2"/>
      </w:pPr>
      <w:r>
        <w:rPr>
          <w:rFonts w:hint="eastAsia"/>
        </w:rPr>
        <w:t>23. 中标通知与中标结果公告</w:t>
      </w:r>
    </w:p>
    <w:p>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pPr>
        <w:widowControl/>
        <w:shd w:val="clear" w:color="auto" w:fill="FFFFFF"/>
        <w:ind w:firstLine="480"/>
        <w:jc w:val="left"/>
        <w:rPr>
          <w:rFonts w:ascii="宋体" w:hAnsi="宋体" w:cs="宋体"/>
        </w:rPr>
      </w:pPr>
      <w:r>
        <w:rPr>
          <w:rFonts w:hint="eastAsia" w:ascii="宋体" w:hAnsi="宋体" w:cs="宋体"/>
        </w:rPr>
        <w:t>23.2公告期限为1个工作日。</w:t>
      </w:r>
    </w:p>
    <w:p>
      <w:pPr>
        <w:ind w:left="137" w:leftChars="57" w:firstLineChars="150"/>
        <w:jc w:val="center"/>
        <w:rPr>
          <w:rFonts w:ascii="宋体" w:hAnsi="宋体" w:cs="宋体"/>
          <w:b/>
          <w:sz w:val="32"/>
        </w:rPr>
      </w:pPr>
    </w:p>
    <w:p>
      <w:pPr>
        <w:pStyle w:val="3"/>
        <w:sectPr>
          <w:pgSz w:w="11905" w:h="16838"/>
          <w:pgMar w:top="1440" w:right="1797" w:bottom="1440" w:left="1797" w:header="851" w:footer="992" w:gutter="0"/>
          <w:cols w:space="0" w:num="1"/>
          <w:titlePg/>
          <w:docGrid w:linePitch="312" w:charSpace="0"/>
        </w:sectPr>
      </w:pPr>
    </w:p>
    <w:p>
      <w:pPr>
        <w:pStyle w:val="4"/>
      </w:pPr>
      <w:bookmarkStart w:id="39" w:name="_Toc19257"/>
      <w:bookmarkStart w:id="40" w:name="_Toc18672"/>
      <w:r>
        <w:rPr>
          <w:rFonts w:hint="eastAsia"/>
        </w:rPr>
        <w:t>七、合同授予</w:t>
      </w:r>
      <w:bookmarkEnd w:id="39"/>
      <w:bookmarkEnd w:id="40"/>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pPr>
      <w:r>
        <w:rPr>
          <w:rFonts w:hint="eastAsia"/>
        </w:rPr>
        <w:t>25. 合同的签订</w:t>
      </w:r>
    </w:p>
    <w:p>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pPr>
        <w:pStyle w:val="134"/>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4"/>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pPr>
        <w:pStyle w:val="2"/>
      </w:pPr>
      <w:r>
        <w:rPr>
          <w:rFonts w:hint="eastAsia"/>
        </w:rPr>
        <w:t>26. 履约保证金</w:t>
      </w:r>
    </w:p>
    <w:p>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bookmarkStart w:id="41" w:name="_Toc1857"/>
      <w:bookmarkStart w:id="42" w:name="_Toc28676"/>
      <w:r>
        <w:rPr>
          <w:rFonts w:hint="eastAsia"/>
        </w:rPr>
        <w:t>八、电子交易活动的中止</w:t>
      </w:r>
      <w:bookmarkEnd w:id="41"/>
      <w:bookmarkEnd w:id="42"/>
    </w:p>
    <w:p>
      <w:pPr>
        <w:pStyle w:val="134"/>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4"/>
        <w:spacing w:before="0"/>
        <w:ind w:firstLine="480"/>
        <w:rPr>
          <w:rFonts w:ascii="宋体" w:hAnsi="宋体" w:cs="宋体"/>
        </w:rPr>
      </w:pPr>
      <w:r>
        <w:rPr>
          <w:rFonts w:hint="eastAsia" w:ascii="宋体" w:hAnsi="宋体" w:cs="宋体"/>
        </w:rPr>
        <w:t xml:space="preserve">27.1电子交易平台发生故障而无法登录访问的； </w:t>
      </w:r>
    </w:p>
    <w:p>
      <w:pPr>
        <w:pStyle w:val="134"/>
        <w:spacing w:before="0"/>
        <w:ind w:firstLine="480"/>
        <w:rPr>
          <w:rFonts w:ascii="宋体" w:hAnsi="宋体" w:cs="宋体"/>
        </w:rPr>
      </w:pPr>
      <w:r>
        <w:rPr>
          <w:rFonts w:hint="eastAsia" w:ascii="宋体" w:hAnsi="宋体" w:cs="宋体"/>
        </w:rPr>
        <w:t>27.2电子交易平台应用或数据库出现错误，不能进行正常操作的；</w:t>
      </w:r>
    </w:p>
    <w:p>
      <w:pPr>
        <w:pStyle w:val="134"/>
        <w:spacing w:before="0"/>
        <w:ind w:firstLine="480"/>
        <w:rPr>
          <w:rFonts w:ascii="宋体" w:hAnsi="宋体" w:cs="宋体"/>
        </w:rPr>
      </w:pPr>
      <w:r>
        <w:rPr>
          <w:rFonts w:hint="eastAsia" w:ascii="宋体" w:hAnsi="宋体" w:cs="宋体"/>
        </w:rPr>
        <w:t>27.3电子交易平台发现严重安全漏洞，有潜在泄密危险的；</w:t>
      </w:r>
    </w:p>
    <w:p>
      <w:pPr>
        <w:pStyle w:val="134"/>
        <w:spacing w:before="0"/>
        <w:ind w:firstLine="480"/>
        <w:rPr>
          <w:rFonts w:ascii="宋体" w:hAnsi="宋体" w:cs="宋体"/>
        </w:rPr>
      </w:pPr>
      <w:r>
        <w:rPr>
          <w:rFonts w:hint="eastAsia" w:ascii="宋体" w:hAnsi="宋体" w:cs="宋体"/>
        </w:rPr>
        <w:t xml:space="preserve">27.4病毒发作导致不能进行正常操作的； </w:t>
      </w:r>
    </w:p>
    <w:p>
      <w:pPr>
        <w:pStyle w:val="134"/>
        <w:spacing w:before="0"/>
        <w:ind w:firstLine="480"/>
        <w:rPr>
          <w:rFonts w:ascii="宋体" w:hAnsi="宋体" w:cs="宋体"/>
        </w:rPr>
      </w:pPr>
      <w:r>
        <w:rPr>
          <w:rFonts w:hint="eastAsia" w:ascii="宋体" w:hAnsi="宋体" w:cs="宋体"/>
        </w:rPr>
        <w:t>27.5其他无法保证电子交易的公平、公正和安全的情况。</w:t>
      </w:r>
    </w:p>
    <w:p>
      <w:pPr>
        <w:pStyle w:val="134"/>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ind w:firstLine="480"/>
        <w:rPr>
          <w:rFonts w:ascii="宋体" w:hAnsi="宋体" w:cs="宋体"/>
        </w:rPr>
      </w:pPr>
    </w:p>
    <w:p>
      <w:pPr>
        <w:pStyle w:val="3"/>
        <w:sectPr>
          <w:pgSz w:w="11905" w:h="16838"/>
          <w:pgMar w:top="1440" w:right="1797" w:bottom="1440" w:left="1797" w:header="851" w:footer="992" w:gutter="0"/>
          <w:cols w:space="0" w:num="1"/>
          <w:titlePg/>
          <w:docGrid w:linePitch="312" w:charSpace="0"/>
        </w:sectPr>
      </w:pPr>
    </w:p>
    <w:p>
      <w:pPr>
        <w:pStyle w:val="4"/>
      </w:pPr>
      <w:bookmarkStart w:id="43" w:name="_Toc5169"/>
      <w:bookmarkStart w:id="44" w:name="_Toc1567"/>
      <w:r>
        <w:rPr>
          <w:rFonts w:hint="eastAsia"/>
        </w:rPr>
        <w:t>九、验收</w:t>
      </w:r>
      <w:bookmarkEnd w:id="43"/>
      <w:bookmarkEnd w:id="44"/>
    </w:p>
    <w:p>
      <w:pPr>
        <w:pStyle w:val="2"/>
      </w:pPr>
      <w:r>
        <w:rPr>
          <w:rFonts w:hint="eastAsia"/>
        </w:rPr>
        <w:t>29.验收</w:t>
      </w:r>
    </w:p>
    <w:bookmarkEnd w:id="20"/>
    <w:bookmarkEnd w:id="21"/>
    <w:bookmarkEnd w:id="36"/>
    <w:p>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pPr>
        <w:pStyle w:val="3"/>
        <w:sectPr>
          <w:headerReference r:id="rId11" w:type="default"/>
          <w:footerReference r:id="rId12" w:type="default"/>
          <w:pgSz w:w="11905" w:h="16838"/>
          <w:pgMar w:top="1440" w:right="1797" w:bottom="1440" w:left="1797" w:header="851" w:footer="992" w:gutter="0"/>
          <w:cols w:space="0" w:num="1"/>
          <w:titlePg/>
        </w:sectPr>
      </w:pPr>
    </w:p>
    <w:p>
      <w:pPr>
        <w:pStyle w:val="3"/>
      </w:pPr>
      <w:bookmarkStart w:id="46" w:name="_Toc1565"/>
      <w:bookmarkStart w:id="47" w:name="_Toc28975"/>
      <w:bookmarkStart w:id="48" w:name="_Toc31241"/>
      <w:r>
        <w:rPr>
          <w:rFonts w:hint="eastAsia"/>
        </w:rPr>
        <w:t>第三部分 采购需求</w:t>
      </w:r>
      <w:bookmarkEnd w:id="46"/>
      <w:bookmarkEnd w:id="47"/>
      <w:bookmarkEnd w:id="48"/>
    </w:p>
    <w:p>
      <w:pPr>
        <w:pStyle w:val="2"/>
      </w:pPr>
      <w:r>
        <w:rPr>
          <w:rFonts w:hint="eastAsia"/>
        </w:rPr>
        <w:t>一、活动背景</w:t>
      </w:r>
    </w:p>
    <w:p>
      <w:pPr>
        <w:tabs>
          <w:tab w:val="left" w:pos="0"/>
        </w:tabs>
        <w:ind w:firstLine="480"/>
        <w:rPr>
          <w:rFonts w:ascii="宋体" w:hAnsi="宋体" w:cs="Helvetica"/>
          <w:kern w:val="0"/>
        </w:rPr>
      </w:pPr>
      <w:r>
        <w:rPr>
          <w:rFonts w:hint="eastAsia" w:ascii="宋体" w:hAnsi="宋体" w:cs="Helvetica"/>
          <w:kern w:val="0"/>
        </w:rPr>
        <w:t>围绕福彩文化IP形象推广，捕捉当下年轻人青睐的主题并以此切入，同时融合公益与文化元素，打造形式新颖、富有创意的活动，吸引广泛群体尤其是年轻群体的关注参与，从而推广福彩文化IP，全面展现浙江福彩责任感与文化魅力。</w:t>
      </w:r>
    </w:p>
    <w:p>
      <w:pPr>
        <w:pStyle w:val="2"/>
      </w:pPr>
      <w:r>
        <w:rPr>
          <w:rFonts w:hint="eastAsia"/>
        </w:rPr>
        <w:t>二、活动主题</w:t>
      </w:r>
    </w:p>
    <w:p>
      <w:pPr>
        <w:tabs>
          <w:tab w:val="left" w:pos="0"/>
        </w:tabs>
        <w:ind w:firstLine="480"/>
        <w:rPr>
          <w:rFonts w:ascii="宋体" w:hAnsi="宋体" w:cs="Helvetica"/>
          <w:kern w:val="0"/>
        </w:rPr>
      </w:pPr>
      <w:r>
        <w:rPr>
          <w:rFonts w:hint="eastAsia" w:ascii="宋体" w:hAnsi="宋体" w:cs="Helvetica"/>
          <w:kern w:val="0"/>
        </w:rPr>
        <w:t>4场线下活动，分别以宋韵、民国、未来、动漫或其他为主题风格，中标方创意设计完整活动主题方案。</w:t>
      </w:r>
    </w:p>
    <w:p>
      <w:pPr>
        <w:pStyle w:val="2"/>
      </w:pPr>
      <w:r>
        <w:rPr>
          <w:rFonts w:hint="eastAsia"/>
        </w:rPr>
        <w:t>三、活动形式</w:t>
      </w:r>
    </w:p>
    <w:p>
      <w:pPr>
        <w:pStyle w:val="2"/>
        <w:ind w:firstLine="480" w:firstLineChars="200"/>
        <w:rPr>
          <w:rFonts w:ascii="宋体" w:hAnsi="宋体" w:cs="Helvetica"/>
          <w:b w:val="0"/>
          <w:bCs w:val="0"/>
          <w:kern w:val="0"/>
        </w:rPr>
      </w:pPr>
      <w:r>
        <w:rPr>
          <w:rFonts w:hint="eastAsia" w:ascii="宋体" w:hAnsi="宋体" w:cs="Helvetica"/>
          <w:b w:val="0"/>
          <w:bCs w:val="0"/>
          <w:kern w:val="0"/>
        </w:rPr>
        <w:t>线下宣传推广活动，不限于音乐节、主题游园会等形式。</w:t>
      </w:r>
      <w:r>
        <w:rPr>
          <w:b w:val="0"/>
          <w:bCs w:val="0"/>
        </w:rPr>
        <w:t>供应商需办理城管、消防、文旅、公安等相关部门审批，保持现场秩序，工作人员及参与活动人员的现场人</w:t>
      </w:r>
      <w:r>
        <w:rPr>
          <w:rFonts w:hint="eastAsia"/>
          <w:b w:val="0"/>
          <w:bCs w:val="0"/>
        </w:rPr>
        <w:t>身</w:t>
      </w:r>
      <w:r>
        <w:rPr>
          <w:b w:val="0"/>
          <w:bCs w:val="0"/>
        </w:rPr>
        <w:t>安全，如发生意外情况由供应商全权负责。</w:t>
      </w:r>
    </w:p>
    <w:p>
      <w:pPr>
        <w:pStyle w:val="2"/>
      </w:pPr>
      <w:r>
        <w:rPr>
          <w:rFonts w:hint="eastAsia"/>
        </w:rPr>
        <w:t>四、活动地点</w:t>
      </w:r>
    </w:p>
    <w:p>
      <w:pPr>
        <w:tabs>
          <w:tab w:val="left" w:pos="0"/>
        </w:tabs>
        <w:ind w:firstLine="480"/>
        <w:rPr>
          <w:rFonts w:ascii="宋体" w:hAnsi="宋体" w:cs="Helvetica"/>
          <w:kern w:val="0"/>
        </w:rPr>
      </w:pPr>
      <w:r>
        <w:rPr>
          <w:rFonts w:hint="eastAsia" w:ascii="宋体" w:hAnsi="宋体" w:cs="Helvetica"/>
          <w:kern w:val="0"/>
        </w:rPr>
        <w:t>我省福彩“爱心驿站”建设重点城市的繁华夜市区、人流密集步行街区、大型广场、重要地标旅游打卡点等人员聚集地，每场活动场地面积整体不小于1000平方米。</w:t>
      </w:r>
    </w:p>
    <w:p>
      <w:pPr>
        <w:pStyle w:val="2"/>
      </w:pPr>
      <w:r>
        <w:rPr>
          <w:rFonts w:hint="eastAsia"/>
        </w:rPr>
        <w:t>五、活动内容</w:t>
      </w:r>
    </w:p>
    <w:p>
      <w:pPr>
        <w:tabs>
          <w:tab w:val="left" w:pos="0"/>
        </w:tabs>
        <w:rPr>
          <w:rFonts w:ascii="宋体" w:hAnsi="宋体" w:cs="Helvetica"/>
          <w:b/>
          <w:bCs/>
          <w:kern w:val="0"/>
        </w:rPr>
      </w:pPr>
      <w:r>
        <w:rPr>
          <w:rFonts w:hint="eastAsia" w:ascii="宋体" w:hAnsi="宋体" w:cs="Helvetica"/>
          <w:b/>
          <w:bCs/>
          <w:kern w:val="0"/>
        </w:rPr>
        <w:t>（一）活动环节</w:t>
      </w:r>
    </w:p>
    <w:p>
      <w:pPr>
        <w:tabs>
          <w:tab w:val="left" w:pos="0"/>
        </w:tabs>
        <w:ind w:firstLine="480"/>
        <w:rPr>
          <w:rFonts w:ascii="宋体" w:hAnsi="宋体" w:cs="Helvetica"/>
          <w:kern w:val="0"/>
        </w:rPr>
      </w:pPr>
      <w:r>
        <w:rPr>
          <w:rFonts w:hint="eastAsia" w:ascii="宋体" w:hAnsi="宋体" w:cs="Helvetica"/>
          <w:kern w:val="0"/>
        </w:rPr>
        <w:t>1、舞台搭建：每场活动舞台面积不小于300平方米，舞台主背景高清LED大屏不小于150平方米，全套满足活动所需的灯光（激光镭射灯、照明灯、特效灯等）、音响，根据不同主题设计不同主KV背景图片；</w:t>
      </w:r>
    </w:p>
    <w:p>
      <w:pPr>
        <w:tabs>
          <w:tab w:val="left" w:pos="0"/>
        </w:tabs>
        <w:ind w:firstLine="480"/>
        <w:rPr>
          <w:rFonts w:ascii="宋体" w:hAnsi="宋体" w:cs="Helvetica"/>
          <w:kern w:val="0"/>
        </w:rPr>
      </w:pPr>
      <w:r>
        <w:rPr>
          <w:rFonts w:hint="eastAsia" w:ascii="宋体" w:hAnsi="宋体" w:cs="Helvetica"/>
          <w:kern w:val="0"/>
        </w:rPr>
        <w:t>2、视频制作：现场暖场片、爱心驿站宣传片、福彩文化IP形象宣传片。</w:t>
      </w:r>
    </w:p>
    <w:p>
      <w:pPr>
        <w:tabs>
          <w:tab w:val="left" w:pos="0"/>
        </w:tabs>
        <w:ind w:firstLine="480"/>
        <w:rPr>
          <w:rFonts w:ascii="宋体" w:hAnsi="宋体" w:cs="Helvetica"/>
          <w:kern w:val="0"/>
        </w:rPr>
      </w:pPr>
      <w:r>
        <w:rPr>
          <w:rFonts w:hint="eastAsia" w:ascii="宋体" w:hAnsi="宋体" w:cs="Helvetica"/>
          <w:kern w:val="0"/>
        </w:rPr>
        <w:t>3、音乐音效：按照活动安排及节奏为整场活动选择合适的音乐音效及背景音乐，尤其是主舞台活动结束后，确保整场活动不冷场；</w:t>
      </w:r>
    </w:p>
    <w:p>
      <w:pPr>
        <w:tabs>
          <w:tab w:val="left" w:pos="0"/>
        </w:tabs>
        <w:ind w:firstLine="480"/>
        <w:rPr>
          <w:rFonts w:ascii="宋体" w:hAnsi="宋体" w:cs="Helvetica"/>
          <w:kern w:val="0"/>
        </w:rPr>
      </w:pPr>
      <w:r>
        <w:rPr>
          <w:rFonts w:hint="eastAsia" w:ascii="宋体" w:hAnsi="宋体" w:cs="Helvetica"/>
          <w:kern w:val="0"/>
        </w:rPr>
        <w:t>4、主持团队：市级以上知名、形象佳主持人团队，每场活动不少于1男1女2名主持人；</w:t>
      </w:r>
    </w:p>
    <w:p>
      <w:pPr>
        <w:tabs>
          <w:tab w:val="left" w:pos="0"/>
        </w:tabs>
        <w:ind w:firstLine="480"/>
        <w:rPr>
          <w:rFonts w:ascii="宋体" w:hAnsi="宋体" w:cs="Helvetica"/>
          <w:kern w:val="0"/>
        </w:rPr>
      </w:pPr>
      <w:r>
        <w:rPr>
          <w:rFonts w:hint="eastAsia" w:ascii="宋体" w:hAnsi="宋体" w:cs="Helvetica"/>
          <w:kern w:val="0"/>
        </w:rPr>
        <w:t>5、串场节目：优质节目、观看效果好、以调动现场氛围，包括多人群舞、大型魔术、专业歌伴舞、活跃氛围表演、具体当地特色节目、COS秀、乐队表演（知名乐队表演不少于3个，明星乐队不少于1个），各表演节目均需配套LED背景屏视频；</w:t>
      </w:r>
    </w:p>
    <w:p>
      <w:pPr>
        <w:tabs>
          <w:tab w:val="left" w:pos="0"/>
        </w:tabs>
        <w:ind w:firstLine="480"/>
        <w:rPr>
          <w:rFonts w:ascii="宋体" w:hAnsi="宋体" w:cs="Helvetica"/>
          <w:kern w:val="0"/>
        </w:rPr>
      </w:pPr>
      <w:r>
        <w:rPr>
          <w:rFonts w:hint="eastAsia" w:ascii="宋体" w:hAnsi="宋体" w:cs="Helvetica"/>
          <w:kern w:val="0"/>
        </w:rPr>
        <w:t>6、场地布设：内场及外场布设，包括但不限于道旗、地贴、门头、引导牌、根据不同主题搭建不同现场整体场景、互动游戏区和公益市集等；</w:t>
      </w:r>
    </w:p>
    <w:p>
      <w:pPr>
        <w:tabs>
          <w:tab w:val="left" w:pos="0"/>
        </w:tabs>
        <w:ind w:firstLine="480"/>
        <w:rPr>
          <w:rFonts w:ascii="宋体" w:hAnsi="宋体" w:cs="Helvetica"/>
          <w:kern w:val="0"/>
        </w:rPr>
      </w:pPr>
      <w:r>
        <w:rPr>
          <w:rFonts w:hint="eastAsia" w:ascii="宋体" w:hAnsi="宋体" w:cs="Helvetica"/>
          <w:kern w:val="0"/>
        </w:rPr>
        <w:t>7、喷绘展板：展现浙江福彩发展历程、宣传浙江福彩公益活动、宣传我省福彩公益金使用情况等；</w:t>
      </w:r>
    </w:p>
    <w:p>
      <w:pPr>
        <w:tabs>
          <w:tab w:val="left" w:pos="0"/>
        </w:tabs>
        <w:ind w:firstLine="480"/>
        <w:rPr>
          <w:rFonts w:ascii="宋体" w:hAnsi="宋体" w:cs="Helvetica"/>
          <w:kern w:val="0"/>
        </w:rPr>
      </w:pPr>
      <w:r>
        <w:rPr>
          <w:rFonts w:hint="eastAsia" w:ascii="宋体" w:hAnsi="宋体" w:cs="Helvetica"/>
          <w:kern w:val="0"/>
        </w:rPr>
        <w:t>8、宋福韵彩形象：亚克力板制作或还原度高的充气人偶，高度不低于3米；</w:t>
      </w:r>
    </w:p>
    <w:p>
      <w:pPr>
        <w:tabs>
          <w:tab w:val="left" w:pos="0"/>
        </w:tabs>
        <w:ind w:firstLine="480"/>
        <w:rPr>
          <w:rFonts w:ascii="宋体" w:hAnsi="宋体" w:cs="Helvetica"/>
          <w:kern w:val="0"/>
        </w:rPr>
      </w:pPr>
      <w:r>
        <w:rPr>
          <w:rFonts w:hint="eastAsia" w:ascii="宋体" w:hAnsi="宋体" w:cs="Helvetica"/>
          <w:kern w:val="0"/>
        </w:rPr>
        <w:t>9、现场NPC：宋福韵彩NPC6人（3男3女），在现场快闪舞蹈，在内场及外场走动展示。</w:t>
      </w:r>
    </w:p>
    <w:p>
      <w:pPr>
        <w:tabs>
          <w:tab w:val="left" w:pos="0"/>
        </w:tabs>
        <w:rPr>
          <w:rFonts w:ascii="宋体" w:hAnsi="宋体" w:cs="Helvetica"/>
          <w:b/>
          <w:bCs/>
          <w:kern w:val="0"/>
        </w:rPr>
      </w:pPr>
      <w:r>
        <w:rPr>
          <w:rFonts w:hint="eastAsia" w:ascii="宋体" w:hAnsi="宋体" w:cs="Helvetica"/>
          <w:b/>
          <w:bCs/>
          <w:kern w:val="0"/>
        </w:rPr>
        <w:t>（二）功能区设置</w:t>
      </w:r>
    </w:p>
    <w:p>
      <w:pPr>
        <w:tabs>
          <w:tab w:val="left" w:pos="0"/>
        </w:tabs>
        <w:ind w:firstLine="480"/>
        <w:rPr>
          <w:rFonts w:ascii="宋体" w:hAnsi="宋体" w:cs="Helvetica"/>
          <w:kern w:val="0"/>
        </w:rPr>
      </w:pPr>
      <w:r>
        <w:rPr>
          <w:rFonts w:hint="eastAsia" w:ascii="宋体" w:hAnsi="宋体" w:cs="Helvetica"/>
          <w:kern w:val="0"/>
        </w:rPr>
        <w:t>四场活动均设置主舞台及功能区，融合打造集宣传推广、文娱表演、互动活动的沉浸式体验。现场各功能区要求：</w:t>
      </w:r>
    </w:p>
    <w:p>
      <w:pPr>
        <w:tabs>
          <w:tab w:val="left" w:pos="0"/>
        </w:tabs>
        <w:ind w:firstLine="480"/>
        <w:rPr>
          <w:rFonts w:ascii="宋体" w:hAnsi="宋体" w:cs="Helvetica"/>
          <w:kern w:val="0"/>
        </w:rPr>
      </w:pPr>
      <w:r>
        <w:rPr>
          <w:rFonts w:hint="eastAsia" w:ascii="宋体" w:hAnsi="宋体" w:cs="Helvetica"/>
          <w:kern w:val="0"/>
        </w:rPr>
        <w:t>1、“爱心驿站”功能展示区，陈列展示“爱心驿站”布设实物或采用VR形式，手机扫码观看，并配套相应文字图片说明，配备电子显示屏播放“爱心驿站”宣传视频；</w:t>
      </w:r>
    </w:p>
    <w:p>
      <w:pPr>
        <w:tabs>
          <w:tab w:val="left" w:pos="0"/>
        </w:tabs>
        <w:ind w:firstLine="480"/>
        <w:rPr>
          <w:rFonts w:ascii="宋体" w:hAnsi="宋体" w:cs="Helvetica"/>
          <w:kern w:val="0"/>
        </w:rPr>
      </w:pPr>
      <w:r>
        <w:rPr>
          <w:rFonts w:hint="eastAsia" w:ascii="宋体" w:hAnsi="宋体" w:cs="Helvetica"/>
          <w:kern w:val="0"/>
        </w:rPr>
        <w:t>2、打卡区，布设搭建当下流行的网红打卡场景不少于4处；</w:t>
      </w:r>
    </w:p>
    <w:p>
      <w:pPr>
        <w:tabs>
          <w:tab w:val="left" w:pos="0"/>
        </w:tabs>
        <w:ind w:firstLine="480"/>
        <w:rPr>
          <w:rFonts w:ascii="宋体" w:hAnsi="宋体" w:cs="Helvetica"/>
          <w:kern w:val="0"/>
        </w:rPr>
      </w:pPr>
      <w:r>
        <w:rPr>
          <w:rFonts w:hint="eastAsia" w:ascii="宋体" w:hAnsi="宋体" w:cs="Helvetica"/>
          <w:kern w:val="0"/>
        </w:rPr>
        <w:t>3、互动游戏区，设置不少于4处互动游戏，套圈、真人抓娃娃机（玩偶或零食）或电子竞技对战（需配备电子大屏投屏）等趣味性强的游戏，并包含奖品（如：福彩刮刮乐、带有福彩文化IP形象的广告扇、文化衫、帆布袋、手机壳、钥匙扣、公仔、马克杯、纸巾等）；</w:t>
      </w:r>
    </w:p>
    <w:p>
      <w:pPr>
        <w:tabs>
          <w:tab w:val="left" w:pos="0"/>
        </w:tabs>
        <w:ind w:firstLine="480"/>
        <w:rPr>
          <w:rFonts w:ascii="宋体" w:hAnsi="宋体" w:cs="Helvetica"/>
          <w:kern w:val="0"/>
        </w:rPr>
      </w:pPr>
      <w:r>
        <w:rPr>
          <w:rFonts w:hint="eastAsia" w:ascii="宋体" w:hAnsi="宋体" w:cs="Helvetica"/>
          <w:kern w:val="0"/>
        </w:rPr>
        <w:t>4、福彩文化IP形象汇展区，包括宋福、韵彩人物展示，福彩主题曲和宣传片展示；</w:t>
      </w:r>
    </w:p>
    <w:p>
      <w:pPr>
        <w:tabs>
          <w:tab w:val="left" w:pos="0"/>
        </w:tabs>
        <w:ind w:firstLine="480"/>
        <w:rPr>
          <w:rFonts w:ascii="宋体" w:hAnsi="宋体" w:cs="Helvetica"/>
          <w:kern w:val="0"/>
        </w:rPr>
      </w:pPr>
      <w:r>
        <w:rPr>
          <w:rFonts w:hint="eastAsia" w:ascii="宋体" w:hAnsi="宋体" w:cs="Helvetica"/>
          <w:kern w:val="0"/>
        </w:rPr>
        <w:t>5、公益市集区，搭建免费摊位供其他服务团队尤其是“爱心驿站”志愿服务团队或产品销售使用，并配合当地市福彩中心组织爱心商家、爱心企业、爱心团队入驻；</w:t>
      </w:r>
    </w:p>
    <w:p>
      <w:pPr>
        <w:tabs>
          <w:tab w:val="left" w:pos="0"/>
        </w:tabs>
        <w:ind w:firstLine="480"/>
        <w:rPr>
          <w:rFonts w:ascii="宋体" w:hAnsi="宋体" w:cs="Helvetica"/>
          <w:kern w:val="0"/>
        </w:rPr>
      </w:pPr>
      <w:r>
        <w:rPr>
          <w:rFonts w:hint="eastAsia" w:ascii="宋体" w:hAnsi="宋体" w:cs="Helvetica"/>
          <w:kern w:val="0"/>
        </w:rPr>
        <w:t>6、当地传统文化体验区，设置具有当地特性的传统文化（非遗文化）体验区供活动参与人员自行体验。</w:t>
      </w:r>
    </w:p>
    <w:p>
      <w:pPr>
        <w:tabs>
          <w:tab w:val="left" w:pos="0"/>
        </w:tabs>
        <w:rPr>
          <w:rFonts w:ascii="宋体" w:hAnsi="宋体" w:cs="Helvetica"/>
          <w:b/>
          <w:bCs/>
          <w:kern w:val="0"/>
        </w:rPr>
      </w:pPr>
      <w:r>
        <w:rPr>
          <w:rFonts w:hint="eastAsia" w:ascii="宋体" w:hAnsi="宋体" w:cs="Helvetica"/>
          <w:b/>
          <w:bCs/>
          <w:kern w:val="0"/>
        </w:rPr>
        <w:t>（三）公益亮点</w:t>
      </w:r>
    </w:p>
    <w:p>
      <w:pPr>
        <w:tabs>
          <w:tab w:val="left" w:pos="0"/>
        </w:tabs>
        <w:ind w:firstLine="480"/>
        <w:rPr>
          <w:rFonts w:ascii="宋体" w:hAnsi="宋体" w:cs="Helvetica"/>
          <w:kern w:val="0"/>
        </w:rPr>
      </w:pPr>
      <w:r>
        <w:rPr>
          <w:rFonts w:hint="eastAsia" w:ascii="宋体" w:hAnsi="宋体" w:cs="Helvetica"/>
          <w:kern w:val="0"/>
        </w:rPr>
        <w:t>每场活动邀请“爱心驿站”代表20名，着统一服装为参加活动人员提供公益爱心服务等（服装由中标方设计、采购，共计不少于80套）。向社会招募参与活动人员，每场不少于300人。</w:t>
      </w:r>
    </w:p>
    <w:p>
      <w:pPr>
        <w:tabs>
          <w:tab w:val="left" w:pos="0"/>
        </w:tabs>
        <w:rPr>
          <w:rFonts w:ascii="宋体" w:hAnsi="宋体" w:cs="Helvetica"/>
          <w:b/>
          <w:bCs/>
          <w:kern w:val="0"/>
        </w:rPr>
      </w:pPr>
      <w:r>
        <w:rPr>
          <w:rFonts w:hint="eastAsia" w:ascii="宋体" w:hAnsi="宋体" w:cs="Helvetica"/>
          <w:b/>
          <w:bCs/>
          <w:kern w:val="0"/>
        </w:rPr>
        <w:t>（四）物资配备</w:t>
      </w:r>
    </w:p>
    <w:p>
      <w:pPr>
        <w:tabs>
          <w:tab w:val="left" w:pos="0"/>
        </w:tabs>
        <w:ind w:firstLine="480"/>
        <w:rPr>
          <w:rFonts w:ascii="宋体" w:hAnsi="宋体" w:cs="Helvetica"/>
          <w:kern w:val="0"/>
        </w:rPr>
      </w:pPr>
      <w:r>
        <w:rPr>
          <w:rFonts w:hint="eastAsia" w:ascii="宋体" w:hAnsi="宋体" w:cs="Helvetica"/>
          <w:kern w:val="0"/>
        </w:rPr>
        <w:t>每场活动准备50000元物资，包含30000元福彩文化IP宣传品（奖品）和20000元福彩刮刮乐，用于点亮微心愿活动及现场互动活动。</w:t>
      </w:r>
    </w:p>
    <w:p>
      <w:pPr>
        <w:pStyle w:val="2"/>
      </w:pPr>
      <w:r>
        <w:rPr>
          <w:rFonts w:hint="eastAsia"/>
        </w:rPr>
        <w:t>六、活动时间</w:t>
      </w:r>
    </w:p>
    <w:p>
      <w:pPr>
        <w:tabs>
          <w:tab w:val="left" w:pos="0"/>
        </w:tabs>
        <w:ind w:firstLine="480"/>
        <w:rPr>
          <w:rFonts w:ascii="宋体" w:hAnsi="宋体" w:cs="Helvetica"/>
          <w:kern w:val="0"/>
        </w:rPr>
      </w:pPr>
      <w:r>
        <w:rPr>
          <w:rFonts w:hint="eastAsia" w:ascii="宋体" w:hAnsi="宋体" w:cs="Helvetica"/>
          <w:kern w:val="0"/>
        </w:rPr>
        <w:t>拟于2024年10月份起至2024年11月份完成。</w:t>
      </w:r>
    </w:p>
    <w:p>
      <w:pPr>
        <w:pStyle w:val="2"/>
      </w:pPr>
      <w:r>
        <w:rPr>
          <w:rFonts w:hint="eastAsia"/>
        </w:rPr>
        <w:t>七、活动宣传</w:t>
      </w:r>
    </w:p>
    <w:p>
      <w:pPr>
        <w:tabs>
          <w:tab w:val="left" w:pos="0"/>
        </w:tabs>
        <w:ind w:firstLine="480"/>
        <w:rPr>
          <w:rFonts w:ascii="宋体" w:hAnsi="宋体" w:cs="Helvetica"/>
          <w:kern w:val="0"/>
        </w:rPr>
      </w:pPr>
      <w:r>
        <w:rPr>
          <w:rFonts w:hint="eastAsia" w:ascii="宋体" w:hAnsi="宋体" w:cs="Helvetica"/>
          <w:kern w:val="0"/>
        </w:rPr>
        <w:t>1.精准投放：活动前、中、后期，通过抖音、微博、小红书等社交新媒体平台，面向浙江省内受众做好推流等广告形式的精准宣传。</w:t>
      </w:r>
    </w:p>
    <w:p>
      <w:pPr>
        <w:tabs>
          <w:tab w:val="left" w:pos="0"/>
        </w:tabs>
        <w:ind w:firstLine="480"/>
        <w:rPr>
          <w:rFonts w:ascii="宋体" w:hAnsi="宋体" w:cs="Helvetica"/>
          <w:kern w:val="0"/>
        </w:rPr>
      </w:pPr>
      <w:r>
        <w:rPr>
          <w:rFonts w:hint="eastAsia" w:ascii="宋体" w:hAnsi="宋体" w:cs="Helvetica"/>
          <w:kern w:val="0"/>
        </w:rPr>
        <w:t>2.广泛覆盖：项目执行期间，确保新媒体平台省内曝光量不低于8000万次；在中央媒体刊登报道不少于4次，省级媒体发布图文影音报道不少于8次，在省级平台投放宣传视频不少于4次，自有或合作账号持续报道不少于12次。</w:t>
      </w:r>
    </w:p>
    <w:p>
      <w:pPr>
        <w:tabs>
          <w:tab w:val="left" w:pos="0"/>
        </w:tabs>
        <w:ind w:firstLine="480"/>
        <w:rPr>
          <w:rFonts w:ascii="宋体" w:hAnsi="宋体" w:cs="Helvetica"/>
          <w:kern w:val="0"/>
        </w:rPr>
      </w:pPr>
      <w:r>
        <w:rPr>
          <w:rFonts w:hint="eastAsia" w:ascii="宋体" w:hAnsi="宋体" w:cs="Helvetica"/>
          <w:kern w:val="0"/>
        </w:rPr>
        <w:t>3.单场聚焦：每场活动配备H5 1个、短视频1个、创意海报3张、宣传软文4篇、视频及图片直播1场，确保直播观看人次不低于100万，活动结束后制作总结性宣传视频及图文报道。</w:t>
      </w:r>
    </w:p>
    <w:p>
      <w:pPr>
        <w:tabs>
          <w:tab w:val="left" w:pos="0"/>
        </w:tabs>
        <w:ind w:firstLine="480"/>
        <w:rPr>
          <w:rFonts w:ascii="宋体" w:hAnsi="宋体" w:cs="Helvetica"/>
          <w:kern w:val="0"/>
        </w:rPr>
      </w:pPr>
      <w:r>
        <w:rPr>
          <w:rFonts w:hint="eastAsia" w:ascii="宋体" w:hAnsi="宋体" w:cs="Helvetica"/>
          <w:kern w:val="0"/>
        </w:rPr>
        <w:t>4.复盘总结：总结性宣传报道视频不少于1个、图文不少于1篇。</w:t>
      </w:r>
    </w:p>
    <w:p>
      <w:pPr>
        <w:pStyle w:val="2"/>
      </w:pPr>
      <w:r>
        <w:rPr>
          <w:rFonts w:hint="eastAsia"/>
        </w:rPr>
        <w:t>九、商务要求</w:t>
      </w:r>
    </w:p>
    <w:p>
      <w:pPr>
        <w:pStyle w:val="5"/>
        <w:numPr>
          <w:ilvl w:val="0"/>
          <w:numId w:val="1"/>
        </w:numPr>
        <w:rPr>
          <w:lang w:val="en-US"/>
        </w:rPr>
      </w:pPr>
      <w:r>
        <w:rPr>
          <w:rFonts w:hint="eastAsia"/>
          <w:lang w:val="en-US"/>
        </w:rPr>
        <w:t>服务时间</w:t>
      </w:r>
    </w:p>
    <w:p>
      <w:pPr>
        <w:ind w:firstLine="480"/>
        <w:rPr>
          <w:color w:val="FF0000"/>
        </w:rPr>
      </w:pPr>
      <w:r>
        <w:rPr>
          <w:rFonts w:hint="eastAsia"/>
        </w:rPr>
        <w:t>合同签订之日起至2</w:t>
      </w:r>
      <w:r>
        <w:t>02</w:t>
      </w:r>
      <w:r>
        <w:rPr>
          <w:rFonts w:hint="eastAsia"/>
        </w:rPr>
        <w:t>4年11月20日前完成</w:t>
      </w:r>
      <w:r>
        <w:rPr>
          <w:rFonts w:hint="eastAsia"/>
          <w:lang w:eastAsia="zh-Hans"/>
        </w:rPr>
        <w:t>本合同项下全部服务</w:t>
      </w:r>
      <w:r>
        <w:rPr>
          <w:rFonts w:hint="eastAsia"/>
        </w:rPr>
        <w:t>项目。</w:t>
      </w:r>
    </w:p>
    <w:p>
      <w:pPr>
        <w:pStyle w:val="5"/>
        <w:numPr>
          <w:ilvl w:val="0"/>
          <w:numId w:val="1"/>
        </w:numPr>
        <w:rPr>
          <w:lang w:val="en-US"/>
        </w:rPr>
      </w:pPr>
      <w:r>
        <w:rPr>
          <w:rFonts w:hint="eastAsia"/>
          <w:lang w:val="en-US"/>
        </w:rPr>
        <w:t>活动地域要求</w:t>
      </w:r>
    </w:p>
    <w:p>
      <w:pPr>
        <w:ind w:firstLine="480"/>
      </w:pPr>
      <w:r>
        <w:rPr>
          <w:rFonts w:hint="eastAsia" w:ascii="宋体" w:hAnsi="宋体" w:cs="Helvetica"/>
          <w:kern w:val="0"/>
        </w:rPr>
        <w:t>4场线下活动要求分别在杭州、宁波、温州、台州地区各举办一次。</w:t>
      </w:r>
    </w:p>
    <w:p>
      <w:pPr>
        <w:pStyle w:val="5"/>
        <w:numPr>
          <w:ilvl w:val="0"/>
          <w:numId w:val="1"/>
        </w:numPr>
        <w:rPr>
          <w:lang w:val="en-US"/>
        </w:rPr>
      </w:pPr>
      <w:r>
        <w:rPr>
          <w:rFonts w:hint="eastAsia"/>
          <w:lang w:val="en-US"/>
        </w:rPr>
        <w:t xml:space="preserve">付款方式 </w:t>
      </w:r>
    </w:p>
    <w:p>
      <w:pPr>
        <w:ind w:firstLine="480"/>
      </w:pPr>
      <w:r>
        <w:rPr>
          <w:rFonts w:hint="eastAsia" w:ascii="宋体" w:hAnsi="宋体"/>
          <w:szCs w:val="21"/>
        </w:rPr>
        <w:t>合同生效以及具备实施条件后，</w:t>
      </w:r>
      <w:r>
        <w:rPr>
          <w:rFonts w:hint="eastAsia"/>
        </w:rPr>
        <w:t>中标方</w:t>
      </w:r>
      <w:r>
        <w:rPr>
          <w:rFonts w:hint="eastAsia" w:ascii="宋体" w:hAnsi="宋体"/>
          <w:szCs w:val="21"/>
        </w:rPr>
        <w:t>向</w:t>
      </w:r>
      <w:r>
        <w:rPr>
          <w:rFonts w:hint="eastAsia"/>
        </w:rPr>
        <w:t>采购人</w:t>
      </w:r>
      <w:r>
        <w:rPr>
          <w:rFonts w:hint="eastAsia" w:ascii="宋体" w:hAnsi="宋体"/>
          <w:szCs w:val="21"/>
        </w:rPr>
        <w:t>开具发票，</w:t>
      </w:r>
      <w:r>
        <w:rPr>
          <w:rFonts w:hint="eastAsia"/>
        </w:rPr>
        <w:t>采购人</w:t>
      </w:r>
      <w:r>
        <w:rPr>
          <w:rFonts w:hint="eastAsia" w:ascii="宋体" w:hAnsi="宋体"/>
          <w:szCs w:val="21"/>
        </w:rPr>
        <w:t>收到发票后</w:t>
      </w:r>
      <w:r>
        <w:rPr>
          <w:rFonts w:ascii="宋体" w:hAnsi="宋体"/>
          <w:szCs w:val="21"/>
        </w:rPr>
        <w:t>7个工作日内</w:t>
      </w:r>
      <w:r>
        <w:rPr>
          <w:rFonts w:hint="eastAsia" w:ascii="宋体" w:hAnsi="宋体"/>
          <w:szCs w:val="21"/>
        </w:rPr>
        <w:t>，向</w:t>
      </w:r>
      <w:r>
        <w:rPr>
          <w:rFonts w:hint="eastAsia"/>
        </w:rPr>
        <w:t>中标方</w:t>
      </w:r>
      <w:r>
        <w:rPr>
          <w:rFonts w:hint="eastAsia" w:ascii="宋体" w:hAnsi="宋体"/>
          <w:szCs w:val="21"/>
        </w:rPr>
        <w:t>支付合同总价的5</w:t>
      </w:r>
      <w:r>
        <w:rPr>
          <w:rFonts w:ascii="宋体" w:hAnsi="宋体"/>
          <w:szCs w:val="21"/>
        </w:rPr>
        <w:t>0</w:t>
      </w:r>
      <w:r>
        <w:rPr>
          <w:rFonts w:hint="eastAsia" w:ascii="宋体" w:hAnsi="宋体"/>
          <w:szCs w:val="21"/>
        </w:rPr>
        <w:t>%；项目履约完成，经</w:t>
      </w:r>
      <w:r>
        <w:rPr>
          <w:rFonts w:hint="eastAsia"/>
        </w:rPr>
        <w:t>采购人</w:t>
      </w:r>
      <w:r>
        <w:rPr>
          <w:rFonts w:hint="eastAsia" w:ascii="宋体" w:hAnsi="宋体"/>
          <w:szCs w:val="21"/>
        </w:rPr>
        <w:t>验收合格后，收到发票后</w:t>
      </w:r>
      <w:r>
        <w:rPr>
          <w:rFonts w:ascii="宋体" w:hAnsi="宋体"/>
          <w:szCs w:val="21"/>
        </w:rPr>
        <w:t>7个工作日内</w:t>
      </w:r>
      <w:r>
        <w:rPr>
          <w:rFonts w:hint="eastAsia" w:ascii="宋体" w:hAnsi="宋体"/>
          <w:szCs w:val="21"/>
        </w:rPr>
        <w:t>，</w:t>
      </w:r>
      <w:r>
        <w:rPr>
          <w:rFonts w:hint="eastAsia"/>
        </w:rPr>
        <w:t>采购人</w:t>
      </w:r>
      <w:r>
        <w:rPr>
          <w:rFonts w:hint="eastAsia" w:ascii="宋体" w:hAnsi="宋体"/>
          <w:szCs w:val="21"/>
        </w:rPr>
        <w:t>向</w:t>
      </w:r>
      <w:r>
        <w:rPr>
          <w:rFonts w:hint="eastAsia"/>
        </w:rPr>
        <w:t>中标方</w:t>
      </w:r>
      <w:r>
        <w:rPr>
          <w:rFonts w:hint="eastAsia" w:ascii="宋体" w:hAnsi="宋体"/>
          <w:szCs w:val="21"/>
        </w:rPr>
        <w:t>支付合同总价的50%。</w:t>
      </w:r>
    </w:p>
    <w:p>
      <w:pPr>
        <w:ind w:firstLine="480"/>
      </w:pPr>
      <w:r>
        <w:rPr>
          <w:rFonts w:hint="eastAsia"/>
        </w:rPr>
        <w:t>在签订合同时，中标方明确表示无需预付款或者主动要求降低预付款比例的，可降低预付款比例。</w:t>
      </w:r>
    </w:p>
    <w:p>
      <w:pPr>
        <w:pStyle w:val="5"/>
        <w:rPr>
          <w:lang w:val="en-US"/>
        </w:rPr>
      </w:pPr>
      <w:r>
        <w:rPr>
          <w:rFonts w:hint="eastAsia"/>
          <w:lang w:val="en-US"/>
        </w:rPr>
        <w:t>4、履约保证金</w:t>
      </w:r>
    </w:p>
    <w:p>
      <w:pPr>
        <w:ind w:firstLine="480"/>
      </w:pPr>
      <w:r>
        <w:rPr>
          <w:rFonts w:hint="eastAsia"/>
        </w:rPr>
        <w:t>无</w:t>
      </w:r>
    </w:p>
    <w:p>
      <w:pPr>
        <w:pStyle w:val="5"/>
        <w:rPr>
          <w:lang w:val="en-US"/>
        </w:rPr>
      </w:pPr>
      <w:r>
        <w:rPr>
          <w:rFonts w:hint="eastAsia"/>
          <w:lang w:val="en-US"/>
        </w:rPr>
        <w:t>5、验收要求</w:t>
      </w:r>
    </w:p>
    <w:p>
      <w:pPr>
        <w:ind w:right="26" w:rightChars="11" w:firstLine="456"/>
        <w:rPr>
          <w:rFonts w:ascii="宋体" w:hAnsi="宋体" w:cs="宋体"/>
          <w:spacing w:val="-6"/>
        </w:rPr>
      </w:pPr>
      <w:r>
        <w:rPr>
          <w:rFonts w:hint="eastAsia" w:ascii="宋体" w:hAnsi="宋体" w:cs="宋体"/>
          <w:spacing w:val="-6"/>
        </w:rPr>
        <w:t>5.1验收由采购人负责实施</w:t>
      </w:r>
    </w:p>
    <w:p>
      <w:pPr>
        <w:ind w:right="26" w:rightChars="11" w:firstLine="456"/>
        <w:rPr>
          <w:rFonts w:ascii="宋体" w:hAnsi="宋体" w:cs="宋体"/>
          <w:color w:val="auto"/>
          <w:spacing w:val="-6"/>
        </w:rPr>
      </w:pPr>
      <w:r>
        <w:rPr>
          <w:rFonts w:hint="eastAsia" w:ascii="宋体" w:hAnsi="宋体" w:cs="宋体"/>
          <w:spacing w:val="-6"/>
        </w:rPr>
        <w:t>5.2验收依据：</w:t>
      </w:r>
    </w:p>
    <w:p>
      <w:pPr>
        <w:ind w:right="26" w:rightChars="11" w:firstLine="684" w:firstLineChars="300"/>
        <w:rPr>
          <w:rFonts w:ascii="宋体" w:hAnsi="宋体" w:cs="宋体"/>
          <w:color w:val="auto"/>
          <w:spacing w:val="-6"/>
        </w:rPr>
      </w:pPr>
      <w:r>
        <w:rPr>
          <w:rFonts w:hint="eastAsia" w:ascii="宋体" w:hAnsi="宋体" w:cs="宋体"/>
          <w:color w:val="auto"/>
          <w:spacing w:val="-6"/>
        </w:rPr>
        <w:t>5.2.1合同、采购文件、投标文件；</w:t>
      </w:r>
    </w:p>
    <w:p>
      <w:pPr>
        <w:ind w:right="26" w:rightChars="11" w:firstLine="684" w:firstLineChars="300"/>
        <w:rPr>
          <w:rFonts w:ascii="宋体" w:hAnsi="宋体" w:cs="宋体"/>
          <w:spacing w:val="-6"/>
        </w:rPr>
      </w:pPr>
      <w:r>
        <w:rPr>
          <w:rFonts w:hint="eastAsia" w:ascii="宋体" w:hAnsi="宋体" w:cs="宋体"/>
          <w:color w:val="auto"/>
          <w:spacing w:val="-6"/>
        </w:rPr>
        <w:t>5.2.2于2024年11月 25日前，</w:t>
      </w:r>
      <w:r>
        <w:rPr>
          <w:rFonts w:hint="eastAsia"/>
          <w:color w:val="auto"/>
        </w:rPr>
        <w:t>中标方</w:t>
      </w:r>
      <w:r>
        <w:rPr>
          <w:rFonts w:hint="eastAsia" w:ascii="宋体" w:hAnsi="宋体" w:cs="宋体"/>
          <w:color w:val="auto"/>
          <w:spacing w:val="-6"/>
        </w:rPr>
        <w:t>向采购人提供与采购文件相符的结案报告供采购人验收，以合作内容的落实情况报告为主</w:t>
      </w:r>
      <w:r>
        <w:rPr>
          <w:rFonts w:hint="eastAsia" w:ascii="宋体" w:hAnsi="宋体" w:cs="宋体"/>
          <w:spacing w:val="-6"/>
        </w:rPr>
        <w:t>。</w:t>
      </w:r>
    </w:p>
    <w:p>
      <w:pPr>
        <w:ind w:right="26" w:rightChars="11" w:firstLine="456"/>
        <w:rPr>
          <w:rFonts w:ascii="宋体" w:hAnsi="宋体" w:cs="宋体"/>
          <w:spacing w:val="-6"/>
        </w:rPr>
      </w:pPr>
      <w:r>
        <w:rPr>
          <w:rFonts w:hint="eastAsia" w:ascii="宋体" w:hAnsi="宋体" w:cs="宋体"/>
          <w:spacing w:val="-6"/>
        </w:rPr>
        <w:t>5.3.采购人于收到结案报告之日起7日内对</w:t>
      </w:r>
      <w:r>
        <w:rPr>
          <w:rFonts w:hint="eastAsia"/>
        </w:rPr>
        <w:t>中标方</w:t>
      </w:r>
      <w:r>
        <w:rPr>
          <w:rFonts w:hint="eastAsia" w:ascii="宋体" w:hAnsi="宋体" w:cs="宋体"/>
          <w:spacing w:val="-6"/>
        </w:rPr>
        <w:t>服务进行验收，针对</w:t>
      </w:r>
      <w:r>
        <w:rPr>
          <w:rFonts w:hint="eastAsia"/>
        </w:rPr>
        <w:t>中标方</w:t>
      </w:r>
      <w:r>
        <w:rPr>
          <w:rFonts w:hint="eastAsia" w:ascii="宋体" w:hAnsi="宋体" w:cs="宋体"/>
          <w:spacing w:val="-6"/>
        </w:rPr>
        <w:t>服务不符合合同、采购文件、投标承诺要求的，每一项采购人有权从合同尾款中扣除</w:t>
      </w:r>
      <w:r>
        <w:rPr>
          <w:rFonts w:hint="eastAsia" w:ascii="宋体" w:hAnsi="宋体" w:cs="宋体"/>
          <w:spacing w:val="-6"/>
          <w:lang w:eastAsia="zh-Hans"/>
        </w:rPr>
        <w:t>单项金额并按</w:t>
      </w:r>
      <w:r>
        <w:rPr>
          <w:rFonts w:hint="eastAsia" w:ascii="宋体" w:hAnsi="宋体" w:cs="宋体"/>
          <w:spacing w:val="-6"/>
        </w:rPr>
        <w:t>合同</w:t>
      </w:r>
      <w:r>
        <w:rPr>
          <w:rFonts w:hint="eastAsia" w:ascii="宋体" w:hAnsi="宋体" w:cs="宋体"/>
          <w:spacing w:val="-6"/>
          <w:lang w:eastAsia="zh-Hans"/>
        </w:rPr>
        <w:t>追究</w:t>
      </w:r>
      <w:r>
        <w:rPr>
          <w:rFonts w:hint="eastAsia"/>
        </w:rPr>
        <w:t>中标方</w:t>
      </w:r>
      <w:r>
        <w:rPr>
          <w:rFonts w:hint="eastAsia" w:ascii="宋体" w:hAnsi="宋体" w:cs="宋体"/>
          <w:spacing w:val="-6"/>
          <w:lang w:eastAsia="zh-Hans"/>
        </w:rPr>
        <w:t>违约责任</w:t>
      </w:r>
      <w:r>
        <w:rPr>
          <w:rFonts w:hint="eastAsia" w:ascii="宋体" w:hAnsi="宋体" w:cs="宋体"/>
          <w:spacing w:val="-6"/>
        </w:rPr>
        <w:t>。</w:t>
      </w:r>
    </w:p>
    <w:p>
      <w:pPr>
        <w:ind w:right="26" w:rightChars="11" w:firstLine="456"/>
        <w:rPr>
          <w:rFonts w:ascii="宋体" w:hAnsi="宋体" w:cs="宋体"/>
          <w:spacing w:val="-6"/>
        </w:rPr>
      </w:pPr>
      <w:r>
        <w:rPr>
          <w:rFonts w:hint="eastAsia" w:ascii="宋体" w:hAnsi="宋体" w:cs="宋体"/>
          <w:spacing w:val="-6"/>
        </w:rPr>
        <w:t>5.4验收合格的条件：</w:t>
      </w:r>
    </w:p>
    <w:p>
      <w:pPr>
        <w:ind w:right="26" w:rightChars="11" w:firstLine="684" w:firstLineChars="300"/>
        <w:rPr>
          <w:rFonts w:ascii="宋体" w:hAnsi="宋体" w:cs="宋体"/>
          <w:spacing w:val="-6"/>
        </w:rPr>
      </w:pPr>
      <w:r>
        <w:rPr>
          <w:rFonts w:hint="eastAsia" w:ascii="宋体" w:hAnsi="宋体" w:cs="宋体"/>
          <w:spacing w:val="-6"/>
        </w:rPr>
        <w:t>5.4.1所供服务符合标准和合同的要求；</w:t>
      </w:r>
    </w:p>
    <w:p>
      <w:pPr>
        <w:ind w:right="26" w:rightChars="11" w:firstLine="684" w:firstLineChars="300"/>
        <w:rPr>
          <w:rFonts w:ascii="宋体" w:hAnsi="宋体" w:cs="宋体"/>
          <w:spacing w:val="-6"/>
        </w:rPr>
      </w:pPr>
      <w:r>
        <w:rPr>
          <w:rFonts w:hint="eastAsia" w:ascii="宋体" w:hAnsi="宋体" w:cs="宋体"/>
          <w:spacing w:val="-6"/>
        </w:rPr>
        <w:t>5.4.2在进行验收过程中发现的问题已被解决并得到采购人的</w:t>
      </w:r>
      <w:r>
        <w:rPr>
          <w:rFonts w:hint="eastAsia" w:ascii="宋体" w:hAnsi="宋体" w:cs="宋体"/>
          <w:spacing w:val="-6"/>
          <w:lang w:eastAsia="zh-Hans"/>
        </w:rPr>
        <w:t>书面</w:t>
      </w:r>
      <w:r>
        <w:rPr>
          <w:rFonts w:hint="eastAsia" w:ascii="宋体" w:hAnsi="宋体" w:cs="宋体"/>
          <w:spacing w:val="-6"/>
        </w:rPr>
        <w:t>认可；</w:t>
      </w:r>
    </w:p>
    <w:p>
      <w:pPr>
        <w:ind w:right="26" w:rightChars="11" w:firstLine="684" w:firstLineChars="300"/>
        <w:rPr>
          <w:rFonts w:ascii="宋体" w:hAnsi="宋体" w:cs="宋体"/>
          <w:spacing w:val="-6"/>
        </w:rPr>
      </w:pPr>
      <w:r>
        <w:rPr>
          <w:rFonts w:hint="eastAsia" w:ascii="宋体" w:hAnsi="宋体" w:cs="宋体"/>
          <w:spacing w:val="-6"/>
        </w:rPr>
        <w:t>5.4.3合同中规定的所有服务和材料均已交付；</w:t>
      </w:r>
    </w:p>
    <w:p>
      <w:pPr>
        <w:ind w:right="26" w:rightChars="11" w:firstLine="684" w:firstLineChars="300"/>
        <w:rPr>
          <w:rFonts w:ascii="宋体" w:hAnsi="宋体" w:cs="宋体"/>
          <w:spacing w:val="-6"/>
        </w:rPr>
      </w:pPr>
      <w:r>
        <w:rPr>
          <w:rFonts w:hint="eastAsia" w:ascii="宋体" w:hAnsi="宋体" w:cs="宋体"/>
          <w:spacing w:val="-6"/>
        </w:rPr>
        <w:t>5.4.4所有相关的技术文件及资料均已提交并得到接受。</w:t>
      </w:r>
    </w:p>
    <w:p>
      <w:pPr>
        <w:tabs>
          <w:tab w:val="left" w:pos="0"/>
        </w:tabs>
        <w:ind w:firstLine="480"/>
        <w:rPr>
          <w:rFonts w:ascii="宋体" w:hAnsi="宋体" w:cs="宋体"/>
        </w:rPr>
      </w:pPr>
    </w:p>
    <w:p>
      <w:pPr>
        <w:pStyle w:val="3"/>
        <w:rPr>
          <w:rFonts w:ascii="宋体" w:hAnsi="宋体" w:cs="宋体"/>
          <w:szCs w:val="36"/>
        </w:rPr>
      </w:pPr>
      <w:r>
        <w:rPr>
          <w:rFonts w:hint="eastAsia" w:ascii="宋体" w:hAnsi="宋体" w:cs="宋体"/>
          <w:sz w:val="24"/>
        </w:rPr>
        <w:br w:type="page"/>
      </w:r>
      <w:bookmarkStart w:id="49" w:name="_Toc14870"/>
      <w:bookmarkStart w:id="50" w:name="_Toc14899"/>
      <w:bookmarkStart w:id="51" w:name="_Toc13039"/>
      <w:r>
        <w:rPr>
          <w:rFonts w:hint="eastAsia" w:ascii="宋体" w:hAnsi="宋体" w:cs="宋体"/>
          <w:szCs w:val="36"/>
        </w:rPr>
        <w:t xml:space="preserve">第四部分 </w:t>
      </w:r>
      <w:bookmarkStart w:id="52" w:name="_Toc184308064"/>
      <w:bookmarkEnd w:id="52"/>
      <w:bookmarkStart w:id="53" w:name="_Toc184314425"/>
      <w:bookmarkEnd w:id="53"/>
      <w:bookmarkStart w:id="54" w:name="_Toc184314435"/>
      <w:bookmarkEnd w:id="54"/>
      <w:bookmarkStart w:id="55" w:name="_Toc184310285"/>
      <w:bookmarkEnd w:id="55"/>
      <w:bookmarkStart w:id="56" w:name="_Toc184313272"/>
      <w:bookmarkEnd w:id="56"/>
      <w:bookmarkStart w:id="57" w:name="_Toc184312076"/>
      <w:bookmarkEnd w:id="57"/>
      <w:bookmarkStart w:id="58" w:name="_Toc184308045"/>
      <w:bookmarkEnd w:id="58"/>
      <w:bookmarkStart w:id="59" w:name="_Toc184308089"/>
      <w:bookmarkEnd w:id="59"/>
      <w:bookmarkStart w:id="60" w:name="_Toc184310277"/>
      <w:bookmarkEnd w:id="60"/>
      <w:bookmarkStart w:id="61" w:name="_Toc184314474"/>
      <w:bookmarkEnd w:id="61"/>
      <w:bookmarkStart w:id="62" w:name="_Toc184313257"/>
      <w:bookmarkEnd w:id="62"/>
      <w:bookmarkStart w:id="63" w:name="_Toc184310301"/>
      <w:bookmarkEnd w:id="63"/>
      <w:bookmarkStart w:id="64" w:name="_Toc184308105"/>
      <w:bookmarkEnd w:id="64"/>
      <w:bookmarkStart w:id="65" w:name="_Toc184313283"/>
      <w:bookmarkEnd w:id="65"/>
      <w:bookmarkStart w:id="66" w:name="_Toc184312082"/>
      <w:bookmarkEnd w:id="66"/>
      <w:bookmarkStart w:id="67" w:name="_Toc184314436"/>
      <w:bookmarkEnd w:id="67"/>
      <w:bookmarkStart w:id="68" w:name="_Toc184314457"/>
      <w:bookmarkEnd w:id="68"/>
      <w:bookmarkStart w:id="69" w:name="_Toc184313284"/>
      <w:bookmarkEnd w:id="69"/>
      <w:bookmarkStart w:id="70" w:name="_Toc184314417"/>
      <w:bookmarkEnd w:id="70"/>
      <w:bookmarkStart w:id="71" w:name="_Toc184314464"/>
      <w:bookmarkEnd w:id="71"/>
      <w:bookmarkStart w:id="72" w:name="_Toc184313263"/>
      <w:bookmarkEnd w:id="72"/>
      <w:bookmarkStart w:id="73" w:name="_Toc184310307"/>
      <w:bookmarkEnd w:id="73"/>
      <w:bookmarkStart w:id="74" w:name="_Toc184312092"/>
      <w:bookmarkEnd w:id="74"/>
      <w:bookmarkStart w:id="75" w:name="_Toc184313271"/>
      <w:bookmarkEnd w:id="75"/>
      <w:bookmarkStart w:id="76" w:name="_Toc184308057"/>
      <w:bookmarkEnd w:id="76"/>
      <w:bookmarkStart w:id="77" w:name="_Toc184310328"/>
      <w:bookmarkEnd w:id="77"/>
      <w:bookmarkStart w:id="78" w:name="_Toc184312112"/>
      <w:bookmarkEnd w:id="78"/>
      <w:bookmarkStart w:id="79" w:name="_Toc184308049"/>
      <w:bookmarkEnd w:id="79"/>
      <w:bookmarkStart w:id="80" w:name="_Toc184310338"/>
      <w:bookmarkEnd w:id="80"/>
      <w:bookmarkStart w:id="81" w:name="_Toc184313300"/>
      <w:bookmarkEnd w:id="81"/>
      <w:bookmarkStart w:id="82" w:name="_Toc184313275"/>
      <w:bookmarkEnd w:id="82"/>
      <w:bookmarkStart w:id="83" w:name="_Toc184308044"/>
      <w:bookmarkEnd w:id="83"/>
      <w:bookmarkStart w:id="84" w:name="_Toc184314459"/>
      <w:bookmarkEnd w:id="84"/>
      <w:bookmarkStart w:id="85" w:name="_Toc184310334"/>
      <w:bookmarkEnd w:id="85"/>
      <w:bookmarkStart w:id="86" w:name="_Toc184310340"/>
      <w:bookmarkEnd w:id="86"/>
      <w:bookmarkStart w:id="87" w:name="_Toc184308046"/>
      <w:bookmarkEnd w:id="87"/>
      <w:bookmarkStart w:id="88" w:name="_Toc184310327"/>
      <w:bookmarkEnd w:id="88"/>
      <w:bookmarkStart w:id="89" w:name="_Toc184314465"/>
      <w:bookmarkEnd w:id="89"/>
      <w:bookmarkStart w:id="90" w:name="_Toc184314414"/>
      <w:bookmarkEnd w:id="90"/>
      <w:bookmarkStart w:id="91" w:name="_Toc184308076"/>
      <w:bookmarkEnd w:id="91"/>
      <w:bookmarkStart w:id="92" w:name="_Toc184308063"/>
      <w:bookmarkEnd w:id="92"/>
      <w:bookmarkStart w:id="93" w:name="_Toc184312086"/>
      <w:bookmarkEnd w:id="93"/>
      <w:bookmarkStart w:id="94" w:name="_Toc184314443"/>
      <w:bookmarkEnd w:id="94"/>
      <w:bookmarkStart w:id="95" w:name="_Toc184313306"/>
      <w:bookmarkEnd w:id="95"/>
      <w:bookmarkStart w:id="96" w:name="_Toc184310315"/>
      <w:bookmarkEnd w:id="96"/>
      <w:bookmarkStart w:id="97" w:name="_Toc184310293"/>
      <w:bookmarkEnd w:id="97"/>
      <w:bookmarkStart w:id="98" w:name="_Toc184308101"/>
      <w:bookmarkEnd w:id="98"/>
      <w:bookmarkStart w:id="99" w:name="_Toc184314423"/>
      <w:bookmarkEnd w:id="99"/>
      <w:bookmarkStart w:id="100" w:name="_Toc184313295"/>
      <w:bookmarkEnd w:id="100"/>
      <w:bookmarkStart w:id="101" w:name="_Toc184313251"/>
      <w:bookmarkEnd w:id="101"/>
      <w:bookmarkStart w:id="102" w:name="_Toc184310310"/>
      <w:bookmarkEnd w:id="102"/>
      <w:bookmarkStart w:id="103" w:name="_Toc184313264"/>
      <w:bookmarkEnd w:id="103"/>
      <w:bookmarkStart w:id="104" w:name="_Toc184310294"/>
      <w:bookmarkEnd w:id="104"/>
      <w:bookmarkStart w:id="105" w:name="_Toc184312094"/>
      <w:bookmarkEnd w:id="105"/>
      <w:bookmarkStart w:id="106" w:name="_Toc184308091"/>
      <w:bookmarkEnd w:id="106"/>
      <w:bookmarkStart w:id="107" w:name="_Toc184308072"/>
      <w:bookmarkEnd w:id="107"/>
      <w:bookmarkStart w:id="108" w:name="_Toc184312104"/>
      <w:bookmarkEnd w:id="108"/>
      <w:bookmarkStart w:id="109" w:name="_Toc184310305"/>
      <w:bookmarkEnd w:id="109"/>
      <w:bookmarkStart w:id="110" w:name="_Toc184313258"/>
      <w:bookmarkEnd w:id="110"/>
      <w:bookmarkStart w:id="111" w:name="_Toc184310302"/>
      <w:bookmarkEnd w:id="111"/>
      <w:bookmarkStart w:id="112" w:name="_Toc184313303"/>
      <w:bookmarkEnd w:id="112"/>
      <w:bookmarkStart w:id="113" w:name="_Toc184308048"/>
      <w:bookmarkEnd w:id="113"/>
      <w:bookmarkStart w:id="114" w:name="_Toc184312126"/>
      <w:bookmarkEnd w:id="114"/>
      <w:bookmarkStart w:id="115" w:name="_Toc184308052"/>
      <w:bookmarkEnd w:id="115"/>
      <w:bookmarkStart w:id="116" w:name="_Toc184313247"/>
      <w:bookmarkEnd w:id="116"/>
      <w:bookmarkStart w:id="117" w:name="_Toc184314428"/>
      <w:bookmarkEnd w:id="117"/>
      <w:bookmarkStart w:id="118" w:name="_Toc184312114"/>
      <w:bookmarkEnd w:id="118"/>
      <w:bookmarkStart w:id="119" w:name="_Toc184313260"/>
      <w:bookmarkEnd w:id="119"/>
      <w:bookmarkStart w:id="120" w:name="_Toc184313250"/>
      <w:bookmarkEnd w:id="120"/>
      <w:bookmarkStart w:id="121" w:name="_Toc184313261"/>
      <w:bookmarkEnd w:id="121"/>
      <w:bookmarkStart w:id="122" w:name="_Toc184312122"/>
      <w:bookmarkEnd w:id="122"/>
      <w:bookmarkStart w:id="123" w:name="_Toc184308085"/>
      <w:bookmarkEnd w:id="123"/>
      <w:bookmarkStart w:id="124" w:name="_Toc184312083"/>
      <w:bookmarkEnd w:id="124"/>
      <w:bookmarkStart w:id="125" w:name="_Toc184310309"/>
      <w:bookmarkEnd w:id="125"/>
      <w:bookmarkStart w:id="126" w:name="_Toc184308083"/>
      <w:bookmarkEnd w:id="126"/>
      <w:bookmarkStart w:id="127" w:name="_Toc184310339"/>
      <w:bookmarkEnd w:id="127"/>
      <w:bookmarkStart w:id="128" w:name="_Toc184314419"/>
      <w:bookmarkEnd w:id="128"/>
      <w:bookmarkStart w:id="129" w:name="_Toc184314471"/>
      <w:bookmarkEnd w:id="129"/>
      <w:bookmarkStart w:id="130" w:name="_Toc184313238"/>
      <w:bookmarkEnd w:id="130"/>
      <w:bookmarkStart w:id="131" w:name="_Toc184308061"/>
      <w:bookmarkEnd w:id="131"/>
      <w:bookmarkStart w:id="132" w:name="_Toc184313270"/>
      <w:bookmarkEnd w:id="132"/>
      <w:bookmarkStart w:id="133" w:name="_Toc184310322"/>
      <w:bookmarkEnd w:id="133"/>
      <w:bookmarkStart w:id="134" w:name="_Toc184312068"/>
      <w:bookmarkEnd w:id="134"/>
      <w:bookmarkStart w:id="135" w:name="_Toc184312137"/>
      <w:bookmarkEnd w:id="135"/>
      <w:bookmarkStart w:id="136" w:name="_Toc184313288"/>
      <w:bookmarkEnd w:id="136"/>
      <w:bookmarkStart w:id="137" w:name="_Toc184314477"/>
      <w:bookmarkEnd w:id="137"/>
      <w:bookmarkStart w:id="138" w:name="_Toc184314412"/>
      <w:bookmarkEnd w:id="138"/>
      <w:bookmarkStart w:id="139" w:name="_Toc184314433"/>
      <w:bookmarkEnd w:id="139"/>
      <w:bookmarkStart w:id="140" w:name="_Toc184313245"/>
      <w:bookmarkEnd w:id="140"/>
      <w:bookmarkStart w:id="141" w:name="_Toc184312078"/>
      <w:bookmarkEnd w:id="141"/>
      <w:bookmarkStart w:id="142" w:name="_Toc184313302"/>
      <w:bookmarkEnd w:id="142"/>
      <w:bookmarkStart w:id="143" w:name="_Toc184314451"/>
      <w:bookmarkEnd w:id="143"/>
      <w:bookmarkStart w:id="144" w:name="_Toc184308059"/>
      <w:bookmarkEnd w:id="144"/>
      <w:bookmarkStart w:id="145" w:name="_Toc184314442"/>
      <w:bookmarkEnd w:id="145"/>
      <w:bookmarkStart w:id="146" w:name="_Toc184308095"/>
      <w:bookmarkEnd w:id="146"/>
      <w:bookmarkStart w:id="147" w:name="_Toc184308036"/>
      <w:bookmarkEnd w:id="147"/>
      <w:bookmarkStart w:id="148" w:name="_Toc184313244"/>
      <w:bookmarkEnd w:id="148"/>
      <w:bookmarkStart w:id="149" w:name="_Toc184313259"/>
      <w:bookmarkEnd w:id="149"/>
      <w:bookmarkStart w:id="150" w:name="_Toc184310274"/>
      <w:bookmarkEnd w:id="150"/>
      <w:bookmarkStart w:id="151" w:name="_Toc184308106"/>
      <w:bookmarkEnd w:id="151"/>
      <w:bookmarkStart w:id="152" w:name="_Toc184313290"/>
      <w:bookmarkEnd w:id="152"/>
      <w:bookmarkStart w:id="153" w:name="_Toc184310286"/>
      <w:bookmarkEnd w:id="153"/>
      <w:bookmarkStart w:id="154" w:name="_Toc184314434"/>
      <w:bookmarkEnd w:id="154"/>
      <w:bookmarkStart w:id="155" w:name="_Toc184314444"/>
      <w:bookmarkEnd w:id="155"/>
      <w:bookmarkStart w:id="156" w:name="_Toc184313274"/>
      <w:bookmarkEnd w:id="156"/>
      <w:bookmarkStart w:id="157" w:name="_Toc184310308"/>
      <w:bookmarkEnd w:id="157"/>
      <w:bookmarkStart w:id="158" w:name="_Toc184310325"/>
      <w:bookmarkEnd w:id="158"/>
      <w:bookmarkStart w:id="159" w:name="_Toc184313242"/>
      <w:bookmarkEnd w:id="159"/>
      <w:bookmarkStart w:id="160" w:name="_Toc184310335"/>
      <w:bookmarkEnd w:id="160"/>
      <w:bookmarkStart w:id="161" w:name="_Toc184313294"/>
      <w:bookmarkEnd w:id="161"/>
      <w:bookmarkStart w:id="162" w:name="_Toc184312107"/>
      <w:bookmarkEnd w:id="162"/>
      <w:bookmarkStart w:id="163" w:name="_Toc184314473"/>
      <w:bookmarkEnd w:id="163"/>
      <w:bookmarkStart w:id="164" w:name="_Toc184310298"/>
      <w:bookmarkEnd w:id="164"/>
      <w:bookmarkStart w:id="165" w:name="_Toc184312129"/>
      <w:bookmarkEnd w:id="165"/>
      <w:bookmarkStart w:id="166" w:name="_Toc184308075"/>
      <w:bookmarkEnd w:id="166"/>
      <w:bookmarkStart w:id="167" w:name="_Toc184308067"/>
      <w:bookmarkEnd w:id="167"/>
      <w:bookmarkStart w:id="168" w:name="_Toc184313298"/>
      <w:bookmarkEnd w:id="168"/>
      <w:bookmarkStart w:id="169" w:name="_Toc184308078"/>
      <w:bookmarkEnd w:id="169"/>
      <w:bookmarkStart w:id="170" w:name="_Toc184314432"/>
      <w:bookmarkEnd w:id="170"/>
      <w:bookmarkStart w:id="171" w:name="_Toc184314431"/>
      <w:bookmarkEnd w:id="171"/>
      <w:bookmarkStart w:id="172" w:name="_Toc184313243"/>
      <w:bookmarkEnd w:id="172"/>
      <w:bookmarkStart w:id="173" w:name="_Toc184312073"/>
      <w:bookmarkEnd w:id="173"/>
      <w:bookmarkStart w:id="174" w:name="_Toc184314449"/>
      <w:bookmarkEnd w:id="174"/>
      <w:bookmarkStart w:id="175" w:name="_Toc184312115"/>
      <w:bookmarkEnd w:id="175"/>
      <w:bookmarkStart w:id="176" w:name="_Toc184314455"/>
      <w:bookmarkEnd w:id="176"/>
      <w:bookmarkStart w:id="177" w:name="_Toc184314481"/>
      <w:bookmarkEnd w:id="177"/>
      <w:bookmarkStart w:id="178" w:name="_Toc184312138"/>
      <w:bookmarkEnd w:id="178"/>
      <w:bookmarkStart w:id="179" w:name="_Toc184312119"/>
      <w:bookmarkEnd w:id="179"/>
      <w:bookmarkStart w:id="180" w:name="_Toc184308090"/>
      <w:bookmarkEnd w:id="180"/>
      <w:bookmarkStart w:id="181" w:name="_Toc184308055"/>
      <w:bookmarkEnd w:id="181"/>
      <w:bookmarkStart w:id="182" w:name="_Toc184312113"/>
      <w:bookmarkEnd w:id="182"/>
      <w:bookmarkStart w:id="183" w:name="_Toc184314438"/>
      <w:bookmarkEnd w:id="183"/>
      <w:bookmarkStart w:id="184" w:name="_Toc184312127"/>
      <w:bookmarkEnd w:id="184"/>
      <w:bookmarkStart w:id="185" w:name="_Toc184310336"/>
      <w:bookmarkEnd w:id="185"/>
      <w:bookmarkStart w:id="186" w:name="_Toc184314453"/>
      <w:bookmarkEnd w:id="186"/>
      <w:bookmarkStart w:id="187" w:name="_Toc184312084"/>
      <w:bookmarkEnd w:id="187"/>
      <w:bookmarkStart w:id="188" w:name="_Toc184310289"/>
      <w:bookmarkEnd w:id="188"/>
      <w:bookmarkStart w:id="189" w:name="_Toc184312123"/>
      <w:bookmarkEnd w:id="189"/>
      <w:bookmarkStart w:id="190" w:name="_Toc184313305"/>
      <w:bookmarkEnd w:id="190"/>
      <w:bookmarkStart w:id="191" w:name="_Toc184308047"/>
      <w:bookmarkEnd w:id="191"/>
      <w:bookmarkStart w:id="192" w:name="_Toc184312074"/>
      <w:bookmarkEnd w:id="192"/>
      <w:bookmarkStart w:id="193" w:name="_Toc184310332"/>
      <w:bookmarkEnd w:id="193"/>
      <w:bookmarkStart w:id="194" w:name="_Toc184310330"/>
      <w:bookmarkEnd w:id="194"/>
      <w:bookmarkStart w:id="195" w:name="_Toc184312102"/>
      <w:bookmarkEnd w:id="195"/>
      <w:bookmarkStart w:id="196" w:name="_Toc184308065"/>
      <w:bookmarkEnd w:id="196"/>
      <w:bookmarkStart w:id="197" w:name="_Toc184313286"/>
      <w:bookmarkEnd w:id="197"/>
      <w:bookmarkStart w:id="198" w:name="_Toc184313296"/>
      <w:bookmarkEnd w:id="198"/>
      <w:bookmarkStart w:id="199" w:name="_Toc184312131"/>
      <w:bookmarkEnd w:id="199"/>
      <w:bookmarkStart w:id="200" w:name="_Toc184308069"/>
      <w:bookmarkEnd w:id="200"/>
      <w:bookmarkStart w:id="201" w:name="_Toc184310288"/>
      <w:bookmarkEnd w:id="201"/>
      <w:bookmarkStart w:id="202" w:name="_Toc184313289"/>
      <w:bookmarkEnd w:id="202"/>
      <w:bookmarkStart w:id="203" w:name="_Toc184312133"/>
      <w:bookmarkEnd w:id="203"/>
      <w:bookmarkStart w:id="204" w:name="_Toc184312117"/>
      <w:bookmarkEnd w:id="204"/>
      <w:bookmarkStart w:id="205" w:name="_Toc184310344"/>
      <w:bookmarkEnd w:id="205"/>
      <w:bookmarkStart w:id="206" w:name="_Toc184310337"/>
      <w:bookmarkEnd w:id="206"/>
      <w:bookmarkStart w:id="207" w:name="_Toc184314441"/>
      <w:bookmarkEnd w:id="207"/>
      <w:bookmarkStart w:id="208" w:name="_Toc184312091"/>
      <w:bookmarkEnd w:id="208"/>
      <w:bookmarkStart w:id="209" w:name="_Toc184312075"/>
      <w:bookmarkEnd w:id="209"/>
      <w:bookmarkStart w:id="210" w:name="_Toc184312134"/>
      <w:bookmarkEnd w:id="210"/>
      <w:bookmarkStart w:id="211" w:name="_Toc184314416"/>
      <w:bookmarkEnd w:id="211"/>
      <w:bookmarkStart w:id="212" w:name="_Toc184314466"/>
      <w:bookmarkEnd w:id="212"/>
      <w:bookmarkStart w:id="213" w:name="_Toc184312095"/>
      <w:bookmarkEnd w:id="213"/>
      <w:bookmarkStart w:id="214" w:name="_Toc184310318"/>
      <w:bookmarkEnd w:id="214"/>
      <w:bookmarkStart w:id="215" w:name="_Toc184310273"/>
      <w:bookmarkEnd w:id="215"/>
      <w:bookmarkStart w:id="216" w:name="_Toc184310295"/>
      <w:bookmarkEnd w:id="216"/>
      <w:bookmarkStart w:id="217" w:name="_Toc184313254"/>
      <w:bookmarkEnd w:id="217"/>
      <w:bookmarkStart w:id="218" w:name="_Toc184313287"/>
      <w:bookmarkEnd w:id="218"/>
      <w:bookmarkStart w:id="219" w:name="_Toc184308054"/>
      <w:bookmarkEnd w:id="219"/>
      <w:bookmarkStart w:id="220" w:name="_Toc184313277"/>
      <w:bookmarkEnd w:id="220"/>
      <w:bookmarkStart w:id="221" w:name="_Toc184314461"/>
      <w:bookmarkEnd w:id="221"/>
      <w:bookmarkStart w:id="222" w:name="_Toc184312070"/>
      <w:bookmarkEnd w:id="222"/>
      <w:bookmarkStart w:id="223" w:name="_Toc184314439"/>
      <w:bookmarkEnd w:id="223"/>
      <w:bookmarkStart w:id="224" w:name="_Toc184312106"/>
      <w:bookmarkEnd w:id="224"/>
      <w:bookmarkStart w:id="225" w:name="_Toc184312079"/>
      <w:bookmarkEnd w:id="225"/>
      <w:bookmarkStart w:id="226" w:name="_Toc184314424"/>
      <w:bookmarkEnd w:id="226"/>
      <w:bookmarkStart w:id="227" w:name="_Toc184312069"/>
      <w:bookmarkEnd w:id="227"/>
      <w:bookmarkStart w:id="228" w:name="_Toc184314450"/>
      <w:bookmarkEnd w:id="228"/>
      <w:bookmarkStart w:id="229" w:name="_Toc184308053"/>
      <w:bookmarkEnd w:id="229"/>
      <w:bookmarkStart w:id="230" w:name="_Toc184310304"/>
      <w:bookmarkEnd w:id="230"/>
      <w:bookmarkStart w:id="231" w:name="_Toc184314469"/>
      <w:bookmarkEnd w:id="231"/>
      <w:bookmarkStart w:id="232" w:name="_Toc184308100"/>
      <w:bookmarkEnd w:id="232"/>
      <w:bookmarkStart w:id="233" w:name="_Toc184314426"/>
      <w:bookmarkEnd w:id="233"/>
      <w:bookmarkStart w:id="234" w:name="_Toc184308086"/>
      <w:bookmarkEnd w:id="234"/>
      <w:bookmarkStart w:id="235" w:name="_Toc184310283"/>
      <w:bookmarkEnd w:id="235"/>
      <w:bookmarkStart w:id="236" w:name="_Toc184313310"/>
      <w:bookmarkEnd w:id="236"/>
      <w:bookmarkStart w:id="237" w:name="_Toc184314470"/>
      <w:bookmarkEnd w:id="237"/>
      <w:bookmarkStart w:id="238" w:name="_Toc184313262"/>
      <w:bookmarkEnd w:id="238"/>
      <w:bookmarkStart w:id="239" w:name="_Toc184310287"/>
      <w:bookmarkEnd w:id="239"/>
      <w:bookmarkStart w:id="240" w:name="_Toc184312077"/>
      <w:bookmarkEnd w:id="240"/>
      <w:bookmarkStart w:id="241" w:name="_Toc184308041"/>
      <w:bookmarkEnd w:id="241"/>
      <w:bookmarkStart w:id="242" w:name="_Toc184310324"/>
      <w:bookmarkEnd w:id="242"/>
      <w:bookmarkStart w:id="243" w:name="_Toc184310317"/>
      <w:bookmarkEnd w:id="243"/>
      <w:bookmarkStart w:id="244" w:name="_Toc184312099"/>
      <w:bookmarkEnd w:id="244"/>
      <w:bookmarkStart w:id="245" w:name="_Toc184310333"/>
      <w:bookmarkEnd w:id="245"/>
      <w:bookmarkStart w:id="246" w:name="_Toc184313249"/>
      <w:bookmarkEnd w:id="246"/>
      <w:bookmarkStart w:id="247" w:name="_Toc184314475"/>
      <w:bookmarkEnd w:id="247"/>
      <w:bookmarkStart w:id="248" w:name="_Toc184308082"/>
      <w:bookmarkEnd w:id="248"/>
      <w:bookmarkStart w:id="249" w:name="_Toc184312101"/>
      <w:bookmarkEnd w:id="249"/>
      <w:bookmarkStart w:id="250" w:name="_Toc184308084"/>
      <w:bookmarkEnd w:id="250"/>
      <w:bookmarkStart w:id="251" w:name="_Toc184312109"/>
      <w:bookmarkEnd w:id="251"/>
      <w:bookmarkStart w:id="252" w:name="_Toc184314415"/>
      <w:bookmarkEnd w:id="252"/>
      <w:bookmarkStart w:id="253" w:name="_Toc184308051"/>
      <w:bookmarkEnd w:id="253"/>
      <w:bookmarkStart w:id="254" w:name="_Toc184308098"/>
      <w:bookmarkEnd w:id="254"/>
      <w:bookmarkStart w:id="255" w:name="_Toc184308093"/>
      <w:bookmarkEnd w:id="255"/>
      <w:bookmarkStart w:id="256" w:name="_Toc184312135"/>
      <w:bookmarkEnd w:id="256"/>
      <w:bookmarkStart w:id="257" w:name="_Toc184310281"/>
      <w:bookmarkEnd w:id="257"/>
      <w:bookmarkStart w:id="258" w:name="_Toc184313269"/>
      <w:bookmarkEnd w:id="258"/>
      <w:bookmarkStart w:id="259" w:name="_Toc184308080"/>
      <w:bookmarkEnd w:id="259"/>
      <w:bookmarkStart w:id="260" w:name="_Toc184314478"/>
      <w:bookmarkEnd w:id="260"/>
      <w:bookmarkStart w:id="261" w:name="_Toc184308088"/>
      <w:bookmarkEnd w:id="261"/>
      <w:bookmarkStart w:id="262" w:name="_Toc184312097"/>
      <w:bookmarkEnd w:id="262"/>
      <w:bookmarkStart w:id="263" w:name="_Toc184312116"/>
      <w:bookmarkEnd w:id="263"/>
      <w:bookmarkStart w:id="264" w:name="_Toc184312098"/>
      <w:bookmarkEnd w:id="264"/>
      <w:bookmarkStart w:id="265" w:name="_Toc184310319"/>
      <w:bookmarkEnd w:id="265"/>
      <w:bookmarkStart w:id="266" w:name="_Toc184314410"/>
      <w:bookmarkEnd w:id="266"/>
      <w:bookmarkStart w:id="267" w:name="_Toc184314427"/>
      <w:bookmarkEnd w:id="267"/>
      <w:bookmarkStart w:id="268" w:name="_Toc184313280"/>
      <w:bookmarkEnd w:id="268"/>
      <w:bookmarkStart w:id="269" w:name="_Toc184312085"/>
      <w:bookmarkEnd w:id="269"/>
      <w:bookmarkStart w:id="270" w:name="_Toc184308104"/>
      <w:bookmarkEnd w:id="270"/>
      <w:bookmarkStart w:id="271" w:name="_Toc184312081"/>
      <w:bookmarkEnd w:id="271"/>
      <w:bookmarkStart w:id="272" w:name="_Toc184308050"/>
      <w:bookmarkEnd w:id="272"/>
      <w:bookmarkStart w:id="273" w:name="_Toc184310329"/>
      <w:bookmarkEnd w:id="273"/>
      <w:bookmarkStart w:id="274" w:name="_Toc184313308"/>
      <w:bookmarkEnd w:id="274"/>
      <w:bookmarkStart w:id="275" w:name="_Toc184313273"/>
      <w:bookmarkEnd w:id="275"/>
      <w:bookmarkStart w:id="276" w:name="_Toc184313255"/>
      <w:bookmarkEnd w:id="276"/>
      <w:bookmarkStart w:id="277" w:name="_Toc184314430"/>
      <w:bookmarkEnd w:id="277"/>
      <w:bookmarkStart w:id="278" w:name="_Toc184312090"/>
      <w:bookmarkEnd w:id="278"/>
      <w:bookmarkStart w:id="279" w:name="_Toc184308087"/>
      <w:bookmarkEnd w:id="279"/>
      <w:bookmarkStart w:id="280" w:name="_Toc184314429"/>
      <w:bookmarkEnd w:id="280"/>
      <w:bookmarkStart w:id="281" w:name="_Toc184310278"/>
      <w:bookmarkEnd w:id="281"/>
      <w:bookmarkStart w:id="282" w:name="_Toc184312103"/>
      <w:bookmarkEnd w:id="282"/>
      <w:bookmarkStart w:id="283" w:name="_Toc184310300"/>
      <w:bookmarkEnd w:id="283"/>
      <w:bookmarkStart w:id="284" w:name="_Toc184308092"/>
      <w:bookmarkEnd w:id="284"/>
      <w:bookmarkStart w:id="285" w:name="_Toc184308079"/>
      <w:bookmarkEnd w:id="285"/>
      <w:bookmarkStart w:id="286" w:name="_Toc184310282"/>
      <w:bookmarkEnd w:id="286"/>
      <w:bookmarkStart w:id="287" w:name="_Toc184313293"/>
      <w:bookmarkEnd w:id="287"/>
      <w:bookmarkStart w:id="288" w:name="_Toc184313240"/>
      <w:bookmarkEnd w:id="288"/>
      <w:bookmarkStart w:id="289" w:name="_Toc184308108"/>
      <w:bookmarkEnd w:id="289"/>
      <w:bookmarkStart w:id="290" w:name="_Toc184310275"/>
      <w:bookmarkEnd w:id="290"/>
      <w:bookmarkStart w:id="291" w:name="_Toc184310343"/>
      <w:bookmarkEnd w:id="291"/>
      <w:bookmarkStart w:id="292" w:name="_Toc184310323"/>
      <w:bookmarkEnd w:id="292"/>
      <w:bookmarkStart w:id="293" w:name="_Toc184310272"/>
      <w:bookmarkEnd w:id="293"/>
      <w:bookmarkStart w:id="294" w:name="_Toc184313278"/>
      <w:bookmarkEnd w:id="294"/>
      <w:bookmarkStart w:id="295" w:name="_Toc184308073"/>
      <w:bookmarkEnd w:id="295"/>
      <w:bookmarkStart w:id="296" w:name="_Toc184310316"/>
      <w:bookmarkEnd w:id="296"/>
      <w:bookmarkStart w:id="297" w:name="_Toc184308077"/>
      <w:bookmarkEnd w:id="297"/>
      <w:bookmarkStart w:id="298" w:name="_Toc184310321"/>
      <w:bookmarkEnd w:id="298"/>
      <w:bookmarkStart w:id="299" w:name="_Toc184312089"/>
      <w:bookmarkEnd w:id="299"/>
      <w:bookmarkStart w:id="300" w:name="_Toc184310279"/>
      <w:bookmarkEnd w:id="300"/>
      <w:bookmarkStart w:id="301" w:name="_Toc184312128"/>
      <w:bookmarkEnd w:id="301"/>
      <w:bookmarkStart w:id="302" w:name="_Toc184312105"/>
      <w:bookmarkEnd w:id="302"/>
      <w:bookmarkStart w:id="303" w:name="_Toc184314472"/>
      <w:bookmarkEnd w:id="303"/>
      <w:bookmarkStart w:id="304" w:name="_Toc184308070"/>
      <w:bookmarkEnd w:id="304"/>
      <w:bookmarkStart w:id="305" w:name="_Toc184310320"/>
      <w:bookmarkEnd w:id="305"/>
      <w:bookmarkStart w:id="306" w:name="_Toc184313253"/>
      <w:bookmarkEnd w:id="306"/>
      <w:bookmarkStart w:id="307" w:name="_Toc184313304"/>
      <w:bookmarkEnd w:id="307"/>
      <w:bookmarkStart w:id="308" w:name="_Toc184312110"/>
      <w:bookmarkEnd w:id="308"/>
      <w:bookmarkStart w:id="309" w:name="_Toc184314446"/>
      <w:bookmarkEnd w:id="309"/>
      <w:bookmarkStart w:id="310" w:name="_Toc184308094"/>
      <w:bookmarkEnd w:id="310"/>
      <w:bookmarkStart w:id="311" w:name="_Toc184313268"/>
      <w:bookmarkEnd w:id="311"/>
      <w:bookmarkStart w:id="312" w:name="_Toc184308038"/>
      <w:bookmarkEnd w:id="312"/>
      <w:bookmarkStart w:id="313" w:name="_Toc184308097"/>
      <w:bookmarkEnd w:id="313"/>
      <w:bookmarkStart w:id="314" w:name="_Toc184312100"/>
      <w:bookmarkEnd w:id="314"/>
      <w:bookmarkStart w:id="315" w:name="_Toc184313297"/>
      <w:bookmarkEnd w:id="315"/>
      <w:bookmarkStart w:id="316" w:name="_Toc184313256"/>
      <w:bookmarkEnd w:id="316"/>
      <w:bookmarkStart w:id="317" w:name="_Toc184312071"/>
      <w:bookmarkEnd w:id="317"/>
      <w:bookmarkStart w:id="318" w:name="_Toc184314458"/>
      <w:bookmarkEnd w:id="318"/>
      <w:bookmarkStart w:id="319" w:name="_Toc184314421"/>
      <w:bookmarkEnd w:id="319"/>
      <w:bookmarkStart w:id="320" w:name="_Toc184310290"/>
      <w:bookmarkEnd w:id="320"/>
      <w:bookmarkStart w:id="321" w:name="_Toc184313279"/>
      <w:bookmarkEnd w:id="321"/>
      <w:bookmarkStart w:id="322" w:name="_Toc184312072"/>
      <w:bookmarkEnd w:id="322"/>
      <w:bookmarkStart w:id="323" w:name="_Toc184313299"/>
      <w:bookmarkEnd w:id="323"/>
      <w:bookmarkStart w:id="324" w:name="_Toc184308062"/>
      <w:bookmarkEnd w:id="324"/>
      <w:bookmarkStart w:id="325" w:name="_Toc184308066"/>
      <w:bookmarkEnd w:id="325"/>
      <w:bookmarkStart w:id="326" w:name="_Toc184312118"/>
      <w:bookmarkEnd w:id="326"/>
      <w:bookmarkStart w:id="327" w:name="_Toc184310284"/>
      <w:bookmarkEnd w:id="327"/>
      <w:bookmarkStart w:id="328" w:name="_Toc184308103"/>
      <w:bookmarkEnd w:id="328"/>
      <w:bookmarkStart w:id="329" w:name="_Toc184313301"/>
      <w:bookmarkEnd w:id="329"/>
      <w:bookmarkStart w:id="330" w:name="_Toc184308058"/>
      <w:bookmarkEnd w:id="330"/>
      <w:bookmarkStart w:id="331" w:name="_Toc184314456"/>
      <w:bookmarkEnd w:id="331"/>
      <w:bookmarkStart w:id="332" w:name="_Toc184310313"/>
      <w:bookmarkEnd w:id="332"/>
      <w:bookmarkStart w:id="333" w:name="_Toc184313291"/>
      <w:bookmarkEnd w:id="333"/>
      <w:bookmarkStart w:id="334" w:name="_Toc184312132"/>
      <w:bookmarkEnd w:id="334"/>
      <w:bookmarkStart w:id="335" w:name="_Toc184310342"/>
      <w:bookmarkEnd w:id="335"/>
      <w:bookmarkStart w:id="336" w:name="_Toc184308060"/>
      <w:bookmarkEnd w:id="336"/>
      <w:bookmarkStart w:id="337" w:name="_Toc184308039"/>
      <w:bookmarkEnd w:id="337"/>
      <w:bookmarkStart w:id="338" w:name="_Toc184314460"/>
      <w:bookmarkEnd w:id="338"/>
      <w:bookmarkStart w:id="339" w:name="_Toc184310341"/>
      <w:bookmarkEnd w:id="339"/>
      <w:bookmarkStart w:id="340" w:name="_Toc184310303"/>
      <w:bookmarkEnd w:id="340"/>
      <w:bookmarkStart w:id="341" w:name="_Toc184310326"/>
      <w:bookmarkEnd w:id="341"/>
      <w:bookmarkStart w:id="342" w:name="_Toc184310280"/>
      <w:bookmarkEnd w:id="342"/>
      <w:bookmarkStart w:id="343" w:name="_Toc184310291"/>
      <w:bookmarkEnd w:id="343"/>
      <w:bookmarkStart w:id="344" w:name="_Toc184312080"/>
      <w:bookmarkEnd w:id="344"/>
      <w:bookmarkStart w:id="345" w:name="_Toc184314447"/>
      <w:bookmarkEnd w:id="345"/>
      <w:bookmarkStart w:id="346" w:name="_Toc184312096"/>
      <w:bookmarkEnd w:id="346"/>
      <w:bookmarkStart w:id="347" w:name="_Toc184308040"/>
      <w:bookmarkEnd w:id="347"/>
      <w:bookmarkStart w:id="348" w:name="_Toc184312093"/>
      <w:bookmarkEnd w:id="348"/>
      <w:bookmarkStart w:id="349" w:name="_Toc184313282"/>
      <w:bookmarkEnd w:id="349"/>
      <w:bookmarkStart w:id="350" w:name="_Toc184313267"/>
      <w:bookmarkEnd w:id="350"/>
      <w:bookmarkStart w:id="351" w:name="_Toc184312136"/>
      <w:bookmarkEnd w:id="351"/>
      <w:bookmarkStart w:id="352" w:name="_Toc184312120"/>
      <w:bookmarkEnd w:id="352"/>
      <w:bookmarkStart w:id="353" w:name="_Toc184308071"/>
      <w:bookmarkEnd w:id="353"/>
      <w:bookmarkStart w:id="354" w:name="_Toc184310299"/>
      <w:bookmarkEnd w:id="354"/>
      <w:bookmarkStart w:id="355" w:name="_Toc184308081"/>
      <w:bookmarkEnd w:id="355"/>
      <w:bookmarkStart w:id="356" w:name="_Toc184313292"/>
      <w:bookmarkEnd w:id="356"/>
      <w:bookmarkStart w:id="357" w:name="_Toc184313252"/>
      <w:bookmarkEnd w:id="357"/>
      <w:bookmarkStart w:id="358" w:name="_Toc184314454"/>
      <w:bookmarkEnd w:id="358"/>
      <w:bookmarkStart w:id="359" w:name="_Toc184308102"/>
      <w:bookmarkEnd w:id="359"/>
      <w:bookmarkStart w:id="360" w:name="_Toc184312111"/>
      <w:bookmarkEnd w:id="360"/>
      <w:bookmarkStart w:id="361" w:name="_Toc184308096"/>
      <w:bookmarkEnd w:id="361"/>
      <w:bookmarkStart w:id="362" w:name="_Toc184312139"/>
      <w:bookmarkEnd w:id="362"/>
      <w:bookmarkStart w:id="363" w:name="_Toc184314452"/>
      <w:bookmarkEnd w:id="363"/>
      <w:bookmarkStart w:id="364" w:name="_Toc184313246"/>
      <w:bookmarkEnd w:id="364"/>
      <w:bookmarkStart w:id="365" w:name="_Toc184314422"/>
      <w:bookmarkEnd w:id="365"/>
      <w:bookmarkStart w:id="366" w:name="_Toc184314418"/>
      <w:bookmarkEnd w:id="366"/>
      <w:bookmarkStart w:id="367" w:name="_Toc184310276"/>
      <w:bookmarkEnd w:id="367"/>
      <w:bookmarkStart w:id="368" w:name="_Toc184310314"/>
      <w:bookmarkEnd w:id="368"/>
      <w:bookmarkStart w:id="369" w:name="_Toc184310306"/>
      <w:bookmarkEnd w:id="369"/>
      <w:bookmarkStart w:id="370" w:name="_Toc184310311"/>
      <w:bookmarkEnd w:id="370"/>
      <w:bookmarkStart w:id="371" w:name="_Toc184314437"/>
      <w:bookmarkEnd w:id="371"/>
      <w:bookmarkStart w:id="372" w:name="_Toc184313309"/>
      <w:bookmarkEnd w:id="372"/>
      <w:bookmarkStart w:id="373" w:name="_Toc184313276"/>
      <w:bookmarkEnd w:id="373"/>
      <w:bookmarkStart w:id="374" w:name="_Toc184308037"/>
      <w:bookmarkEnd w:id="374"/>
      <w:bookmarkStart w:id="375" w:name="_Toc184314462"/>
      <w:bookmarkEnd w:id="375"/>
      <w:bookmarkStart w:id="376" w:name="_Toc184312087"/>
      <w:bookmarkEnd w:id="376"/>
      <w:bookmarkStart w:id="377" w:name="_Toc184308043"/>
      <w:bookmarkEnd w:id="377"/>
      <w:bookmarkStart w:id="378" w:name="_Toc184314445"/>
      <w:bookmarkEnd w:id="378"/>
      <w:bookmarkStart w:id="379" w:name="_Toc184308099"/>
      <w:bookmarkEnd w:id="379"/>
      <w:bookmarkStart w:id="380" w:name="_Toc184313239"/>
      <w:bookmarkEnd w:id="380"/>
      <w:bookmarkStart w:id="381" w:name="_Toc184308074"/>
      <w:bookmarkEnd w:id="381"/>
      <w:bookmarkStart w:id="382" w:name="_Toc184312088"/>
      <w:bookmarkEnd w:id="382"/>
      <w:bookmarkStart w:id="383" w:name="_Toc184314420"/>
      <w:bookmarkEnd w:id="383"/>
      <w:bookmarkStart w:id="384" w:name="_Toc184308107"/>
      <w:bookmarkEnd w:id="384"/>
      <w:bookmarkStart w:id="385" w:name="_Toc184314448"/>
      <w:bookmarkEnd w:id="385"/>
      <w:bookmarkStart w:id="386" w:name="_Toc184312130"/>
      <w:bookmarkEnd w:id="386"/>
      <w:bookmarkStart w:id="387" w:name="_Toc184310292"/>
      <w:bookmarkEnd w:id="387"/>
      <w:bookmarkStart w:id="388" w:name="_Toc184314482"/>
      <w:bookmarkEnd w:id="388"/>
      <w:bookmarkStart w:id="389" w:name="_Toc184314480"/>
      <w:bookmarkEnd w:id="389"/>
      <w:bookmarkStart w:id="390" w:name="_Toc184312125"/>
      <w:bookmarkEnd w:id="390"/>
      <w:bookmarkStart w:id="391" w:name="_Toc184313266"/>
      <w:bookmarkEnd w:id="391"/>
      <w:bookmarkStart w:id="392" w:name="_Toc184314467"/>
      <w:bookmarkEnd w:id="392"/>
      <w:bookmarkStart w:id="393" w:name="_Toc184308068"/>
      <w:bookmarkEnd w:id="393"/>
      <w:bookmarkStart w:id="394" w:name="_Toc184314476"/>
      <w:bookmarkEnd w:id="394"/>
      <w:bookmarkStart w:id="395" w:name="_Toc184314463"/>
      <w:bookmarkEnd w:id="395"/>
      <w:bookmarkStart w:id="396" w:name="_Toc184308042"/>
      <w:bookmarkEnd w:id="396"/>
      <w:bookmarkStart w:id="397" w:name="_Toc184313265"/>
      <w:bookmarkEnd w:id="397"/>
      <w:bookmarkStart w:id="398" w:name="_Toc184312108"/>
      <w:bookmarkEnd w:id="398"/>
      <w:bookmarkStart w:id="399" w:name="_Toc184314413"/>
      <w:bookmarkEnd w:id="399"/>
      <w:bookmarkStart w:id="400" w:name="_Toc184313307"/>
      <w:bookmarkEnd w:id="400"/>
      <w:bookmarkStart w:id="401" w:name="_Toc184314411"/>
      <w:bookmarkEnd w:id="401"/>
      <w:bookmarkStart w:id="402" w:name="_Toc184313281"/>
      <w:bookmarkEnd w:id="402"/>
      <w:bookmarkStart w:id="403" w:name="_Toc184312124"/>
      <w:bookmarkEnd w:id="403"/>
      <w:bookmarkStart w:id="404" w:name="_Toc184310296"/>
      <w:bookmarkEnd w:id="404"/>
      <w:bookmarkStart w:id="405" w:name="_Toc184310331"/>
      <w:bookmarkEnd w:id="405"/>
      <w:bookmarkStart w:id="406" w:name="_Toc184314440"/>
      <w:bookmarkEnd w:id="406"/>
      <w:bookmarkStart w:id="407" w:name="_Toc184314479"/>
      <w:bookmarkEnd w:id="407"/>
      <w:bookmarkStart w:id="408" w:name="_Toc184312121"/>
      <w:bookmarkEnd w:id="408"/>
      <w:bookmarkStart w:id="409" w:name="_Toc184310312"/>
      <w:bookmarkEnd w:id="409"/>
      <w:bookmarkStart w:id="410" w:name="_Toc184308056"/>
      <w:bookmarkEnd w:id="410"/>
      <w:bookmarkStart w:id="411" w:name="_Toc184313248"/>
      <w:bookmarkEnd w:id="411"/>
      <w:bookmarkStart w:id="412" w:name="_Toc184313285"/>
      <w:bookmarkEnd w:id="412"/>
      <w:bookmarkStart w:id="413" w:name="_Toc184313241"/>
      <w:bookmarkEnd w:id="413"/>
      <w:bookmarkStart w:id="414" w:name="_Toc184312067"/>
      <w:bookmarkEnd w:id="414"/>
      <w:bookmarkStart w:id="415" w:name="_Toc184314468"/>
      <w:bookmarkEnd w:id="415"/>
      <w:bookmarkStart w:id="416" w:name="_Toc184310297"/>
      <w:bookmarkEnd w:id="416"/>
      <w:r>
        <w:rPr>
          <w:rFonts w:hint="eastAsia" w:ascii="宋体" w:hAnsi="宋体" w:cs="宋体"/>
          <w:szCs w:val="36"/>
        </w:rPr>
        <w:t>评标办法</w:t>
      </w:r>
      <w:bookmarkEnd w:id="49"/>
      <w:bookmarkEnd w:id="50"/>
      <w:bookmarkEnd w:id="51"/>
    </w:p>
    <w:p>
      <w:pPr>
        <w:pStyle w:val="2"/>
      </w:pPr>
      <w:bookmarkStart w:id="417" w:name="_Toc19050"/>
      <w:bookmarkStart w:id="418" w:name="_Toc22464"/>
      <w:r>
        <w:rPr>
          <w:rFonts w:hint="eastAsia"/>
        </w:rPr>
        <w:t>一、评标方法</w:t>
      </w:r>
      <w:bookmarkEnd w:id="417"/>
      <w:bookmarkEnd w:id="418"/>
    </w:p>
    <w:p>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pPr>
        <w:spacing w:before="120" w:beforeLines="50" w:after="12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pPr>
        <w:pStyle w:val="2"/>
        <w:numPr>
          <w:ilvl w:val="0"/>
          <w:numId w:val="2"/>
        </w:numPr>
      </w:pPr>
      <w:bookmarkStart w:id="419" w:name="_Toc4726"/>
      <w:bookmarkStart w:id="420" w:name="_Toc30791"/>
      <w:r>
        <w:rPr>
          <w:rFonts w:hint="eastAsia"/>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90"/>
        <w:gridCol w:w="5483"/>
        <w:gridCol w:w="125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rPr>
                <w:b/>
                <w:bCs/>
              </w:rPr>
            </w:pPr>
            <w:r>
              <w:rPr>
                <w:rFonts w:hint="eastAsia"/>
                <w:b/>
                <w:bCs/>
              </w:rPr>
              <w:t>序号</w:t>
            </w:r>
          </w:p>
        </w:tc>
        <w:tc>
          <w:tcPr>
            <w:tcW w:w="592" w:type="pct"/>
            <w:vAlign w:val="center"/>
          </w:tcPr>
          <w:p>
            <w:pPr>
              <w:ind w:firstLine="0" w:firstLineChars="0"/>
              <w:jc w:val="center"/>
              <w:rPr>
                <w:b/>
                <w:bCs/>
              </w:rPr>
            </w:pPr>
            <w:r>
              <w:rPr>
                <w:rFonts w:hint="eastAsia"/>
                <w:b/>
                <w:bCs/>
              </w:rPr>
              <w:t>评分类型</w:t>
            </w:r>
          </w:p>
        </w:tc>
        <w:tc>
          <w:tcPr>
            <w:tcW w:w="2728" w:type="pct"/>
            <w:vAlign w:val="center"/>
          </w:tcPr>
          <w:p>
            <w:pPr>
              <w:ind w:firstLine="0" w:firstLineChars="0"/>
              <w:jc w:val="center"/>
              <w:rPr>
                <w:b/>
                <w:bCs/>
              </w:rPr>
            </w:pPr>
            <w:r>
              <w:rPr>
                <w:rFonts w:hint="eastAsia"/>
                <w:b/>
                <w:bCs/>
              </w:rPr>
              <w:t>评分标准</w:t>
            </w:r>
          </w:p>
        </w:tc>
        <w:tc>
          <w:tcPr>
            <w:tcW w:w="624" w:type="pct"/>
            <w:vAlign w:val="center"/>
          </w:tcPr>
          <w:p>
            <w:pPr>
              <w:ind w:firstLine="0" w:firstLineChars="0"/>
              <w:jc w:val="center"/>
              <w:rPr>
                <w:b/>
                <w:bCs/>
              </w:rPr>
            </w:pPr>
            <w:r>
              <w:rPr>
                <w:rFonts w:hint="eastAsia"/>
                <w:b/>
                <w:bCs/>
              </w:rPr>
              <w:t>分值范围</w:t>
            </w:r>
          </w:p>
        </w:tc>
        <w:tc>
          <w:tcPr>
            <w:tcW w:w="638" w:type="pct"/>
            <w:vAlign w:val="center"/>
          </w:tcPr>
          <w:p>
            <w:pPr>
              <w:ind w:firstLine="0" w:firstLineChars="0"/>
              <w:jc w:val="center"/>
              <w:rPr>
                <w:b/>
                <w:bCs/>
              </w:rPr>
            </w:pPr>
            <w:r>
              <w:rPr>
                <w:rFonts w:hint="eastAsia" w:ascii="宋体" w:hAnsi="宋体" w:cs="宋体"/>
                <w:b/>
                <w:bCs/>
              </w:rPr>
              <w:t>评分属性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w:t>
            </w:r>
          </w:p>
        </w:tc>
        <w:tc>
          <w:tcPr>
            <w:tcW w:w="592" w:type="pct"/>
            <w:vAlign w:val="center"/>
          </w:tcPr>
          <w:p>
            <w:pPr>
              <w:ind w:firstLine="0" w:firstLineChars="0"/>
              <w:jc w:val="center"/>
            </w:pPr>
            <w:r>
              <w:rPr>
                <w:rFonts w:hint="eastAsia"/>
              </w:rPr>
              <w:t>报价</w:t>
            </w:r>
          </w:p>
        </w:tc>
        <w:tc>
          <w:tcPr>
            <w:tcW w:w="2728" w:type="pct"/>
            <w:vAlign w:val="center"/>
          </w:tcPr>
          <w:p>
            <w:pPr>
              <w:ind w:firstLine="0" w:firstLineChars="0"/>
              <w:jc w:val="left"/>
            </w:pPr>
            <w:r>
              <w:rPr>
                <w:rFonts w:hint="eastAsia"/>
              </w:rPr>
              <w:t>价格分采用低价优先法计算，即有效投标报价的最低价为评审基准价，其最低报价为满分。其他投标人的报价分统一按照下列公式计算：</w:t>
            </w:r>
          </w:p>
          <w:p>
            <w:pPr>
              <w:ind w:firstLine="0" w:firstLineChars="0"/>
              <w:jc w:val="left"/>
            </w:pPr>
            <w:r>
              <w:rPr>
                <w:rFonts w:hint="eastAsia"/>
              </w:rPr>
              <w:t>报价得分=（评审基准价/投标报价）*15</w:t>
            </w:r>
          </w:p>
          <w:p>
            <w:pPr>
              <w:ind w:firstLine="0" w:firstLineChars="0"/>
            </w:pPr>
            <w:r>
              <w:rPr>
                <w:rFonts w:hint="eastAsia"/>
                <w:b/>
                <w:bCs/>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组成联合体或者接受分包的小微企业与联合体内其他企业、分包企业之间存在直接控股、管理关系的，不享受价格扣除优惠政策。</w:t>
            </w:r>
          </w:p>
        </w:tc>
        <w:tc>
          <w:tcPr>
            <w:tcW w:w="624" w:type="pct"/>
            <w:vAlign w:val="center"/>
          </w:tcPr>
          <w:p>
            <w:pPr>
              <w:ind w:firstLine="0" w:firstLineChars="0"/>
              <w:jc w:val="center"/>
            </w:pPr>
            <w:r>
              <w:rPr>
                <w:rFonts w:hint="eastAsia"/>
              </w:rPr>
              <w:t>0-15</w:t>
            </w:r>
          </w:p>
        </w:tc>
        <w:tc>
          <w:tcPr>
            <w:tcW w:w="638" w:type="pct"/>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2</w:t>
            </w:r>
          </w:p>
        </w:tc>
        <w:tc>
          <w:tcPr>
            <w:tcW w:w="592" w:type="pct"/>
            <w:vAlign w:val="center"/>
          </w:tcPr>
          <w:p>
            <w:pPr>
              <w:ind w:firstLine="0" w:firstLineChars="0"/>
              <w:jc w:val="center"/>
            </w:pPr>
            <w:r>
              <w:rPr>
                <w:rFonts w:hint="eastAsia"/>
              </w:rPr>
              <w:t>商务</w:t>
            </w:r>
          </w:p>
        </w:tc>
        <w:tc>
          <w:tcPr>
            <w:tcW w:w="2728" w:type="pct"/>
            <w:vAlign w:val="center"/>
          </w:tcPr>
          <w:p>
            <w:pPr>
              <w:ind w:firstLine="0" w:firstLineChars="0"/>
              <w:rPr>
                <w:rFonts w:ascii="宋体" w:hAnsi="宋体" w:cs="宋体"/>
                <w:b/>
                <w:bCs/>
              </w:rPr>
            </w:pPr>
            <w:r>
              <w:rPr>
                <w:rFonts w:hint="eastAsia" w:ascii="宋体" w:hAnsi="宋体" w:cs="宋体"/>
              </w:rPr>
              <w:t>投标人自2021年9月份以来承接过同类项目业绩，每个得0.5分，最高得1分；（业绩必须提供相应的证明文件（合同复印件），时间以合同签订时间为准。）</w:t>
            </w:r>
          </w:p>
        </w:tc>
        <w:tc>
          <w:tcPr>
            <w:tcW w:w="624" w:type="pct"/>
            <w:vAlign w:val="center"/>
          </w:tcPr>
          <w:p>
            <w:pPr>
              <w:ind w:firstLine="0" w:firstLineChars="0"/>
              <w:jc w:val="center"/>
            </w:pPr>
            <w:r>
              <w:rPr>
                <w:rFonts w:hint="eastAsia"/>
              </w:rPr>
              <w:t>0-1</w:t>
            </w:r>
          </w:p>
        </w:tc>
        <w:tc>
          <w:tcPr>
            <w:tcW w:w="638" w:type="pct"/>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3</w:t>
            </w:r>
          </w:p>
        </w:tc>
        <w:tc>
          <w:tcPr>
            <w:tcW w:w="592" w:type="pct"/>
            <w:vAlign w:val="center"/>
          </w:tcPr>
          <w:p>
            <w:pPr>
              <w:ind w:firstLine="0" w:firstLineChars="0"/>
              <w:jc w:val="center"/>
            </w:pPr>
            <w:r>
              <w:rPr>
                <w:rFonts w:hint="eastAsia"/>
              </w:rPr>
              <w:t>技术</w:t>
            </w:r>
          </w:p>
        </w:tc>
        <w:tc>
          <w:tcPr>
            <w:tcW w:w="2728" w:type="pct"/>
            <w:vAlign w:val="center"/>
          </w:tcPr>
          <w:p>
            <w:pPr>
              <w:pStyle w:val="485"/>
              <w:ind w:firstLine="0" w:firstLineChars="0"/>
              <w:jc w:val="left"/>
              <w:rPr>
                <w:rFonts w:ascii="宋体" w:hAnsi="宋体" w:cs="宋体"/>
              </w:rPr>
            </w:pPr>
            <w:r>
              <w:rPr>
                <w:rFonts w:hint="eastAsia" w:ascii="宋体" w:hAnsi="宋体" w:cs="宋体"/>
                <w:szCs w:val="21"/>
              </w:rPr>
              <w:t>投标人提供的项目总体组织实施方案</w:t>
            </w:r>
            <w:r>
              <w:rPr>
                <w:rFonts w:hint="eastAsia"/>
              </w:rPr>
              <w:t>（评分范围：4,3,2,1,0）</w:t>
            </w:r>
          </w:p>
        </w:tc>
        <w:tc>
          <w:tcPr>
            <w:tcW w:w="624" w:type="pct"/>
            <w:vAlign w:val="center"/>
          </w:tcPr>
          <w:p>
            <w:pPr>
              <w:ind w:firstLine="0" w:firstLineChars="0"/>
              <w:jc w:val="center"/>
            </w:pPr>
            <w:r>
              <w:rPr>
                <w:rFonts w:hint="eastAsia"/>
              </w:rPr>
              <w:t>0-4</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4</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kern w:val="0"/>
              </w:rPr>
            </w:pPr>
            <w:r>
              <w:rPr>
                <w:rFonts w:hint="eastAsia"/>
                <w:szCs w:val="21"/>
              </w:rPr>
              <w:t>针对本项目工作的重点、难点</w:t>
            </w:r>
            <w:r>
              <w:rPr>
                <w:rFonts w:hint="eastAsia" w:ascii="宋体" w:hAnsi="宋体" w:cs="宋体"/>
                <w:szCs w:val="21"/>
                <w:lang w:val="zh-CN"/>
              </w:rPr>
              <w:t>提出具体解决方案</w:t>
            </w:r>
            <w:r>
              <w:rPr>
                <w:rFonts w:hint="eastAsia"/>
              </w:rPr>
              <w:t>（评分范围：4,3,2,1,0）</w:t>
            </w:r>
          </w:p>
        </w:tc>
        <w:tc>
          <w:tcPr>
            <w:tcW w:w="624" w:type="pct"/>
            <w:vAlign w:val="center"/>
          </w:tcPr>
          <w:p>
            <w:pPr>
              <w:ind w:firstLine="0" w:firstLineChars="0"/>
              <w:jc w:val="center"/>
              <w:rPr>
                <w:kern w:val="0"/>
              </w:rPr>
            </w:pPr>
            <w:r>
              <w:rPr>
                <w:rFonts w:hint="eastAsia"/>
              </w:rPr>
              <w:t>0-4</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5</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rPr>
                <w:rFonts w:ascii="宋体" w:hAnsi="宋体" w:cs="宋体"/>
              </w:rPr>
            </w:pPr>
            <w:r>
              <w:rPr>
                <w:rFonts w:hint="eastAsia" w:ascii="宋体" w:hAnsi="宋体" w:cs="宋体"/>
              </w:rPr>
              <w:t>4场线下活动方案：</w:t>
            </w:r>
          </w:p>
          <w:p>
            <w:pPr>
              <w:ind w:firstLine="0" w:firstLineChars="0"/>
              <w:rPr>
                <w:rFonts w:ascii="宋体" w:hAnsi="宋体" w:cs="宋体"/>
              </w:rPr>
            </w:pPr>
            <w:r>
              <w:rPr>
                <w:rFonts w:hint="eastAsia" w:ascii="宋体" w:hAnsi="宋体" w:cs="宋体"/>
              </w:rPr>
              <w:t>（1）4场线下活动主题风格定位（0-4分）</w:t>
            </w:r>
            <w:r>
              <w:rPr>
                <w:rFonts w:hint="eastAsia"/>
              </w:rPr>
              <w:t>（评分范围：4,3,2,1,0）</w:t>
            </w:r>
          </w:p>
          <w:p>
            <w:pPr>
              <w:pStyle w:val="485"/>
              <w:ind w:firstLine="0" w:firstLineChars="0"/>
              <w:jc w:val="left"/>
            </w:pPr>
            <w:r>
              <w:rPr>
                <w:rFonts w:hint="eastAsia"/>
                <w:szCs w:val="24"/>
              </w:rPr>
              <w:t>（2）</w:t>
            </w:r>
            <w:r>
              <w:rPr>
                <w:rFonts w:hint="eastAsia" w:ascii="宋体" w:hAnsi="宋体" w:cs="宋体"/>
              </w:rPr>
              <w:t>4场线下活动内容策划方案（包括但不限于活动内容、主持团队安排、串场节目等）（0-5分）</w:t>
            </w:r>
            <w:r>
              <w:rPr>
                <w:rFonts w:hint="eastAsia"/>
              </w:rPr>
              <w:t>（评分范围：5,4,3,2,1,0）</w:t>
            </w:r>
          </w:p>
          <w:p>
            <w:pPr>
              <w:pStyle w:val="485"/>
              <w:ind w:firstLine="0" w:firstLineChars="0"/>
              <w:jc w:val="left"/>
            </w:pPr>
            <w:r>
              <w:rPr>
                <w:rFonts w:hint="eastAsia"/>
              </w:rPr>
              <w:t>（3）</w:t>
            </w:r>
            <w:r>
              <w:rPr>
                <w:rFonts w:hint="eastAsia"/>
                <w:szCs w:val="24"/>
              </w:rPr>
              <w:t>4场线下活动组织实施方案(包含但不限于工作时间进度表、具体工作程序和步骤、管理和协调方法、关键步骤的思路和要点等。）</w:t>
            </w:r>
            <w:r>
              <w:rPr>
                <w:rFonts w:hint="eastAsia" w:ascii="宋体" w:hAnsi="宋体" w:cs="宋体"/>
              </w:rPr>
              <w:t>（0-4分）</w:t>
            </w:r>
            <w:r>
              <w:rPr>
                <w:rFonts w:hint="eastAsia"/>
              </w:rPr>
              <w:t>（评分范围：4,3,2,1,0）</w:t>
            </w:r>
          </w:p>
        </w:tc>
        <w:tc>
          <w:tcPr>
            <w:tcW w:w="624" w:type="pct"/>
            <w:vAlign w:val="center"/>
          </w:tcPr>
          <w:p>
            <w:pPr>
              <w:ind w:firstLine="0" w:firstLineChars="0"/>
              <w:jc w:val="center"/>
              <w:rPr>
                <w:kern w:val="0"/>
              </w:rPr>
            </w:pPr>
            <w:r>
              <w:rPr>
                <w:rFonts w:hint="eastAsia" w:ascii="宋体" w:hAnsi="宋体" w:cs="宋体"/>
              </w:rPr>
              <w:t>0-13</w:t>
            </w:r>
          </w:p>
        </w:tc>
        <w:tc>
          <w:tcPr>
            <w:tcW w:w="638" w:type="pct"/>
            <w:vAlign w:val="center"/>
          </w:tcPr>
          <w:p>
            <w:pPr>
              <w:ind w:firstLine="0" w:firstLineChars="0"/>
              <w:jc w:val="center"/>
            </w:pPr>
            <w:r>
              <w:rPr>
                <w:rFonts w:hint="eastAsia" w:ascii="宋体" w:hAnsi="宋体" w:cs="宋体"/>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6</w:t>
            </w:r>
          </w:p>
        </w:tc>
        <w:tc>
          <w:tcPr>
            <w:tcW w:w="592" w:type="pct"/>
            <w:vAlign w:val="center"/>
          </w:tcPr>
          <w:p>
            <w:pPr>
              <w:ind w:firstLine="0" w:firstLineChars="0"/>
              <w:jc w:val="center"/>
            </w:pPr>
            <w:r>
              <w:rPr>
                <w:rFonts w:hint="eastAsia"/>
              </w:rPr>
              <w:t>技术</w:t>
            </w:r>
          </w:p>
        </w:tc>
        <w:tc>
          <w:tcPr>
            <w:tcW w:w="2728" w:type="pct"/>
            <w:vAlign w:val="center"/>
          </w:tcPr>
          <w:p>
            <w:pPr>
              <w:pStyle w:val="54"/>
              <w:ind w:left="0" w:leftChars="0" w:firstLine="0" w:firstLineChars="0"/>
              <w:rPr>
                <w:rFonts w:ascii="宋体" w:hAnsi="宋体" w:cs="Helvetica"/>
                <w:kern w:val="0"/>
              </w:rPr>
            </w:pPr>
            <w:r>
              <w:rPr>
                <w:rFonts w:hint="eastAsia" w:ascii="宋体" w:hAnsi="宋体" w:cs="Helvetica"/>
                <w:kern w:val="0"/>
              </w:rPr>
              <w:t>4场线下活动场地布置方案：</w:t>
            </w:r>
          </w:p>
          <w:p>
            <w:pPr>
              <w:pStyle w:val="54"/>
              <w:ind w:left="0" w:leftChars="0" w:firstLine="0" w:firstLineChars="0"/>
            </w:pPr>
            <w:r>
              <w:rPr>
                <w:rFonts w:hint="eastAsia" w:ascii="宋体" w:hAnsi="宋体" w:cs="Helvetica"/>
                <w:kern w:val="0"/>
              </w:rPr>
              <w:t>（1）4场线下活动场地选择、场地规模（0-3分）</w:t>
            </w:r>
            <w:r>
              <w:rPr>
                <w:rFonts w:hint="eastAsia"/>
              </w:rPr>
              <w:t>（评分范围：3,2,1,0）</w:t>
            </w:r>
          </w:p>
          <w:p>
            <w:pPr>
              <w:pStyle w:val="54"/>
              <w:ind w:left="0" w:leftChars="0" w:firstLine="0" w:firstLineChars="0"/>
              <w:rPr>
                <w:rFonts w:ascii="宋体" w:hAnsi="宋体" w:cs="Helvetica"/>
                <w:kern w:val="0"/>
              </w:rPr>
            </w:pPr>
            <w:r>
              <w:rPr>
                <w:rFonts w:hint="eastAsia" w:ascii="宋体" w:hAnsi="宋体" w:cs="Helvetica"/>
                <w:kern w:val="0"/>
              </w:rPr>
              <w:t>（2）4场线下活动主舞台及功能区设置方案（0-5分）</w:t>
            </w:r>
            <w:r>
              <w:rPr>
                <w:rFonts w:hint="eastAsia"/>
              </w:rPr>
              <w:t>（评分范围：5,4,3,2,1,0）</w:t>
            </w:r>
          </w:p>
          <w:p>
            <w:pPr>
              <w:pStyle w:val="54"/>
              <w:ind w:left="0" w:leftChars="0" w:firstLine="0" w:firstLineChars="0"/>
            </w:pPr>
            <w:r>
              <w:rPr>
                <w:rFonts w:hint="eastAsia" w:ascii="宋体" w:hAnsi="宋体" w:cs="Helvetica"/>
                <w:kern w:val="0"/>
              </w:rPr>
              <w:t>（3）4场线下活动舞台搭建</w:t>
            </w:r>
            <w:r>
              <w:rPr>
                <w:rFonts w:hint="eastAsia"/>
              </w:rPr>
              <w:t>方案（0-3分）（评分范围：3,2,1,0）</w:t>
            </w:r>
          </w:p>
          <w:p>
            <w:pPr>
              <w:pStyle w:val="54"/>
              <w:ind w:left="0" w:leftChars="0" w:firstLine="0" w:firstLineChars="0"/>
            </w:pPr>
            <w:r>
              <w:rPr>
                <w:rFonts w:hint="eastAsia" w:ascii="宋体" w:hAnsi="宋体" w:cs="Helvetica"/>
                <w:kern w:val="0"/>
              </w:rPr>
              <w:t>（4）4场线下活动各功能区布置方案</w:t>
            </w:r>
            <w:r>
              <w:rPr>
                <w:rFonts w:hint="eastAsia"/>
              </w:rPr>
              <w:t>（0-4分）（评分范围：4,3,2,1,0）</w:t>
            </w:r>
          </w:p>
        </w:tc>
        <w:tc>
          <w:tcPr>
            <w:tcW w:w="624" w:type="pct"/>
            <w:vAlign w:val="center"/>
          </w:tcPr>
          <w:p>
            <w:pPr>
              <w:ind w:firstLine="0" w:firstLineChars="0"/>
              <w:jc w:val="center"/>
            </w:pPr>
            <w:r>
              <w:rPr>
                <w:rFonts w:hint="eastAsia"/>
              </w:rPr>
              <w:t>0-15</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7</w:t>
            </w:r>
          </w:p>
        </w:tc>
        <w:tc>
          <w:tcPr>
            <w:tcW w:w="592" w:type="pct"/>
            <w:vAlign w:val="center"/>
          </w:tcPr>
          <w:p>
            <w:pPr>
              <w:ind w:firstLine="0" w:firstLineChars="0"/>
              <w:jc w:val="center"/>
            </w:pPr>
            <w:r>
              <w:rPr>
                <w:rFonts w:hint="eastAsia"/>
              </w:rPr>
              <w:t>技术</w:t>
            </w:r>
          </w:p>
        </w:tc>
        <w:tc>
          <w:tcPr>
            <w:tcW w:w="2728" w:type="pct"/>
            <w:vAlign w:val="center"/>
          </w:tcPr>
          <w:p>
            <w:pPr>
              <w:pStyle w:val="54"/>
              <w:ind w:left="0" w:leftChars="0" w:firstLine="0" w:firstLineChars="0"/>
              <w:rPr>
                <w:rFonts w:ascii="宋体" w:hAnsi="宋体" w:cs="Helvetica"/>
                <w:kern w:val="0"/>
              </w:rPr>
            </w:pPr>
            <w:r>
              <w:rPr>
                <w:rFonts w:hint="eastAsia" w:ascii="宋体" w:hAnsi="宋体" w:cs="Helvetica"/>
                <w:kern w:val="0"/>
              </w:rPr>
              <w:t>4场线下活动现场NPC</w:t>
            </w:r>
            <w:r>
              <w:rPr>
                <w:rFonts w:hint="eastAsia"/>
              </w:rPr>
              <w:t>方案（评分范围：3,2,1,0）</w:t>
            </w:r>
          </w:p>
        </w:tc>
        <w:tc>
          <w:tcPr>
            <w:tcW w:w="624" w:type="pct"/>
            <w:vAlign w:val="center"/>
          </w:tcPr>
          <w:p>
            <w:pPr>
              <w:ind w:firstLine="0" w:firstLineChars="0"/>
              <w:jc w:val="center"/>
            </w:pPr>
            <w:r>
              <w:rPr>
                <w:rFonts w:hint="eastAsia"/>
              </w:rPr>
              <w:t>0-3</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8</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pPr>
            <w:r>
              <w:rPr>
                <w:rFonts w:hint="eastAsia"/>
              </w:rPr>
              <w:t>“爱心驿站”代表统一服装设计方案（评分范围：3,2,1,0）</w:t>
            </w:r>
          </w:p>
        </w:tc>
        <w:tc>
          <w:tcPr>
            <w:tcW w:w="624" w:type="pct"/>
            <w:vAlign w:val="center"/>
          </w:tcPr>
          <w:p>
            <w:pPr>
              <w:ind w:firstLine="0" w:firstLineChars="0"/>
              <w:jc w:val="center"/>
            </w:pPr>
            <w:r>
              <w:rPr>
                <w:rFonts w:hint="eastAsia"/>
              </w:rPr>
              <w:t>0-3</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9</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pPr>
            <w:r>
              <w:rPr>
                <w:rFonts w:hint="eastAsia"/>
                <w:kern w:val="0"/>
              </w:rPr>
              <w:t>投标人根据项目特性，向社会招募参与活动人员的招募方案</w:t>
            </w:r>
            <w:r>
              <w:rPr>
                <w:rFonts w:hint="eastAsia"/>
              </w:rPr>
              <w:t>（评分范围：3,2,1,0）</w:t>
            </w:r>
          </w:p>
        </w:tc>
        <w:tc>
          <w:tcPr>
            <w:tcW w:w="624" w:type="pct"/>
            <w:vAlign w:val="center"/>
          </w:tcPr>
          <w:p>
            <w:pPr>
              <w:ind w:firstLine="0" w:firstLineChars="0"/>
              <w:jc w:val="center"/>
            </w:pPr>
            <w:r>
              <w:rPr>
                <w:rFonts w:hint="eastAsia"/>
              </w:rPr>
              <w:t>0-3</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10</w:t>
            </w:r>
          </w:p>
        </w:tc>
        <w:tc>
          <w:tcPr>
            <w:tcW w:w="592" w:type="pct"/>
            <w:vAlign w:val="center"/>
          </w:tcPr>
          <w:p>
            <w:pPr>
              <w:ind w:firstLine="0" w:firstLineChars="0"/>
              <w:jc w:val="center"/>
            </w:pPr>
            <w:r>
              <w:rPr>
                <w:rFonts w:hint="eastAsia"/>
              </w:rPr>
              <w:t>技术</w:t>
            </w:r>
          </w:p>
        </w:tc>
        <w:tc>
          <w:tcPr>
            <w:tcW w:w="2728" w:type="pct"/>
            <w:vAlign w:val="center"/>
          </w:tcPr>
          <w:p>
            <w:pPr>
              <w:pStyle w:val="54"/>
              <w:ind w:left="0" w:leftChars="0" w:firstLine="0" w:firstLineChars="0"/>
              <w:rPr>
                <w:kern w:val="0"/>
              </w:rPr>
            </w:pPr>
            <w:r>
              <w:rPr>
                <w:rFonts w:hint="eastAsia"/>
                <w:kern w:val="0"/>
              </w:rPr>
              <w:t>投标人根据4场活动主题拟定的主题LOGO、系列创意海报、活动背景、标识设计、喷绘展板及匹配的宣传物料方案</w:t>
            </w:r>
            <w:r>
              <w:rPr>
                <w:rFonts w:hint="eastAsia"/>
              </w:rPr>
              <w:t>（评分范围：5,4,3,2,1,0）</w:t>
            </w:r>
          </w:p>
        </w:tc>
        <w:tc>
          <w:tcPr>
            <w:tcW w:w="624" w:type="pct"/>
            <w:vAlign w:val="center"/>
          </w:tcPr>
          <w:p>
            <w:pPr>
              <w:ind w:firstLine="0" w:firstLineChars="0"/>
              <w:jc w:val="center"/>
            </w:pPr>
            <w:r>
              <w:rPr>
                <w:rFonts w:hint="eastAsia"/>
              </w:rPr>
              <w:t>0-5</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11</w:t>
            </w:r>
          </w:p>
        </w:tc>
        <w:tc>
          <w:tcPr>
            <w:tcW w:w="592" w:type="pct"/>
            <w:vAlign w:val="center"/>
          </w:tcPr>
          <w:p>
            <w:pPr>
              <w:ind w:firstLine="0" w:firstLineChars="0"/>
              <w:jc w:val="center"/>
            </w:pPr>
            <w:r>
              <w:rPr>
                <w:rFonts w:hint="eastAsia"/>
              </w:rPr>
              <w:t>技术</w:t>
            </w:r>
          </w:p>
        </w:tc>
        <w:tc>
          <w:tcPr>
            <w:tcW w:w="2728" w:type="pct"/>
            <w:vAlign w:val="center"/>
          </w:tcPr>
          <w:p>
            <w:pPr>
              <w:pStyle w:val="54"/>
              <w:ind w:left="0" w:leftChars="0" w:firstLine="0" w:firstLineChars="0"/>
              <w:rPr>
                <w:kern w:val="0"/>
              </w:rPr>
            </w:pPr>
            <w:r>
              <w:rPr>
                <w:rFonts w:hint="eastAsia"/>
                <w:kern w:val="0"/>
              </w:rPr>
              <w:t>每场活动具体物资配备方案（包含30000元福彩文化IP宣传品（奖品）(提供物资配置清单、品牌规格、样品图或设计图）和20000元福彩刮刮乐，用于点亮微心愿活动及现场互动活动。）</w:t>
            </w:r>
            <w:r>
              <w:rPr>
                <w:rFonts w:hint="eastAsia"/>
              </w:rPr>
              <w:t>（评分范围：5,4,3,2,1,0）</w:t>
            </w:r>
          </w:p>
        </w:tc>
        <w:tc>
          <w:tcPr>
            <w:tcW w:w="624" w:type="pct"/>
            <w:vAlign w:val="center"/>
          </w:tcPr>
          <w:p>
            <w:pPr>
              <w:ind w:firstLine="0" w:firstLineChars="0"/>
              <w:jc w:val="center"/>
            </w:pPr>
            <w:r>
              <w:rPr>
                <w:rFonts w:hint="eastAsia"/>
              </w:rPr>
              <w:t>0-5</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12</w:t>
            </w:r>
          </w:p>
        </w:tc>
        <w:tc>
          <w:tcPr>
            <w:tcW w:w="592" w:type="pct"/>
            <w:vAlign w:val="center"/>
          </w:tcPr>
          <w:p>
            <w:pPr>
              <w:ind w:firstLine="0" w:firstLineChars="0"/>
              <w:jc w:val="center"/>
            </w:pPr>
            <w:r>
              <w:rPr>
                <w:rFonts w:hint="eastAsia"/>
              </w:rPr>
              <w:t>技术</w:t>
            </w:r>
          </w:p>
        </w:tc>
        <w:tc>
          <w:tcPr>
            <w:tcW w:w="2728" w:type="pct"/>
            <w:vAlign w:val="center"/>
          </w:tcPr>
          <w:p>
            <w:pPr>
              <w:pStyle w:val="54"/>
              <w:numPr>
                <w:ilvl w:val="255"/>
                <w:numId w:val="0"/>
              </w:numPr>
              <w:rPr>
                <w:kern w:val="0"/>
              </w:rPr>
            </w:pPr>
            <w:r>
              <w:rPr>
                <w:rFonts w:hint="eastAsia"/>
                <w:kern w:val="0"/>
              </w:rPr>
              <w:t>投标人针对本项目的广告宣传方案（包括但不限于广告媒体选择、投放策略等）（评分范围：5,4,3,2,1,0）</w:t>
            </w:r>
          </w:p>
        </w:tc>
        <w:tc>
          <w:tcPr>
            <w:tcW w:w="624" w:type="pct"/>
            <w:vAlign w:val="center"/>
          </w:tcPr>
          <w:p>
            <w:pPr>
              <w:ind w:firstLine="0" w:firstLineChars="0"/>
              <w:jc w:val="center"/>
            </w:pPr>
            <w:r>
              <w:rPr>
                <w:rFonts w:hint="eastAsia"/>
              </w:rPr>
              <w:t>0-5</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13</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pPr>
            <w:r>
              <w:rPr>
                <w:rFonts w:hint="eastAsia"/>
                <w:kern w:val="0"/>
              </w:rPr>
              <w:t>投标人根据本项目宣传文案和脚本策划，包括拟定视频及图片直播素材选取、剪辑方案及宣传文字方案、脚本文案编写水平</w:t>
            </w:r>
            <w:r>
              <w:rPr>
                <w:rFonts w:hint="eastAsia"/>
              </w:rPr>
              <w:t>（评分范围：4,3,2,1,0）</w:t>
            </w:r>
          </w:p>
        </w:tc>
        <w:tc>
          <w:tcPr>
            <w:tcW w:w="624" w:type="pct"/>
            <w:vAlign w:val="center"/>
          </w:tcPr>
          <w:p>
            <w:pPr>
              <w:ind w:firstLine="0" w:firstLineChars="0"/>
              <w:jc w:val="center"/>
            </w:pPr>
            <w:r>
              <w:rPr>
                <w:rFonts w:hint="eastAsia"/>
              </w:rPr>
              <w:t>0-4</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14</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pPr>
            <w:r>
              <w:rPr>
                <w:rFonts w:hint="eastAsia"/>
                <w:kern w:val="0"/>
              </w:rPr>
              <w:t>投标人针对本项目拟投入的设施设备方案</w:t>
            </w:r>
            <w:r>
              <w:rPr>
                <w:rFonts w:hint="eastAsia"/>
              </w:rPr>
              <w:t>（评分范围：4,3,2,1,0）</w:t>
            </w:r>
          </w:p>
        </w:tc>
        <w:tc>
          <w:tcPr>
            <w:tcW w:w="624" w:type="pct"/>
            <w:vAlign w:val="center"/>
          </w:tcPr>
          <w:p>
            <w:pPr>
              <w:ind w:firstLine="0" w:firstLineChars="0"/>
              <w:jc w:val="center"/>
            </w:pPr>
            <w:r>
              <w:rPr>
                <w:rFonts w:hint="eastAsia"/>
              </w:rPr>
              <w:t>0-4</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15</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kern w:val="0"/>
              </w:rPr>
            </w:pPr>
            <w:r>
              <w:rPr>
                <w:rFonts w:hint="eastAsia" w:ascii="宋体" w:hAnsi="宋体" w:cs="宋体"/>
                <w:szCs w:val="21"/>
              </w:rPr>
              <w:t>投标人遇突发事件时应急响应时效及对突发事件的应急预案</w:t>
            </w:r>
            <w:r>
              <w:rPr>
                <w:rFonts w:hint="eastAsia"/>
              </w:rPr>
              <w:t>（评分范围：3,2,1,0）</w:t>
            </w:r>
          </w:p>
        </w:tc>
        <w:tc>
          <w:tcPr>
            <w:tcW w:w="624" w:type="pct"/>
            <w:vAlign w:val="center"/>
          </w:tcPr>
          <w:p>
            <w:pPr>
              <w:ind w:firstLine="0" w:firstLineChars="0"/>
              <w:jc w:val="center"/>
            </w:pPr>
            <w:r>
              <w:rPr>
                <w:rFonts w:hint="eastAsia"/>
              </w:rPr>
              <w:t>0-3</w:t>
            </w:r>
          </w:p>
        </w:tc>
        <w:tc>
          <w:tcPr>
            <w:tcW w:w="638" w:type="pct"/>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16</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rFonts w:ascii="宋体" w:hAnsi="宋体" w:cs="宋体"/>
                <w:szCs w:val="21"/>
              </w:rPr>
            </w:pPr>
            <w:r>
              <w:rPr>
                <w:rFonts w:hint="eastAsia" w:ascii="宋体" w:hAnsi="宋体" w:cs="宋体"/>
                <w:szCs w:val="21"/>
              </w:rPr>
              <w:t>确保项目质量及宣传效果的保障措施</w:t>
            </w:r>
            <w:r>
              <w:rPr>
                <w:rFonts w:hint="eastAsia"/>
              </w:rPr>
              <w:t>（评分范围：3,2,1,0）</w:t>
            </w:r>
          </w:p>
        </w:tc>
        <w:tc>
          <w:tcPr>
            <w:tcW w:w="1254" w:type="dxa"/>
            <w:vAlign w:val="center"/>
          </w:tcPr>
          <w:p>
            <w:pPr>
              <w:ind w:firstLine="0" w:firstLineChars="0"/>
              <w:jc w:val="center"/>
            </w:pPr>
            <w:r>
              <w:rPr>
                <w:rFonts w:hint="eastAsia"/>
              </w:rPr>
              <w:t>0-3</w:t>
            </w:r>
          </w:p>
        </w:tc>
        <w:tc>
          <w:tcPr>
            <w:tcW w:w="1282" w:type="dxa"/>
            <w:vAlign w:val="center"/>
          </w:tcPr>
          <w:p>
            <w:pPr>
              <w:ind w:firstLine="0" w:firstLineChars="0"/>
              <w:jc w:val="center"/>
            </w:pPr>
            <w:r>
              <w:rPr>
                <w:rFonts w:hint="eastAsi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17</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kern w:val="0"/>
              </w:rPr>
            </w:pPr>
            <w:r>
              <w:rPr>
                <w:rFonts w:hint="eastAsia"/>
                <w:kern w:val="0"/>
              </w:rPr>
              <w:t>拟投入本项目的项目负责人情况（</w:t>
            </w:r>
            <w:r>
              <w:rPr>
                <w:rFonts w:hint="eastAsia" w:ascii="宋体" w:hAnsi="宋体" w:cs="宋体"/>
                <w:kern w:val="0"/>
                <w:lang w:bidi="ar"/>
              </w:rPr>
              <w:t>提供项目负责人在本单位缴纳的最近3个月中任意一个月的社保证明，无社保此项不得分。</w:t>
            </w:r>
            <w:r>
              <w:rPr>
                <w:rFonts w:hint="eastAsia"/>
                <w:kern w:val="0"/>
              </w:rPr>
              <w:t>）：</w:t>
            </w:r>
          </w:p>
          <w:p>
            <w:pPr>
              <w:ind w:firstLine="0" w:firstLineChars="0"/>
              <w:jc w:val="left"/>
              <w:rPr>
                <w:kern w:val="0"/>
              </w:rPr>
            </w:pPr>
            <w:r>
              <w:rPr>
                <w:rFonts w:hint="eastAsia"/>
                <w:kern w:val="0"/>
              </w:rPr>
              <w:t>1、拟投入本项目的项目负责人的类似项目经验，每提供1个经验得1分，最高得2分，提供项目负责人相应经验证明材料，否则不得分。（0-2分）</w:t>
            </w:r>
          </w:p>
          <w:p>
            <w:pPr>
              <w:ind w:firstLine="0" w:firstLineChars="0"/>
              <w:jc w:val="left"/>
              <w:rPr>
                <w:kern w:val="0"/>
              </w:rPr>
            </w:pPr>
            <w:r>
              <w:rPr>
                <w:rFonts w:hint="eastAsia"/>
                <w:color w:val="auto"/>
                <w:kern w:val="0"/>
              </w:rPr>
              <w:t>2、项目负责人具有高级职称的得1分，提供职称证明材料，否则不得分。（0-1分</w:t>
            </w:r>
            <w:r>
              <w:rPr>
                <w:rFonts w:hint="eastAsia"/>
                <w:kern w:val="0"/>
              </w:rPr>
              <w:t>）</w:t>
            </w:r>
          </w:p>
        </w:tc>
        <w:tc>
          <w:tcPr>
            <w:tcW w:w="1254" w:type="dxa"/>
            <w:vAlign w:val="center"/>
          </w:tcPr>
          <w:p>
            <w:pPr>
              <w:ind w:firstLine="0" w:firstLineChars="0"/>
              <w:jc w:val="center"/>
            </w:pPr>
            <w:r>
              <w:rPr>
                <w:rFonts w:hint="eastAsia"/>
              </w:rPr>
              <w:t>0-3</w:t>
            </w:r>
          </w:p>
        </w:tc>
        <w:tc>
          <w:tcPr>
            <w:tcW w:w="1282" w:type="dxa"/>
            <w:vAlign w:val="center"/>
          </w:tcPr>
          <w:p>
            <w:pPr>
              <w:ind w:firstLine="0" w:firstLineChars="0"/>
              <w:jc w:val="center"/>
            </w:pPr>
            <w:r>
              <w:rPr>
                <w:rFonts w:hint="eastAsi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Align w:val="center"/>
          </w:tcPr>
          <w:p>
            <w:pPr>
              <w:ind w:firstLine="0" w:firstLineChars="0"/>
              <w:jc w:val="center"/>
            </w:pPr>
            <w:r>
              <w:rPr>
                <w:rFonts w:hint="eastAsia"/>
              </w:rPr>
              <w:t>18</w:t>
            </w:r>
          </w:p>
        </w:tc>
        <w:tc>
          <w:tcPr>
            <w:tcW w:w="592" w:type="pct"/>
            <w:vAlign w:val="center"/>
          </w:tcPr>
          <w:p>
            <w:pPr>
              <w:ind w:firstLine="0" w:firstLineChars="0"/>
              <w:jc w:val="center"/>
            </w:pPr>
            <w:r>
              <w:rPr>
                <w:rFonts w:hint="eastAsia"/>
              </w:rPr>
              <w:t>技术</w:t>
            </w:r>
          </w:p>
        </w:tc>
        <w:tc>
          <w:tcPr>
            <w:tcW w:w="2728" w:type="pct"/>
            <w:vAlign w:val="center"/>
          </w:tcPr>
          <w:p>
            <w:pPr>
              <w:ind w:firstLine="0" w:firstLineChars="0"/>
              <w:jc w:val="left"/>
              <w:rPr>
                <w:kern w:val="0"/>
              </w:rPr>
            </w:pPr>
            <w:r>
              <w:rPr>
                <w:rFonts w:hint="eastAsia"/>
                <w:kern w:val="0"/>
              </w:rPr>
              <w:t>拟投入本项目的其它团队成员（除项目负责人）情况（</w:t>
            </w:r>
            <w:r>
              <w:rPr>
                <w:rFonts w:hint="eastAsia" w:ascii="宋体" w:hAnsi="宋体" w:cs="宋体"/>
                <w:kern w:val="0"/>
                <w:lang w:bidi="ar"/>
              </w:rPr>
              <w:t>提供其它团队成员在本单位缴纳的最近3个月中任意一个月的社保证明，无社保此项不得分。</w:t>
            </w:r>
            <w:r>
              <w:rPr>
                <w:rFonts w:hint="eastAsia"/>
                <w:kern w:val="0"/>
              </w:rPr>
              <w:t>）：</w:t>
            </w:r>
          </w:p>
          <w:p>
            <w:pPr>
              <w:numPr>
                <w:ilvl w:val="0"/>
                <w:numId w:val="3"/>
              </w:numPr>
              <w:ind w:firstLine="0" w:firstLineChars="0"/>
              <w:jc w:val="left"/>
              <w:rPr>
                <w:kern w:val="0"/>
              </w:rPr>
            </w:pPr>
            <w:r>
              <w:rPr>
                <w:rFonts w:hint="eastAsia"/>
                <w:kern w:val="0"/>
              </w:rPr>
              <w:t>团队结构、分工（提供详细的人员分工表）（0-3分）</w:t>
            </w:r>
            <w:r>
              <w:rPr>
                <w:rFonts w:hint="eastAsia"/>
              </w:rPr>
              <w:t>（评分范围：3,2,1,0）</w:t>
            </w:r>
          </w:p>
          <w:p>
            <w:pPr>
              <w:numPr>
                <w:ilvl w:val="0"/>
                <w:numId w:val="3"/>
              </w:numPr>
              <w:ind w:firstLine="0" w:firstLineChars="0"/>
              <w:jc w:val="left"/>
              <w:rPr>
                <w:kern w:val="0"/>
              </w:rPr>
            </w:pPr>
            <w:r>
              <w:rPr>
                <w:rFonts w:hint="eastAsia"/>
                <w:kern w:val="0"/>
              </w:rPr>
              <w:t>其它团队成员工作经验、专业能力等情况。（0-4分）</w:t>
            </w:r>
            <w:r>
              <w:rPr>
                <w:rFonts w:hint="eastAsia"/>
              </w:rPr>
              <w:t>（评分范围：4,3,2,1,0）</w:t>
            </w:r>
          </w:p>
        </w:tc>
        <w:tc>
          <w:tcPr>
            <w:tcW w:w="624" w:type="pct"/>
            <w:vAlign w:val="center"/>
          </w:tcPr>
          <w:p>
            <w:pPr>
              <w:ind w:firstLine="0" w:firstLineChars="0"/>
              <w:jc w:val="center"/>
            </w:pPr>
            <w:r>
              <w:rPr>
                <w:rFonts w:hint="eastAsia"/>
              </w:rPr>
              <w:t>0-7</w:t>
            </w:r>
          </w:p>
        </w:tc>
        <w:tc>
          <w:tcPr>
            <w:tcW w:w="638" w:type="pct"/>
            <w:vAlign w:val="center"/>
          </w:tcPr>
          <w:p>
            <w:pPr>
              <w:ind w:firstLine="0" w:firstLineChars="0"/>
              <w:jc w:val="center"/>
            </w:pPr>
            <w:r>
              <w:rPr>
                <w:rFonts w:hint="eastAsia"/>
              </w:rPr>
              <w:t>主观分</w:t>
            </w:r>
          </w:p>
        </w:tc>
      </w:tr>
    </w:tbl>
    <w:p>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pPr>
        <w:widowControl/>
        <w:ind w:firstLine="720" w:firstLineChars="300"/>
      </w:pPr>
      <w:r>
        <w:rPr>
          <w:rFonts w:hint="eastAsia" w:ascii="宋体" w:hAnsi="宋体" w:cs="仿宋_GB2312"/>
        </w:rPr>
        <w:t>（2）投标人评审综合得分=商务分+技术分+报价分</w:t>
      </w:r>
    </w:p>
    <w:p>
      <w:pPr>
        <w:pStyle w:val="2"/>
      </w:pPr>
      <w:bookmarkStart w:id="421" w:name="_Toc24517"/>
      <w:bookmarkStart w:id="422" w:name="_Toc12882"/>
      <w:r>
        <w:rPr>
          <w:rFonts w:hint="eastAsia"/>
        </w:rPr>
        <w:t>三、评标程序</w:t>
      </w:r>
      <w:bookmarkEnd w:id="421"/>
      <w:bookmarkEnd w:id="422"/>
    </w:p>
    <w:p>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pPr>
        <w:ind w:firstLine="472" w:firstLineChars="196"/>
        <w:rPr>
          <w:rFonts w:ascii="宋体" w:hAnsi="宋体" w:cs="宋体"/>
          <w:b/>
          <w:kern w:val="0"/>
        </w:rPr>
      </w:pPr>
      <w:r>
        <w:rPr>
          <w:rFonts w:hint="eastAsia" w:ascii="宋体" w:hAnsi="宋体" w:cs="宋体"/>
          <w:b/>
          <w:kern w:val="0"/>
        </w:rPr>
        <w:t>3.4报价评审。</w:t>
      </w:r>
    </w:p>
    <w:p>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pPr>
      <w:bookmarkStart w:id="423" w:name="_Toc22719"/>
      <w:bookmarkStart w:id="424" w:name="_Toc21677"/>
      <w:r>
        <w:rPr>
          <w:rFonts w:hint="eastAsia"/>
        </w:rPr>
        <w:t>四、评标中的其他事项</w:t>
      </w:r>
      <w:bookmarkEnd w:id="423"/>
      <w:bookmarkEnd w:id="424"/>
    </w:p>
    <w:p>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pPr>
        <w:snapToGrid/>
        <w:ind w:firstLine="480"/>
        <w:rPr>
          <w:rFonts w:ascii="宋体" w:hAnsi="宋体"/>
        </w:rPr>
      </w:pPr>
      <w:r>
        <w:rPr>
          <w:rFonts w:hint="eastAsia" w:ascii="宋体" w:hAnsi="宋体"/>
        </w:rPr>
        <w:t>（3）提供的有效的资格证明材料或材料不全的，或者不具备招标文件中规定的资格要求的；</w:t>
      </w:r>
    </w:p>
    <w:p>
      <w:pPr>
        <w:snapToGrid/>
        <w:ind w:firstLine="480"/>
        <w:rPr>
          <w:rFonts w:ascii="宋体" w:hAnsi="宋体" w:cs="宋体"/>
        </w:rPr>
      </w:pPr>
      <w:r>
        <w:rPr>
          <w:rFonts w:hint="eastAsia" w:ascii="宋体" w:hAnsi="宋体"/>
        </w:rPr>
        <w:t>（4）如以联合体形式参加政府采购活动的，未提供联合协议的。</w:t>
      </w:r>
    </w:p>
    <w:p>
      <w:pPr>
        <w:snapToGrid/>
        <w:rPr>
          <w:rFonts w:ascii="宋体" w:hAnsi="宋体" w:cs="宋体"/>
          <w:b/>
        </w:rPr>
      </w:pPr>
      <w:r>
        <w:rPr>
          <w:rFonts w:hint="eastAsia" w:ascii="宋体" w:hAnsi="宋体" w:cs="宋体"/>
          <w:b/>
        </w:rPr>
        <w:t>4.2.2在符合性审查、商务和技术评审时，如发现下列情形之一的，投标文件将被视为无效：</w:t>
      </w:r>
    </w:p>
    <w:p>
      <w:pPr>
        <w:snapToGrid/>
        <w:ind w:firstLine="480"/>
        <w:rPr>
          <w:rFonts w:ascii="宋体" w:hAnsi="宋体" w:cs="仿宋_GB2312"/>
          <w:szCs w:val="21"/>
        </w:rPr>
      </w:pPr>
      <w:r>
        <w:rPr>
          <w:rFonts w:hint="eastAsia" w:ascii="宋体" w:hAnsi="宋体" w:cs="仿宋_GB2312"/>
          <w:szCs w:val="21"/>
        </w:rPr>
        <w:t>（1）投标文件未按招标文件要求签署、盖章的；</w:t>
      </w:r>
    </w:p>
    <w:p>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pPr>
        <w:ind w:firstLine="480"/>
        <w:rPr>
          <w:rFonts w:ascii="宋体" w:hAnsi="宋体" w:cs="仿宋_GB2312"/>
          <w:szCs w:val="21"/>
        </w:rPr>
      </w:pPr>
      <w:r>
        <w:rPr>
          <w:rFonts w:hint="eastAsia" w:ascii="宋体" w:hAnsi="宋体" w:cs="仿宋_GB2312"/>
          <w:szCs w:val="21"/>
        </w:rPr>
        <w:t>（6）投标文件含有采购人不能接受的附加条件的；</w:t>
      </w:r>
    </w:p>
    <w:p>
      <w:pPr>
        <w:snapToGrid/>
        <w:ind w:firstLine="480"/>
        <w:rPr>
          <w:rFonts w:ascii="宋体" w:hAnsi="宋体" w:cs="仿宋_GB2312"/>
          <w:szCs w:val="21"/>
        </w:rPr>
      </w:pPr>
      <w:r>
        <w:rPr>
          <w:rFonts w:hint="eastAsia" w:ascii="宋体" w:hAnsi="宋体" w:cs="仿宋_GB2312"/>
          <w:szCs w:val="21"/>
        </w:rPr>
        <w:t>（7）供应商存在串通行为或虚假响应的；</w:t>
      </w:r>
    </w:p>
    <w:p>
      <w:pPr>
        <w:snapToGrid/>
        <w:ind w:firstLine="480"/>
        <w:rPr>
          <w:rFonts w:ascii="宋体" w:hAnsi="宋体" w:cs="仿宋_GB2312"/>
          <w:szCs w:val="21"/>
        </w:rPr>
      </w:pPr>
      <w:r>
        <w:rPr>
          <w:rFonts w:hint="eastAsia" w:ascii="宋体" w:hAnsi="宋体" w:cs="仿宋_GB2312"/>
          <w:szCs w:val="21"/>
        </w:rPr>
        <w:t>（8）</w:t>
      </w:r>
      <w:r>
        <w:rPr>
          <w:rFonts w:hint="eastAsia" w:ascii="宋体" w:hAnsi="宋体"/>
        </w:rPr>
        <w:t>法律、法规和招标文件规定的其他无效情形</w:t>
      </w:r>
      <w:r>
        <w:rPr>
          <w:rFonts w:hint="eastAsia" w:ascii="宋体" w:hAnsi="宋体" w:cs="仿宋_GB2312"/>
          <w:szCs w:val="21"/>
        </w:rPr>
        <w:t>。</w:t>
      </w:r>
    </w:p>
    <w:p>
      <w:pPr>
        <w:snapToGrid/>
        <w:rPr>
          <w:rFonts w:ascii="宋体" w:hAnsi="宋体" w:cs="宋体"/>
          <w:b/>
        </w:rPr>
      </w:pPr>
      <w:r>
        <w:rPr>
          <w:rFonts w:hint="eastAsia" w:ascii="宋体" w:hAnsi="宋体" w:cs="宋体"/>
          <w:b/>
        </w:rPr>
        <w:t>4.2.3在报价评审时，如发现下列情形之一的，投标文件将被视为无效：</w:t>
      </w:r>
    </w:p>
    <w:p>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pPr>
        <w:ind w:firstLine="480"/>
        <w:rPr>
          <w:rFonts w:ascii="宋体" w:hAnsi="宋体" w:cs="宋体"/>
          <w:kern w:val="0"/>
          <w:highlight w:val="yellow"/>
        </w:rPr>
      </w:pPr>
      <w:r>
        <w:rPr>
          <w:rFonts w:hint="eastAsia" w:ascii="宋体" w:hAnsi="宋体"/>
        </w:rPr>
        <w:t>（6）法律、法规和招标文件规定的其他无效情形。</w:t>
      </w:r>
    </w:p>
    <w:p>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pacing w:line="360" w:lineRule="auto"/>
        <w:rPr>
          <w:rFonts w:cs="宋体"/>
        </w:rPr>
      </w:pPr>
      <w:r>
        <w:rPr>
          <w:rFonts w:hint="eastAsia" w:cs="宋体"/>
        </w:rPr>
        <w:t>5.1符合专业条件的供应商或者对招标文件作实质响应的供应商不足3家的；</w:t>
      </w:r>
    </w:p>
    <w:p>
      <w:pPr>
        <w:pStyle w:val="26"/>
        <w:spacing w:line="360" w:lineRule="auto"/>
        <w:rPr>
          <w:rFonts w:cs="宋体"/>
        </w:rPr>
      </w:pPr>
      <w:r>
        <w:rPr>
          <w:rFonts w:hint="eastAsia" w:cs="宋体"/>
        </w:rPr>
        <w:t>5.2出现影响采购公正的违法、违规行为的；</w:t>
      </w:r>
    </w:p>
    <w:p>
      <w:pPr>
        <w:pStyle w:val="26"/>
        <w:spacing w:line="360" w:lineRule="auto"/>
        <w:rPr>
          <w:rFonts w:cs="宋体"/>
        </w:rPr>
      </w:pPr>
      <w:r>
        <w:rPr>
          <w:rFonts w:hint="eastAsia" w:cs="宋体"/>
        </w:rPr>
        <w:t>5.3投标人的报价均超过了采购预算，采购人不能支付的；</w:t>
      </w:r>
    </w:p>
    <w:p>
      <w:pPr>
        <w:pStyle w:val="26"/>
        <w:spacing w:line="360" w:lineRule="auto"/>
        <w:rPr>
          <w:rFonts w:cs="宋体"/>
        </w:rPr>
      </w:pPr>
      <w:r>
        <w:rPr>
          <w:rFonts w:hint="eastAsia" w:cs="宋体"/>
        </w:rPr>
        <w:t>5.4因重大变故，采购任务取消的。</w:t>
      </w:r>
    </w:p>
    <w:p>
      <w:pPr>
        <w:pStyle w:val="26"/>
        <w:spacing w:line="360" w:lineRule="auto"/>
        <w:rPr>
          <w:rFonts w:cs="宋体"/>
        </w:rPr>
      </w:pPr>
      <w:r>
        <w:rPr>
          <w:rFonts w:hint="eastAsia" w:cs="宋体"/>
        </w:rPr>
        <w:t>废标后，采购代理机构应当将废标理由通知所有投标人。</w:t>
      </w:r>
    </w:p>
    <w:p>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pacing w:line="360" w:lineRule="auto"/>
        <w:rPr>
          <w:rFonts w:cs="宋体"/>
        </w:rPr>
      </w:pPr>
      <w:r>
        <w:rPr>
          <w:rFonts w:hint="eastAsia" w:cs="宋体"/>
        </w:rPr>
        <w:t>7.1未确定中标供应商的，终止本次政府采购活动，重新开展政府采购活动。</w:t>
      </w:r>
    </w:p>
    <w:p>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pacing w:line="360" w:lineRule="auto"/>
        <w:rPr>
          <w:rFonts w:cs="宋体"/>
        </w:rPr>
      </w:pPr>
      <w:r>
        <w:rPr>
          <w:rFonts w:hint="eastAsia" w:cs="宋体"/>
        </w:rPr>
        <w:t>7.4政府采购合同已经履行，给采购人、供应商造成损失的，由责任人承担赔偿责任。</w:t>
      </w:r>
    </w:p>
    <w:p>
      <w:pPr>
        <w:pStyle w:val="26"/>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pPr>
        <w:ind w:firstLine="480"/>
      </w:pPr>
      <w:r>
        <w:rPr>
          <w:rFonts w:hint="eastAsia"/>
        </w:rPr>
        <w:t xml:space="preserve">    </w:t>
      </w:r>
    </w:p>
    <w:p>
      <w:pPr>
        <w:pStyle w:val="3"/>
        <w:sectPr>
          <w:headerReference r:id="rId14" w:type="first"/>
          <w:footerReference r:id="rId16" w:type="first"/>
          <w:headerReference r:id="rId13" w:type="default"/>
          <w:footerReference r:id="rId15" w:type="default"/>
          <w:pgSz w:w="11905" w:h="16838"/>
          <w:pgMar w:top="1440" w:right="1797" w:bottom="1440" w:left="1797" w:header="851" w:footer="992" w:gutter="0"/>
          <w:cols w:space="0" w:num="1"/>
          <w:titlePg/>
          <w:docGrid w:linePitch="312" w:charSpace="0"/>
        </w:sectPr>
      </w:pPr>
      <w:bookmarkStart w:id="427" w:name="_Toc8165"/>
      <w:bookmarkStart w:id="428" w:name="_Toc18817"/>
    </w:p>
    <w:p>
      <w:pPr>
        <w:pStyle w:val="3"/>
      </w:pPr>
      <w:bookmarkStart w:id="429" w:name="_Toc12885"/>
      <w:r>
        <w:rPr>
          <w:rFonts w:hint="eastAsia"/>
        </w:rPr>
        <w:t>第五部分 拟签订的合同文本</w:t>
      </w:r>
      <w:bookmarkEnd w:id="427"/>
      <w:bookmarkEnd w:id="428"/>
      <w:bookmarkEnd w:id="429"/>
    </w:p>
    <w:p>
      <w:pPr>
        <w:jc w:val="center"/>
        <w:rPr>
          <w:rFonts w:ascii="宋体" w:hAnsi="宋体"/>
          <w:bCs/>
        </w:rPr>
      </w:pPr>
      <w:r>
        <w:rPr>
          <w:rFonts w:hint="eastAsia" w:ascii="宋体" w:hAnsi="宋体"/>
          <w:b/>
        </w:rPr>
        <w:t>（仅供参考）</w:t>
      </w:r>
    </w:p>
    <w:p>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pPr>
        <w:pStyle w:val="34"/>
        <w:spacing w:before="120" w:after="120"/>
        <w:ind w:right="600" w:firstLine="480"/>
        <w:jc w:val="center"/>
        <w:rPr>
          <w:rFonts w:hAnsi="宋体"/>
        </w:rPr>
      </w:pPr>
      <w:r>
        <w:rPr>
          <w:rFonts w:hint="eastAsia" w:hAnsi="宋体"/>
        </w:rPr>
        <w:t xml:space="preserve">                                  </w:t>
      </w:r>
    </w:p>
    <w:p>
      <w:pPr>
        <w:ind w:firstLine="602"/>
        <w:jc w:val="center"/>
        <w:rPr>
          <w:rFonts w:ascii="仿宋" w:hAnsi="仿宋" w:eastAsia="仿宋"/>
          <w:b/>
          <w:bCs/>
          <w:sz w:val="30"/>
          <w:szCs w:val="30"/>
        </w:rPr>
      </w:pPr>
      <w:bookmarkStart w:id="430" w:name="_Toc26124"/>
      <w:bookmarkStart w:id="431" w:name="_Toc16158"/>
      <w:r>
        <w:rPr>
          <w:rFonts w:hint="eastAsia" w:ascii="仿宋" w:hAnsi="仿宋" w:eastAsia="仿宋"/>
          <w:b/>
          <w:bCs/>
          <w:sz w:val="30"/>
          <w:szCs w:val="30"/>
        </w:rPr>
        <w:t>浙江省福利彩票管理中心采购合同</w:t>
      </w:r>
    </w:p>
    <w:p>
      <w:pPr>
        <w:ind w:firstLine="0" w:firstLineChars="0"/>
        <w:rPr>
          <w:szCs w:val="32"/>
        </w:rPr>
      </w:pPr>
      <w:r>
        <w:rPr>
          <w:rFonts w:hint="eastAsia" w:ascii="仿宋" w:hAnsi="仿宋" w:eastAsia="仿宋"/>
          <w:sz w:val="30"/>
          <w:szCs w:val="30"/>
        </w:rPr>
        <w:t xml:space="preserve">                         </w:t>
      </w:r>
      <w:r>
        <w:rPr>
          <w:rFonts w:hint="eastAsia"/>
          <w:szCs w:val="32"/>
        </w:rPr>
        <w:t xml:space="preserve">    </w:t>
      </w:r>
    </w:p>
    <w:p>
      <w:pPr>
        <w:ind w:firstLine="0" w:firstLineChars="0"/>
        <w:rPr>
          <w:rFonts w:ascii="宋体" w:hAnsi="宋体" w:cs="宋体"/>
          <w:b/>
          <w:bCs/>
          <w:spacing w:val="-6"/>
        </w:rPr>
      </w:pPr>
      <w:r>
        <w:rPr>
          <w:rFonts w:hint="eastAsia" w:ascii="宋体" w:hAnsi="宋体" w:cs="宋体"/>
          <w:b/>
          <w:bCs/>
          <w:spacing w:val="-6"/>
        </w:rPr>
        <w:t>项目名称：2024年浙江“福彩文化月”活动项目</w:t>
      </w:r>
    </w:p>
    <w:p>
      <w:pPr>
        <w:ind w:firstLine="0" w:firstLineChars="0"/>
        <w:rPr>
          <w:rFonts w:ascii="宋体" w:hAnsi="宋体" w:cs="宋体"/>
          <w:b/>
          <w:bCs/>
          <w:spacing w:val="-6"/>
        </w:rPr>
      </w:pPr>
      <w:r>
        <w:rPr>
          <w:rFonts w:hint="eastAsia" w:ascii="宋体" w:hAnsi="宋体" w:cs="宋体"/>
          <w:b/>
          <w:bCs/>
          <w:spacing w:val="-6"/>
        </w:rPr>
        <w:t>项目编号：ZJXL-FCZX-202412</w:t>
      </w:r>
    </w:p>
    <w:p>
      <w:pPr>
        <w:ind w:firstLine="0" w:firstLineChars="0"/>
        <w:rPr>
          <w:rFonts w:ascii="宋体" w:hAnsi="宋体" w:cs="宋体"/>
          <w:b/>
          <w:bCs/>
          <w:spacing w:val="-6"/>
        </w:rPr>
      </w:pPr>
      <w:r>
        <w:rPr>
          <w:rFonts w:hint="eastAsia" w:ascii="宋体" w:hAnsi="宋体" w:cs="宋体"/>
          <w:b/>
          <w:bCs/>
          <w:spacing w:val="-6"/>
        </w:rPr>
        <w:t>采购计划书：</w:t>
      </w:r>
    </w:p>
    <w:p>
      <w:pPr>
        <w:ind w:firstLine="0" w:firstLineChars="0"/>
        <w:rPr>
          <w:rFonts w:ascii="宋体" w:hAnsi="宋体" w:cs="宋体"/>
          <w:b/>
          <w:bCs/>
          <w:spacing w:val="-6"/>
        </w:rPr>
      </w:pPr>
      <w:r>
        <w:rPr>
          <w:rFonts w:hint="eastAsia" w:ascii="宋体" w:hAnsi="宋体" w:cs="宋体"/>
          <w:b/>
          <w:bCs/>
          <w:spacing w:val="-6"/>
        </w:rPr>
        <w:t>甲方（需方）：浙江省福利彩票管理中心</w:t>
      </w:r>
    </w:p>
    <w:p>
      <w:pPr>
        <w:ind w:firstLine="0" w:firstLineChars="0"/>
        <w:rPr>
          <w:rFonts w:ascii="宋体" w:hAnsi="宋体" w:cs="宋体"/>
          <w:b/>
          <w:bCs/>
          <w:spacing w:val="-6"/>
        </w:rPr>
      </w:pPr>
      <w:r>
        <w:rPr>
          <w:rFonts w:hint="eastAsia" w:ascii="宋体" w:hAnsi="宋体" w:cs="宋体"/>
          <w:b/>
          <w:bCs/>
          <w:spacing w:val="-6"/>
        </w:rPr>
        <w:t>乙方（供方）：</w:t>
      </w:r>
    </w:p>
    <w:p>
      <w:pPr>
        <w:ind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pPr>
        <w:ind w:firstLine="0" w:firstLineChars="0"/>
        <w:rPr>
          <w:rFonts w:ascii="宋体" w:hAnsi="宋体" w:cs="宋体"/>
          <w:b/>
          <w:bCs/>
          <w:spacing w:val="-6"/>
        </w:rPr>
      </w:pPr>
      <w:r>
        <w:rPr>
          <w:rFonts w:hint="eastAsia" w:ascii="宋体" w:hAnsi="宋体" w:cs="宋体"/>
          <w:b/>
          <w:bCs/>
          <w:spacing w:val="-6"/>
        </w:rPr>
        <w:t>签约时间、地点：2024年    月    日，杭州市余杭区</w:t>
      </w:r>
    </w:p>
    <w:p>
      <w:pPr>
        <w:ind w:firstLine="458"/>
        <w:rPr>
          <w:rFonts w:ascii="宋体" w:hAnsi="宋体" w:cs="宋体"/>
          <w:b/>
          <w:bCs/>
          <w:spacing w:val="-6"/>
        </w:rPr>
      </w:pPr>
    </w:p>
    <w:p>
      <w:pPr>
        <w:ind w:firstLine="456"/>
        <w:rPr>
          <w:rFonts w:ascii="宋体" w:hAnsi="宋体" w:cs="宋体"/>
          <w:spacing w:val="-6"/>
        </w:rPr>
      </w:pPr>
      <w:r>
        <w:rPr>
          <w:rFonts w:hint="eastAsia" w:ascii="宋体" w:hAnsi="宋体" w:cs="宋体"/>
          <w:spacing w:val="-6"/>
        </w:rPr>
        <w:t>根据《中华人民共和国政府采购法》、《中华人民共和国民法典》等法律法规规定，浙江信镧建设工程咨询有限公司受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 ）</w:t>
      </w:r>
      <w:r>
        <w:rPr>
          <w:rFonts w:hint="eastAsia" w:ascii="宋体" w:hAnsi="宋体" w:cs="宋体"/>
          <w:spacing w:val="-6"/>
        </w:rPr>
        <w:t>的成交供应商。经双方协商达成一致意见，签署本合同。</w:t>
      </w:r>
    </w:p>
    <w:p>
      <w:pPr>
        <w:ind w:right="26" w:rightChars="11" w:firstLine="456"/>
        <w:rPr>
          <w:rFonts w:ascii="宋体" w:hAnsi="宋体" w:cs="宋体"/>
          <w:spacing w:val="-6"/>
        </w:rPr>
      </w:pPr>
    </w:p>
    <w:p>
      <w:pPr>
        <w:ind w:firstLine="458"/>
        <w:rPr>
          <w:rFonts w:ascii="宋体" w:hAnsi="宋体" w:cs="宋体"/>
          <w:b/>
          <w:spacing w:val="-6"/>
        </w:rPr>
      </w:pPr>
      <w:r>
        <w:rPr>
          <w:rFonts w:hint="eastAsia" w:ascii="宋体" w:hAnsi="宋体" w:cs="宋体"/>
          <w:b/>
          <w:spacing w:val="-6"/>
        </w:rPr>
        <w:t>第一条：采购服务清单及合同价格</w:t>
      </w:r>
    </w:p>
    <w:tbl>
      <w:tblPr>
        <w:tblStyle w:val="62"/>
        <w:tblW w:w="90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027"/>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序号</w:t>
            </w:r>
          </w:p>
        </w:tc>
        <w:tc>
          <w:tcPr>
            <w:tcW w:w="2163"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名称</w:t>
            </w:r>
          </w:p>
        </w:tc>
        <w:tc>
          <w:tcPr>
            <w:tcW w:w="2027"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描述</w:t>
            </w:r>
          </w:p>
        </w:tc>
        <w:tc>
          <w:tcPr>
            <w:tcW w:w="709"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数量</w:t>
            </w:r>
          </w:p>
        </w:tc>
        <w:tc>
          <w:tcPr>
            <w:tcW w:w="708"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单位</w:t>
            </w:r>
          </w:p>
        </w:tc>
        <w:tc>
          <w:tcPr>
            <w:tcW w:w="1418"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单价（元）</w:t>
            </w:r>
          </w:p>
        </w:tc>
        <w:tc>
          <w:tcPr>
            <w:tcW w:w="1300"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1</w:t>
            </w:r>
          </w:p>
        </w:tc>
        <w:tc>
          <w:tcPr>
            <w:tcW w:w="2163" w:type="dxa"/>
            <w:vAlign w:val="center"/>
          </w:tcPr>
          <w:p>
            <w:pPr>
              <w:ind w:firstLine="0" w:firstLineChars="0"/>
              <w:jc w:val="center"/>
              <w:rPr>
                <w:rFonts w:ascii="宋体" w:hAnsi="宋体" w:cs="宋体"/>
                <w:spacing w:val="-6"/>
                <w:lang w:val="zh-CN"/>
              </w:rPr>
            </w:pPr>
          </w:p>
        </w:tc>
        <w:tc>
          <w:tcPr>
            <w:tcW w:w="2027" w:type="dxa"/>
            <w:vAlign w:val="center"/>
          </w:tcPr>
          <w:p>
            <w:pPr>
              <w:ind w:firstLine="0" w:firstLineChars="0"/>
              <w:jc w:val="center"/>
              <w:rPr>
                <w:rFonts w:ascii="宋体" w:hAnsi="宋体" w:cs="宋体"/>
                <w:spacing w:val="-6"/>
                <w:lang w:val="zh-CN"/>
              </w:rPr>
            </w:pPr>
          </w:p>
        </w:tc>
        <w:tc>
          <w:tcPr>
            <w:tcW w:w="709" w:type="dxa"/>
            <w:vAlign w:val="center"/>
          </w:tcPr>
          <w:p>
            <w:pPr>
              <w:ind w:firstLine="0" w:firstLineChars="0"/>
              <w:jc w:val="center"/>
              <w:rPr>
                <w:rFonts w:ascii="宋体" w:hAnsi="宋体" w:cs="宋体"/>
                <w:spacing w:val="-6"/>
                <w:lang w:val="zh-CN"/>
              </w:rPr>
            </w:pPr>
          </w:p>
        </w:tc>
        <w:tc>
          <w:tcPr>
            <w:tcW w:w="708" w:type="dxa"/>
            <w:vAlign w:val="center"/>
          </w:tcPr>
          <w:p>
            <w:pPr>
              <w:ind w:firstLine="0" w:firstLineChars="0"/>
              <w:jc w:val="center"/>
              <w:rPr>
                <w:rFonts w:ascii="宋体" w:hAnsi="宋体" w:cs="宋体"/>
                <w:spacing w:val="-6"/>
                <w:lang w:val="zh-CN"/>
              </w:rPr>
            </w:pPr>
          </w:p>
        </w:tc>
        <w:tc>
          <w:tcPr>
            <w:tcW w:w="1418" w:type="dxa"/>
            <w:vAlign w:val="center"/>
          </w:tcPr>
          <w:p>
            <w:pPr>
              <w:ind w:firstLine="0" w:firstLineChars="0"/>
              <w:jc w:val="center"/>
              <w:rPr>
                <w:rFonts w:ascii="宋体" w:hAnsi="宋体" w:cs="宋体"/>
                <w:spacing w:val="-6"/>
                <w:lang w:val="zh-CN"/>
              </w:rPr>
            </w:pPr>
          </w:p>
        </w:tc>
        <w:tc>
          <w:tcPr>
            <w:tcW w:w="1300" w:type="dxa"/>
            <w:vAlign w:val="center"/>
          </w:tcPr>
          <w:p>
            <w:pPr>
              <w:ind w:firstLine="0" w:firstLineChars="0"/>
              <w:jc w:val="center"/>
              <w:rPr>
                <w:rFonts w:ascii="宋体" w:hAnsi="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ind w:firstLine="0" w:firstLineChars="0"/>
              <w:jc w:val="center"/>
              <w:rPr>
                <w:rFonts w:ascii="宋体" w:hAnsi="宋体" w:cs="宋体"/>
                <w:spacing w:val="-6"/>
                <w:lang w:val="zh-CN"/>
              </w:rPr>
            </w:pPr>
            <w:r>
              <w:rPr>
                <w:rFonts w:hint="eastAsia" w:ascii="宋体" w:hAnsi="宋体" w:cs="宋体"/>
                <w:spacing w:val="-6"/>
                <w:lang w:val="zh-CN"/>
              </w:rPr>
              <w:t>2</w:t>
            </w:r>
          </w:p>
        </w:tc>
        <w:tc>
          <w:tcPr>
            <w:tcW w:w="2163" w:type="dxa"/>
            <w:vAlign w:val="center"/>
          </w:tcPr>
          <w:p>
            <w:pPr>
              <w:ind w:firstLine="0" w:firstLineChars="0"/>
              <w:jc w:val="center"/>
              <w:rPr>
                <w:rFonts w:ascii="宋体" w:hAnsi="宋体" w:cs="宋体"/>
                <w:spacing w:val="-6"/>
                <w:lang w:val="zh-CN"/>
              </w:rPr>
            </w:pPr>
          </w:p>
        </w:tc>
        <w:tc>
          <w:tcPr>
            <w:tcW w:w="2027" w:type="dxa"/>
            <w:vAlign w:val="center"/>
          </w:tcPr>
          <w:p>
            <w:pPr>
              <w:ind w:firstLine="0" w:firstLineChars="0"/>
              <w:jc w:val="center"/>
              <w:rPr>
                <w:rFonts w:ascii="宋体" w:hAnsi="宋体" w:cs="宋体"/>
                <w:spacing w:val="-6"/>
                <w:lang w:val="zh-CN"/>
              </w:rPr>
            </w:pPr>
          </w:p>
        </w:tc>
        <w:tc>
          <w:tcPr>
            <w:tcW w:w="709" w:type="dxa"/>
            <w:vAlign w:val="center"/>
          </w:tcPr>
          <w:p>
            <w:pPr>
              <w:ind w:firstLine="0" w:firstLineChars="0"/>
              <w:jc w:val="center"/>
              <w:rPr>
                <w:rFonts w:ascii="宋体" w:hAnsi="宋体" w:cs="宋体"/>
                <w:spacing w:val="-6"/>
                <w:lang w:val="zh-CN"/>
              </w:rPr>
            </w:pPr>
          </w:p>
        </w:tc>
        <w:tc>
          <w:tcPr>
            <w:tcW w:w="708" w:type="dxa"/>
            <w:vAlign w:val="center"/>
          </w:tcPr>
          <w:p>
            <w:pPr>
              <w:ind w:firstLine="0" w:firstLineChars="0"/>
              <w:jc w:val="center"/>
              <w:rPr>
                <w:rFonts w:ascii="宋体" w:hAnsi="宋体" w:cs="宋体"/>
                <w:spacing w:val="-6"/>
                <w:lang w:val="zh-CN"/>
              </w:rPr>
            </w:pPr>
          </w:p>
        </w:tc>
        <w:tc>
          <w:tcPr>
            <w:tcW w:w="1418" w:type="dxa"/>
            <w:vAlign w:val="center"/>
          </w:tcPr>
          <w:p>
            <w:pPr>
              <w:ind w:firstLine="0" w:firstLineChars="0"/>
              <w:jc w:val="center"/>
              <w:rPr>
                <w:rFonts w:ascii="宋体" w:hAnsi="宋体" w:cs="宋体"/>
                <w:spacing w:val="-6"/>
                <w:lang w:val="zh-CN"/>
              </w:rPr>
            </w:pPr>
          </w:p>
        </w:tc>
        <w:tc>
          <w:tcPr>
            <w:tcW w:w="1300" w:type="dxa"/>
            <w:vAlign w:val="center"/>
          </w:tcPr>
          <w:p>
            <w:pPr>
              <w:ind w:firstLine="0" w:firstLineChars="0"/>
              <w:jc w:val="center"/>
              <w:rPr>
                <w:rFonts w:ascii="宋体" w:hAnsi="宋体" w:cs="宋体"/>
                <w:spacing w:val="-6"/>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ind w:firstLine="0" w:firstLineChars="0"/>
              <w:jc w:val="left"/>
              <w:rPr>
                <w:rFonts w:ascii="宋体" w:hAnsi="宋体" w:cs="宋体"/>
                <w:spacing w:val="-6"/>
                <w:lang w:val="zh-CN"/>
              </w:rPr>
            </w:pPr>
            <w:r>
              <w:rPr>
                <w:rFonts w:hint="eastAsia" w:ascii="宋体" w:hAnsi="宋体" w:cs="宋体"/>
                <w:spacing w:val="-6"/>
                <w:lang w:val="zh-CN"/>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014" w:type="dxa"/>
            <w:gridSpan w:val="7"/>
            <w:vAlign w:val="center"/>
          </w:tcPr>
          <w:p>
            <w:pPr>
              <w:ind w:firstLine="0" w:firstLineChars="0"/>
              <w:jc w:val="left"/>
              <w:rPr>
                <w:rFonts w:ascii="宋体" w:hAnsi="宋体" w:cs="宋体"/>
                <w:spacing w:val="-6"/>
                <w:lang w:val="zh-CN"/>
              </w:rPr>
            </w:pPr>
            <w:r>
              <w:rPr>
                <w:rFonts w:hint="eastAsia" w:ascii="宋体" w:hAnsi="宋体" w:cs="宋体"/>
                <w:spacing w:val="-6"/>
                <w:lang w:val="zh-CN"/>
              </w:rPr>
              <w:t>合同总价（大写，人民币元）：</w:t>
            </w:r>
          </w:p>
          <w:p>
            <w:pPr>
              <w:ind w:firstLine="0" w:firstLineChars="0"/>
              <w:jc w:val="left"/>
              <w:rPr>
                <w:rFonts w:ascii="宋体" w:hAnsi="宋体" w:cs="宋体"/>
                <w:spacing w:val="-6"/>
                <w:lang w:val="zh-CN"/>
              </w:rPr>
            </w:pPr>
            <w:r>
              <w:rPr>
                <w:rFonts w:hint="eastAsia" w:ascii="宋体" w:hAnsi="宋体" w:cs="宋体"/>
                <w:spacing w:val="-6"/>
                <w:lang w:val="zh-CN"/>
              </w:rPr>
              <w:t>注：</w:t>
            </w:r>
          </w:p>
          <w:p>
            <w:pPr>
              <w:ind w:firstLine="0" w:firstLineChars="0"/>
              <w:jc w:val="left"/>
              <w:rPr>
                <w:rFonts w:ascii="宋体" w:hAnsi="宋体" w:cs="宋体"/>
                <w:spacing w:val="-6"/>
                <w:lang w:val="zh-CN"/>
              </w:rPr>
            </w:pPr>
            <w:r>
              <w:rPr>
                <w:rFonts w:hint="eastAsia" w:ascii="宋体" w:hAnsi="宋体" w:cs="宋体"/>
                <w:spacing w:val="-6"/>
              </w:rPr>
              <w:t>1、</w:t>
            </w:r>
            <w:r>
              <w:rPr>
                <w:rFonts w:hint="eastAsia" w:ascii="宋体" w:hAnsi="宋体" w:cs="宋体"/>
                <w:spacing w:val="-6"/>
                <w:lang w:val="zh-CN"/>
              </w:rPr>
              <w:t>以上合同总价包含履行本项目服务所需的一切费用，包括</w:t>
            </w:r>
            <w:r>
              <w:rPr>
                <w:rFonts w:hint="eastAsia" w:ascii="宋体" w:hAnsi="宋体" w:cs="宋体"/>
                <w:spacing w:val="-6"/>
              </w:rPr>
              <w:t>但不限于履行所有规定服务所产生的场地、物料、宣传品、广告费、人员费以及</w:t>
            </w:r>
            <w:r>
              <w:rPr>
                <w:rFonts w:hint="eastAsia" w:ascii="宋体" w:hAnsi="宋体" w:cs="宋体"/>
                <w:spacing w:val="-6"/>
                <w:lang w:val="zh-CN"/>
              </w:rPr>
              <w:t>税费</w:t>
            </w:r>
            <w:r>
              <w:rPr>
                <w:rFonts w:hint="eastAsia" w:ascii="宋体" w:hAnsi="宋体" w:cs="宋体"/>
                <w:spacing w:val="-6"/>
                <w:lang w:val="zh-CN" w:eastAsia="zh-Hans"/>
              </w:rPr>
              <w:t>，合同价格不因国家税率调整而变动</w:t>
            </w:r>
            <w:r>
              <w:rPr>
                <w:rFonts w:hint="eastAsia" w:ascii="宋体" w:hAnsi="宋体" w:cs="宋体"/>
                <w:spacing w:val="-6"/>
                <w:lang w:val="zh-CN"/>
              </w:rPr>
              <w:t>。</w:t>
            </w:r>
          </w:p>
          <w:p>
            <w:pPr>
              <w:ind w:firstLine="0" w:firstLineChars="0"/>
              <w:jc w:val="left"/>
              <w:rPr>
                <w:rFonts w:ascii="宋体" w:hAnsi="宋体" w:cs="宋体"/>
                <w:spacing w:val="-6"/>
              </w:rPr>
            </w:pPr>
            <w:r>
              <w:rPr>
                <w:rFonts w:hint="eastAsia" w:ascii="宋体" w:hAnsi="宋体" w:cs="宋体"/>
                <w:spacing w:val="-6"/>
              </w:rPr>
              <w:t>2、未服务或未验收通过的项目不予结算费用。</w:t>
            </w:r>
          </w:p>
        </w:tc>
      </w:tr>
    </w:tbl>
    <w:p>
      <w:pPr>
        <w:ind w:firstLine="0" w:firstLineChars="0"/>
        <w:rPr>
          <w:rFonts w:ascii="宋体" w:hAnsi="宋体" w:cs="宋体"/>
          <w:b/>
          <w:spacing w:val="-6"/>
        </w:rPr>
      </w:pPr>
    </w:p>
    <w:p>
      <w:pPr>
        <w:ind w:firstLine="458"/>
        <w:rPr>
          <w:rFonts w:ascii="宋体" w:hAnsi="宋体" w:cs="宋体"/>
          <w:b/>
          <w:spacing w:val="-6"/>
        </w:rPr>
      </w:pPr>
      <w:r>
        <w:rPr>
          <w:rFonts w:hint="eastAsia" w:ascii="宋体" w:hAnsi="宋体" w:cs="宋体"/>
          <w:b/>
          <w:spacing w:val="-6"/>
        </w:rPr>
        <w:t>第二条：服务时间</w:t>
      </w:r>
    </w:p>
    <w:p>
      <w:pPr>
        <w:ind w:firstLine="480"/>
      </w:pPr>
      <w:r>
        <w:rPr>
          <w:rFonts w:hint="eastAsia"/>
        </w:rPr>
        <w:t>合同签订之日起至2</w:t>
      </w:r>
      <w:r>
        <w:t>02</w:t>
      </w:r>
      <w:r>
        <w:rPr>
          <w:rFonts w:hint="eastAsia"/>
        </w:rPr>
        <w:t>4年11月20日前完成</w:t>
      </w:r>
      <w:r>
        <w:rPr>
          <w:rFonts w:hint="eastAsia"/>
          <w:lang w:eastAsia="zh-Hans"/>
        </w:rPr>
        <w:t>本合同项下全部服务</w:t>
      </w:r>
      <w:r>
        <w:rPr>
          <w:rFonts w:hint="eastAsia"/>
        </w:rPr>
        <w:t>项目。</w:t>
      </w:r>
    </w:p>
    <w:p>
      <w:pPr>
        <w:ind w:firstLine="458"/>
        <w:rPr>
          <w:rFonts w:ascii="宋体" w:hAnsi="宋体" w:cs="宋体"/>
          <w:b/>
          <w:spacing w:val="-6"/>
        </w:rPr>
      </w:pPr>
      <w:r>
        <w:rPr>
          <w:rFonts w:hint="eastAsia" w:ascii="宋体" w:hAnsi="宋体" w:cs="宋体"/>
          <w:b/>
          <w:spacing w:val="-6"/>
        </w:rPr>
        <w:t>第三条：付款方式</w:t>
      </w:r>
    </w:p>
    <w:p>
      <w:pPr>
        <w:ind w:firstLine="480"/>
      </w:pPr>
      <w:r>
        <w:rPr>
          <w:rFonts w:hint="eastAsia" w:ascii="宋体" w:hAnsi="宋体"/>
          <w:szCs w:val="21"/>
        </w:rPr>
        <w:t>1、合同生效以及具备实施条件后，</w:t>
      </w:r>
      <w:r>
        <w:rPr>
          <w:rFonts w:hint="eastAsia"/>
        </w:rPr>
        <w:t>乙方</w:t>
      </w:r>
      <w:r>
        <w:rPr>
          <w:rFonts w:hint="eastAsia" w:ascii="宋体" w:hAnsi="宋体"/>
          <w:szCs w:val="21"/>
        </w:rPr>
        <w:t>向</w:t>
      </w:r>
      <w:r>
        <w:rPr>
          <w:rFonts w:hint="eastAsia"/>
        </w:rPr>
        <w:t>甲方</w:t>
      </w:r>
      <w:r>
        <w:rPr>
          <w:rFonts w:hint="eastAsia" w:ascii="宋体" w:hAnsi="宋体"/>
          <w:szCs w:val="21"/>
        </w:rPr>
        <w:t>开具发票，</w:t>
      </w:r>
      <w:r>
        <w:rPr>
          <w:rFonts w:hint="eastAsia"/>
        </w:rPr>
        <w:t>甲方</w:t>
      </w:r>
      <w:r>
        <w:rPr>
          <w:rFonts w:hint="eastAsia" w:ascii="宋体" w:hAnsi="宋体"/>
          <w:szCs w:val="21"/>
        </w:rPr>
        <w:t>收到发票后</w:t>
      </w:r>
      <w:r>
        <w:rPr>
          <w:rFonts w:ascii="宋体" w:hAnsi="宋体"/>
          <w:szCs w:val="21"/>
        </w:rPr>
        <w:t>7个工作日内</w:t>
      </w:r>
      <w:r>
        <w:rPr>
          <w:rFonts w:hint="eastAsia" w:ascii="宋体" w:hAnsi="宋体"/>
          <w:szCs w:val="21"/>
        </w:rPr>
        <w:t>，向</w:t>
      </w:r>
      <w:r>
        <w:rPr>
          <w:rFonts w:hint="eastAsia"/>
        </w:rPr>
        <w:t>乙方</w:t>
      </w:r>
      <w:r>
        <w:rPr>
          <w:rFonts w:hint="eastAsia" w:ascii="宋体" w:hAnsi="宋体"/>
          <w:szCs w:val="21"/>
        </w:rPr>
        <w:t>支付合同总价的5</w:t>
      </w:r>
      <w:r>
        <w:rPr>
          <w:rFonts w:ascii="宋体" w:hAnsi="宋体"/>
          <w:szCs w:val="21"/>
        </w:rPr>
        <w:t>0</w:t>
      </w:r>
      <w:r>
        <w:rPr>
          <w:rFonts w:hint="eastAsia" w:ascii="宋体" w:hAnsi="宋体"/>
          <w:szCs w:val="21"/>
        </w:rPr>
        <w:t>%；项目履约完成，经</w:t>
      </w:r>
      <w:r>
        <w:rPr>
          <w:rFonts w:hint="eastAsia"/>
        </w:rPr>
        <w:t>甲方</w:t>
      </w:r>
      <w:r>
        <w:rPr>
          <w:rFonts w:hint="eastAsia" w:ascii="宋体" w:hAnsi="宋体"/>
          <w:szCs w:val="21"/>
        </w:rPr>
        <w:t>验收合格后，收到发票后</w:t>
      </w:r>
      <w:r>
        <w:rPr>
          <w:rFonts w:ascii="宋体" w:hAnsi="宋体"/>
          <w:szCs w:val="21"/>
        </w:rPr>
        <w:t>7个工作日内</w:t>
      </w:r>
      <w:r>
        <w:rPr>
          <w:rFonts w:hint="eastAsia" w:ascii="宋体" w:hAnsi="宋体"/>
          <w:szCs w:val="21"/>
        </w:rPr>
        <w:t>，</w:t>
      </w:r>
      <w:r>
        <w:rPr>
          <w:rFonts w:hint="eastAsia"/>
        </w:rPr>
        <w:t>甲方</w:t>
      </w:r>
      <w:r>
        <w:rPr>
          <w:rFonts w:hint="eastAsia" w:ascii="宋体" w:hAnsi="宋体"/>
          <w:szCs w:val="21"/>
        </w:rPr>
        <w:t>向</w:t>
      </w:r>
      <w:r>
        <w:rPr>
          <w:rFonts w:hint="eastAsia"/>
        </w:rPr>
        <w:t>乙方</w:t>
      </w:r>
      <w:r>
        <w:rPr>
          <w:rFonts w:hint="eastAsia" w:ascii="宋体" w:hAnsi="宋体"/>
          <w:szCs w:val="21"/>
        </w:rPr>
        <w:t>支付合同总价的50%。</w:t>
      </w:r>
    </w:p>
    <w:p>
      <w:pPr>
        <w:numPr>
          <w:ilvl w:val="255"/>
          <w:numId w:val="0"/>
        </w:numPr>
        <w:ind w:firstLine="480" w:firstLineChars="200"/>
        <w:rPr>
          <w:rFonts w:ascii="宋体" w:hAnsi="宋体"/>
          <w:szCs w:val="21"/>
          <w:lang w:eastAsia="zh-Hans"/>
        </w:rPr>
      </w:pPr>
      <w:r>
        <w:rPr>
          <w:rFonts w:hint="eastAsia" w:ascii="宋体" w:hAnsi="宋体"/>
          <w:szCs w:val="21"/>
        </w:rPr>
        <w:t>以上付款时间是指甲方完成向财政部门申报支付手续的时间，财政部门审查及实际支付可能造成的时间延误不视为甲方违约。</w:t>
      </w:r>
    </w:p>
    <w:p>
      <w:pPr>
        <w:ind w:left="480" w:leftChars="200" w:firstLine="0" w:firstLineChars="0"/>
        <w:rPr>
          <w:rFonts w:ascii="宋体" w:hAnsi="宋体"/>
          <w:szCs w:val="21"/>
        </w:rPr>
      </w:pPr>
      <w:r>
        <w:rPr>
          <w:rFonts w:hint="eastAsia" w:ascii="宋体" w:hAnsi="宋体"/>
          <w:szCs w:val="21"/>
        </w:rPr>
        <w:t>2、</w:t>
      </w:r>
      <w:r>
        <w:rPr>
          <w:rFonts w:ascii="宋体" w:hAnsi="宋体"/>
          <w:szCs w:val="21"/>
        </w:rPr>
        <w:t xml:space="preserve">乙方确认收款账户信息为：户名：         ；账号：        ；开户行：        </w:t>
      </w:r>
    </w:p>
    <w:p>
      <w:pPr>
        <w:ind w:firstLine="480"/>
        <w:rPr>
          <w:rFonts w:ascii="宋体" w:hAnsi="宋体"/>
          <w:szCs w:val="21"/>
        </w:rPr>
      </w:pPr>
      <w:r>
        <w:rPr>
          <w:rFonts w:hint="eastAsia" w:ascii="宋体" w:hAnsi="宋体"/>
          <w:szCs w:val="21"/>
        </w:rPr>
        <w:t>3、甲方支付每笔款项前，乙方均应按照本条第1款约定向甲方开具真实、等额且税率为【】%的增值税专用发票，乙方逾期提供导致甲方未能按期付款的不视为甲方违约</w:t>
      </w:r>
      <w:r>
        <w:rPr>
          <w:rFonts w:ascii="宋体" w:hAnsi="宋体"/>
          <w:szCs w:val="21"/>
        </w:rPr>
        <w:t>。</w:t>
      </w:r>
    </w:p>
    <w:p>
      <w:pPr>
        <w:ind w:firstLine="458"/>
        <w:rPr>
          <w:rFonts w:ascii="宋体" w:hAnsi="宋体" w:cs="宋体"/>
          <w:b/>
          <w:spacing w:val="-6"/>
        </w:rPr>
      </w:pPr>
      <w:r>
        <w:rPr>
          <w:rFonts w:hint="eastAsia" w:ascii="宋体" w:hAnsi="宋体" w:cs="宋体"/>
          <w:b/>
          <w:spacing w:val="-6"/>
        </w:rPr>
        <w:t>第四条：服务内容及要求</w:t>
      </w:r>
    </w:p>
    <w:p>
      <w:pPr>
        <w:ind w:left="480" w:leftChars="200" w:firstLine="0" w:firstLineChars="0"/>
        <w:rPr>
          <w:rFonts w:ascii="宋体" w:hAnsi="宋体"/>
          <w:b/>
          <w:bCs/>
          <w:szCs w:val="21"/>
        </w:rPr>
      </w:pPr>
      <w:r>
        <w:rPr>
          <w:rFonts w:hint="eastAsia" w:ascii="宋体" w:hAnsi="宋体"/>
          <w:b/>
          <w:bCs/>
          <w:szCs w:val="21"/>
        </w:rPr>
        <w:t>一、活动背景</w:t>
      </w:r>
    </w:p>
    <w:p>
      <w:pPr>
        <w:numPr>
          <w:ilvl w:val="255"/>
          <w:numId w:val="0"/>
        </w:numPr>
        <w:ind w:firstLine="480" w:firstLineChars="200"/>
        <w:rPr>
          <w:rFonts w:ascii="宋体" w:hAnsi="宋体"/>
          <w:szCs w:val="21"/>
        </w:rPr>
      </w:pPr>
      <w:r>
        <w:rPr>
          <w:rFonts w:hint="eastAsia" w:ascii="宋体" w:hAnsi="宋体"/>
          <w:szCs w:val="21"/>
        </w:rPr>
        <w:t>围绕福彩文化IP形象推广，捕捉当下年轻人青睐的主题并以此切入，同时融合公益与文化元素，打造形式新颖、富有创意的活动，吸引广泛群体尤其是年轻群体的关注参与，从而推广福彩文化IP，全面展现浙江福彩责任感与文化魅力。</w:t>
      </w:r>
    </w:p>
    <w:p>
      <w:pPr>
        <w:ind w:left="480" w:leftChars="200" w:firstLine="0" w:firstLineChars="0"/>
        <w:rPr>
          <w:rFonts w:ascii="宋体" w:hAnsi="宋体"/>
          <w:b/>
          <w:bCs/>
          <w:szCs w:val="21"/>
        </w:rPr>
      </w:pPr>
      <w:r>
        <w:rPr>
          <w:rFonts w:hint="eastAsia" w:ascii="宋体" w:hAnsi="宋体"/>
          <w:b/>
          <w:bCs/>
          <w:szCs w:val="21"/>
        </w:rPr>
        <w:t>二、活动主题</w:t>
      </w:r>
    </w:p>
    <w:p>
      <w:pPr>
        <w:numPr>
          <w:ilvl w:val="255"/>
          <w:numId w:val="0"/>
        </w:numPr>
        <w:ind w:firstLine="480" w:firstLineChars="200"/>
        <w:rPr>
          <w:rFonts w:ascii="宋体" w:hAnsi="宋体"/>
          <w:szCs w:val="21"/>
        </w:rPr>
      </w:pPr>
      <w:r>
        <w:rPr>
          <w:rFonts w:hint="eastAsia" w:ascii="宋体" w:hAnsi="宋体"/>
          <w:szCs w:val="21"/>
        </w:rPr>
        <w:t>4场线下活动，分别以宋韵、民国、未来、动漫或其他为主题风格，乙方创意设计完整活动主题方案。</w:t>
      </w:r>
    </w:p>
    <w:p>
      <w:pPr>
        <w:ind w:left="480" w:leftChars="200" w:firstLine="0" w:firstLineChars="0"/>
        <w:rPr>
          <w:rFonts w:ascii="宋体" w:hAnsi="宋体"/>
          <w:b/>
          <w:bCs/>
          <w:szCs w:val="21"/>
        </w:rPr>
      </w:pPr>
      <w:r>
        <w:rPr>
          <w:rFonts w:hint="eastAsia" w:ascii="宋体" w:hAnsi="宋体"/>
          <w:b/>
          <w:bCs/>
          <w:szCs w:val="21"/>
        </w:rPr>
        <w:t>三、活动形式</w:t>
      </w:r>
    </w:p>
    <w:p>
      <w:pPr>
        <w:numPr>
          <w:ilvl w:val="255"/>
          <w:numId w:val="0"/>
        </w:numPr>
        <w:ind w:firstLine="480" w:firstLineChars="200"/>
        <w:rPr>
          <w:rFonts w:ascii="宋体" w:hAnsi="宋体"/>
          <w:szCs w:val="21"/>
        </w:rPr>
      </w:pPr>
      <w:r>
        <w:rPr>
          <w:rFonts w:hint="eastAsia" w:ascii="宋体" w:hAnsi="宋体"/>
          <w:szCs w:val="21"/>
        </w:rPr>
        <w:t>线下宣传推广活动，不限于音乐节、主题游园会等形式。供应商需办理城管、消防、文旅、公安等相关部门审批，保持现场秩序，工作人员及参与活动人员的现场人</w:t>
      </w:r>
      <w:r>
        <w:rPr>
          <w:rFonts w:hint="eastAsia"/>
        </w:rPr>
        <w:t>身</w:t>
      </w:r>
      <w:r>
        <w:rPr>
          <w:rFonts w:hint="eastAsia" w:ascii="宋体" w:hAnsi="宋体"/>
          <w:szCs w:val="21"/>
        </w:rPr>
        <w:t>安全，如发生意外情况由供应商全权负责。</w:t>
      </w:r>
    </w:p>
    <w:p>
      <w:pPr>
        <w:ind w:left="480" w:leftChars="200" w:firstLine="0" w:firstLineChars="0"/>
        <w:rPr>
          <w:rFonts w:ascii="宋体" w:hAnsi="宋体"/>
          <w:b/>
          <w:bCs/>
          <w:szCs w:val="21"/>
        </w:rPr>
      </w:pPr>
      <w:r>
        <w:rPr>
          <w:rFonts w:hint="eastAsia" w:ascii="宋体" w:hAnsi="宋体"/>
          <w:b/>
          <w:bCs/>
          <w:szCs w:val="21"/>
        </w:rPr>
        <w:t>四、活动地点</w:t>
      </w:r>
    </w:p>
    <w:p>
      <w:pPr>
        <w:numPr>
          <w:ilvl w:val="255"/>
          <w:numId w:val="0"/>
        </w:numPr>
        <w:ind w:firstLine="480" w:firstLineChars="200"/>
        <w:rPr>
          <w:rFonts w:ascii="宋体" w:hAnsi="宋体"/>
          <w:szCs w:val="21"/>
        </w:rPr>
      </w:pPr>
      <w:r>
        <w:rPr>
          <w:rFonts w:hint="eastAsia" w:ascii="宋体" w:hAnsi="宋体"/>
          <w:szCs w:val="21"/>
        </w:rPr>
        <w:t>我省福彩“爱心驿站”建设重点城市的繁华夜市区、人流密集步行街区、大型广场、重要地标旅游打卡点等人员聚集地，每场活动场地面积整体不小于1000平方米。</w:t>
      </w:r>
    </w:p>
    <w:p>
      <w:pPr>
        <w:ind w:left="480" w:leftChars="200" w:firstLine="0" w:firstLineChars="0"/>
        <w:rPr>
          <w:rFonts w:ascii="宋体" w:hAnsi="宋体"/>
          <w:b/>
          <w:bCs/>
          <w:szCs w:val="21"/>
        </w:rPr>
      </w:pPr>
      <w:r>
        <w:rPr>
          <w:rFonts w:hint="eastAsia" w:ascii="宋体" w:hAnsi="宋体"/>
          <w:b/>
          <w:bCs/>
          <w:szCs w:val="21"/>
        </w:rPr>
        <w:t>五、活动内容</w:t>
      </w:r>
    </w:p>
    <w:p>
      <w:pPr>
        <w:ind w:left="480" w:leftChars="200" w:firstLine="0" w:firstLineChars="0"/>
        <w:rPr>
          <w:rFonts w:ascii="宋体" w:hAnsi="宋体"/>
          <w:szCs w:val="21"/>
        </w:rPr>
      </w:pPr>
      <w:r>
        <w:rPr>
          <w:rFonts w:hint="eastAsia" w:ascii="宋体" w:hAnsi="宋体"/>
          <w:szCs w:val="21"/>
        </w:rPr>
        <w:t>（一）活动环节</w:t>
      </w:r>
    </w:p>
    <w:p>
      <w:pPr>
        <w:numPr>
          <w:ilvl w:val="255"/>
          <w:numId w:val="0"/>
        </w:numPr>
        <w:ind w:firstLine="480" w:firstLineChars="200"/>
        <w:rPr>
          <w:rFonts w:ascii="宋体" w:hAnsi="宋体"/>
          <w:szCs w:val="21"/>
        </w:rPr>
      </w:pPr>
      <w:r>
        <w:rPr>
          <w:rFonts w:hint="eastAsia" w:ascii="宋体" w:hAnsi="宋体"/>
          <w:szCs w:val="21"/>
        </w:rPr>
        <w:t>1、舞台搭建：每场活动舞台面积不小于300平方米，舞台主背景高清LED大屏不小于150平方米，全套满足活动所需的灯光（激光镭射灯、照明灯、特效灯等）、音响，根据不同主题设计不同主KV背景图片；</w:t>
      </w:r>
    </w:p>
    <w:p>
      <w:pPr>
        <w:numPr>
          <w:ilvl w:val="255"/>
          <w:numId w:val="0"/>
        </w:numPr>
        <w:ind w:firstLine="480" w:firstLineChars="200"/>
        <w:rPr>
          <w:rFonts w:ascii="宋体" w:hAnsi="宋体"/>
          <w:szCs w:val="21"/>
        </w:rPr>
      </w:pPr>
      <w:r>
        <w:rPr>
          <w:rFonts w:hint="eastAsia" w:ascii="宋体" w:hAnsi="宋体"/>
          <w:szCs w:val="21"/>
        </w:rPr>
        <w:t>2、视频制作：现场暖场片、爱心驿站宣传片、福彩文化IP形象宣传片。</w:t>
      </w:r>
    </w:p>
    <w:p>
      <w:pPr>
        <w:numPr>
          <w:ilvl w:val="255"/>
          <w:numId w:val="0"/>
        </w:numPr>
        <w:ind w:firstLine="480" w:firstLineChars="200"/>
        <w:rPr>
          <w:rFonts w:ascii="宋体" w:hAnsi="宋体"/>
          <w:szCs w:val="21"/>
        </w:rPr>
      </w:pPr>
      <w:r>
        <w:rPr>
          <w:rFonts w:hint="eastAsia" w:ascii="宋体" w:hAnsi="宋体"/>
          <w:szCs w:val="21"/>
        </w:rPr>
        <w:t>3、音乐音效：按照活动安排及节奏为整场活动选择合适的音乐音效及背景音乐，尤其是主舞台活动结束后，确保整场活动不冷场；</w:t>
      </w:r>
    </w:p>
    <w:p>
      <w:pPr>
        <w:numPr>
          <w:ilvl w:val="255"/>
          <w:numId w:val="0"/>
        </w:numPr>
        <w:ind w:firstLine="480" w:firstLineChars="200"/>
        <w:rPr>
          <w:rFonts w:ascii="宋体" w:hAnsi="宋体"/>
          <w:szCs w:val="21"/>
        </w:rPr>
      </w:pPr>
      <w:r>
        <w:rPr>
          <w:rFonts w:hint="eastAsia" w:ascii="宋体" w:hAnsi="宋体"/>
          <w:szCs w:val="21"/>
        </w:rPr>
        <w:t>4、主持团队：市级以上知名、形象佳主持人团队，每场活动不少于1男1女2名主持人；</w:t>
      </w:r>
    </w:p>
    <w:p>
      <w:pPr>
        <w:numPr>
          <w:ilvl w:val="255"/>
          <w:numId w:val="0"/>
        </w:numPr>
        <w:ind w:firstLine="480" w:firstLineChars="200"/>
        <w:rPr>
          <w:rFonts w:ascii="宋体" w:hAnsi="宋体"/>
          <w:szCs w:val="21"/>
        </w:rPr>
      </w:pPr>
      <w:r>
        <w:rPr>
          <w:rFonts w:hint="eastAsia" w:ascii="宋体" w:hAnsi="宋体"/>
          <w:szCs w:val="21"/>
        </w:rPr>
        <w:t>5、串场节目：优质节目、观看效果好、以调动现场氛围，包括多人群舞、大型魔术、专业歌伴舞、活跃氛围表演、具体当地特色节目、COS秀、乐队表演（知名乐队表演不少于3个，明星乐队不少于1个），各表演节目均需配套LED背景屏视频；</w:t>
      </w:r>
    </w:p>
    <w:p>
      <w:pPr>
        <w:numPr>
          <w:ilvl w:val="255"/>
          <w:numId w:val="0"/>
        </w:numPr>
        <w:ind w:firstLine="480" w:firstLineChars="200"/>
        <w:rPr>
          <w:rFonts w:ascii="宋体" w:hAnsi="宋体"/>
          <w:szCs w:val="21"/>
        </w:rPr>
      </w:pPr>
      <w:r>
        <w:rPr>
          <w:rFonts w:hint="eastAsia" w:ascii="宋体" w:hAnsi="宋体"/>
          <w:szCs w:val="21"/>
        </w:rPr>
        <w:t>6、场地布设：内场及外场布设，包括但不限于道旗、地贴、门头、引导牌、根据不同主题搭建不同现场整体场景、互动游戏区和公益市集等；</w:t>
      </w:r>
    </w:p>
    <w:p>
      <w:pPr>
        <w:numPr>
          <w:ilvl w:val="255"/>
          <w:numId w:val="0"/>
        </w:numPr>
        <w:ind w:firstLine="480" w:firstLineChars="200"/>
        <w:rPr>
          <w:rFonts w:ascii="宋体" w:hAnsi="宋体"/>
          <w:szCs w:val="21"/>
        </w:rPr>
      </w:pPr>
      <w:r>
        <w:rPr>
          <w:rFonts w:hint="eastAsia" w:ascii="宋体" w:hAnsi="宋体"/>
          <w:szCs w:val="21"/>
        </w:rPr>
        <w:t>7、喷绘展板：展现浙江福彩发展历程、宣传浙江福彩公益活动、宣传我省福彩公益金使用情况等；</w:t>
      </w:r>
    </w:p>
    <w:p>
      <w:pPr>
        <w:numPr>
          <w:ilvl w:val="255"/>
          <w:numId w:val="0"/>
        </w:numPr>
        <w:ind w:firstLine="480" w:firstLineChars="200"/>
        <w:rPr>
          <w:rFonts w:ascii="宋体" w:hAnsi="宋体"/>
          <w:szCs w:val="21"/>
        </w:rPr>
      </w:pPr>
      <w:r>
        <w:rPr>
          <w:rFonts w:hint="eastAsia" w:ascii="宋体" w:hAnsi="宋体"/>
          <w:szCs w:val="21"/>
        </w:rPr>
        <w:t>8、宋福韵彩形象：亚克力板制作或还原度高的充气人偶，高度不低于3米；</w:t>
      </w:r>
    </w:p>
    <w:p>
      <w:pPr>
        <w:numPr>
          <w:ilvl w:val="255"/>
          <w:numId w:val="0"/>
        </w:numPr>
        <w:ind w:firstLine="480" w:firstLineChars="200"/>
        <w:rPr>
          <w:rFonts w:ascii="宋体" w:hAnsi="宋体"/>
          <w:szCs w:val="21"/>
        </w:rPr>
      </w:pPr>
      <w:r>
        <w:rPr>
          <w:rFonts w:hint="eastAsia" w:ascii="宋体" w:hAnsi="宋体"/>
          <w:szCs w:val="21"/>
        </w:rPr>
        <w:t>9、现场NPC：宋福韵彩NPC6人（3男3女），在现场快闪舞蹈，在内场及外场走动展示。</w:t>
      </w:r>
    </w:p>
    <w:p>
      <w:pPr>
        <w:ind w:left="480" w:leftChars="200" w:firstLine="0" w:firstLineChars="0"/>
        <w:rPr>
          <w:rFonts w:ascii="宋体" w:hAnsi="宋体"/>
          <w:szCs w:val="21"/>
        </w:rPr>
      </w:pPr>
      <w:r>
        <w:rPr>
          <w:rFonts w:hint="eastAsia" w:ascii="宋体" w:hAnsi="宋体"/>
          <w:szCs w:val="21"/>
        </w:rPr>
        <w:t>（二）功能区设置</w:t>
      </w:r>
    </w:p>
    <w:p>
      <w:pPr>
        <w:numPr>
          <w:ilvl w:val="255"/>
          <w:numId w:val="0"/>
        </w:numPr>
        <w:ind w:firstLine="480" w:firstLineChars="200"/>
        <w:rPr>
          <w:rFonts w:ascii="宋体" w:hAnsi="宋体"/>
          <w:szCs w:val="21"/>
        </w:rPr>
      </w:pPr>
      <w:r>
        <w:rPr>
          <w:rFonts w:hint="eastAsia" w:ascii="宋体" w:hAnsi="宋体"/>
          <w:szCs w:val="21"/>
        </w:rPr>
        <w:t>四场活动均设置主舞台及功能区，融合打造集宣传推广、文娱表演、互动活动的沉浸式体验。现场各功能区要求：</w:t>
      </w:r>
    </w:p>
    <w:p>
      <w:pPr>
        <w:numPr>
          <w:ilvl w:val="255"/>
          <w:numId w:val="0"/>
        </w:numPr>
        <w:ind w:firstLine="480" w:firstLineChars="200"/>
        <w:rPr>
          <w:rFonts w:ascii="宋体" w:hAnsi="宋体"/>
          <w:szCs w:val="21"/>
        </w:rPr>
      </w:pPr>
      <w:r>
        <w:rPr>
          <w:rFonts w:hint="eastAsia" w:ascii="宋体" w:hAnsi="宋体"/>
          <w:szCs w:val="21"/>
        </w:rPr>
        <w:t>1、“爱心驿站”功能展示区，陈列展示“爱心驿站”布设实物或采用VR形式，手机扫码观看，并配套相应文字图片说明，配备电子显示屏播放“爱心驿站”宣传视频；</w:t>
      </w:r>
    </w:p>
    <w:p>
      <w:pPr>
        <w:numPr>
          <w:ilvl w:val="255"/>
          <w:numId w:val="0"/>
        </w:numPr>
        <w:ind w:firstLine="480" w:firstLineChars="200"/>
        <w:rPr>
          <w:rFonts w:ascii="宋体" w:hAnsi="宋体"/>
          <w:szCs w:val="21"/>
        </w:rPr>
      </w:pPr>
      <w:r>
        <w:rPr>
          <w:rFonts w:hint="eastAsia" w:ascii="宋体" w:hAnsi="宋体"/>
          <w:szCs w:val="21"/>
        </w:rPr>
        <w:t>2、打卡区，布设搭建当下流行的网红打卡场景不少于4处；</w:t>
      </w:r>
    </w:p>
    <w:p>
      <w:pPr>
        <w:numPr>
          <w:ilvl w:val="255"/>
          <w:numId w:val="0"/>
        </w:numPr>
        <w:ind w:firstLine="480" w:firstLineChars="200"/>
        <w:rPr>
          <w:rFonts w:ascii="宋体" w:hAnsi="宋体"/>
          <w:szCs w:val="21"/>
        </w:rPr>
      </w:pPr>
      <w:r>
        <w:rPr>
          <w:rFonts w:hint="eastAsia" w:ascii="宋体" w:hAnsi="宋体"/>
          <w:szCs w:val="21"/>
        </w:rPr>
        <w:t>3、互动游戏区，设置不少于4处互动游戏，套圈、真人抓娃娃机（玩偶或零食）或电子竞技对战（需配备电子大屏投屏）等趣味性强的游戏，并包含奖品（如：福彩刮刮乐、带有福彩文化IP形象的广告扇、文化衫、帆布袋、手机壳、钥匙扣、公仔、马克杯、纸巾等）；</w:t>
      </w:r>
    </w:p>
    <w:p>
      <w:pPr>
        <w:numPr>
          <w:ilvl w:val="255"/>
          <w:numId w:val="0"/>
        </w:numPr>
        <w:ind w:firstLine="480" w:firstLineChars="200"/>
        <w:rPr>
          <w:rFonts w:ascii="宋体" w:hAnsi="宋体"/>
          <w:szCs w:val="21"/>
        </w:rPr>
      </w:pPr>
      <w:r>
        <w:rPr>
          <w:rFonts w:hint="eastAsia" w:ascii="宋体" w:hAnsi="宋体"/>
          <w:szCs w:val="21"/>
        </w:rPr>
        <w:t>4、福彩文化IP形象汇展区，包括宋福、韵彩人物展示，福彩主题曲和宣传片展示；</w:t>
      </w:r>
    </w:p>
    <w:p>
      <w:pPr>
        <w:numPr>
          <w:ilvl w:val="255"/>
          <w:numId w:val="0"/>
        </w:numPr>
        <w:ind w:firstLine="480" w:firstLineChars="200"/>
        <w:rPr>
          <w:rFonts w:ascii="宋体" w:hAnsi="宋体"/>
          <w:szCs w:val="21"/>
        </w:rPr>
      </w:pPr>
      <w:r>
        <w:rPr>
          <w:rFonts w:hint="eastAsia" w:ascii="宋体" w:hAnsi="宋体"/>
          <w:szCs w:val="21"/>
        </w:rPr>
        <w:t>5、公益市集区，搭建免费摊位供其他服务团队尤其是“爱心驿站”志愿服务团队或产品销售使用，并配合当地市福彩中心组织爱心商家、爱心企业、爱心团队入驻；</w:t>
      </w:r>
    </w:p>
    <w:p>
      <w:pPr>
        <w:numPr>
          <w:ilvl w:val="255"/>
          <w:numId w:val="0"/>
        </w:numPr>
        <w:ind w:firstLine="480" w:firstLineChars="200"/>
        <w:rPr>
          <w:rFonts w:ascii="宋体" w:hAnsi="宋体"/>
          <w:szCs w:val="21"/>
        </w:rPr>
      </w:pPr>
      <w:r>
        <w:rPr>
          <w:rFonts w:hint="eastAsia" w:ascii="宋体" w:hAnsi="宋体"/>
          <w:szCs w:val="21"/>
        </w:rPr>
        <w:t>6、当地传统文化体验区，设置具有当地特性的传统文化（非遗文化）体验区供活动参与人员自行体验。</w:t>
      </w:r>
    </w:p>
    <w:p>
      <w:pPr>
        <w:ind w:left="480" w:leftChars="200" w:firstLine="0" w:firstLineChars="0"/>
        <w:rPr>
          <w:rFonts w:ascii="宋体" w:hAnsi="宋体"/>
          <w:szCs w:val="21"/>
        </w:rPr>
      </w:pPr>
      <w:r>
        <w:rPr>
          <w:rFonts w:hint="eastAsia" w:ascii="宋体" w:hAnsi="宋体"/>
          <w:szCs w:val="21"/>
        </w:rPr>
        <w:t>（三）公益亮点</w:t>
      </w:r>
    </w:p>
    <w:p>
      <w:pPr>
        <w:numPr>
          <w:ilvl w:val="255"/>
          <w:numId w:val="0"/>
        </w:numPr>
        <w:ind w:firstLine="480" w:firstLineChars="200"/>
        <w:rPr>
          <w:rFonts w:ascii="宋体" w:hAnsi="宋体"/>
          <w:szCs w:val="21"/>
        </w:rPr>
      </w:pPr>
      <w:r>
        <w:rPr>
          <w:rFonts w:hint="eastAsia" w:ascii="宋体" w:hAnsi="宋体"/>
          <w:szCs w:val="21"/>
        </w:rPr>
        <w:t>每场活动邀请“爱心驿站”代表20名，着统一服装为参加活动人员提供公益爱心服务等（服装由乙方设计、采购，共计不少于80套）。向社会招募参与活动人员，每场不少于300人。</w:t>
      </w:r>
    </w:p>
    <w:p>
      <w:pPr>
        <w:ind w:left="480" w:leftChars="200" w:firstLine="0" w:firstLineChars="0"/>
        <w:rPr>
          <w:rFonts w:ascii="宋体" w:hAnsi="宋体"/>
          <w:szCs w:val="21"/>
        </w:rPr>
      </w:pPr>
      <w:r>
        <w:rPr>
          <w:rFonts w:hint="eastAsia" w:ascii="宋体" w:hAnsi="宋体"/>
          <w:szCs w:val="21"/>
        </w:rPr>
        <w:t>（四）物资配备</w:t>
      </w:r>
    </w:p>
    <w:p>
      <w:pPr>
        <w:numPr>
          <w:ilvl w:val="255"/>
          <w:numId w:val="0"/>
        </w:numPr>
        <w:ind w:firstLine="480" w:firstLineChars="200"/>
        <w:rPr>
          <w:rFonts w:ascii="宋体" w:hAnsi="宋体"/>
          <w:szCs w:val="21"/>
        </w:rPr>
      </w:pPr>
      <w:r>
        <w:rPr>
          <w:rFonts w:hint="eastAsia" w:ascii="宋体" w:hAnsi="宋体"/>
          <w:szCs w:val="21"/>
        </w:rPr>
        <w:t>每场活动准备50000元物资，包含30000元福彩文化IP宣传品</w:t>
      </w:r>
      <w:r>
        <w:rPr>
          <w:rFonts w:hint="eastAsia" w:ascii="宋体" w:hAnsi="宋体" w:cs="Helvetica"/>
          <w:kern w:val="0"/>
        </w:rPr>
        <w:t>（奖品）</w:t>
      </w:r>
      <w:r>
        <w:rPr>
          <w:rFonts w:hint="eastAsia" w:ascii="宋体" w:hAnsi="宋体"/>
          <w:szCs w:val="21"/>
        </w:rPr>
        <w:t>和20000元福彩刮刮乐，用于点亮微心愿活动及现场互动活动。</w:t>
      </w:r>
    </w:p>
    <w:p>
      <w:pPr>
        <w:ind w:left="480" w:leftChars="200" w:firstLine="0" w:firstLineChars="0"/>
        <w:rPr>
          <w:rFonts w:ascii="宋体" w:hAnsi="宋体"/>
          <w:b/>
          <w:bCs/>
          <w:szCs w:val="21"/>
        </w:rPr>
      </w:pPr>
      <w:r>
        <w:rPr>
          <w:rFonts w:hint="eastAsia" w:ascii="宋体" w:hAnsi="宋体"/>
          <w:b/>
          <w:bCs/>
          <w:szCs w:val="21"/>
        </w:rPr>
        <w:t>六、活动时间</w:t>
      </w:r>
    </w:p>
    <w:p>
      <w:pPr>
        <w:numPr>
          <w:ilvl w:val="255"/>
          <w:numId w:val="0"/>
        </w:numPr>
        <w:ind w:firstLine="480" w:firstLineChars="200"/>
        <w:rPr>
          <w:rFonts w:ascii="宋体" w:hAnsi="宋体"/>
          <w:szCs w:val="21"/>
        </w:rPr>
      </w:pPr>
      <w:r>
        <w:rPr>
          <w:rFonts w:hint="eastAsia" w:ascii="宋体" w:hAnsi="宋体"/>
          <w:szCs w:val="21"/>
        </w:rPr>
        <w:t>拟于2024年10月份起至2024年11月份完成。</w:t>
      </w:r>
    </w:p>
    <w:p>
      <w:pPr>
        <w:ind w:left="480" w:leftChars="200" w:firstLine="0" w:firstLineChars="0"/>
        <w:rPr>
          <w:rFonts w:ascii="宋体" w:hAnsi="宋体"/>
          <w:b/>
          <w:bCs/>
          <w:szCs w:val="21"/>
        </w:rPr>
      </w:pPr>
      <w:r>
        <w:rPr>
          <w:rFonts w:hint="eastAsia" w:ascii="宋体" w:hAnsi="宋体"/>
          <w:b/>
          <w:bCs/>
          <w:szCs w:val="21"/>
        </w:rPr>
        <w:t>七、活动宣传</w:t>
      </w:r>
    </w:p>
    <w:p>
      <w:pPr>
        <w:numPr>
          <w:ilvl w:val="255"/>
          <w:numId w:val="0"/>
        </w:numPr>
        <w:ind w:firstLine="480" w:firstLineChars="200"/>
        <w:rPr>
          <w:rFonts w:ascii="宋体" w:hAnsi="宋体"/>
          <w:szCs w:val="21"/>
        </w:rPr>
      </w:pPr>
      <w:r>
        <w:rPr>
          <w:rFonts w:hint="eastAsia" w:ascii="宋体" w:hAnsi="宋体"/>
          <w:szCs w:val="21"/>
        </w:rPr>
        <w:t>1.精准投放：活动前、中、后期，通过抖音、微博、小红书等社交新媒体平台，面向浙江省内受众做好推流等广告形式的精准宣传。</w:t>
      </w:r>
    </w:p>
    <w:p>
      <w:pPr>
        <w:numPr>
          <w:ilvl w:val="255"/>
          <w:numId w:val="0"/>
        </w:numPr>
        <w:ind w:firstLine="480" w:firstLineChars="200"/>
        <w:rPr>
          <w:rFonts w:ascii="宋体" w:hAnsi="宋体"/>
          <w:szCs w:val="21"/>
        </w:rPr>
      </w:pPr>
      <w:r>
        <w:rPr>
          <w:rFonts w:hint="eastAsia" w:ascii="宋体" w:hAnsi="宋体"/>
          <w:szCs w:val="21"/>
        </w:rPr>
        <w:t>2.广泛覆盖：项目执行期间，确保新媒体平台省内曝光量不低于8000万次；在中央媒体刊登报道不少于4次，省级媒体发布图文影音报道不少于8次，在省级平台投放宣传视频不少于4次，自有或合作账号持续报道不少于12次。</w:t>
      </w:r>
    </w:p>
    <w:p>
      <w:pPr>
        <w:numPr>
          <w:ilvl w:val="255"/>
          <w:numId w:val="0"/>
        </w:numPr>
        <w:ind w:firstLine="480" w:firstLineChars="200"/>
        <w:rPr>
          <w:rFonts w:ascii="宋体" w:hAnsi="宋体"/>
          <w:szCs w:val="21"/>
        </w:rPr>
      </w:pPr>
      <w:r>
        <w:rPr>
          <w:rFonts w:hint="eastAsia" w:ascii="宋体" w:hAnsi="宋体"/>
          <w:szCs w:val="21"/>
        </w:rPr>
        <w:t>3.单场聚焦：每场活动配备H5 1个、短视频1个、创意海报3张、宣传软文4篇、视频及图片直播1场，确保直播观看人次不低于100万，活动结束后制作总结性宣传视频及图文报道。</w:t>
      </w:r>
    </w:p>
    <w:p>
      <w:pPr>
        <w:numPr>
          <w:ilvl w:val="255"/>
          <w:numId w:val="0"/>
        </w:numPr>
        <w:ind w:firstLine="480" w:firstLineChars="200"/>
        <w:rPr>
          <w:rFonts w:ascii="宋体" w:hAnsi="宋体"/>
          <w:szCs w:val="21"/>
        </w:rPr>
      </w:pPr>
      <w:r>
        <w:rPr>
          <w:rFonts w:hint="eastAsia" w:ascii="宋体" w:hAnsi="宋体"/>
          <w:szCs w:val="21"/>
        </w:rPr>
        <w:t>4.复盘总结：总结性宣传报道视频不少于1个、图文不少于1篇。</w:t>
      </w:r>
    </w:p>
    <w:p>
      <w:pPr>
        <w:ind w:firstLine="458"/>
        <w:rPr>
          <w:rFonts w:ascii="宋体" w:hAnsi="宋体" w:cs="宋体"/>
          <w:b/>
          <w:spacing w:val="-6"/>
        </w:rPr>
      </w:pPr>
      <w:r>
        <w:rPr>
          <w:rFonts w:hint="eastAsia" w:ascii="宋体" w:hAnsi="宋体" w:cs="宋体"/>
          <w:b/>
          <w:spacing w:val="-6"/>
        </w:rPr>
        <w:t>第五条：其他技术、服务要求</w:t>
      </w:r>
    </w:p>
    <w:p>
      <w:pPr>
        <w:ind w:right="26" w:rightChars="11" w:firstLine="456"/>
        <w:rPr>
          <w:rFonts w:ascii="宋体" w:hAnsi="宋体" w:cs="宋体"/>
          <w:spacing w:val="-6"/>
        </w:rPr>
      </w:pPr>
      <w:r>
        <w:rPr>
          <w:rFonts w:hint="eastAsia" w:ascii="宋体" w:hAnsi="宋体" w:cs="宋体"/>
          <w:spacing w:val="-6"/>
        </w:rPr>
        <w:t>1.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保密条款不受本合同届满、解除、终止或本合同中其他条款的无效或履行完毕等情形的影响。</w:t>
      </w:r>
    </w:p>
    <w:p>
      <w:pPr>
        <w:ind w:right="26" w:rightChars="11" w:firstLine="456"/>
        <w:rPr>
          <w:rFonts w:ascii="宋体" w:hAnsi="宋体" w:cs="宋体"/>
          <w:spacing w:val="-6"/>
        </w:rPr>
      </w:pPr>
      <w:r>
        <w:rPr>
          <w:rFonts w:hint="eastAsia" w:ascii="宋体" w:hAnsi="宋体" w:cs="宋体"/>
          <w:spacing w:val="-6"/>
        </w:rPr>
        <w:t>2.乙方应保证所提供的服务或其中任何一部分均不会侵犯第三方的知识产权或其他合法权益。</w:t>
      </w:r>
    </w:p>
    <w:p>
      <w:pPr>
        <w:ind w:right="26" w:rightChars="11" w:firstLine="456"/>
        <w:rPr>
          <w:rFonts w:ascii="宋体" w:hAnsi="宋体" w:cs="宋体"/>
          <w:spacing w:val="-6"/>
        </w:rPr>
      </w:pPr>
      <w:r>
        <w:rPr>
          <w:rFonts w:hint="eastAsia" w:ascii="宋体" w:hAnsi="宋体" w:cs="宋体"/>
          <w:spacing w:val="-6"/>
        </w:rPr>
        <w:t>3.乙方根据本合同为甲方提供的服务所产生的一切工作成果，包括但不限于视频、图片、LOGO、文案、音乐、软件程序等，知识产权均归属于甲方所有。未经甲方书面同意，乙方不得擅自使用或提供给任何第三方使用。</w:t>
      </w:r>
    </w:p>
    <w:p>
      <w:pPr>
        <w:ind w:right="26" w:rightChars="11" w:firstLine="456"/>
        <w:rPr>
          <w:rFonts w:ascii="宋体" w:hAnsi="宋体" w:cs="宋体"/>
          <w:spacing w:val="-6"/>
        </w:rPr>
      </w:pPr>
      <w:r>
        <w:rPr>
          <w:rFonts w:hint="eastAsia" w:ascii="宋体" w:hAnsi="宋体" w:cs="宋体"/>
          <w:spacing w:val="-6"/>
        </w:rPr>
        <w:t>4.乙方在组织线下活动过程中，应当负责采取适当安全保障措施，负责现场安全管理，若在活动过程中发生安全事故造成人身或财产损失的，由乙方负责处理并承担经济责任。若给甲方造成损失的，甲方有权向乙方追偿。</w:t>
      </w:r>
    </w:p>
    <w:p>
      <w:pPr>
        <w:ind w:right="26" w:rightChars="11" w:firstLine="456"/>
        <w:rPr>
          <w:rFonts w:ascii="宋体" w:hAnsi="宋体" w:cs="宋体"/>
          <w:spacing w:val="-6"/>
        </w:rPr>
      </w:pPr>
      <w:r>
        <w:rPr>
          <w:rFonts w:hint="eastAsia" w:ascii="宋体" w:hAnsi="宋体" w:cs="宋体"/>
          <w:spacing w:val="-6"/>
        </w:rPr>
        <w:t>5.甲方对宣传内容的确认不意味着对乙方审查义务的免除，乙方应保证宣传内容不违反法律、法规、政策，并对宣传内容承担责任。</w:t>
      </w:r>
    </w:p>
    <w:p>
      <w:pPr>
        <w:ind w:right="26" w:rightChars="11" w:firstLine="456"/>
        <w:rPr>
          <w:rFonts w:ascii="宋体" w:hAnsi="宋体" w:cs="宋体"/>
          <w:spacing w:val="-6"/>
        </w:rPr>
      </w:pPr>
      <w:r>
        <w:rPr>
          <w:rFonts w:hint="eastAsia" w:ascii="宋体" w:hAnsi="宋体" w:cs="宋体"/>
          <w:spacing w:val="-6"/>
        </w:rPr>
        <w:t>6.乙方有义务派出充足、专业的工作团队为甲方提供服务。同时乙方应提供团队主要组成人员名单及简历作为本合同附件，乙方成员需经甲方认可方能进入服务团队，有与简历不符或工作能力不佳的或工作表现不良的，甲方有权随时提出调换，乙方应予接到甲方书面通知后立即进行调换。</w:t>
      </w:r>
    </w:p>
    <w:p>
      <w:pPr>
        <w:ind w:firstLine="458"/>
        <w:rPr>
          <w:rFonts w:ascii="宋体" w:hAnsi="宋体" w:cs="宋体"/>
          <w:b/>
          <w:spacing w:val="-6"/>
        </w:rPr>
      </w:pPr>
      <w:r>
        <w:rPr>
          <w:rFonts w:hint="eastAsia" w:ascii="宋体" w:hAnsi="宋体" w:cs="宋体"/>
          <w:b/>
          <w:spacing w:val="-6"/>
        </w:rPr>
        <w:t>第六条：验收标准</w:t>
      </w:r>
    </w:p>
    <w:p>
      <w:pPr>
        <w:ind w:right="26" w:rightChars="11" w:firstLine="456"/>
        <w:rPr>
          <w:rFonts w:ascii="宋体" w:hAnsi="宋体" w:cs="宋体"/>
          <w:spacing w:val="-6"/>
        </w:rPr>
      </w:pPr>
      <w:r>
        <w:rPr>
          <w:rFonts w:hint="eastAsia" w:ascii="宋体" w:hAnsi="宋体" w:cs="宋体"/>
          <w:spacing w:val="-6"/>
        </w:rPr>
        <w:t>1.验收由甲方负责实施；</w:t>
      </w:r>
    </w:p>
    <w:p>
      <w:pPr>
        <w:ind w:right="26" w:rightChars="11" w:firstLine="456"/>
        <w:rPr>
          <w:rFonts w:ascii="宋体" w:hAnsi="宋体" w:cs="宋体"/>
          <w:spacing w:val="-6"/>
        </w:rPr>
      </w:pPr>
      <w:r>
        <w:rPr>
          <w:rFonts w:hint="eastAsia" w:ascii="宋体" w:hAnsi="宋体" w:cs="宋体"/>
          <w:spacing w:val="-6"/>
        </w:rPr>
        <w:t>2.验收依据：</w:t>
      </w:r>
    </w:p>
    <w:p>
      <w:pPr>
        <w:ind w:right="26" w:rightChars="11" w:firstLine="456"/>
        <w:rPr>
          <w:rFonts w:ascii="宋体" w:hAnsi="宋体" w:cs="宋体"/>
          <w:color w:val="auto"/>
          <w:spacing w:val="-6"/>
        </w:rPr>
      </w:pPr>
      <w:r>
        <w:rPr>
          <w:rFonts w:hint="eastAsia" w:ascii="宋体" w:hAnsi="宋体" w:cs="宋体"/>
          <w:spacing w:val="-6"/>
        </w:rPr>
        <w:t>2.1合同</w:t>
      </w:r>
      <w:r>
        <w:rPr>
          <w:rFonts w:hint="eastAsia" w:ascii="宋体" w:hAnsi="宋体" w:cs="宋体"/>
          <w:color w:val="auto"/>
          <w:spacing w:val="-6"/>
        </w:rPr>
        <w:t>、采购文件、投标文件；</w:t>
      </w:r>
    </w:p>
    <w:p>
      <w:pPr>
        <w:ind w:right="26" w:rightChars="11" w:firstLine="456"/>
        <w:rPr>
          <w:rFonts w:ascii="宋体" w:hAnsi="宋体" w:cs="宋体"/>
          <w:spacing w:val="-6"/>
        </w:rPr>
      </w:pPr>
      <w:r>
        <w:rPr>
          <w:rFonts w:hint="eastAsia" w:ascii="宋体" w:hAnsi="宋体" w:cs="宋体"/>
          <w:color w:val="auto"/>
          <w:spacing w:val="-6"/>
        </w:rPr>
        <w:t>2.2于2024年11月25日前，</w:t>
      </w:r>
      <w:r>
        <w:rPr>
          <w:rFonts w:hint="eastAsia"/>
          <w:color w:val="auto"/>
        </w:rPr>
        <w:t>乙方</w:t>
      </w:r>
      <w:r>
        <w:rPr>
          <w:rFonts w:hint="eastAsia" w:ascii="宋体" w:hAnsi="宋体" w:cs="宋体"/>
          <w:color w:val="auto"/>
          <w:spacing w:val="-6"/>
        </w:rPr>
        <w:t>向</w:t>
      </w:r>
      <w:r>
        <w:rPr>
          <w:rFonts w:hint="eastAsia" w:ascii="宋体" w:hAnsi="宋体" w:cs="宋体"/>
          <w:spacing w:val="-6"/>
        </w:rPr>
        <w:t>甲方提供与采购文件相符的结案报告供甲方验收，以合作内容的落实情况报告为主。</w:t>
      </w:r>
    </w:p>
    <w:p>
      <w:pPr>
        <w:ind w:right="26" w:rightChars="11" w:firstLine="456"/>
        <w:rPr>
          <w:rFonts w:ascii="宋体" w:hAnsi="宋体" w:cs="宋体"/>
          <w:spacing w:val="-6"/>
        </w:rPr>
      </w:pPr>
      <w:r>
        <w:rPr>
          <w:rFonts w:hint="eastAsia" w:ascii="宋体" w:hAnsi="宋体" w:cs="宋体"/>
          <w:spacing w:val="-6"/>
        </w:rPr>
        <w:t>3.甲方于收到结案报告之日起7日内对乙方服务进行验收，针对乙方服务不符合本合同、采购文件、投标承诺要求的，每一项甲方有权从合同尾款中扣除</w:t>
      </w:r>
      <w:r>
        <w:rPr>
          <w:rFonts w:hint="eastAsia" w:ascii="宋体" w:hAnsi="宋体" w:cs="宋体"/>
          <w:spacing w:val="-6"/>
          <w:lang w:eastAsia="zh-Hans"/>
        </w:rPr>
        <w:t>单项金额并按第七条追究乙方违约责任</w:t>
      </w:r>
      <w:r>
        <w:rPr>
          <w:rFonts w:hint="eastAsia" w:ascii="宋体" w:hAnsi="宋体" w:cs="宋体"/>
          <w:spacing w:val="-6"/>
        </w:rPr>
        <w:t>。</w:t>
      </w:r>
    </w:p>
    <w:p>
      <w:pPr>
        <w:ind w:right="26" w:rightChars="11" w:firstLine="456"/>
        <w:rPr>
          <w:rFonts w:ascii="宋体" w:hAnsi="宋体" w:cs="宋体"/>
          <w:spacing w:val="-6"/>
        </w:rPr>
      </w:pPr>
      <w:r>
        <w:rPr>
          <w:rFonts w:hint="eastAsia" w:ascii="宋体" w:hAnsi="宋体" w:cs="宋体"/>
          <w:spacing w:val="-6"/>
        </w:rPr>
        <w:t>4.验收合格的条件：</w:t>
      </w:r>
    </w:p>
    <w:p>
      <w:pPr>
        <w:ind w:right="26" w:rightChars="11" w:firstLine="456"/>
        <w:rPr>
          <w:rFonts w:ascii="宋体" w:hAnsi="宋体" w:cs="宋体"/>
          <w:spacing w:val="-6"/>
        </w:rPr>
      </w:pPr>
      <w:r>
        <w:rPr>
          <w:rFonts w:hint="eastAsia" w:ascii="宋体" w:hAnsi="宋体" w:cs="宋体"/>
          <w:spacing w:val="-6"/>
        </w:rPr>
        <w:t>4.1所供服务符合标准和合同的要求；</w:t>
      </w:r>
    </w:p>
    <w:p>
      <w:pPr>
        <w:ind w:right="26" w:rightChars="11" w:firstLine="456"/>
        <w:rPr>
          <w:rFonts w:ascii="宋体" w:hAnsi="宋体" w:cs="宋体"/>
          <w:spacing w:val="-6"/>
        </w:rPr>
      </w:pPr>
      <w:r>
        <w:rPr>
          <w:rFonts w:hint="eastAsia" w:ascii="宋体" w:hAnsi="宋体" w:cs="宋体"/>
          <w:spacing w:val="-6"/>
        </w:rPr>
        <w:t>4.2在进行验收过程中发现的问题已被解决并得到甲方的</w:t>
      </w:r>
      <w:r>
        <w:rPr>
          <w:rFonts w:hint="eastAsia" w:ascii="宋体" w:hAnsi="宋体" w:cs="宋体"/>
          <w:spacing w:val="-6"/>
          <w:lang w:eastAsia="zh-Hans"/>
        </w:rPr>
        <w:t>书面</w:t>
      </w:r>
      <w:r>
        <w:rPr>
          <w:rFonts w:hint="eastAsia" w:ascii="宋体" w:hAnsi="宋体" w:cs="宋体"/>
          <w:spacing w:val="-6"/>
        </w:rPr>
        <w:t>认可；</w:t>
      </w:r>
    </w:p>
    <w:p>
      <w:pPr>
        <w:ind w:right="26" w:rightChars="11" w:firstLine="456"/>
        <w:rPr>
          <w:rFonts w:ascii="宋体" w:hAnsi="宋体" w:cs="宋体"/>
          <w:spacing w:val="-6"/>
        </w:rPr>
      </w:pPr>
      <w:r>
        <w:rPr>
          <w:rFonts w:hint="eastAsia" w:ascii="宋体" w:hAnsi="宋体" w:cs="宋体"/>
          <w:spacing w:val="-6"/>
        </w:rPr>
        <w:t>4.3合同中规定的所有服务和材料均已交付；</w:t>
      </w:r>
    </w:p>
    <w:p>
      <w:pPr>
        <w:ind w:right="26" w:rightChars="11" w:firstLine="456"/>
        <w:rPr>
          <w:rFonts w:ascii="宋体" w:hAnsi="宋体" w:cs="宋体"/>
          <w:spacing w:val="-6"/>
        </w:rPr>
      </w:pPr>
      <w:r>
        <w:rPr>
          <w:rFonts w:hint="eastAsia" w:ascii="宋体" w:hAnsi="宋体" w:cs="宋体"/>
          <w:spacing w:val="-6"/>
        </w:rPr>
        <w:t>4.4所有相关的技术文件及资料均已提交并得到接受。</w:t>
      </w:r>
    </w:p>
    <w:p>
      <w:pPr>
        <w:ind w:right="-588" w:rightChars="-245" w:firstLine="458"/>
        <w:rPr>
          <w:rFonts w:ascii="宋体" w:hAnsi="宋体" w:cs="宋体"/>
          <w:b/>
          <w:spacing w:val="-6"/>
        </w:rPr>
      </w:pPr>
      <w:r>
        <w:rPr>
          <w:rFonts w:hint="eastAsia" w:ascii="宋体" w:hAnsi="宋体" w:cs="宋体"/>
          <w:b/>
          <w:spacing w:val="-6"/>
        </w:rPr>
        <w:t>第七条：违约责任</w:t>
      </w:r>
    </w:p>
    <w:p>
      <w:pPr>
        <w:ind w:right="26" w:rightChars="11" w:firstLine="456"/>
        <w:rPr>
          <w:rFonts w:ascii="宋体" w:hAnsi="宋体" w:cs="宋体"/>
          <w:spacing w:val="-6"/>
        </w:rPr>
      </w:pPr>
      <w:r>
        <w:rPr>
          <w:rFonts w:hint="eastAsia" w:ascii="宋体" w:hAnsi="宋体" w:cs="宋体"/>
          <w:spacing w:val="-6"/>
        </w:rPr>
        <w:t>1.乙方应严格按照本合同提供服务并保证质量，甲方有权随时对乙方的服务进行检查。服务过程中乙方违反“服务内容”之任一内容的，甲方有权要求乙方立即予以整改</w:t>
      </w:r>
      <w:r>
        <w:rPr>
          <w:rFonts w:hint="eastAsia" w:ascii="宋体" w:hAnsi="宋体" w:cs="宋体"/>
          <w:spacing w:val="-6"/>
          <w:lang w:eastAsia="zh-Hans"/>
        </w:rPr>
        <w:t>。</w:t>
      </w:r>
      <w:r>
        <w:rPr>
          <w:rFonts w:hint="eastAsia" w:ascii="宋体" w:hAnsi="宋体" w:cs="宋体"/>
          <w:spacing w:val="-6"/>
        </w:rPr>
        <w:t>乙方存在不予整改、整改后不符合甲方要求、合同期内累计出现整改情形超过三次</w:t>
      </w:r>
      <w:r>
        <w:rPr>
          <w:rFonts w:hint="eastAsia" w:ascii="宋体" w:hAnsi="宋体" w:cs="宋体"/>
          <w:spacing w:val="-6"/>
          <w:lang w:eastAsia="zh-Hans"/>
        </w:rPr>
        <w:t>之任一情形</w:t>
      </w:r>
      <w:r>
        <w:rPr>
          <w:rFonts w:hint="eastAsia" w:ascii="宋体" w:hAnsi="宋体" w:cs="宋体"/>
          <w:spacing w:val="-6"/>
        </w:rPr>
        <w:t>的，甲方有权单方解除本合同，乙方应按本合同总额的10%向甲方支付违约金</w:t>
      </w:r>
      <w:r>
        <w:rPr>
          <w:rFonts w:hint="eastAsia" w:ascii="宋体" w:hAnsi="宋体" w:cs="宋体"/>
          <w:spacing w:val="-6"/>
          <w:lang w:eastAsia="zh-Hans"/>
        </w:rPr>
        <w:t>，服务费用扣除乙方应支付的违约金和赔偿金后结算至解除之日</w:t>
      </w:r>
      <w:r>
        <w:rPr>
          <w:rFonts w:hint="eastAsia" w:ascii="宋体" w:hAnsi="宋体" w:cs="宋体"/>
          <w:spacing w:val="-6"/>
        </w:rPr>
        <w:t>。违约金不足以弥补损失的，乙方还应承担赔偿责任。</w:t>
      </w:r>
    </w:p>
    <w:p>
      <w:pPr>
        <w:ind w:right="26" w:rightChars="11" w:firstLine="456"/>
        <w:rPr>
          <w:rFonts w:ascii="宋体" w:hAnsi="宋体" w:cs="宋体"/>
          <w:spacing w:val="-6"/>
          <w:lang w:eastAsia="zh-Hans"/>
        </w:rPr>
      </w:pPr>
      <w:r>
        <w:rPr>
          <w:rFonts w:hint="eastAsia" w:ascii="宋体" w:hAnsi="宋体" w:cs="宋体"/>
          <w:spacing w:val="-6"/>
          <w:lang w:eastAsia="zh-Hans"/>
        </w:rPr>
        <w:t>2.因甲方单方违约导致甲方逾期支付本合同项下任何款项的，经乙方书面催告后三十天内仍未支付的，自第三十一天起应当以逾期金额为基数按本合同订立时一年期贷款市场报价利率向乙方支付违约金。</w:t>
      </w:r>
    </w:p>
    <w:p>
      <w:pPr>
        <w:ind w:right="26" w:rightChars="11" w:firstLine="456"/>
        <w:rPr>
          <w:rFonts w:ascii="宋体" w:hAnsi="宋体" w:cs="宋体"/>
          <w:spacing w:val="-6"/>
        </w:rPr>
      </w:pPr>
      <w:r>
        <w:rPr>
          <w:rFonts w:hint="eastAsia" w:ascii="宋体" w:hAnsi="宋体" w:cs="宋体"/>
          <w:spacing w:val="-6"/>
        </w:rPr>
        <w:t>3.乙方最终提供的结案报告未能验收合格的，乙方除应按照验收要求进行整改外，还应按照</w:t>
      </w:r>
      <w:r>
        <w:rPr>
          <w:rFonts w:hint="eastAsia" w:ascii="宋体" w:hAnsi="宋体" w:cs="宋体"/>
          <w:spacing w:val="-6"/>
          <w:lang w:eastAsia="zh-Hans"/>
        </w:rPr>
        <w:t>本合同总额的10%</w:t>
      </w:r>
      <w:r>
        <w:rPr>
          <w:rFonts w:hint="eastAsia" w:ascii="宋体" w:hAnsi="宋体" w:cs="宋体"/>
          <w:spacing w:val="-6"/>
        </w:rPr>
        <w:t>向甲方支付违约金。</w:t>
      </w:r>
    </w:p>
    <w:p>
      <w:pPr>
        <w:ind w:right="26" w:rightChars="11" w:firstLine="456"/>
        <w:rPr>
          <w:rFonts w:ascii="宋体" w:hAnsi="宋体" w:cs="宋体"/>
          <w:spacing w:val="-6"/>
        </w:rPr>
      </w:pPr>
      <w:r>
        <w:rPr>
          <w:rFonts w:ascii="宋体" w:hAnsi="宋体" w:cs="宋体"/>
          <w:spacing w:val="-6"/>
        </w:rPr>
        <w:t>4</w:t>
      </w:r>
      <w:r>
        <w:rPr>
          <w:rFonts w:hint="eastAsia" w:ascii="宋体" w:hAnsi="宋体" w:cs="宋体"/>
          <w:spacing w:val="-6"/>
        </w:rPr>
        <w:t>.</w:t>
      </w:r>
      <w:r>
        <w:rPr>
          <w:rFonts w:hint="eastAsia" w:ascii="宋体" w:hAnsi="宋体" w:cs="宋体"/>
          <w:spacing w:val="-6"/>
          <w:lang w:eastAsia="zh-Hans"/>
        </w:rPr>
        <w:t>乙方违反本合同第五条之任一情形的，乙方除应立即采取补救措施外还应承担一切法律责任。甲方有权要求乙方赔偿由此产生的一切损失，并有权选择单方解除本合同并要求乙方按合同总额的10%支付违约金。服务费用扣除乙方应支付的违约金及赔偿金后结算至解除之日。</w:t>
      </w:r>
    </w:p>
    <w:p>
      <w:pPr>
        <w:ind w:right="26" w:rightChars="11" w:firstLine="456"/>
        <w:rPr>
          <w:rFonts w:ascii="宋体" w:hAnsi="宋体" w:cs="宋体"/>
          <w:spacing w:val="-6"/>
        </w:rPr>
      </w:pPr>
      <w:r>
        <w:rPr>
          <w:rFonts w:ascii="宋体" w:hAnsi="宋体" w:cs="宋体"/>
          <w:spacing w:val="-6"/>
        </w:rPr>
        <w:t>5</w:t>
      </w:r>
      <w:r>
        <w:rPr>
          <w:rFonts w:hint="eastAsia" w:ascii="宋体" w:hAnsi="宋体" w:cs="宋体"/>
          <w:spacing w:val="-6"/>
        </w:rPr>
        <w:t>.乙方逾期履行合同或逾期完成合同设定之阶段性任务的，自逾期之日起，向甲方每日偿付合同总价千分之一的违约金。经甲方通知其履行之日起超过三十日仍未履行的，甲方有权选择单方解除本合同，乙方应按照合同总额的10%向甲方支付违约金。</w:t>
      </w:r>
    </w:p>
    <w:p>
      <w:pPr>
        <w:ind w:right="26" w:rightChars="11" w:firstLine="456"/>
        <w:rPr>
          <w:rFonts w:ascii="宋体" w:hAnsi="宋体" w:cs="宋体"/>
          <w:spacing w:val="-6"/>
        </w:rPr>
      </w:pPr>
      <w:r>
        <w:rPr>
          <w:rFonts w:hint="eastAsia" w:ascii="宋体" w:hAnsi="宋体" w:cs="宋体"/>
          <w:spacing w:val="-6"/>
        </w:rPr>
        <w:t>6.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pPr>
        <w:ind w:right="26" w:rightChars="11" w:firstLine="456"/>
        <w:rPr>
          <w:rFonts w:ascii="宋体" w:hAnsi="宋体" w:cs="宋体"/>
          <w:spacing w:val="-6"/>
        </w:rPr>
      </w:pPr>
      <w:r>
        <w:rPr>
          <w:rFonts w:hint="eastAsia" w:ascii="宋体" w:hAnsi="宋体" w:cs="宋体"/>
          <w:spacing w:val="-6"/>
        </w:rPr>
        <w:t>7.协议履行过程中若因国家重大法律、政策发生变动或不可抗拒的事件发生，造成协议不能政策履行，甲乙双方共同协商解决。</w:t>
      </w:r>
    </w:p>
    <w:p>
      <w:pPr>
        <w:ind w:firstLine="458"/>
        <w:rPr>
          <w:rFonts w:ascii="宋体" w:hAnsi="宋体" w:cs="宋体"/>
          <w:b/>
          <w:spacing w:val="-6"/>
        </w:rPr>
      </w:pPr>
      <w:r>
        <w:rPr>
          <w:rFonts w:hint="eastAsia" w:ascii="宋体" w:hAnsi="宋体" w:cs="宋体"/>
          <w:b/>
          <w:spacing w:val="-6"/>
        </w:rPr>
        <w:t>第八条：不可抗力事件处理</w:t>
      </w:r>
    </w:p>
    <w:p>
      <w:pPr>
        <w:ind w:right="26" w:rightChars="11" w:firstLine="456"/>
        <w:rPr>
          <w:rFonts w:ascii="宋体" w:hAnsi="宋体" w:cs="宋体"/>
          <w:spacing w:val="-6"/>
        </w:rPr>
      </w:pPr>
      <w:r>
        <w:rPr>
          <w:rFonts w:hint="eastAsia" w:ascii="宋体" w:hAnsi="宋体" w:cs="宋体"/>
          <w:spacing w:val="-6"/>
        </w:rPr>
        <w:t>1.在合同有效期内，任何一方因战争、火灾、台风、洪水、地震、罢工、流行疾病（包括疫情）、国家重大法律、政策发生变动等不可抗力事件导致不能履行合同，则合同履行期可延长，其延长期与不可抗力影响期相同。</w:t>
      </w:r>
    </w:p>
    <w:p>
      <w:pPr>
        <w:ind w:right="26" w:rightChars="11" w:firstLine="456"/>
        <w:rPr>
          <w:rFonts w:ascii="宋体" w:hAnsi="宋体" w:cs="宋体"/>
          <w:spacing w:val="-6"/>
        </w:rPr>
      </w:pPr>
      <w:r>
        <w:rPr>
          <w:rFonts w:hint="eastAsia" w:ascii="宋体" w:hAnsi="宋体" w:cs="宋体"/>
          <w:spacing w:val="-6"/>
        </w:rPr>
        <w:t>2.不可抗力事件发生后，应立即通知对方，并寄送有关权威机构出具的证明。</w:t>
      </w:r>
    </w:p>
    <w:p>
      <w:pPr>
        <w:ind w:right="26" w:rightChars="11" w:firstLine="456"/>
        <w:rPr>
          <w:rFonts w:ascii="宋体" w:hAnsi="宋体" w:cs="宋体"/>
          <w:spacing w:val="-6"/>
        </w:rPr>
      </w:pPr>
      <w:r>
        <w:rPr>
          <w:rFonts w:hint="eastAsia" w:ascii="宋体" w:hAnsi="宋体" w:cs="宋体"/>
          <w:spacing w:val="-6"/>
        </w:rPr>
        <w:t>3.不可抗力事件延续120天以上，双方应通过友好协商，确定是否继续履行合同。</w:t>
      </w:r>
    </w:p>
    <w:p>
      <w:pPr>
        <w:ind w:right="-588" w:rightChars="-245" w:firstLine="458"/>
        <w:rPr>
          <w:rFonts w:ascii="宋体" w:hAnsi="宋体" w:cs="宋体"/>
          <w:b/>
          <w:spacing w:val="-6"/>
        </w:rPr>
      </w:pPr>
      <w:r>
        <w:rPr>
          <w:rFonts w:hint="eastAsia" w:ascii="宋体" w:hAnsi="宋体" w:cs="宋体"/>
          <w:b/>
          <w:spacing w:val="-6"/>
        </w:rPr>
        <w:t>第九条：争议解决</w:t>
      </w:r>
    </w:p>
    <w:p>
      <w:pPr>
        <w:ind w:right="26" w:rightChars="11" w:firstLine="456"/>
        <w:rPr>
          <w:rFonts w:ascii="宋体" w:hAnsi="宋体" w:cs="宋体"/>
          <w:spacing w:val="-6"/>
        </w:rPr>
      </w:pPr>
      <w:r>
        <w:rPr>
          <w:rFonts w:hint="eastAsia" w:ascii="宋体" w:hAnsi="宋体" w:cs="宋体"/>
          <w:spacing w:val="-6"/>
        </w:rPr>
        <w:t>因本合同发生纠纷，甲乙双方应当及时协商，协商不成时，任何一方可向甲方所在地人民法院起诉。</w:t>
      </w:r>
    </w:p>
    <w:p>
      <w:pPr>
        <w:ind w:right="-588" w:rightChars="-245" w:firstLine="458"/>
        <w:rPr>
          <w:rFonts w:ascii="宋体" w:hAnsi="宋体" w:cs="宋体"/>
          <w:b/>
          <w:spacing w:val="-6"/>
        </w:rPr>
      </w:pPr>
      <w:r>
        <w:rPr>
          <w:rFonts w:hint="eastAsia" w:ascii="宋体" w:hAnsi="宋体" w:cs="宋体"/>
          <w:b/>
          <w:spacing w:val="-6"/>
        </w:rPr>
        <w:t>第十条：合同生效</w:t>
      </w:r>
    </w:p>
    <w:p>
      <w:pPr>
        <w:ind w:firstLine="456"/>
        <w:rPr>
          <w:rFonts w:ascii="宋体" w:hAnsi="宋体" w:cs="宋体"/>
          <w:spacing w:val="-6"/>
        </w:rPr>
      </w:pPr>
      <w:r>
        <w:rPr>
          <w:rFonts w:hint="eastAsia" w:ascii="宋体" w:hAnsi="宋体" w:cs="宋体"/>
          <w:spacing w:val="-6"/>
        </w:rPr>
        <w:t>1.合同经甲、乙双方法定代表人或经办人签字并加盖单位公章后生效。</w:t>
      </w:r>
    </w:p>
    <w:p>
      <w:pPr>
        <w:ind w:firstLine="456"/>
        <w:rPr>
          <w:rFonts w:ascii="宋体" w:hAnsi="宋体" w:cs="宋体"/>
          <w:spacing w:val="-6"/>
        </w:rPr>
      </w:pPr>
      <w:r>
        <w:rPr>
          <w:rFonts w:hint="eastAsia" w:ascii="宋体" w:hAnsi="宋体" w:cs="宋体"/>
          <w:spacing w:val="-6"/>
        </w:rPr>
        <w:t>2.本合同附件、招标文件、投标文件、询标澄清、中标通知书均为合同的组成部分，与本合同具有同等法律效力。如有约定不一致的，以标准较高者为准。</w:t>
      </w:r>
    </w:p>
    <w:p>
      <w:pPr>
        <w:ind w:firstLine="458"/>
        <w:rPr>
          <w:rFonts w:ascii="宋体" w:hAnsi="宋体" w:cs="宋体"/>
          <w:b/>
          <w:spacing w:val="-6"/>
        </w:rPr>
      </w:pPr>
      <w:r>
        <w:rPr>
          <w:rFonts w:hint="eastAsia" w:ascii="宋体" w:hAnsi="宋体" w:cs="宋体"/>
          <w:b/>
          <w:spacing w:val="-6"/>
        </w:rPr>
        <w:t>第十一条：合同份数</w:t>
      </w:r>
    </w:p>
    <w:p>
      <w:pPr>
        <w:ind w:firstLine="456"/>
        <w:rPr>
          <w:rFonts w:ascii="宋体" w:hAnsi="宋体" w:cs="宋体"/>
          <w:spacing w:val="-6"/>
        </w:rPr>
      </w:pPr>
      <w:r>
        <w:rPr>
          <w:rFonts w:hint="eastAsia" w:ascii="宋体" w:hAnsi="宋体" w:cs="宋体"/>
          <w:spacing w:val="-6"/>
        </w:rPr>
        <w:t>本合同一式五份，甲方执二份，乙方执二份，采购代理机构执一份。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pPr>
              <w:ind w:firstLine="0" w:firstLineChars="0"/>
              <w:rPr>
                <w:rFonts w:ascii="宋体" w:hAnsi="宋体" w:cs="宋体"/>
                <w:spacing w:val="-6"/>
              </w:rPr>
            </w:pPr>
            <w:r>
              <w:rPr>
                <w:rFonts w:hint="eastAsia" w:ascii="宋体" w:hAnsi="宋体" w:cs="宋体"/>
                <w:spacing w:val="-6"/>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甲方代表：</w:t>
            </w:r>
          </w:p>
          <w:p>
            <w:pPr>
              <w:ind w:firstLine="0" w:firstLineChars="0"/>
              <w:rPr>
                <w:rFonts w:ascii="宋体" w:hAnsi="宋体" w:cs="宋体"/>
                <w:spacing w:val="-6"/>
              </w:rPr>
            </w:pPr>
            <w:r>
              <w:rPr>
                <w:rFonts w:hint="eastAsia" w:ascii="宋体" w:hAnsi="宋体" w:cs="宋体"/>
                <w:spacing w:val="-6"/>
              </w:rPr>
              <w:t>（签字）</w:t>
            </w:r>
          </w:p>
        </w:tc>
        <w:tc>
          <w:tcPr>
            <w:tcW w:w="4678" w:type="dxa"/>
            <w:vAlign w:val="center"/>
          </w:tcPr>
          <w:p>
            <w:pPr>
              <w:ind w:firstLine="0" w:firstLineChars="0"/>
              <w:rPr>
                <w:rFonts w:ascii="宋体" w:hAnsi="宋体" w:cs="宋体"/>
                <w:spacing w:val="-6"/>
              </w:rPr>
            </w:pPr>
            <w:r>
              <w:rPr>
                <w:rFonts w:hint="eastAsia" w:ascii="宋体" w:hAnsi="宋体" w:cs="宋体"/>
                <w:spacing w:val="-6"/>
              </w:rPr>
              <w:t>乙方代表：</w:t>
            </w:r>
          </w:p>
          <w:p>
            <w:pPr>
              <w:ind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rPr>
            </w:pPr>
            <w:r>
              <w:rPr>
                <w:rFonts w:hint="eastAsia" w:ascii="宋体" w:hAnsi="宋体" w:cs="宋体"/>
              </w:rPr>
              <w:t>地址：</w:t>
            </w:r>
          </w:p>
        </w:tc>
        <w:tc>
          <w:tcPr>
            <w:tcW w:w="4678" w:type="dxa"/>
            <w:vAlign w:val="center"/>
          </w:tcPr>
          <w:p>
            <w:pPr>
              <w:ind w:firstLine="0" w:firstLineChars="0"/>
              <w:rPr>
                <w:rFonts w:ascii="宋体" w:hAnsi="宋体" w:cs="宋体"/>
                <w:spacing w:val="-6"/>
              </w:rPr>
            </w:pPr>
            <w:r>
              <w:rPr>
                <w:rFonts w:hint="eastAsia" w:ascii="宋体" w:hAnsi="宋体" w:cs="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rPr>
            </w:pPr>
            <w:r>
              <w:rPr>
                <w:rFonts w:hint="eastAsia" w:ascii="宋体" w:hAnsi="宋体" w:cs="宋体"/>
              </w:rPr>
              <w:t>电话：</w:t>
            </w:r>
          </w:p>
        </w:tc>
        <w:tc>
          <w:tcPr>
            <w:tcW w:w="4678" w:type="dxa"/>
            <w:vAlign w:val="center"/>
          </w:tcPr>
          <w:p>
            <w:pPr>
              <w:ind w:firstLine="0" w:firstLineChars="0"/>
              <w:rPr>
                <w:rFonts w:ascii="宋体" w:hAnsi="宋体" w:cs="宋体"/>
                <w:spacing w:val="-6"/>
              </w:rPr>
            </w:pPr>
            <w:r>
              <w:rPr>
                <w:rFonts w:hint="eastAsia" w:ascii="宋体" w:hAnsi="宋体" w:cs="宋体"/>
                <w:spacing w:val="-6"/>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ind w:firstLine="0" w:firstLineChars="0"/>
              <w:rPr>
                <w:rFonts w:ascii="宋体" w:hAnsi="宋体" w:cs="宋体"/>
              </w:rPr>
            </w:pPr>
            <w:r>
              <w:rPr>
                <w:rFonts w:hint="eastAsia" w:ascii="宋体" w:hAnsi="宋体" w:cs="宋体"/>
              </w:rPr>
              <w:t>开户银行：</w:t>
            </w:r>
          </w:p>
        </w:tc>
        <w:tc>
          <w:tcPr>
            <w:tcW w:w="4678" w:type="dxa"/>
            <w:vAlign w:val="center"/>
          </w:tcPr>
          <w:p>
            <w:pPr>
              <w:ind w:firstLine="0" w:firstLineChars="0"/>
              <w:rPr>
                <w:rFonts w:ascii="宋体" w:hAnsi="宋体" w:cs="宋体"/>
                <w:spacing w:val="-6"/>
              </w:rPr>
            </w:pPr>
            <w:r>
              <w:rPr>
                <w:rFonts w:hint="eastAsia" w:ascii="宋体" w:hAnsi="宋体" w:cs="宋体"/>
                <w:spacing w:val="-6"/>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ind w:firstLine="0" w:firstLineChars="0"/>
              <w:rPr>
                <w:rFonts w:ascii="宋体" w:hAnsi="宋体" w:cs="宋体"/>
              </w:rPr>
            </w:pPr>
            <w:r>
              <w:rPr>
                <w:rFonts w:hint="eastAsia" w:ascii="宋体" w:hAnsi="宋体" w:cs="宋体"/>
              </w:rPr>
              <w:t>帐号：</w:t>
            </w:r>
          </w:p>
        </w:tc>
        <w:tc>
          <w:tcPr>
            <w:tcW w:w="4678" w:type="dxa"/>
            <w:vAlign w:val="center"/>
          </w:tcPr>
          <w:p>
            <w:pPr>
              <w:ind w:firstLine="0" w:firstLineChars="0"/>
              <w:rPr>
                <w:rFonts w:ascii="宋体" w:hAnsi="宋体" w:cs="宋体"/>
                <w:spacing w:val="-6"/>
              </w:rPr>
            </w:pPr>
            <w:r>
              <w:rPr>
                <w:rFonts w:hint="eastAsia" w:ascii="宋体" w:hAnsi="宋体" w:cs="宋体"/>
                <w:spacing w:val="-6"/>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pPr>
              <w:ind w:firstLine="0" w:firstLineChars="0"/>
              <w:rPr>
                <w:rFonts w:ascii="宋体" w:hAnsi="宋体" w:cs="宋体"/>
                <w:spacing w:val="-6"/>
              </w:rPr>
            </w:pPr>
            <w:r>
              <w:rPr>
                <w:rFonts w:hint="eastAsia" w:ascii="宋体" w:hAnsi="宋体" w:cs="宋体"/>
                <w:spacing w:val="-6"/>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合同鉴证方：浙江信镧建设工程咨询有限公司（公章）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ind w:firstLine="0" w:firstLineChars="0"/>
              <w:rPr>
                <w:rFonts w:ascii="宋体" w:hAnsi="宋体" w:cs="宋体"/>
                <w:spacing w:val="-6"/>
              </w:rPr>
            </w:pPr>
            <w:r>
              <w:rPr>
                <w:rFonts w:hint="eastAsia" w:ascii="宋体" w:hAnsi="宋体" w:cs="宋体"/>
                <w:spacing w:val="-6"/>
              </w:rPr>
              <w:t>采购代理机构代表：</w:t>
            </w:r>
          </w:p>
          <w:p>
            <w:pPr>
              <w:ind w:firstLine="0" w:firstLineChars="0"/>
              <w:rPr>
                <w:rFonts w:ascii="宋体" w:hAnsi="宋体" w:cs="宋体"/>
                <w:spacing w:val="-6"/>
              </w:rPr>
            </w:pPr>
            <w:r>
              <w:rPr>
                <w:rFonts w:hint="eastAsia" w:ascii="宋体" w:hAnsi="宋体" w:cs="宋体"/>
                <w:spacing w:val="-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ind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ind w:firstLine="0" w:firstLineChars="0"/>
              <w:rPr>
                <w:rFonts w:ascii="宋体" w:hAnsi="宋体" w:cs="宋体"/>
                <w:spacing w:val="-6"/>
              </w:rPr>
            </w:pPr>
            <w:r>
              <w:rPr>
                <w:rFonts w:hint="eastAsia" w:ascii="宋体" w:hAnsi="宋体" w:cs="宋体"/>
              </w:rPr>
              <w:t>电话：0571-87967630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ind w:firstLine="0" w:firstLineChars="0"/>
              <w:rPr>
                <w:rFonts w:ascii="宋体" w:hAnsi="宋体" w:cs="宋体"/>
                <w:spacing w:val="-6"/>
              </w:rPr>
            </w:pPr>
            <w:r>
              <w:rPr>
                <w:rFonts w:hint="eastAsia" w:ascii="宋体" w:hAnsi="宋体" w:cs="宋体"/>
                <w:spacing w:val="-6"/>
              </w:rPr>
              <w:t>鉴证日期：      年    月    日</w:t>
            </w:r>
          </w:p>
        </w:tc>
      </w:tr>
    </w:tbl>
    <w:p>
      <w:pPr>
        <w:ind w:firstLine="456"/>
        <w:rPr>
          <w:rFonts w:ascii="宋体" w:hAnsi="宋体" w:cs="宋体"/>
          <w:spacing w:val="-6"/>
        </w:rPr>
      </w:pPr>
    </w:p>
    <w:p>
      <w:pPr>
        <w:pStyle w:val="3"/>
        <w:sectPr>
          <w:pgSz w:w="11905" w:h="16838"/>
          <w:pgMar w:top="1440" w:right="1797" w:bottom="1440" w:left="1797" w:header="851" w:footer="992" w:gutter="0"/>
          <w:cols w:space="0" w:num="1"/>
          <w:titlePg/>
          <w:docGrid w:linePitch="312" w:charSpace="0"/>
        </w:sectPr>
      </w:pPr>
    </w:p>
    <w:p>
      <w:pPr>
        <w:pStyle w:val="3"/>
      </w:pPr>
      <w:bookmarkStart w:id="432" w:name="_Toc22767"/>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pPr>
        <w:ind w:firstLine="480"/>
      </w:pPr>
    </w:p>
    <w:p>
      <w:pPr>
        <w:pStyle w:val="4"/>
      </w:pPr>
      <w:bookmarkStart w:id="433" w:name="_Toc8900"/>
      <w:bookmarkStart w:id="434" w:name="_Toc13095"/>
      <w:r>
        <w:rPr>
          <w:rFonts w:hint="eastAsia"/>
        </w:rPr>
        <w:t>资格文件部分</w:t>
      </w:r>
      <w:bookmarkEnd w:id="433"/>
      <w:bookmarkEnd w:id="434"/>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（1）符合参加政府采购活动应当具备的一般条件的承诺函……………（页码）</w:t>
      </w:r>
    </w:p>
    <w:p>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pPr>
        <w:ind w:firstLine="480"/>
        <w:rPr>
          <w:rFonts w:ascii="宋体" w:hAnsi="宋体" w:cs="宋体"/>
        </w:rPr>
      </w:pPr>
    </w:p>
    <w:p>
      <w:pPr>
        <w:ind w:firstLine="480"/>
        <w:rPr>
          <w:rFonts w:ascii="宋体" w:hAnsi="宋体" w:cs="宋体"/>
        </w:rPr>
      </w:pPr>
    </w:p>
    <w:p>
      <w:pPr>
        <w:pStyle w:val="4"/>
        <w:numPr>
          <w:ilvl w:val="0"/>
          <w:numId w:val="4"/>
        </w:numPr>
      </w:pPr>
      <w:r>
        <w:rPr>
          <w:rFonts w:hint="eastAsia" w:ascii="宋体" w:hAnsi="宋体" w:cs="宋体"/>
          <w:kern w:val="0"/>
          <w:sz w:val="24"/>
        </w:rPr>
        <w:br w:type="page"/>
      </w:r>
      <w:bookmarkStart w:id="435" w:name="_Toc10261"/>
      <w:bookmarkStart w:id="436" w:name="_Toc22040"/>
      <w:r>
        <w:rPr>
          <w:rFonts w:hint="eastAsia"/>
        </w:rPr>
        <w:t>符合参加政府采购活动应当具备的一般条件的承诺函</w:t>
      </w:r>
      <w:bookmarkEnd w:id="435"/>
      <w:bookmarkEnd w:id="436"/>
    </w:p>
    <w:p>
      <w:pPr>
        <w:ind w:firstLine="480"/>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pPr>
        <w:ind w:firstLine="48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5520" w:firstLineChars="230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right="480" w:firstLine="643"/>
        <w:jc w:val="center"/>
        <w:rPr>
          <w:rFonts w:ascii="宋体" w:hAnsi="宋体" w:cs="宋体"/>
          <w:b/>
          <w:kern w:val="0"/>
          <w:sz w:val="32"/>
          <w:szCs w:val="32"/>
        </w:rPr>
      </w:pP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pPr>
        <w:ind w:firstLine="360" w:firstLineChars="150"/>
        <w:rPr>
          <w:rFonts w:ascii="宋体" w:hAnsi="宋体" w:cs="宋体"/>
        </w:rPr>
      </w:pPr>
      <w:r>
        <w:rPr>
          <w:rFonts w:hint="eastAsia" w:ascii="宋体" w:hAnsi="宋体" w:cs="宋体"/>
        </w:rPr>
        <w:t>（一）具备《中华人民共和国政府采购法》第二十二条第一款规定的条件：</w:t>
      </w:r>
    </w:p>
    <w:p>
      <w:pPr>
        <w:ind w:firstLine="480"/>
        <w:rPr>
          <w:rFonts w:ascii="宋体" w:hAnsi="宋体" w:cs="宋体"/>
        </w:rPr>
      </w:pPr>
      <w:r>
        <w:rPr>
          <w:rFonts w:hint="eastAsia" w:ascii="宋体" w:hAnsi="宋体" w:cs="宋体"/>
        </w:rPr>
        <w:t>1、具有独立承担民事责任的能力；</w:t>
      </w:r>
    </w:p>
    <w:p>
      <w:pPr>
        <w:ind w:firstLine="480"/>
        <w:rPr>
          <w:rFonts w:ascii="宋体" w:hAnsi="宋体" w:cs="宋体"/>
        </w:rPr>
      </w:pPr>
      <w:r>
        <w:rPr>
          <w:rFonts w:hint="eastAsia" w:ascii="宋体" w:hAnsi="宋体" w:cs="宋体"/>
        </w:rPr>
        <w:t xml:space="preserve">2、具有良好的商业信誉和健全的财务会计制度； </w:t>
      </w:r>
    </w:p>
    <w:p>
      <w:pPr>
        <w:ind w:firstLine="480"/>
        <w:rPr>
          <w:rFonts w:ascii="宋体" w:hAnsi="宋体" w:cs="宋体"/>
        </w:rPr>
      </w:pPr>
      <w:r>
        <w:rPr>
          <w:rFonts w:hint="eastAsia" w:ascii="宋体" w:hAnsi="宋体" w:cs="宋体"/>
        </w:rPr>
        <w:t>3、具有履行合同所必需的设备和专业技术能力；</w:t>
      </w:r>
    </w:p>
    <w:p>
      <w:pPr>
        <w:ind w:firstLine="480"/>
        <w:rPr>
          <w:rFonts w:ascii="宋体" w:hAnsi="宋体" w:cs="宋体"/>
        </w:rPr>
      </w:pPr>
      <w:r>
        <w:rPr>
          <w:rFonts w:hint="eastAsia" w:ascii="宋体" w:hAnsi="宋体" w:cs="宋体"/>
        </w:rPr>
        <w:t>4、有依法缴纳税收和社会保障资金的良好记录；</w:t>
      </w:r>
    </w:p>
    <w:p>
      <w:pPr>
        <w:ind w:firstLine="480"/>
        <w:rPr>
          <w:rFonts w:ascii="宋体" w:hAnsi="宋体" w:cs="宋体"/>
        </w:rPr>
      </w:pPr>
      <w:r>
        <w:rPr>
          <w:rFonts w:hint="eastAsia" w:ascii="宋体" w:hAnsi="宋体" w:cs="宋体"/>
        </w:rPr>
        <w:t>5、参加政府采购活动前三年内，在经营活动中没有重大违法记录；</w:t>
      </w:r>
    </w:p>
    <w:p>
      <w:pPr>
        <w:ind w:firstLine="480"/>
        <w:rPr>
          <w:rFonts w:ascii="宋体" w:hAnsi="宋体" w:cs="宋体"/>
        </w:rPr>
      </w:pPr>
      <w:r>
        <w:rPr>
          <w:rFonts w:hint="eastAsia" w:ascii="宋体" w:hAnsi="宋体" w:cs="宋体"/>
        </w:rPr>
        <w:t>6、具有法律、行政法规规定的其他条件。</w:t>
      </w:r>
    </w:p>
    <w:p>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pPr>
        <w:ind w:firstLine="480"/>
        <w:rPr>
          <w:rFonts w:ascii="宋体" w:hAnsi="宋体" w:cs="宋体"/>
        </w:rPr>
      </w:pPr>
      <w:r>
        <w:rPr>
          <w:rFonts w:hint="eastAsia" w:ascii="宋体" w:hAnsi="宋体" w:cs="宋体"/>
        </w:rPr>
        <w:t>（三）不存在以下情况：</w:t>
      </w:r>
    </w:p>
    <w:p>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pPr>
        <w:ind w:firstLine="480"/>
        <w:rPr>
          <w:rFonts w:ascii="宋体" w:hAnsi="宋体" w:cs="宋体"/>
        </w:rPr>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pStyle w:val="4"/>
      </w:pPr>
      <w:bookmarkStart w:id="437" w:name="_Toc27338"/>
      <w:bookmarkStart w:id="438" w:name="_Toc14124"/>
      <w:r>
        <w:rPr>
          <w:rFonts w:hint="eastAsia"/>
        </w:rPr>
        <w:t>二、联合协议（如有）</w:t>
      </w:r>
      <w:bookmarkEnd w:id="437"/>
      <w:bookmarkEnd w:id="438"/>
    </w:p>
    <w:p>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pStyle w:val="4"/>
      </w:pPr>
      <w:bookmarkStart w:id="439" w:name="_Toc16477"/>
      <w:bookmarkStart w:id="440" w:name="_Toc15398"/>
      <w:r>
        <w:rPr>
          <w:rFonts w:hint="eastAsia"/>
        </w:rPr>
        <w:t>三、落实政府采购政策需满足的资格要求</w:t>
      </w:r>
      <w:bookmarkEnd w:id="439"/>
      <w:bookmarkEnd w:id="440"/>
    </w:p>
    <w:p>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pPr>
        <w:widowControl/>
        <w:ind w:firstLine="480"/>
        <w:jc w:val="left"/>
        <w:rPr>
          <w:rFonts w:ascii="宋体" w:hAnsi="宋体" w:cs="宋体"/>
        </w:rPr>
      </w:pPr>
    </w:p>
    <w:p>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pPr>
        <w:spacing w:before="50" w:after="50"/>
        <w:jc w:val="center"/>
        <w:rPr>
          <w:rFonts w:ascii="宋体" w:hAnsi="宋体" w:cs="宋体"/>
        </w:rPr>
      </w:pPr>
      <w:r>
        <w:rPr>
          <w:rFonts w:hint="eastAsia" w:ascii="宋体" w:hAnsi="宋体" w:cs="宋体"/>
          <w:b/>
        </w:rPr>
        <w:t xml:space="preserve">    </w:t>
      </w:r>
    </w:p>
    <w:p>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pPr>
        <w:widowControl/>
        <w:ind w:left="150" w:firstLine="643"/>
        <w:jc w:val="center"/>
        <w:rPr>
          <w:rFonts w:ascii="宋体" w:hAnsi="宋体" w:cs="宋体"/>
          <w:b/>
          <w:kern w:val="0"/>
          <w:sz w:val="32"/>
          <w:szCs w:val="32"/>
        </w:rPr>
      </w:pPr>
    </w:p>
    <w:p>
      <w:pPr>
        <w:pStyle w:val="3"/>
        <w:sectPr>
          <w:pgSz w:w="11905" w:h="16838"/>
          <w:pgMar w:top="1440" w:right="1797" w:bottom="1440" w:left="1797" w:header="851" w:footer="992" w:gutter="0"/>
          <w:cols w:space="0" w:num="1"/>
          <w:titlePg/>
          <w:docGrid w:linePitch="312" w:charSpace="0"/>
        </w:sectPr>
      </w:pPr>
    </w:p>
    <w:p>
      <w:pPr>
        <w:pStyle w:val="4"/>
      </w:pPr>
      <w:bookmarkStart w:id="441" w:name="_Toc25288"/>
      <w:bookmarkStart w:id="442" w:name="_Toc25980"/>
      <w:r>
        <w:rPr>
          <w:rFonts w:hint="eastAsia"/>
        </w:rPr>
        <w:t>四、本项目的特定资格要求</w:t>
      </w:r>
      <w:bookmarkEnd w:id="441"/>
      <w:bookmarkEnd w:id="442"/>
    </w:p>
    <w:p>
      <w:pPr>
        <w:ind w:firstLine="480"/>
        <w:jc w:val="center"/>
        <w:rPr>
          <w:rFonts w:ascii="宋体" w:hAnsi="宋体" w:cs="宋体"/>
        </w:rPr>
      </w:pPr>
      <w:r>
        <w:rPr>
          <w:rFonts w:hint="eastAsia" w:ascii="宋体" w:hAnsi="宋体" w:cs="宋体"/>
        </w:rPr>
        <w:t>（根据招标公告本项目的特定资格要求提供相应的材料；未要求的，无需提供）</w:t>
      </w:r>
    </w:p>
    <w:p>
      <w:pPr>
        <w:ind w:firstLine="480"/>
        <w:rPr>
          <w:rFonts w:ascii="宋体" w:hAnsi="宋体" w:cs="宋体"/>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firstLine="480"/>
      </w:pPr>
    </w:p>
    <w:p>
      <w:pPr>
        <w:ind w:right="480" w:firstLine="643"/>
        <w:jc w:val="center"/>
        <w:rPr>
          <w:rFonts w:ascii="宋体" w:hAnsi="宋体" w:cs="宋体"/>
          <w:b/>
          <w:kern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3"/>
        <w:sectPr>
          <w:pgSz w:w="11905" w:h="16838"/>
          <w:pgMar w:top="1440" w:right="1797" w:bottom="1440" w:left="1797" w:header="851" w:footer="992" w:gutter="0"/>
          <w:cols w:space="0" w:num="1"/>
          <w:titlePg/>
          <w:docGrid w:linePitch="312" w:charSpace="0"/>
        </w:sectPr>
      </w:pPr>
    </w:p>
    <w:p>
      <w:pPr>
        <w:pStyle w:val="4"/>
      </w:pPr>
      <w:bookmarkStart w:id="443" w:name="_Toc18377"/>
      <w:bookmarkStart w:id="444" w:name="_Toc933"/>
      <w:r>
        <w:rPr>
          <w:rFonts w:hint="eastAsia"/>
        </w:rPr>
        <w:t>商务技术文件部分</w:t>
      </w:r>
      <w:bookmarkEnd w:id="443"/>
      <w:bookmarkEnd w:id="444"/>
    </w:p>
    <w:p>
      <w:pPr>
        <w:ind w:firstLine="480"/>
      </w:pPr>
    </w:p>
    <w:p>
      <w:pPr>
        <w:ind w:firstLine="0" w:firstLineChars="0"/>
        <w:jc w:val="center"/>
        <w:rPr>
          <w:b/>
          <w:bCs/>
          <w:sz w:val="36"/>
          <w:szCs w:val="36"/>
        </w:rPr>
      </w:pPr>
      <w:r>
        <w:rPr>
          <w:rFonts w:hint="eastAsia"/>
          <w:b/>
          <w:bCs/>
          <w:sz w:val="36"/>
          <w:szCs w:val="36"/>
        </w:rPr>
        <w:t>目录</w:t>
      </w:r>
    </w:p>
    <w:p>
      <w:pPr>
        <w:numPr>
          <w:ilvl w:val="0"/>
          <w:numId w:val="5"/>
        </w:numPr>
        <w:ind w:left="7" w:hanging="7" w:firstLineChars="0"/>
        <w:jc w:val="left"/>
        <w:rPr>
          <w:rFonts w:ascii="宋体" w:hAnsi="宋体" w:cs="宋体"/>
        </w:rPr>
      </w:pPr>
      <w:r>
        <w:rPr>
          <w:rFonts w:hint="eastAsia" w:ascii="宋体" w:hAnsi="宋体" w:cs="宋体"/>
        </w:rPr>
        <w:t>投标函……………………………………………………………………（页码）</w:t>
      </w:r>
    </w:p>
    <w:p>
      <w:pPr>
        <w:numPr>
          <w:ilvl w:val="0"/>
          <w:numId w:val="5"/>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pPr>
        <w:ind w:left="7" w:hanging="7" w:firstLineChars="0"/>
        <w:jc w:val="left"/>
        <w:rPr>
          <w:rFonts w:ascii="宋体" w:hAnsi="宋体" w:cs="宋体"/>
        </w:rPr>
      </w:pPr>
      <w:r>
        <w:rPr>
          <w:rFonts w:hint="eastAsia" w:ascii="宋体" w:hAnsi="宋体" w:cs="宋体"/>
        </w:rPr>
        <w:t>（3）联合协议…………………………………………………………………（页码）</w:t>
      </w:r>
    </w:p>
    <w:p>
      <w:pPr>
        <w:ind w:left="7" w:hanging="7" w:firstLineChars="0"/>
        <w:jc w:val="left"/>
        <w:rPr>
          <w:rFonts w:ascii="宋体" w:hAnsi="宋体" w:cs="宋体"/>
        </w:rPr>
      </w:pPr>
      <w:r>
        <w:rPr>
          <w:rFonts w:hint="eastAsia" w:ascii="宋体" w:hAnsi="宋体" w:cs="宋体"/>
        </w:rPr>
        <w:t>（4）分包意向协议……………………………………………………………（页码）</w:t>
      </w:r>
    </w:p>
    <w:p>
      <w:pPr>
        <w:ind w:left="7" w:hanging="7" w:firstLineChars="0"/>
        <w:jc w:val="left"/>
        <w:rPr>
          <w:rFonts w:ascii="宋体" w:hAnsi="宋体" w:cs="宋体"/>
        </w:rPr>
      </w:pPr>
      <w:r>
        <w:rPr>
          <w:rFonts w:hint="eastAsia" w:ascii="宋体" w:hAnsi="宋体" w:cs="宋体"/>
        </w:rPr>
        <w:t>（5）评标标准相应的商务技术资料…………………………………………（页码）（6）商务偏离表………………………………………………………………（页码）（7）技术偏离表………………………………………………………………（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pPr>
        <w:ind w:left="7" w:hanging="7" w:firstLineChars="0"/>
        <w:jc w:val="left"/>
        <w:rPr>
          <w:rFonts w:ascii="宋体" w:hAnsi="宋体" w:cs="宋体"/>
        </w:rPr>
      </w:pPr>
    </w:p>
    <w:p>
      <w:pPr>
        <w:ind w:firstLine="480"/>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ind w:firstLine="643"/>
        <w:jc w:val="center"/>
        <w:rPr>
          <w:rFonts w:ascii="宋体" w:hAnsi="宋体" w:cs="宋体"/>
          <w:b/>
          <w:kern w:val="0"/>
          <w:sz w:val="32"/>
          <w:szCs w:val="32"/>
          <w:lang w:val="zh-CN"/>
        </w:rPr>
      </w:pPr>
    </w:p>
    <w:p>
      <w:pPr>
        <w:pStyle w:val="4"/>
      </w:pPr>
      <w:bookmarkStart w:id="445" w:name="_Toc8786"/>
      <w:bookmarkStart w:id="446" w:name="_Toc624"/>
      <w:r>
        <w:rPr>
          <w:rFonts w:hint="eastAsia"/>
        </w:rPr>
        <w:t>一、投标函</w:t>
      </w:r>
      <w:bookmarkEnd w:id="445"/>
      <w:bookmarkEnd w:id="446"/>
    </w:p>
    <w:p>
      <w:pPr>
        <w:ind w:firstLine="0" w:firstLineChars="0"/>
        <w:rPr>
          <w:rFonts w:ascii="宋体" w:hAnsi="宋体" w:cs="宋体"/>
        </w:rPr>
      </w:pPr>
      <w:r>
        <w:rPr>
          <w:rFonts w:hint="eastAsia" w:ascii="宋体" w:hAnsi="宋体" w:cs="宋体"/>
        </w:rPr>
        <w:t>（采购人）、（采购代理机构）：</w:t>
      </w:r>
    </w:p>
    <w:p>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pPr>
        <w:ind w:firstLine="480"/>
        <w:rPr>
          <w:rFonts w:ascii="宋体" w:hAnsi="宋体" w:cs="宋体"/>
        </w:rPr>
      </w:pPr>
      <w:r>
        <w:rPr>
          <w:rFonts w:hint="eastAsia" w:ascii="宋体" w:hAnsi="宋体" w:cs="宋体"/>
        </w:rPr>
        <w:t>2、我方的投标文件包括以下内容：</w:t>
      </w:r>
    </w:p>
    <w:p>
      <w:pPr>
        <w:ind w:left="240" w:leftChars="100" w:firstLine="480"/>
        <w:rPr>
          <w:rFonts w:ascii="宋体" w:hAnsi="宋体" w:cs="宋体"/>
        </w:rPr>
      </w:pPr>
      <w:r>
        <w:rPr>
          <w:rFonts w:hint="eastAsia" w:ascii="宋体" w:hAnsi="宋体" w:cs="宋体"/>
        </w:rPr>
        <w:t>2.1资格文件：</w:t>
      </w:r>
    </w:p>
    <w:p>
      <w:pPr>
        <w:ind w:left="480" w:leftChars="200" w:firstLine="480"/>
        <w:rPr>
          <w:rFonts w:ascii="宋体" w:hAnsi="宋体" w:cs="宋体"/>
        </w:rPr>
      </w:pPr>
      <w:r>
        <w:rPr>
          <w:rFonts w:hint="eastAsia" w:ascii="宋体" w:hAnsi="宋体" w:cs="宋体"/>
        </w:rPr>
        <w:t>2.1.1承诺函；</w:t>
      </w:r>
    </w:p>
    <w:p>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7" w:name="_Hlk101257010"/>
      <w:r>
        <w:rPr>
          <w:rFonts w:hint="eastAsia" w:ascii="宋体" w:hAnsi="宋体" w:cs="宋体"/>
          <w:snapToGrid w:val="0"/>
          <w:kern w:val="28"/>
          <w:szCs w:val="20"/>
        </w:rPr>
        <w:t>（如有)</w:t>
      </w:r>
      <w:bookmarkEnd w:id="447"/>
    </w:p>
    <w:p>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pPr>
        <w:ind w:left="480" w:leftChars="200" w:firstLine="480"/>
        <w:rPr>
          <w:rFonts w:ascii="宋体" w:hAnsi="宋体" w:cs="宋体"/>
        </w:rPr>
      </w:pPr>
      <w:r>
        <w:rPr>
          <w:rFonts w:hint="eastAsia" w:ascii="宋体" w:hAnsi="宋体" w:cs="宋体"/>
        </w:rPr>
        <w:t>2.2.2授权委托书或法定代表人（单位负责人）身份证明；</w:t>
      </w:r>
    </w:p>
    <w:p>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pPr>
        <w:ind w:left="480" w:leftChars="200" w:firstLine="480"/>
        <w:rPr>
          <w:rFonts w:ascii="宋体" w:hAnsi="宋体" w:cs="宋体"/>
        </w:rPr>
      </w:pPr>
      <w:r>
        <w:rPr>
          <w:rFonts w:hint="eastAsia" w:ascii="宋体" w:hAnsi="宋体" w:cs="宋体"/>
        </w:rPr>
        <w:t>2.2.4分包意向协议（如有）；</w:t>
      </w:r>
    </w:p>
    <w:p>
      <w:pPr>
        <w:ind w:left="480" w:leftChars="200" w:firstLine="480"/>
        <w:rPr>
          <w:rFonts w:ascii="宋体" w:hAnsi="宋体" w:cs="宋体"/>
        </w:rPr>
      </w:pPr>
      <w:r>
        <w:rPr>
          <w:rFonts w:hint="eastAsia" w:ascii="宋体" w:hAnsi="宋体" w:cs="宋体"/>
        </w:rPr>
        <w:t>2.2.5评标标准相应的商务技术资料；</w:t>
      </w:r>
    </w:p>
    <w:p>
      <w:pPr>
        <w:ind w:left="480" w:leftChars="200" w:firstLine="480"/>
        <w:rPr>
          <w:rFonts w:ascii="宋体" w:hAnsi="宋体" w:cs="宋体"/>
        </w:rPr>
      </w:pPr>
      <w:r>
        <w:rPr>
          <w:rFonts w:hint="eastAsia" w:ascii="宋体" w:hAnsi="宋体" w:cs="宋体"/>
        </w:rPr>
        <w:t>2.2.6商务偏离表；</w:t>
      </w:r>
    </w:p>
    <w:p>
      <w:pPr>
        <w:ind w:left="480" w:leftChars="200" w:firstLine="480"/>
      </w:pPr>
      <w:r>
        <w:rPr>
          <w:rFonts w:hint="eastAsia" w:ascii="宋体" w:hAnsi="宋体" w:cs="宋体"/>
        </w:rPr>
        <w:t>2.2.7技术偏离表；</w:t>
      </w:r>
    </w:p>
    <w:p>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pPr>
        <w:ind w:left="480" w:leftChars="200" w:firstLine="480"/>
        <w:rPr>
          <w:rFonts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pPr>
        <w:ind w:left="480" w:leftChars="200" w:firstLine="480"/>
        <w:rPr>
          <w:rFonts w:ascii="宋体" w:hAnsi="宋体" w:cs="宋体"/>
        </w:rPr>
      </w:pPr>
      <w:r>
        <w:rPr>
          <w:rFonts w:hint="eastAsia" w:ascii="宋体" w:hAnsi="宋体" w:cs="宋体"/>
        </w:rPr>
        <w:t>2.3.1开标一览表（报价表）；</w:t>
      </w:r>
    </w:p>
    <w:p>
      <w:pPr>
        <w:ind w:left="480" w:leftChars="200" w:firstLine="480"/>
        <w:rPr>
          <w:rFonts w:ascii="宋体" w:hAnsi="宋体" w:cs="宋体"/>
        </w:rPr>
      </w:pPr>
      <w:r>
        <w:rPr>
          <w:rFonts w:hint="eastAsia" w:ascii="宋体" w:hAnsi="宋体" w:cs="宋体"/>
        </w:rPr>
        <w:t>2.3.2中小企业声明函（如适用）。</w:t>
      </w:r>
    </w:p>
    <w:p>
      <w:pPr>
        <w:ind w:firstLine="480"/>
        <w:rPr>
          <w:rFonts w:ascii="宋体" w:hAnsi="宋体" w:cs="宋体"/>
        </w:rPr>
      </w:pPr>
      <w:r>
        <w:rPr>
          <w:rFonts w:hint="eastAsia" w:ascii="宋体" w:hAnsi="宋体" w:cs="宋体"/>
        </w:rPr>
        <w:t>3、我方承诺除商务技术偏离表列出的偏离外，我方响应招标文件的全部要求。</w:t>
      </w:r>
    </w:p>
    <w:p>
      <w:pPr>
        <w:ind w:firstLine="480"/>
        <w:rPr>
          <w:rFonts w:ascii="宋体" w:hAnsi="宋体" w:cs="宋体"/>
        </w:rPr>
      </w:pPr>
      <w:r>
        <w:rPr>
          <w:rFonts w:hint="eastAsia" w:ascii="宋体" w:hAnsi="宋体" w:cs="宋体"/>
        </w:rPr>
        <w:t>4、如我方中标，我方承诺：</w:t>
      </w:r>
    </w:p>
    <w:p>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pPr>
        <w:ind w:left="240" w:leftChars="100" w:firstLine="480"/>
        <w:rPr>
          <w:rFonts w:ascii="宋体" w:hAnsi="宋体" w:cs="宋体"/>
        </w:rPr>
      </w:pPr>
      <w:r>
        <w:rPr>
          <w:rFonts w:hint="eastAsia" w:ascii="宋体" w:hAnsi="宋体" w:cs="宋体"/>
        </w:rPr>
        <w:t xml:space="preserve">4.2在签订合同时不向你方提出附加条件； </w:t>
      </w:r>
    </w:p>
    <w:p>
      <w:pPr>
        <w:ind w:left="240" w:leftChars="100" w:firstLine="480"/>
        <w:rPr>
          <w:rFonts w:ascii="宋体" w:hAnsi="宋体" w:cs="宋体"/>
        </w:rPr>
      </w:pPr>
      <w:r>
        <w:rPr>
          <w:rFonts w:hint="eastAsia" w:ascii="宋体" w:hAnsi="宋体" w:cs="宋体"/>
        </w:rPr>
        <w:t xml:space="preserve">4.3按照招标文件要求提交履约保证金； </w:t>
      </w:r>
    </w:p>
    <w:p>
      <w:pPr>
        <w:ind w:left="240" w:leftChars="100" w:firstLine="480"/>
        <w:rPr>
          <w:rFonts w:ascii="宋体" w:hAnsi="宋体" w:cs="宋体"/>
        </w:rPr>
      </w:pPr>
      <w:r>
        <w:rPr>
          <w:rFonts w:hint="eastAsia" w:ascii="宋体" w:hAnsi="宋体" w:cs="宋体"/>
        </w:rPr>
        <w:t xml:space="preserve">4.4在合同约定的期限内完成合同规定的全部义务。 </w:t>
      </w:r>
    </w:p>
    <w:p>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pPr>
        <w:pStyle w:val="23"/>
        <w:ind w:firstLine="0" w:firstLineChars="0"/>
      </w:pPr>
    </w:p>
    <w:p>
      <w:pPr>
        <w:pStyle w:val="24"/>
        <w:ind w:firstLine="480"/>
      </w:pPr>
    </w:p>
    <w:p>
      <w:pPr>
        <w:ind w:firstLine="480"/>
      </w:pPr>
    </w:p>
    <w:p>
      <w:pPr>
        <w:ind w:firstLine="3840" w:firstLineChars="1600"/>
        <w:rPr>
          <w:rFonts w:ascii="宋体" w:hAnsi="宋体" w:cs="宋体"/>
        </w:rPr>
      </w:pPr>
      <w:r>
        <w:rPr>
          <w:rFonts w:hint="eastAsia" w:ascii="宋体" w:hAnsi="宋体" w:cs="宋体"/>
        </w:rPr>
        <w:t xml:space="preserve">投标人名称（电子签名）：                          </w:t>
      </w:r>
    </w:p>
    <w:p>
      <w:pPr>
        <w:ind w:firstLine="480"/>
        <w:jc w:val="center"/>
        <w:rPr>
          <w:rFonts w:ascii="宋体" w:hAnsi="宋体" w:cs="宋体"/>
        </w:rPr>
      </w:pPr>
      <w:r>
        <w:rPr>
          <w:rFonts w:hint="eastAsia" w:ascii="宋体" w:hAnsi="宋体" w:cs="宋体"/>
        </w:rPr>
        <w:t xml:space="preserve">           日期：  年   月   日</w:t>
      </w:r>
    </w:p>
    <w:p>
      <w:pPr>
        <w:ind w:left="480" w:leftChars="200" w:firstLine="4200" w:firstLineChars="1750"/>
        <w:rPr>
          <w:rFonts w:ascii="宋体" w:hAnsi="宋体" w:cs="宋体"/>
          <w:kern w:val="0"/>
          <w:u w:val="single"/>
        </w:rPr>
      </w:pPr>
    </w:p>
    <w:p>
      <w:pPr>
        <w:ind w:right="420" w:firstLine="480"/>
        <w:rPr>
          <w:rFonts w:ascii="宋体" w:hAnsi="宋体" w:cs="宋体"/>
        </w:rPr>
      </w:pPr>
      <w:r>
        <w:rPr>
          <w:rFonts w:hint="eastAsia" w:ascii="宋体" w:hAnsi="宋体" w:cs="宋体"/>
        </w:rPr>
        <w:t>注：按本格式和要求提供。</w:t>
      </w:r>
    </w:p>
    <w:p>
      <w:pPr>
        <w:ind w:firstLine="643"/>
        <w:jc w:val="center"/>
        <w:rPr>
          <w:rFonts w:ascii="宋体" w:hAnsi="宋体" w:cs="宋体"/>
          <w:b/>
          <w:kern w:val="0"/>
          <w:sz w:val="32"/>
          <w:szCs w:val="32"/>
        </w:rPr>
      </w:pPr>
    </w:p>
    <w:p>
      <w:pPr>
        <w:ind w:firstLine="480"/>
        <w:rPr>
          <w:rFonts w:ascii="宋体" w:hAnsi="宋体" w:cs="宋体"/>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4"/>
      </w:pPr>
      <w:bookmarkStart w:id="448" w:name="_Toc27417"/>
      <w:bookmarkStart w:id="449" w:name="_Toc17110"/>
      <w:r>
        <w:rPr>
          <w:rFonts w:hint="eastAsia"/>
        </w:rPr>
        <w:t>二、授权委托书或法定代表人（单位负责人、自然人本人）身份证明</w:t>
      </w:r>
      <w:bookmarkEnd w:id="448"/>
      <w:bookmarkEnd w:id="449"/>
    </w:p>
    <w:p>
      <w:pPr>
        <w:ind w:firstLine="480"/>
        <w:rPr>
          <w:rFonts w:ascii="宋体" w:hAnsi="宋体" w:cs="宋体"/>
        </w:rPr>
      </w:pPr>
      <w:r>
        <w:rPr>
          <w:rFonts w:hint="eastAsia" w:ascii="宋体" w:hAnsi="宋体" w:cs="宋体"/>
        </w:rPr>
        <w:t xml:space="preserve">                                </w:t>
      </w:r>
    </w:p>
    <w:p>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pPr>
        <w:pStyle w:val="152"/>
        <w:spacing w:line="360" w:lineRule="auto"/>
        <w:rPr>
          <w:rFonts w:hAnsi="宋体" w:cs="宋体"/>
          <w:kern w:val="0"/>
          <w:sz w:val="24"/>
          <w:lang w:val="zh-CN"/>
        </w:rPr>
      </w:pPr>
      <w:r>
        <w:rPr>
          <w:rFonts w:hint="eastAsia" w:hAnsi="宋体" w:cs="宋体"/>
          <w:kern w:val="0"/>
          <w:sz w:val="24"/>
          <w:lang w:val="zh-CN"/>
        </w:rPr>
        <w:t xml:space="preserve">   </w:t>
      </w: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480"/>
        <w:rPr>
          <w:rFonts w:ascii="宋体" w:hAnsi="宋体" w:cs="宋体"/>
          <w:kern w:val="0"/>
          <w:lang w:val="zh-CN"/>
        </w:rPr>
      </w:pPr>
      <w:r>
        <w:rPr>
          <w:rFonts w:hint="eastAsia" w:ascii="宋体" w:hAnsi="宋体" w:cs="宋体"/>
          <w:kern w:val="0"/>
          <w:lang w:val="zh-CN"/>
        </w:rPr>
        <w:t xml:space="preserve">                                             </w:t>
      </w:r>
    </w:p>
    <w:p>
      <w:pPr>
        <w:pStyle w:val="23"/>
        <w:ind w:firstLine="480"/>
      </w:pPr>
    </w:p>
    <w:p>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签发日期：  年  月   日</w:t>
      </w:r>
    </w:p>
    <w:p>
      <w:pPr>
        <w:ind w:firstLine="480"/>
        <w:rPr>
          <w:rFonts w:ascii="宋体" w:hAnsi="宋体" w:cs="宋体"/>
        </w:rPr>
      </w:pPr>
    </w:p>
    <w:p>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pPr>
        <w:ind w:firstLine="480"/>
        <w:rPr>
          <w:rFonts w:ascii="宋体" w:hAnsi="宋体" w:cs="宋体"/>
          <w:kern w:val="0"/>
        </w:rPr>
      </w:pPr>
      <w:r>
        <w:rPr>
          <w:rFonts w:hint="eastAsia" w:ascii="宋体" w:hAnsi="宋体" w:cs="宋体"/>
          <w:kern w:val="0"/>
          <w:lang w:val="zh-CN"/>
        </w:rPr>
        <w:t>特此告知。</w:t>
      </w:r>
    </w:p>
    <w:p>
      <w:pPr>
        <w:pStyle w:val="152"/>
        <w:spacing w:line="360" w:lineRule="auto"/>
        <w:rPr>
          <w:rFonts w:hAnsi="宋体" w:cs="宋体"/>
          <w:kern w:val="0"/>
          <w:sz w:val="24"/>
          <w:lang w:val="zh-CN"/>
        </w:rPr>
      </w:pPr>
    </w:p>
    <w:p>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643"/>
        <w:jc w:val="center"/>
        <w:rPr>
          <w:rFonts w:ascii="宋体" w:hAnsi="宋体" w:cs="宋体"/>
          <w:b/>
          <w:kern w:val="0"/>
          <w:sz w:val="32"/>
          <w:szCs w:val="32"/>
        </w:rPr>
      </w:pPr>
    </w:p>
    <w:p>
      <w:pPr>
        <w:ind w:firstLine="480"/>
        <w:rPr>
          <w:rFonts w:ascii="宋体" w:hAnsi="宋体" w:cs="宋体"/>
        </w:rPr>
      </w:pPr>
    </w:p>
    <w:p>
      <w:pPr>
        <w:pStyle w:val="23"/>
        <w:ind w:firstLine="480"/>
      </w:pP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pPr>
        <w:ind w:firstLine="4080" w:firstLineChars="1700"/>
        <w:rPr>
          <w:rFonts w:ascii="宋体" w:hAnsi="宋体" w:cs="宋体"/>
        </w:rPr>
      </w:pP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 xml:space="preserve">                                   日期：  年  月   日</w:t>
      </w:r>
    </w:p>
    <w:p>
      <w:pPr>
        <w:autoSpaceDE w:val="0"/>
        <w:autoSpaceDN w:val="0"/>
        <w:ind w:firstLine="643"/>
        <w:jc w:val="center"/>
        <w:rPr>
          <w:rFonts w:ascii="宋体" w:hAnsi="宋体" w:cs="宋体"/>
          <w:b/>
          <w:kern w:val="0"/>
          <w:sz w:val="32"/>
          <w:szCs w:val="32"/>
          <w:lang w:val="zh-CN"/>
        </w:rPr>
      </w:pPr>
    </w:p>
    <w:p>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hAnsi="宋体" w:cs="宋体"/>
                <w:bCs/>
                <w:sz w:val="24"/>
              </w:rPr>
            </w:pPr>
            <w:r>
              <w:rPr>
                <w:rFonts w:hint="eastAsia" w:hAnsi="宋体" w:cs="宋体"/>
                <w:bCs/>
                <w:sz w:val="24"/>
              </w:rPr>
              <w:t>正面：                                 反面：</w:t>
            </w:r>
          </w:p>
          <w:p>
            <w:pPr>
              <w:pStyle w:val="152"/>
              <w:adjustRightInd w:val="0"/>
              <w:spacing w:line="360" w:lineRule="auto"/>
              <w:rPr>
                <w:rFonts w:hAnsi="宋体" w:cs="宋体"/>
                <w:bCs/>
                <w:sz w:val="24"/>
              </w:rPr>
            </w:pPr>
          </w:p>
        </w:tc>
      </w:tr>
    </w:tbl>
    <w:p>
      <w:pPr>
        <w:ind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pPr>
        <w:ind w:firstLine="480"/>
        <w:jc w:val="center"/>
        <w:rPr>
          <w:rFonts w:ascii="宋体" w:hAnsi="宋体" w:cs="宋体"/>
          <w:kern w:val="0"/>
          <w:lang w:val="zh-CN"/>
        </w:rPr>
      </w:pPr>
      <w:r>
        <w:rPr>
          <w:rFonts w:hint="eastAsia" w:ascii="宋体" w:hAnsi="宋体" w:cs="宋体"/>
          <w:kern w:val="0"/>
          <w:lang w:val="zh-CN"/>
        </w:rPr>
        <w:t xml:space="preserve">                   日期：  年  月  日</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4"/>
      </w:pPr>
      <w:bookmarkStart w:id="450" w:name="_Toc12686"/>
      <w:bookmarkStart w:id="451" w:name="_Toc26755"/>
      <w:r>
        <w:rPr>
          <w:rFonts w:hint="eastAsia"/>
          <w:lang w:val="en-US"/>
        </w:rPr>
        <w:t>三</w:t>
      </w:r>
      <w:r>
        <w:rPr>
          <w:rFonts w:hint="eastAsia"/>
        </w:rPr>
        <w:t>、联合协议（如有）</w:t>
      </w:r>
      <w:bookmarkEnd w:id="450"/>
      <w:bookmarkEnd w:id="451"/>
    </w:p>
    <w:p>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pPr>
        <w:pStyle w:val="3"/>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pPr>
        <w:pStyle w:val="4"/>
      </w:pPr>
      <w:bookmarkStart w:id="452" w:name="_Toc11086"/>
      <w:bookmarkStart w:id="453" w:name="_Toc15871"/>
      <w:r>
        <w:rPr>
          <w:rFonts w:hint="eastAsia"/>
          <w:lang w:val="en-US"/>
        </w:rPr>
        <w:t>四</w:t>
      </w:r>
      <w:r>
        <w:rPr>
          <w:rFonts w:hint="eastAsia"/>
        </w:rPr>
        <w:t>、分包意向协议（如有）</w:t>
      </w:r>
      <w:bookmarkEnd w:id="452"/>
      <w:bookmarkEnd w:id="453"/>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pPr>
        <w:pStyle w:val="3"/>
        <w:sectPr>
          <w:pgSz w:w="11905" w:h="16838"/>
          <w:pgMar w:top="1440" w:right="1797" w:bottom="1440" w:left="1797" w:header="851" w:footer="992" w:gutter="0"/>
          <w:cols w:space="0" w:num="1"/>
          <w:titlePg/>
          <w:docGrid w:linePitch="312" w:charSpace="0"/>
        </w:sectPr>
      </w:pPr>
    </w:p>
    <w:p>
      <w:pPr>
        <w:pStyle w:val="4"/>
      </w:pPr>
      <w:bookmarkStart w:id="454" w:name="_Toc29359"/>
      <w:bookmarkStart w:id="455" w:name="_Toc20008"/>
      <w:r>
        <w:rPr>
          <w:rFonts w:hint="eastAsia"/>
          <w:lang w:val="en-US"/>
        </w:rPr>
        <w:t>五</w:t>
      </w:r>
      <w:r>
        <w:rPr>
          <w:rFonts w:hint="eastAsia"/>
        </w:rPr>
        <w:t>、评标标准相应的商务技术资料</w:t>
      </w:r>
      <w:bookmarkEnd w:id="454"/>
      <w:bookmarkEnd w:id="455"/>
    </w:p>
    <w:p>
      <w:pPr>
        <w:jc w:val="center"/>
        <w:rPr>
          <w:rFonts w:ascii="宋体" w:hAnsi="宋体" w:cs="宋体"/>
          <w:b/>
        </w:rPr>
      </w:pPr>
      <w:r>
        <w:rPr>
          <w:rFonts w:hint="eastAsia" w:ascii="宋体" w:hAnsi="宋体" w:cs="宋体"/>
          <w:b/>
        </w:rPr>
        <w:t>（按招标文件第四部分评标办法中评标标准提供资料。）</w:t>
      </w: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pStyle w:val="3"/>
        <w:sectPr>
          <w:pgSz w:w="11905" w:h="16838"/>
          <w:pgMar w:top="1440" w:right="1797" w:bottom="1440" w:left="1797" w:header="851" w:footer="992" w:gutter="0"/>
          <w:cols w:space="0" w:num="1"/>
          <w:titlePg/>
          <w:docGrid w:linePitch="312" w:charSpace="0"/>
        </w:sectPr>
      </w:pPr>
    </w:p>
    <w:p>
      <w:pPr>
        <w:pStyle w:val="4"/>
      </w:pPr>
      <w:bookmarkStart w:id="456" w:name="_Toc5985"/>
      <w:bookmarkStart w:id="457" w:name="_Toc10001"/>
      <w:bookmarkStart w:id="458" w:name="_Toc18478"/>
      <w:r>
        <w:rPr>
          <w:rFonts w:hint="eastAsia"/>
          <w:lang w:val="en-US"/>
        </w:rPr>
        <w:t>六、</w:t>
      </w:r>
      <w:r>
        <w:rPr>
          <w:rFonts w:hint="eastAsia"/>
        </w:rPr>
        <w:t>商务</w:t>
      </w:r>
      <w:r>
        <w:rPr>
          <w:rFonts w:hint="eastAsia"/>
          <w:lang w:val="en-US"/>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pPr>
        <w:pStyle w:val="4"/>
      </w:pPr>
      <w:bookmarkStart w:id="459" w:name="_Toc29279"/>
      <w:bookmarkStart w:id="460" w:name="_Toc13710"/>
      <w:r>
        <w:rPr>
          <w:rFonts w:hint="eastAsia"/>
          <w:lang w:val="en-US"/>
        </w:rPr>
        <w:t>七、技术偏离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序号</w:t>
            </w:r>
          </w:p>
        </w:tc>
        <w:tc>
          <w:tcPr>
            <w:tcW w:w="3683" w:type="dxa"/>
          </w:tcPr>
          <w:p>
            <w:pPr>
              <w:pStyle w:val="143"/>
              <w:widowControl w:val="0"/>
              <w:rPr>
                <w:b/>
                <w:bCs/>
              </w:rPr>
            </w:pPr>
            <w:r>
              <w:rPr>
                <w:rFonts w:hint="eastAsia"/>
                <w:b/>
                <w:bCs/>
              </w:rPr>
              <w:t>招标文件要求</w:t>
            </w:r>
          </w:p>
        </w:tc>
        <w:tc>
          <w:tcPr>
            <w:tcW w:w="3546" w:type="dxa"/>
          </w:tcPr>
          <w:p>
            <w:pPr>
              <w:pStyle w:val="143"/>
              <w:widowControl w:val="0"/>
              <w:rPr>
                <w:b/>
                <w:bCs/>
              </w:rPr>
            </w:pPr>
            <w:r>
              <w:rPr>
                <w:rFonts w:hint="eastAsia"/>
                <w:b/>
                <w:bCs/>
              </w:rPr>
              <w:t>投标文件响应</w:t>
            </w:r>
          </w:p>
        </w:tc>
        <w:tc>
          <w:tcPr>
            <w:tcW w:w="1276" w:type="dxa"/>
          </w:tcPr>
          <w:p>
            <w:pPr>
              <w:pStyle w:val="143"/>
              <w:widowControl w:val="0"/>
              <w:rPr>
                <w:b/>
                <w:bCs/>
              </w:rPr>
            </w:pPr>
            <w:r>
              <w:rPr>
                <w:rFonts w:hint="eastAsia"/>
                <w:b/>
                <w:bCs/>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1</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2</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143"/>
              <w:widowControl w:val="0"/>
              <w:rPr>
                <w:b/>
                <w:bCs/>
              </w:rPr>
            </w:pPr>
            <w:r>
              <w:rPr>
                <w:rFonts w:hint="eastAsia"/>
                <w:b/>
                <w:bCs/>
              </w:rPr>
              <w:t>……</w:t>
            </w:r>
          </w:p>
        </w:tc>
        <w:tc>
          <w:tcPr>
            <w:tcW w:w="3683" w:type="dxa"/>
          </w:tcPr>
          <w:p>
            <w:pPr>
              <w:pStyle w:val="143"/>
              <w:widowControl w:val="0"/>
              <w:rPr>
                <w:b/>
                <w:bCs/>
              </w:rPr>
            </w:pPr>
          </w:p>
        </w:tc>
        <w:tc>
          <w:tcPr>
            <w:tcW w:w="3546" w:type="dxa"/>
          </w:tcPr>
          <w:p>
            <w:pPr>
              <w:pStyle w:val="143"/>
              <w:widowControl w:val="0"/>
              <w:rPr>
                <w:b/>
                <w:bCs/>
              </w:rPr>
            </w:pPr>
          </w:p>
        </w:tc>
        <w:tc>
          <w:tcPr>
            <w:tcW w:w="1276" w:type="dxa"/>
          </w:tcPr>
          <w:p>
            <w:pPr>
              <w:pStyle w:val="143"/>
              <w:widowControl w:val="0"/>
              <w:rPr>
                <w:b/>
                <w:bCs/>
              </w:rPr>
            </w:pPr>
          </w:p>
        </w:tc>
      </w:tr>
    </w:tbl>
    <w:p>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pPr>
        <w:ind w:firstLine="643"/>
        <w:jc w:val="center"/>
        <w:rPr>
          <w:rFonts w:ascii="宋体" w:hAnsi="宋体" w:cs="宋体"/>
          <w:b/>
          <w:kern w:val="0"/>
          <w:sz w:val="32"/>
          <w:szCs w:val="32"/>
        </w:rPr>
      </w:pP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80"/>
        <w:rPr>
          <w:lang w:val="zh-CN"/>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643"/>
        <w:jc w:val="center"/>
        <w:rPr>
          <w:rFonts w:ascii="宋体" w:hAnsi="宋体" w:cs="宋体"/>
          <w:b/>
          <w:kern w:val="0"/>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pPr>
        <w:pStyle w:val="4"/>
        <w:rPr>
          <w:rFonts w:ascii="宋体" w:hAnsi="宋体" w:cs="宋体"/>
          <w:kern w:val="0"/>
          <w:sz w:val="32"/>
        </w:rPr>
      </w:pPr>
      <w:bookmarkStart w:id="461" w:name="_Toc22522"/>
      <w:bookmarkStart w:id="462" w:name="_Toc1831"/>
      <w:r>
        <w:rPr>
          <w:rFonts w:hint="eastAsia" w:ascii="宋体" w:hAnsi="宋体" w:cs="宋体"/>
          <w:sz w:val="32"/>
          <w:lang w:val="en-US"/>
        </w:rPr>
        <w:t>八</w:t>
      </w:r>
      <w:r>
        <w:rPr>
          <w:rFonts w:hint="eastAsia" w:ascii="宋体" w:hAnsi="宋体" w:cs="宋体"/>
          <w:kern w:val="0"/>
          <w:sz w:val="32"/>
        </w:rPr>
        <w:t>、政府采购供应商廉洁自律承诺书</w:t>
      </w:r>
      <w:bookmarkEnd w:id="461"/>
      <w:bookmarkEnd w:id="462"/>
    </w:p>
    <w:p>
      <w:pPr>
        <w:ind w:firstLine="480"/>
        <w:rPr>
          <w:rFonts w:ascii="宋体" w:hAnsi="宋体" w:cs="宋体"/>
        </w:rPr>
      </w:pPr>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left="2" w:firstLine="480"/>
        <w:jc w:val="left"/>
        <w:rPr>
          <w:rFonts w:ascii="宋体" w:hAnsi="宋体" w:cs="宋体"/>
          <w:kern w:val="0"/>
          <w:lang w:val="zh-CN"/>
        </w:rPr>
      </w:pPr>
    </w:p>
    <w:p>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jc w:val="center"/>
        <w:rPr>
          <w:rFonts w:ascii="宋体" w:hAnsi="宋体" w:cs="宋体"/>
          <w:b/>
          <w:bCs/>
        </w:rPr>
      </w:pPr>
    </w:p>
    <w:p>
      <w:pPr>
        <w:ind w:right="420" w:firstLine="480"/>
        <w:rPr>
          <w:rFonts w:ascii="宋体" w:hAnsi="宋体" w:cs="宋体"/>
        </w:rPr>
      </w:pPr>
      <w:r>
        <w:rPr>
          <w:rFonts w:hint="eastAsia" w:ascii="宋体" w:hAnsi="宋体" w:cs="宋体"/>
        </w:rPr>
        <w:t>注：按本格式和要求提供。</w:t>
      </w:r>
    </w:p>
    <w:p>
      <w:pPr>
        <w:jc w:val="center"/>
        <w:rPr>
          <w:rFonts w:ascii="宋体" w:hAnsi="宋体" w:cs="宋体"/>
          <w:b/>
          <w:bCs/>
        </w:rPr>
        <w:sectPr>
          <w:pgSz w:w="11905" w:h="16838"/>
          <w:pgMar w:top="1440" w:right="1797" w:bottom="1440" w:left="1797" w:header="851" w:footer="992" w:gutter="0"/>
          <w:cols w:space="0" w:num="1"/>
          <w:titlePg/>
          <w:docGrid w:linePitch="312" w:charSpace="0"/>
        </w:sectPr>
      </w:pPr>
    </w:p>
    <w:p>
      <w:pPr>
        <w:pStyle w:val="4"/>
        <w:rPr>
          <w:lang w:val="en-US"/>
        </w:rPr>
      </w:pPr>
      <w:bookmarkStart w:id="463" w:name="_Toc2224"/>
      <w:bookmarkStart w:id="464" w:name="_Toc24979"/>
      <w:r>
        <w:rPr>
          <w:rFonts w:hint="eastAsia"/>
          <w:lang w:val="en-US"/>
        </w:rPr>
        <w:t>九、代理服务费支付承诺书</w:t>
      </w:r>
      <w:bookmarkEnd w:id="463"/>
      <w:bookmarkEnd w:id="464"/>
    </w:p>
    <w:p>
      <w:pPr>
        <w:spacing w:before="50" w:after="50"/>
        <w:ind w:firstLine="560"/>
        <w:rPr>
          <w:spacing w:val="20"/>
          <w:u w:val="single"/>
        </w:rPr>
      </w:pPr>
    </w:p>
    <w:p>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rPr>
            </w:pPr>
            <w:r>
              <w:rPr>
                <w:rFonts w:hint="eastAsia" w:hAnsi="宋体"/>
              </w:rPr>
              <w:t>开票信息</w:t>
            </w:r>
          </w:p>
        </w:tc>
        <w:tc>
          <w:tcPr>
            <w:tcW w:w="3433" w:type="dxa"/>
            <w:vAlign w:val="center"/>
          </w:tcPr>
          <w:p>
            <w:pPr>
              <w:spacing w:before="50" w:after="50"/>
              <w:ind w:firstLine="0" w:firstLineChars="0"/>
              <w:jc w:val="left"/>
              <w:rPr>
                <w:rFonts w:hAnsi="宋体"/>
              </w:rPr>
            </w:pPr>
            <w:r>
              <w:rPr>
                <w:rFonts w:hint="eastAsia" w:hAnsi="宋体"/>
              </w:rPr>
              <w:t>发票抬头：</w:t>
            </w:r>
          </w:p>
        </w:tc>
        <w:tc>
          <w:tcPr>
            <w:tcW w:w="3147" w:type="dxa"/>
            <w:vAlign w:val="center"/>
          </w:tcPr>
          <w:p>
            <w:pPr>
              <w:spacing w:before="50" w:after="50"/>
              <w:ind w:firstLine="0" w:firstLineChars="0"/>
              <w:jc w:val="left"/>
              <w:rPr>
                <w:rFonts w:hAnsi="宋体"/>
              </w:rPr>
            </w:pPr>
            <w:r>
              <w:rPr>
                <w:rFonts w:hint="eastAsia" w:hAnsi="宋体"/>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地址：</w:t>
            </w:r>
          </w:p>
        </w:tc>
        <w:tc>
          <w:tcPr>
            <w:tcW w:w="3147" w:type="dxa"/>
            <w:vAlign w:val="center"/>
          </w:tcPr>
          <w:p>
            <w:pPr>
              <w:spacing w:before="50" w:after="50"/>
              <w:ind w:firstLine="0" w:firstLineChars="0"/>
              <w:jc w:val="left"/>
              <w:rPr>
                <w:rFonts w:hAnsi="宋体"/>
              </w:rPr>
            </w:pPr>
            <w:r>
              <w:rPr>
                <w:rFonts w:hint="eastAsia" w:hAnsi="宋体"/>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税号：</w:t>
            </w:r>
          </w:p>
        </w:tc>
        <w:tc>
          <w:tcPr>
            <w:tcW w:w="3147" w:type="dxa"/>
            <w:vAlign w:val="center"/>
          </w:tcPr>
          <w:p>
            <w:pPr>
              <w:spacing w:before="50" w:after="50"/>
              <w:ind w:firstLine="0" w:firstLineChars="0"/>
              <w:jc w:val="left"/>
              <w:rPr>
                <w:rFonts w:hAnsi="宋体"/>
              </w:rPr>
            </w:pPr>
            <w:r>
              <w:rPr>
                <w:rFonts w:hint="eastAsia" w:hAnsi="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pPr>
              <w:spacing w:before="50" w:after="50"/>
              <w:ind w:firstLine="480"/>
              <w:jc w:val="center"/>
              <w:rPr>
                <w:rFonts w:hAnsi="宋体"/>
              </w:rPr>
            </w:pPr>
            <w:r>
              <w:rPr>
                <w:rFonts w:hint="eastAsia" w:hAnsi="宋体"/>
              </w:rPr>
              <w:t>联系方式</w:t>
            </w:r>
          </w:p>
        </w:tc>
        <w:tc>
          <w:tcPr>
            <w:tcW w:w="3433" w:type="dxa"/>
            <w:vAlign w:val="center"/>
          </w:tcPr>
          <w:p>
            <w:pPr>
              <w:spacing w:before="50" w:after="50"/>
              <w:ind w:firstLine="0" w:firstLineChars="0"/>
              <w:jc w:val="left"/>
              <w:rPr>
                <w:rFonts w:hAnsi="宋体"/>
              </w:rPr>
            </w:pPr>
            <w:r>
              <w:rPr>
                <w:rFonts w:hint="eastAsia" w:hAnsi="宋体"/>
              </w:rPr>
              <w:t>联系人：</w:t>
            </w:r>
          </w:p>
        </w:tc>
        <w:tc>
          <w:tcPr>
            <w:tcW w:w="3147" w:type="dxa"/>
            <w:vAlign w:val="center"/>
          </w:tcPr>
          <w:p>
            <w:pPr>
              <w:spacing w:before="50" w:after="50"/>
              <w:ind w:firstLine="0" w:firstLineChars="0"/>
              <w:jc w:val="left"/>
              <w:rPr>
                <w:rFonts w:hAnsi="宋体"/>
              </w:rPr>
            </w:pPr>
            <w:r>
              <w:rPr>
                <w:rFonts w:hint="eastAsia"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pPr>
              <w:spacing w:before="50" w:after="50"/>
              <w:ind w:firstLine="480"/>
              <w:jc w:val="center"/>
              <w:rPr>
                <w:rFonts w:hAnsi="宋体"/>
              </w:rPr>
            </w:pPr>
          </w:p>
        </w:tc>
        <w:tc>
          <w:tcPr>
            <w:tcW w:w="3433" w:type="dxa"/>
            <w:vAlign w:val="center"/>
          </w:tcPr>
          <w:p>
            <w:pPr>
              <w:spacing w:before="50" w:after="50"/>
              <w:ind w:firstLine="0" w:firstLineChars="0"/>
              <w:jc w:val="left"/>
              <w:rPr>
                <w:rFonts w:hAnsi="宋体"/>
              </w:rPr>
            </w:pPr>
            <w:r>
              <w:rPr>
                <w:rFonts w:hint="eastAsia" w:hAnsi="宋体"/>
              </w:rPr>
              <w:t>邮箱：</w:t>
            </w:r>
          </w:p>
        </w:tc>
        <w:tc>
          <w:tcPr>
            <w:tcW w:w="3147" w:type="dxa"/>
            <w:vAlign w:val="center"/>
          </w:tcPr>
          <w:p>
            <w:pPr>
              <w:spacing w:before="50" w:after="50"/>
              <w:ind w:firstLine="0" w:firstLineChars="0"/>
              <w:jc w:val="lef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pPr>
              <w:spacing w:before="50" w:after="50"/>
              <w:ind w:firstLine="480"/>
              <w:jc w:val="center"/>
              <w:rPr>
                <w:rFonts w:hAnsi="宋体"/>
              </w:rPr>
            </w:pPr>
            <w:r>
              <w:rPr>
                <w:rFonts w:hint="eastAsia" w:hAnsi="宋体"/>
              </w:rPr>
              <w:t>需开票类型</w:t>
            </w:r>
          </w:p>
        </w:tc>
        <w:tc>
          <w:tcPr>
            <w:tcW w:w="6580" w:type="dxa"/>
            <w:gridSpan w:val="2"/>
          </w:tcPr>
          <w:p>
            <w:pPr>
              <w:spacing w:before="50" w:after="50"/>
              <w:ind w:firstLine="0" w:firstLineChars="0"/>
              <w:jc w:val="left"/>
              <w:rPr>
                <w:rFonts w:hAnsi="宋体"/>
              </w:rPr>
            </w:pPr>
            <w:r>
              <w:rPr>
                <w:rFonts w:hint="eastAsia" w:hAnsi="宋体"/>
              </w:rPr>
              <w:t>请在括号里打勾选择：增值税普票（   ）  增值税专票（  ）</w:t>
            </w:r>
          </w:p>
          <w:p>
            <w:pPr>
              <w:spacing w:before="50" w:after="50"/>
              <w:ind w:firstLine="0" w:firstLineChars="0"/>
              <w:rPr>
                <w:rFonts w:hAnsi="宋体"/>
              </w:rPr>
            </w:pPr>
            <w:r>
              <w:rPr>
                <w:rFonts w:hint="eastAsia" w:hAnsi="宋体"/>
              </w:rPr>
              <w:t>备注：若不选择开票类型，默认开具增值税普票。</w:t>
            </w:r>
          </w:p>
        </w:tc>
      </w:tr>
    </w:tbl>
    <w:p>
      <w:pPr>
        <w:spacing w:before="50" w:after="50"/>
        <w:ind w:firstLine="480"/>
      </w:pPr>
    </w:p>
    <w:p>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pPr>
        <w:spacing w:before="50" w:after="50"/>
        <w:ind w:firstLine="480"/>
        <w:rPr>
          <w:rFonts w:hAnsi="宋体"/>
        </w:rPr>
      </w:pPr>
    </w:p>
    <w:p>
      <w:pPr>
        <w:pStyle w:val="3"/>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pPr>
        <w:pStyle w:val="4"/>
      </w:pPr>
      <w:bookmarkStart w:id="465" w:name="_Toc8380"/>
      <w:bookmarkStart w:id="466" w:name="_Toc28938"/>
      <w:r>
        <w:rPr>
          <w:rFonts w:hint="eastAsia"/>
        </w:rPr>
        <w:t>报价文件部分</w:t>
      </w:r>
      <w:bookmarkEnd w:id="465"/>
      <w:bookmarkEnd w:id="466"/>
    </w:p>
    <w:p>
      <w:pPr>
        <w:ind w:firstLine="0" w:firstLineChars="0"/>
        <w:jc w:val="center"/>
        <w:rPr>
          <w:b/>
          <w:bCs/>
          <w:sz w:val="36"/>
          <w:szCs w:val="36"/>
        </w:rPr>
      </w:pPr>
      <w:r>
        <w:rPr>
          <w:rFonts w:hint="eastAsia"/>
          <w:b/>
          <w:bCs/>
          <w:sz w:val="36"/>
          <w:szCs w:val="36"/>
        </w:rPr>
        <w:t>目录</w:t>
      </w:r>
    </w:p>
    <w:p>
      <w:pPr>
        <w:ind w:firstLine="480"/>
      </w:pPr>
    </w:p>
    <w:p>
      <w:pPr>
        <w:ind w:firstLine="0" w:firstLineChars="0"/>
        <w:rPr>
          <w:rFonts w:ascii="宋体" w:hAnsi="宋体" w:cs="宋体"/>
        </w:rPr>
      </w:pPr>
      <w:r>
        <w:rPr>
          <w:rFonts w:hint="eastAsia" w:ascii="宋体" w:hAnsi="宋体" w:cs="宋体"/>
        </w:rPr>
        <w:t>（1）开标一览表（报价表）…………………………………………………（页码）</w:t>
      </w:r>
    </w:p>
    <w:p>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pPr>
        <w:ind w:firstLine="0" w:firstLineChars="0"/>
        <w:rPr>
          <w:rFonts w:ascii="宋体" w:hAnsi="宋体" w:cs="宋体"/>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ind w:right="480" w:firstLine="643"/>
        <w:jc w:val="center"/>
        <w:rPr>
          <w:rFonts w:ascii="宋体" w:hAnsi="宋体" w:cs="宋体"/>
          <w:b/>
          <w:kern w:val="0"/>
          <w:sz w:val="32"/>
          <w:szCs w:val="32"/>
        </w:rPr>
      </w:pPr>
    </w:p>
    <w:p>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4"/>
      </w:pPr>
      <w:bookmarkStart w:id="467" w:name="_Toc28115"/>
      <w:bookmarkStart w:id="468" w:name="_Toc16712"/>
      <w:r>
        <w:rPr>
          <w:rFonts w:hint="eastAsia"/>
        </w:rPr>
        <w:t>一、开标一览表（报价表）</w:t>
      </w:r>
      <w:bookmarkEnd w:id="467"/>
      <w:bookmarkEnd w:id="468"/>
    </w:p>
    <w:p>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pPr>
              <w:pStyle w:val="485"/>
              <w:ind w:firstLine="0" w:firstLineChars="0"/>
              <w:jc w:val="center"/>
              <w:rPr>
                <w:b/>
                <w:bCs/>
              </w:rPr>
            </w:pPr>
            <w:r>
              <w:rPr>
                <w:rFonts w:hint="eastAsia"/>
                <w:b/>
                <w:bCs/>
              </w:rPr>
              <w:t>序号</w:t>
            </w:r>
          </w:p>
        </w:tc>
        <w:tc>
          <w:tcPr>
            <w:tcW w:w="2762" w:type="dxa"/>
            <w:vAlign w:val="center"/>
          </w:tcPr>
          <w:p>
            <w:pPr>
              <w:pStyle w:val="485"/>
              <w:ind w:firstLine="0" w:firstLineChars="0"/>
              <w:jc w:val="center"/>
              <w:rPr>
                <w:b/>
                <w:bCs/>
              </w:rPr>
            </w:pPr>
            <w:r>
              <w:rPr>
                <w:rFonts w:hint="eastAsia"/>
                <w:b/>
                <w:bCs/>
              </w:rPr>
              <w:t>费用名称</w:t>
            </w:r>
          </w:p>
        </w:tc>
        <w:tc>
          <w:tcPr>
            <w:tcW w:w="1796" w:type="dxa"/>
            <w:vAlign w:val="center"/>
          </w:tcPr>
          <w:p>
            <w:pPr>
              <w:pStyle w:val="485"/>
              <w:ind w:firstLine="0" w:firstLineChars="0"/>
              <w:jc w:val="center"/>
              <w:rPr>
                <w:b/>
                <w:bCs/>
              </w:rPr>
            </w:pPr>
            <w:r>
              <w:rPr>
                <w:rFonts w:hint="eastAsia"/>
                <w:b/>
                <w:bCs/>
              </w:rPr>
              <w:t>数量</w:t>
            </w:r>
          </w:p>
        </w:tc>
        <w:tc>
          <w:tcPr>
            <w:tcW w:w="1225" w:type="dxa"/>
            <w:vAlign w:val="center"/>
          </w:tcPr>
          <w:p>
            <w:pPr>
              <w:pStyle w:val="485"/>
              <w:ind w:firstLine="0" w:firstLineChars="0"/>
              <w:jc w:val="center"/>
              <w:rPr>
                <w:b/>
                <w:bCs/>
              </w:rPr>
            </w:pPr>
            <w:r>
              <w:rPr>
                <w:rFonts w:hint="eastAsia"/>
                <w:b/>
                <w:bCs/>
              </w:rPr>
              <w:t>单价</w:t>
            </w:r>
          </w:p>
        </w:tc>
        <w:tc>
          <w:tcPr>
            <w:tcW w:w="1890" w:type="dxa"/>
            <w:vAlign w:val="center"/>
          </w:tcPr>
          <w:p>
            <w:pPr>
              <w:pStyle w:val="485"/>
              <w:ind w:firstLine="0" w:firstLineChars="0"/>
              <w:jc w:val="center"/>
              <w:rPr>
                <w:b/>
                <w:bCs/>
              </w:rPr>
            </w:pPr>
            <w:r>
              <w:rPr>
                <w:rFonts w:hint="eastAsia"/>
                <w:b/>
                <w:bCs/>
              </w:rPr>
              <w:t>总价</w:t>
            </w:r>
          </w:p>
        </w:tc>
        <w:tc>
          <w:tcPr>
            <w:tcW w:w="1220" w:type="dxa"/>
            <w:vAlign w:val="center"/>
          </w:tcPr>
          <w:p>
            <w:pPr>
              <w:pStyle w:val="485"/>
              <w:ind w:firstLine="0" w:firstLineChars="0"/>
              <w:jc w:val="center"/>
              <w:rPr>
                <w:b/>
                <w:bCs/>
              </w:rPr>
            </w:pPr>
            <w:r>
              <w:rPr>
                <w:rFonts w:hint="eastAsia"/>
                <w:b/>
                <w:bCs/>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pPr>
              <w:pStyle w:val="485"/>
              <w:ind w:firstLine="0" w:firstLineChars="0"/>
              <w:jc w:val="center"/>
              <w:rPr>
                <w:b/>
                <w:bCs/>
              </w:rPr>
            </w:pPr>
          </w:p>
        </w:tc>
        <w:tc>
          <w:tcPr>
            <w:tcW w:w="2762" w:type="dxa"/>
            <w:vAlign w:val="center"/>
          </w:tcPr>
          <w:p>
            <w:pPr>
              <w:pStyle w:val="485"/>
              <w:ind w:firstLine="0" w:firstLineChars="0"/>
              <w:jc w:val="center"/>
              <w:rPr>
                <w:b/>
                <w:bCs/>
              </w:rPr>
            </w:pPr>
          </w:p>
        </w:tc>
        <w:tc>
          <w:tcPr>
            <w:tcW w:w="1796" w:type="dxa"/>
            <w:vAlign w:val="center"/>
          </w:tcPr>
          <w:p>
            <w:pPr>
              <w:pStyle w:val="485"/>
              <w:ind w:firstLine="0" w:firstLineChars="0"/>
              <w:jc w:val="center"/>
              <w:rPr>
                <w:b/>
                <w:bCs/>
              </w:rPr>
            </w:pPr>
          </w:p>
        </w:tc>
        <w:tc>
          <w:tcPr>
            <w:tcW w:w="1225" w:type="dxa"/>
            <w:vAlign w:val="center"/>
          </w:tcPr>
          <w:p>
            <w:pPr>
              <w:pStyle w:val="485"/>
              <w:ind w:firstLine="0" w:firstLineChars="0"/>
              <w:jc w:val="center"/>
              <w:rPr>
                <w:b/>
                <w:bCs/>
              </w:rPr>
            </w:pPr>
          </w:p>
        </w:tc>
        <w:tc>
          <w:tcPr>
            <w:tcW w:w="1890" w:type="dxa"/>
            <w:vAlign w:val="center"/>
          </w:tcPr>
          <w:p>
            <w:pPr>
              <w:pStyle w:val="485"/>
              <w:ind w:firstLine="0" w:firstLineChars="0"/>
              <w:jc w:val="center"/>
              <w:rPr>
                <w:b/>
                <w:bCs/>
              </w:rPr>
            </w:pPr>
          </w:p>
        </w:tc>
        <w:tc>
          <w:tcPr>
            <w:tcW w:w="1220" w:type="dxa"/>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pPr>
              <w:pStyle w:val="485"/>
              <w:ind w:firstLine="0" w:firstLineChars="0"/>
              <w:jc w:val="center"/>
              <w:rPr>
                <w:b/>
                <w:bCs/>
              </w:rPr>
            </w:pPr>
          </w:p>
        </w:tc>
        <w:tc>
          <w:tcPr>
            <w:tcW w:w="2762" w:type="dxa"/>
            <w:vAlign w:val="center"/>
          </w:tcPr>
          <w:p>
            <w:pPr>
              <w:pStyle w:val="485"/>
              <w:ind w:firstLine="0" w:firstLineChars="0"/>
              <w:jc w:val="center"/>
              <w:rPr>
                <w:b/>
                <w:bCs/>
              </w:rPr>
            </w:pPr>
          </w:p>
        </w:tc>
        <w:tc>
          <w:tcPr>
            <w:tcW w:w="1796" w:type="dxa"/>
            <w:vAlign w:val="center"/>
          </w:tcPr>
          <w:p>
            <w:pPr>
              <w:pStyle w:val="485"/>
              <w:ind w:firstLine="0" w:firstLineChars="0"/>
              <w:jc w:val="center"/>
              <w:rPr>
                <w:b/>
                <w:bCs/>
              </w:rPr>
            </w:pPr>
          </w:p>
        </w:tc>
        <w:tc>
          <w:tcPr>
            <w:tcW w:w="1225" w:type="dxa"/>
            <w:vAlign w:val="center"/>
          </w:tcPr>
          <w:p>
            <w:pPr>
              <w:pStyle w:val="485"/>
              <w:ind w:firstLine="0" w:firstLineChars="0"/>
              <w:jc w:val="center"/>
              <w:rPr>
                <w:b/>
                <w:bCs/>
              </w:rPr>
            </w:pPr>
          </w:p>
        </w:tc>
        <w:tc>
          <w:tcPr>
            <w:tcW w:w="1890" w:type="dxa"/>
            <w:vAlign w:val="center"/>
          </w:tcPr>
          <w:p>
            <w:pPr>
              <w:pStyle w:val="485"/>
              <w:ind w:firstLine="0" w:firstLineChars="0"/>
              <w:jc w:val="center"/>
              <w:rPr>
                <w:b/>
                <w:bCs/>
              </w:rPr>
            </w:pPr>
          </w:p>
        </w:tc>
        <w:tc>
          <w:tcPr>
            <w:tcW w:w="1220" w:type="dxa"/>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pPr>
              <w:pStyle w:val="485"/>
              <w:ind w:firstLine="0" w:firstLineChars="0"/>
              <w:jc w:val="center"/>
              <w:rPr>
                <w:b/>
                <w:bCs/>
              </w:rPr>
            </w:pPr>
            <w:r>
              <w:rPr>
                <w:rFonts w:hint="eastAsia"/>
                <w:b/>
                <w:bCs/>
              </w:rPr>
              <w:t>......</w:t>
            </w:r>
          </w:p>
        </w:tc>
        <w:tc>
          <w:tcPr>
            <w:tcW w:w="2762" w:type="dxa"/>
            <w:vAlign w:val="center"/>
          </w:tcPr>
          <w:p>
            <w:pPr>
              <w:pStyle w:val="485"/>
              <w:ind w:firstLine="0" w:firstLineChars="0"/>
              <w:jc w:val="center"/>
              <w:rPr>
                <w:b/>
                <w:bCs/>
              </w:rPr>
            </w:pPr>
          </w:p>
        </w:tc>
        <w:tc>
          <w:tcPr>
            <w:tcW w:w="1796" w:type="dxa"/>
            <w:vAlign w:val="center"/>
          </w:tcPr>
          <w:p>
            <w:pPr>
              <w:pStyle w:val="485"/>
              <w:ind w:firstLine="0" w:firstLineChars="0"/>
              <w:jc w:val="center"/>
              <w:rPr>
                <w:b/>
                <w:bCs/>
              </w:rPr>
            </w:pPr>
          </w:p>
        </w:tc>
        <w:tc>
          <w:tcPr>
            <w:tcW w:w="1225" w:type="dxa"/>
            <w:vAlign w:val="center"/>
          </w:tcPr>
          <w:p>
            <w:pPr>
              <w:pStyle w:val="485"/>
              <w:ind w:firstLine="0" w:firstLineChars="0"/>
              <w:jc w:val="center"/>
              <w:rPr>
                <w:b/>
                <w:bCs/>
              </w:rPr>
            </w:pPr>
          </w:p>
        </w:tc>
        <w:tc>
          <w:tcPr>
            <w:tcW w:w="1890" w:type="dxa"/>
            <w:vAlign w:val="center"/>
          </w:tcPr>
          <w:p>
            <w:pPr>
              <w:pStyle w:val="485"/>
              <w:ind w:firstLine="0" w:firstLineChars="0"/>
              <w:jc w:val="center"/>
              <w:rPr>
                <w:b/>
                <w:bCs/>
              </w:rPr>
            </w:pPr>
          </w:p>
        </w:tc>
        <w:tc>
          <w:tcPr>
            <w:tcW w:w="1220" w:type="dxa"/>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pPr>
              <w:pStyle w:val="485"/>
              <w:ind w:firstLine="0" w:firstLineChars="0"/>
              <w:jc w:val="center"/>
              <w:rPr>
                <w:b/>
                <w:bCs/>
              </w:rPr>
            </w:pPr>
            <w:r>
              <w:rPr>
                <w:rFonts w:hint="eastAsia"/>
                <w:b/>
                <w:bCs/>
              </w:rPr>
              <w:t>报价总价（小写）</w:t>
            </w:r>
          </w:p>
        </w:tc>
        <w:tc>
          <w:tcPr>
            <w:tcW w:w="6131" w:type="dxa"/>
            <w:gridSpan w:val="4"/>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pPr>
              <w:pStyle w:val="485"/>
              <w:ind w:firstLine="0" w:firstLineChars="0"/>
              <w:jc w:val="center"/>
              <w:rPr>
                <w:b/>
                <w:bCs/>
              </w:rPr>
            </w:pPr>
            <w:r>
              <w:rPr>
                <w:rFonts w:hint="eastAsia"/>
                <w:b/>
                <w:bCs/>
              </w:rPr>
              <w:t>报价总价（大写）</w:t>
            </w:r>
          </w:p>
        </w:tc>
        <w:tc>
          <w:tcPr>
            <w:tcW w:w="6131" w:type="dxa"/>
            <w:gridSpan w:val="4"/>
            <w:vAlign w:val="center"/>
          </w:tcPr>
          <w:p>
            <w:pPr>
              <w:pStyle w:val="485"/>
              <w:ind w:firstLine="0" w:firstLineChars="0"/>
              <w:jc w:val="center"/>
              <w:rPr>
                <w:b/>
                <w:bC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pPr>
              <w:pStyle w:val="485"/>
              <w:ind w:firstLine="0" w:firstLineChars="0"/>
              <w:jc w:val="center"/>
              <w:rPr>
                <w:b/>
                <w:bCs/>
              </w:rPr>
            </w:pPr>
            <w:r>
              <w:rPr>
                <w:rFonts w:hint="eastAsia"/>
                <w:b/>
                <w:bCs/>
              </w:rPr>
              <w:t>服务时间</w:t>
            </w:r>
          </w:p>
        </w:tc>
        <w:tc>
          <w:tcPr>
            <w:tcW w:w="6131" w:type="dxa"/>
            <w:gridSpan w:val="4"/>
            <w:vAlign w:val="center"/>
          </w:tcPr>
          <w:p>
            <w:pPr>
              <w:pStyle w:val="485"/>
              <w:ind w:firstLine="0" w:firstLineChars="0"/>
              <w:jc w:val="center"/>
              <w:rPr>
                <w:b/>
                <w:bCs/>
              </w:rPr>
            </w:pPr>
          </w:p>
        </w:tc>
      </w:tr>
    </w:tbl>
    <w:p>
      <w:pPr>
        <w:ind w:firstLine="0" w:firstLineChars="0"/>
        <w:rPr>
          <w:rFonts w:ascii="宋体" w:hAnsi="宋体" w:cs="宋体"/>
          <w:b/>
          <w:kern w:val="0"/>
          <w:lang w:val="zh-CN"/>
        </w:rPr>
      </w:pPr>
      <w:r>
        <w:rPr>
          <w:rFonts w:hint="eastAsia" w:ascii="宋体" w:hAnsi="宋体" w:cs="宋体"/>
          <w:b/>
          <w:kern w:val="0"/>
          <w:lang w:val="zh-CN"/>
        </w:rPr>
        <w:t>注：</w:t>
      </w:r>
    </w:p>
    <w:p>
      <w:pPr>
        <w:ind w:left="-2" w:leftChars="-1" w:firstLine="480"/>
        <w:rPr>
          <w:rFonts w:ascii="宋体" w:hAnsi="宋体" w:cs="宋体"/>
          <w:kern w:val="0"/>
          <w:lang w:val="zh-CN"/>
        </w:rPr>
      </w:pPr>
      <w:r>
        <w:rPr>
          <w:rFonts w:hint="eastAsia" w:ascii="宋体" w:hAnsi="宋体" w:cs="宋体"/>
          <w:kern w:val="0"/>
          <w:lang w:val="zh-CN"/>
        </w:rPr>
        <w:t>1、投标人需按本表格式填写。</w:t>
      </w:r>
    </w:p>
    <w:p>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pPr>
        <w:pStyle w:val="4"/>
      </w:pPr>
      <w:bookmarkStart w:id="469" w:name="_Toc1047"/>
      <w:bookmarkStart w:id="470" w:name="_Toc19337"/>
      <w:r>
        <w:rPr>
          <w:rFonts w:hint="eastAsia"/>
        </w:rPr>
        <w:t>二、报价情况说明（如果有）</w:t>
      </w:r>
    </w:p>
    <w:p>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pPr>
        <w:pStyle w:val="4"/>
        <w:jc w:val="both"/>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pPr>
        <w:pStyle w:val="4"/>
      </w:pPr>
      <w:r>
        <w:rPr>
          <w:rFonts w:hint="eastAsia"/>
        </w:rPr>
        <w:t>三、中小企业声明函（如果有）</w:t>
      </w:r>
      <w:bookmarkEnd w:id="469"/>
      <w:bookmarkEnd w:id="470"/>
    </w:p>
    <w:p>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pPr>
        <w:pStyle w:val="694"/>
        <w:keepNext w:val="0"/>
        <w:pageBreakBefore w:val="0"/>
        <w:tabs>
          <w:tab w:val="clear" w:pos="720"/>
        </w:tabs>
        <w:spacing w:before="120" w:after="120"/>
        <w:ind w:firstLine="640"/>
        <w:outlineLvl w:val="9"/>
        <w:rPr>
          <w:rFonts w:ascii="宋体" w:hAnsi="宋体" w:eastAsia="宋体" w:cs="宋体"/>
          <w:b w:val="0"/>
          <w:sz w:val="32"/>
          <w:szCs w:val="32"/>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ind w:right="420" w:firstLine="3614" w:firstLineChars="1000"/>
        <w:rPr>
          <w:rFonts w:ascii="宋体" w:hAnsi="宋体" w:cs="宋体"/>
          <w:b/>
          <w:kern w:val="0"/>
          <w:sz w:val="36"/>
          <w:szCs w:val="36"/>
        </w:rPr>
      </w:pPr>
    </w:p>
    <w:p>
      <w:pPr>
        <w:pStyle w:val="4"/>
      </w:pPr>
      <w:bookmarkStart w:id="471" w:name="_Toc465665161"/>
      <w:bookmarkStart w:id="472" w:name="_Toc30052"/>
      <w:bookmarkStart w:id="473" w:name="_Toc29378"/>
      <w:r>
        <w:rPr>
          <w:rFonts w:hint="eastAsia"/>
        </w:rPr>
        <w:t>附件</w:t>
      </w:r>
      <w:bookmarkEnd w:id="471"/>
      <w:bookmarkEnd w:id="472"/>
      <w:bookmarkEnd w:id="473"/>
    </w:p>
    <w:p>
      <w:pPr>
        <w:pStyle w:val="2"/>
      </w:pPr>
      <w:r>
        <w:rPr>
          <w:rFonts w:hint="eastAsia"/>
        </w:rPr>
        <w:t>附件1：残疾人福利性单位声明函</w:t>
      </w:r>
    </w:p>
    <w:p>
      <w:pPr>
        <w:ind w:firstLine="667"/>
        <w:rPr>
          <w:rFonts w:ascii="宋体" w:hAnsi="宋体" w:cs="宋体"/>
          <w:b/>
          <w:spacing w:val="6"/>
          <w:sz w:val="32"/>
          <w:szCs w:val="32"/>
        </w:rPr>
      </w:pPr>
    </w:p>
    <w:p>
      <w:pPr>
        <w:ind w:firstLine="667"/>
        <w:jc w:val="center"/>
        <w:rPr>
          <w:rFonts w:ascii="宋体" w:hAnsi="宋体" w:cs="宋体"/>
          <w:b/>
          <w:spacing w:val="6"/>
          <w:sz w:val="32"/>
          <w:szCs w:val="32"/>
        </w:rPr>
      </w:pPr>
      <w:bookmarkStart w:id="474" w:name="OLE_LINK13"/>
      <w:bookmarkStart w:id="475" w:name="OLE_LINK14"/>
      <w:r>
        <w:rPr>
          <w:rFonts w:hint="eastAsia" w:ascii="宋体" w:hAnsi="宋体" w:cs="宋体"/>
          <w:b/>
          <w:spacing w:val="6"/>
          <w:sz w:val="32"/>
          <w:szCs w:val="32"/>
        </w:rPr>
        <w:t>残疾人福利性单位声明函</w:t>
      </w:r>
    </w:p>
    <w:bookmarkEnd w:id="474"/>
    <w:bookmarkEnd w:id="475"/>
    <w:p>
      <w:pPr>
        <w:ind w:firstLine="626"/>
        <w:rPr>
          <w:rFonts w:ascii="宋体" w:hAnsi="宋体" w:cs="宋体"/>
          <w:b/>
          <w:spacing w:val="6"/>
          <w:sz w:val="30"/>
          <w:szCs w:val="30"/>
        </w:rPr>
      </w:pPr>
    </w:p>
    <w:p>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pPr>
        <w:ind w:firstLine="480"/>
        <w:rPr>
          <w:rFonts w:ascii="宋体" w:hAnsi="宋体" w:cs="宋体"/>
        </w:rPr>
      </w:pPr>
      <w:r>
        <w:rPr>
          <w:rFonts w:hint="eastAsia" w:ascii="宋体" w:hAnsi="宋体" w:cs="宋体"/>
        </w:rPr>
        <w:t>本单位对上述声明的真实性负责。如有虚假，将依法承担相应责任。</w:t>
      </w:r>
    </w:p>
    <w:p>
      <w:pPr>
        <w:ind w:firstLine="480"/>
        <w:rPr>
          <w:rFonts w:ascii="宋体" w:hAnsi="宋体" w:cs="宋体"/>
        </w:rPr>
      </w:pPr>
    </w:p>
    <w:p>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pPr>
        <w:tabs>
          <w:tab w:val="left" w:pos="4860"/>
        </w:tabs>
        <w:ind w:right="1560" w:firstLine="480"/>
        <w:jc w:val="center"/>
        <w:rPr>
          <w:rFonts w:ascii="宋体" w:hAnsi="宋体" w:cs="宋体"/>
        </w:rPr>
      </w:pPr>
      <w:r>
        <w:rPr>
          <w:rFonts w:hint="eastAsia" w:ascii="宋体" w:hAnsi="宋体" w:cs="宋体"/>
        </w:rPr>
        <w:t xml:space="preserve">       日  期：</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ind w:firstLine="667"/>
        <w:jc w:val="left"/>
        <w:rPr>
          <w:rFonts w:ascii="宋体" w:hAnsi="宋体" w:cs="宋体"/>
          <w:b/>
          <w:spacing w:val="6"/>
          <w:sz w:val="32"/>
          <w:szCs w:val="32"/>
        </w:rPr>
        <w:sectPr>
          <w:pgSz w:w="11905" w:h="16838"/>
          <w:pgMar w:top="1440" w:right="1797" w:bottom="1440" w:left="1797" w:header="851" w:footer="992" w:gutter="0"/>
          <w:cols w:space="0" w:num="1"/>
          <w:titlePg/>
          <w:docGrid w:linePitch="312" w:charSpace="0"/>
        </w:sectPr>
      </w:pPr>
    </w:p>
    <w:p>
      <w:pPr>
        <w:pStyle w:val="2"/>
      </w:pPr>
      <w:r>
        <w:rPr>
          <w:rFonts w:hint="eastAsia"/>
        </w:rPr>
        <w:t>附件2：质疑函范本及制作说明</w:t>
      </w:r>
    </w:p>
    <w:p>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pPr>
        <w:spacing w:before="240" w:beforeLines="100"/>
        <w:ind w:firstLine="480"/>
        <w:rPr>
          <w:rFonts w:ascii="宋体" w:hAnsi="宋体" w:cs="宋体"/>
          <w:bCs/>
        </w:rPr>
      </w:pPr>
      <w:r>
        <w:rPr>
          <w:rFonts w:hint="eastAsia" w:ascii="宋体" w:hAnsi="宋体" w:cs="宋体"/>
          <w:bCs/>
        </w:rPr>
        <w:t>一、质疑供应商基本信息</w:t>
      </w:r>
    </w:p>
    <w:p>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二、质疑项目基本情况</w:t>
      </w:r>
    </w:p>
    <w:p>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ind w:firstLine="480"/>
        <w:rPr>
          <w:rFonts w:ascii="宋体" w:hAnsi="宋体" w:cs="宋体"/>
          <w:bCs/>
        </w:rPr>
      </w:pPr>
      <w:r>
        <w:rPr>
          <w:rFonts w:hint="eastAsia" w:ascii="宋体" w:hAnsi="宋体" w:cs="宋体"/>
          <w:bCs/>
        </w:rPr>
        <w:t>三、质疑事项具体内容</w:t>
      </w:r>
    </w:p>
    <w:p>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质疑事项2</w:t>
      </w:r>
    </w:p>
    <w:p>
      <w:pPr>
        <w:ind w:firstLine="480"/>
        <w:rPr>
          <w:rFonts w:ascii="宋体" w:hAnsi="宋体" w:cs="宋体"/>
        </w:rPr>
      </w:pPr>
      <w:r>
        <w:rPr>
          <w:rFonts w:hint="eastAsia" w:ascii="宋体" w:hAnsi="宋体" w:cs="宋体"/>
        </w:rPr>
        <w:t>……</w:t>
      </w:r>
    </w:p>
    <w:p>
      <w:pPr>
        <w:ind w:firstLine="480"/>
        <w:rPr>
          <w:rFonts w:ascii="宋体" w:hAnsi="宋体" w:cs="宋体"/>
          <w:bCs/>
        </w:rPr>
      </w:pPr>
      <w:r>
        <w:rPr>
          <w:rFonts w:hint="eastAsia" w:ascii="宋体" w:hAnsi="宋体" w:cs="宋体"/>
          <w:bCs/>
        </w:rPr>
        <w:t>四、与质疑事项相关的质疑请求</w:t>
      </w:r>
    </w:p>
    <w:p>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jc w:val="center"/>
        <w:rPr>
          <w:rFonts w:ascii="宋体" w:hAnsi="宋体" w:cs="宋体"/>
          <w:b/>
          <w:bCs/>
        </w:rPr>
      </w:pPr>
    </w:p>
    <w:p>
      <w:pPr>
        <w:rPr>
          <w:rFonts w:ascii="宋体" w:hAnsi="宋体" w:cs="宋体"/>
          <w:b/>
        </w:rPr>
      </w:pPr>
    </w:p>
    <w:p>
      <w:pPr>
        <w:rPr>
          <w:rFonts w:ascii="宋体" w:hAnsi="宋体" w:cs="宋体"/>
          <w:b/>
        </w:rPr>
      </w:pPr>
    </w:p>
    <w:p>
      <w:pPr>
        <w:rPr>
          <w:rFonts w:ascii="宋体" w:hAnsi="宋体" w:cs="宋体"/>
          <w:b/>
        </w:rPr>
      </w:pPr>
      <w:r>
        <w:rPr>
          <w:rFonts w:hint="eastAsia" w:ascii="宋体" w:hAnsi="宋体" w:cs="宋体"/>
          <w:b/>
        </w:rPr>
        <w:t>质疑函制作说明：</w:t>
      </w:r>
    </w:p>
    <w:p>
      <w:pPr>
        <w:widowControl/>
        <w:ind w:firstLine="480"/>
        <w:jc w:val="left"/>
        <w:rPr>
          <w:rFonts w:ascii="宋体" w:hAnsi="宋体" w:cs="宋体"/>
        </w:rPr>
      </w:pPr>
      <w:r>
        <w:rPr>
          <w:rFonts w:hint="eastAsia" w:ascii="宋体" w:hAnsi="宋体" w:cs="宋体"/>
        </w:rPr>
        <w:t>1.供应商提出质疑时，应提交质疑函和必要的证明材料。</w:t>
      </w:r>
    </w:p>
    <w:p>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pPr>
        <w:widowControl/>
        <w:ind w:firstLine="480"/>
        <w:jc w:val="left"/>
        <w:rPr>
          <w:rFonts w:ascii="宋体" w:hAnsi="宋体" w:cs="宋体"/>
        </w:rPr>
      </w:pPr>
      <w:r>
        <w:rPr>
          <w:rFonts w:hint="eastAsia" w:ascii="宋体" w:hAnsi="宋体" w:cs="宋体"/>
        </w:rPr>
        <w:t>4.质疑函的质疑事项应具体、明确，并有必要的事实依据和法律依据。</w:t>
      </w:r>
    </w:p>
    <w:p>
      <w:pPr>
        <w:widowControl/>
        <w:ind w:firstLine="480"/>
        <w:jc w:val="left"/>
        <w:rPr>
          <w:rFonts w:ascii="宋体" w:hAnsi="宋体" w:cs="宋体"/>
        </w:rPr>
      </w:pPr>
      <w:r>
        <w:rPr>
          <w:rFonts w:hint="eastAsia" w:ascii="宋体" w:hAnsi="宋体" w:cs="宋体"/>
        </w:rPr>
        <w:t>5.质疑函的质疑请求应与质疑事项相关。</w:t>
      </w:r>
    </w:p>
    <w:p>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pPr>
        <w:widowControl/>
        <w:ind w:firstLine="600"/>
        <w:jc w:val="left"/>
        <w:rPr>
          <w:rFonts w:ascii="宋体" w:hAnsi="宋体" w:cs="宋体"/>
          <w:sz w:val="30"/>
          <w:szCs w:val="30"/>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center"/>
        <w:rPr>
          <w:rFonts w:ascii="宋体" w:hAnsi="宋体" w:cs="宋体"/>
          <w:b/>
          <w:spacing w:val="6"/>
          <w:sz w:val="32"/>
          <w:szCs w:val="32"/>
        </w:rPr>
      </w:pPr>
    </w:p>
    <w:p>
      <w:pPr>
        <w:ind w:firstLine="667"/>
        <w:jc w:val="left"/>
        <w:rPr>
          <w:rFonts w:ascii="宋体" w:hAnsi="宋体" w:cs="宋体"/>
          <w:b/>
          <w:spacing w:val="6"/>
          <w:sz w:val="32"/>
          <w:szCs w:val="32"/>
        </w:rPr>
      </w:pPr>
    </w:p>
    <w:p>
      <w:pPr>
        <w:pStyle w:val="2"/>
      </w:pPr>
      <w:r>
        <w:rPr>
          <w:rFonts w:hint="eastAsia"/>
        </w:rPr>
        <w:t>附件3：投诉书范本及制作说明</w:t>
      </w:r>
    </w:p>
    <w:p>
      <w:pPr>
        <w:jc w:val="center"/>
        <w:rPr>
          <w:rFonts w:ascii="宋体" w:hAnsi="宋体" w:cs="宋体"/>
          <w:b/>
        </w:rPr>
      </w:pPr>
    </w:p>
    <w:p>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pPr>
        <w:ind w:firstLine="480"/>
        <w:rPr>
          <w:rFonts w:ascii="宋体" w:hAnsi="宋体" w:cs="宋体"/>
        </w:rPr>
      </w:pPr>
      <w:r>
        <w:rPr>
          <w:rFonts w:hint="eastAsia" w:ascii="宋体" w:hAnsi="宋体" w:cs="宋体"/>
        </w:rPr>
        <w:t>一、投诉相关主体基本情况</w:t>
      </w:r>
    </w:p>
    <w:p>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被投诉人2</w:t>
      </w:r>
    </w:p>
    <w:p>
      <w:pPr>
        <w:ind w:firstLine="480"/>
        <w:rPr>
          <w:rFonts w:ascii="宋体" w:hAnsi="宋体" w:cs="宋体"/>
          <w:u w:val="dotted"/>
        </w:rPr>
      </w:pPr>
      <w:r>
        <w:rPr>
          <w:rFonts w:hint="eastAsia" w:ascii="宋体" w:hAnsi="宋体" w:cs="宋体"/>
        </w:rPr>
        <w:t>……</w:t>
      </w:r>
    </w:p>
    <w:p>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二、投诉项目基本情况</w:t>
      </w:r>
    </w:p>
    <w:p>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三、质疑基本情况</w:t>
      </w:r>
    </w:p>
    <w:p>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pPr>
        <w:ind w:firstLine="480"/>
        <w:rPr>
          <w:rFonts w:ascii="宋体" w:hAnsi="宋体" w:cs="宋体"/>
        </w:rPr>
      </w:pPr>
      <w:r>
        <w:rPr>
          <w:rFonts w:hint="eastAsia" w:ascii="宋体" w:hAnsi="宋体" w:cs="宋体"/>
        </w:rPr>
        <w:t>四、投诉事项具体内容</w:t>
      </w:r>
    </w:p>
    <w:p>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pPr>
        <w:ind w:firstLine="480"/>
        <w:rPr>
          <w:rFonts w:ascii="宋体" w:hAnsi="宋体" w:cs="宋体"/>
          <w:u w:val="dotted"/>
        </w:rPr>
      </w:pPr>
      <w:r>
        <w:rPr>
          <w:rFonts w:hint="eastAsia" w:ascii="宋体" w:hAnsi="宋体" w:cs="宋体"/>
          <w:u w:val="dotted"/>
        </w:rPr>
        <w:t xml:space="preserve">                                                                        </w:t>
      </w:r>
    </w:p>
    <w:p>
      <w:pPr>
        <w:ind w:firstLine="480"/>
        <w:rPr>
          <w:rFonts w:ascii="宋体" w:hAnsi="宋体" w:cs="宋体"/>
        </w:rPr>
      </w:pPr>
      <w:r>
        <w:rPr>
          <w:rFonts w:hint="eastAsia" w:ascii="宋体" w:hAnsi="宋体" w:cs="宋体"/>
        </w:rPr>
        <w:t>投诉事项2</w:t>
      </w:r>
    </w:p>
    <w:p>
      <w:pPr>
        <w:ind w:firstLine="480"/>
        <w:rPr>
          <w:rFonts w:ascii="宋体" w:hAnsi="宋体" w:cs="宋体"/>
          <w:u w:val="dotted"/>
        </w:rPr>
      </w:pPr>
      <w:r>
        <w:rPr>
          <w:rFonts w:hint="eastAsia" w:ascii="宋体" w:hAnsi="宋体" w:cs="宋体"/>
        </w:rPr>
        <w:t>……</w:t>
      </w:r>
    </w:p>
    <w:p>
      <w:pPr>
        <w:ind w:firstLine="480"/>
        <w:rPr>
          <w:rFonts w:ascii="宋体" w:hAnsi="宋体" w:cs="宋体"/>
        </w:rPr>
      </w:pPr>
      <w:r>
        <w:rPr>
          <w:rFonts w:hint="eastAsia" w:ascii="宋体" w:hAnsi="宋体" w:cs="宋体"/>
        </w:rPr>
        <w:t>五、与投诉事项相关的投诉请求</w:t>
      </w:r>
    </w:p>
    <w:p>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pPr>
        <w:ind w:firstLine="480"/>
        <w:rPr>
          <w:rFonts w:ascii="宋体" w:hAnsi="宋体" w:cs="宋体"/>
          <w:u w:val="single"/>
        </w:rPr>
      </w:pPr>
      <w:r>
        <w:rPr>
          <w:rFonts w:hint="eastAsia" w:ascii="宋体" w:hAnsi="宋体" w:cs="宋体"/>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rPr>
          <w:rFonts w:ascii="宋体" w:hAnsi="宋体" w:cs="宋体"/>
          <w:b/>
        </w:rPr>
      </w:pPr>
    </w:p>
    <w:p>
      <w:pPr>
        <w:rPr>
          <w:rFonts w:ascii="宋体" w:hAnsi="宋体" w:cs="宋体"/>
          <w:b/>
        </w:rPr>
      </w:pPr>
    </w:p>
    <w:p>
      <w:pPr>
        <w:rPr>
          <w:rFonts w:ascii="宋体" w:hAnsi="宋体" w:cs="宋体"/>
          <w:b/>
        </w:rPr>
        <w:sectPr>
          <w:pgSz w:w="11905" w:h="16838"/>
          <w:pgMar w:top="1440" w:right="1797" w:bottom="1440" w:left="1797" w:header="851" w:footer="992" w:gutter="0"/>
          <w:cols w:space="0" w:num="1"/>
          <w:titlePg/>
          <w:docGrid w:linePitch="312" w:charSpace="0"/>
        </w:sectPr>
      </w:pPr>
    </w:p>
    <w:p>
      <w:pPr>
        <w:rPr>
          <w:rFonts w:ascii="宋体" w:hAnsi="宋体" w:cs="宋体"/>
          <w:b/>
        </w:rPr>
      </w:pPr>
      <w:r>
        <w:rPr>
          <w:rFonts w:hint="eastAsia" w:ascii="宋体" w:hAnsi="宋体" w:cs="宋体"/>
          <w:b/>
        </w:rPr>
        <w:t>投诉书制作说明：</w:t>
      </w:r>
    </w:p>
    <w:p>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pPr>
        <w:widowControl/>
        <w:ind w:firstLine="480"/>
        <w:jc w:val="left"/>
        <w:rPr>
          <w:rFonts w:ascii="宋体" w:hAnsi="宋体" w:cs="宋体"/>
        </w:rPr>
      </w:pPr>
      <w:r>
        <w:rPr>
          <w:rFonts w:hint="eastAsia" w:ascii="宋体" w:hAnsi="宋体" w:cs="宋体"/>
        </w:rPr>
        <w:t>3.投诉人若对项目的某一分包进行投诉，投诉书应列明具体分包号。</w:t>
      </w:r>
    </w:p>
    <w:p>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pPr>
        <w:widowControl/>
        <w:ind w:firstLine="480"/>
        <w:jc w:val="left"/>
        <w:rPr>
          <w:rFonts w:ascii="宋体" w:hAnsi="宋体" w:cs="宋体"/>
        </w:rPr>
      </w:pPr>
      <w:r>
        <w:rPr>
          <w:rFonts w:hint="eastAsia" w:ascii="宋体" w:hAnsi="宋体" w:cs="宋体"/>
        </w:rPr>
        <w:t>5.投诉书的投诉事项应具体、明确，并有必要的事实依据和法律依据。</w:t>
      </w:r>
    </w:p>
    <w:p>
      <w:pPr>
        <w:widowControl/>
        <w:ind w:firstLine="480"/>
        <w:jc w:val="left"/>
        <w:rPr>
          <w:rFonts w:ascii="宋体" w:hAnsi="宋体" w:cs="宋体"/>
        </w:rPr>
      </w:pPr>
      <w:r>
        <w:rPr>
          <w:rFonts w:hint="eastAsia" w:ascii="宋体" w:hAnsi="宋体" w:cs="宋体"/>
        </w:rPr>
        <w:t>6.投诉书的投诉请求应与投诉事项相关。</w:t>
      </w:r>
    </w:p>
    <w:p>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pPr>
        <w:rPr>
          <w:rFonts w:ascii="宋体" w:hAnsi="宋体" w:cs="宋体"/>
          <w:b/>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pStyle w:val="4"/>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2"/>
      </w:pPr>
      <w:r>
        <w:rPr>
          <w:rFonts w:hint="eastAsia"/>
        </w:rPr>
        <w:t>附件4：业务专用章使用说明函</w:t>
      </w:r>
    </w:p>
    <w:p>
      <w:pPr>
        <w:ind w:firstLine="480"/>
        <w:rPr>
          <w:rFonts w:ascii="宋体" w:hAnsi="宋体" w:cs="宋体"/>
        </w:rPr>
      </w:pPr>
      <w:r>
        <w:rPr>
          <w:rFonts w:hint="eastAsia" w:ascii="宋体" w:hAnsi="宋体" w:cs="宋体"/>
          <w:u w:val="single"/>
        </w:rPr>
        <w:t>（采购人）、（采购代理机构）</w:t>
      </w:r>
    </w:p>
    <w:p>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pPr>
        <w:ind w:firstLine="480"/>
        <w:rPr>
          <w:rFonts w:ascii="宋体" w:hAnsi="宋体" w:cs="宋体"/>
        </w:rPr>
      </w:pPr>
      <w:r>
        <w:rPr>
          <w:rFonts w:hint="eastAsia" w:ascii="宋体" w:hAnsi="宋体" w:cs="宋体"/>
        </w:rPr>
        <w:t>特此说明。</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right="480" w:firstLine="4080" w:firstLineChars="1700"/>
        <w:rPr>
          <w:rFonts w:ascii="宋体" w:hAnsi="宋体" w:cs="宋体"/>
        </w:rPr>
      </w:pPr>
      <w:r>
        <w:rPr>
          <w:rFonts w:hint="eastAsia" w:ascii="宋体" w:hAnsi="宋体" w:cs="宋体"/>
        </w:rPr>
        <w:t>投标单位（法定名称章）：</w:t>
      </w:r>
    </w:p>
    <w:p>
      <w:pPr>
        <w:ind w:right="1440" w:firstLine="480"/>
        <w:jc w:val="center"/>
        <w:rPr>
          <w:rFonts w:ascii="宋体" w:hAnsi="宋体" w:cs="宋体"/>
        </w:rPr>
      </w:pPr>
      <w:r>
        <w:rPr>
          <w:rFonts w:hint="eastAsia" w:ascii="宋体" w:hAnsi="宋体" w:cs="宋体"/>
        </w:rPr>
        <w:t xml:space="preserve">                         日期：  年   月 日</w:t>
      </w:r>
    </w:p>
    <w:p>
      <w:pPr>
        <w:rPr>
          <w:rFonts w:ascii="宋体" w:hAnsi="宋体" w:cs="宋体"/>
        </w:rPr>
      </w:pPr>
      <w:r>
        <w:rPr>
          <w:rFonts w:hint="eastAsia" w:ascii="宋体" w:hAnsi="宋体" w:cs="宋体"/>
          <w:b/>
          <w:bCs/>
        </w:rPr>
        <w:t>附：</w:t>
      </w:r>
    </w:p>
    <w:p>
      <w:pPr>
        <w:ind w:firstLine="0" w:firstLineChars="0"/>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pStyle w:val="2"/>
        <w:rPr>
          <w:lang w:val="zh-CN"/>
        </w:rPr>
      </w:pPr>
      <w:r>
        <w:rPr>
          <w:rFonts w:hint="eastAsia"/>
        </w:rPr>
        <w:t>附件5：</w:t>
      </w:r>
      <w:r>
        <w:rPr>
          <w:rFonts w:hint="eastAsia"/>
          <w:lang w:val="zh-CN"/>
        </w:rPr>
        <w:t>联合协议</w:t>
      </w:r>
    </w:p>
    <w:p>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pPr>
        <w:ind w:firstLine="480"/>
        <w:rPr>
          <w:rFonts w:ascii="宋体" w:hAnsi="宋体" w:cs="宋体"/>
          <w:kern w:val="0"/>
          <w:lang w:val="zh-CN"/>
        </w:rPr>
      </w:pPr>
      <w:r>
        <w:rPr>
          <w:rFonts w:hint="eastAsia" w:ascii="宋体" w:hAnsi="宋体" w:cs="宋体"/>
          <w:kern w:val="0"/>
          <w:lang w:val="zh-CN"/>
        </w:rPr>
        <w:t>三、本次联合投标中，分工如下：</w:t>
      </w:r>
    </w:p>
    <w:p>
      <w:pPr>
        <w:ind w:firstLine="480"/>
        <w:rPr>
          <w:rFonts w:ascii="宋体" w:hAnsi="宋体" w:cs="宋体"/>
          <w:kern w:val="0"/>
          <w:lang w:val="zh-CN"/>
        </w:rPr>
      </w:pPr>
      <w:bookmarkStart w:id="476"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w:t>
      </w:r>
    </w:p>
    <w:bookmarkEnd w:id="476"/>
    <w:p>
      <w:pPr>
        <w:ind w:firstLine="480"/>
        <w:rPr>
          <w:rFonts w:ascii="宋体" w:hAnsi="宋体" w:cs="宋体"/>
          <w:kern w:val="0"/>
          <w:lang w:val="zh-CN"/>
        </w:rPr>
      </w:pPr>
      <w:r>
        <w:rPr>
          <w:rFonts w:hint="eastAsia" w:ascii="宋体" w:hAnsi="宋体" w:cs="宋体"/>
          <w:kern w:val="0"/>
          <w:lang w:val="zh-CN"/>
        </w:rPr>
        <w:t>四、联合体成员中小企业合同份额。</w:t>
      </w:r>
    </w:p>
    <w:p>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ind w:firstLine="480"/>
        <w:rPr>
          <w:rFonts w:ascii="宋体" w:hAnsi="宋体" w:cs="宋体"/>
          <w:kern w:val="0"/>
          <w:lang w:val="zh-CN"/>
        </w:rPr>
      </w:pPr>
      <w:r>
        <w:rPr>
          <w:rFonts w:hint="eastAsia" w:ascii="宋体" w:hAnsi="宋体" w:cs="宋体"/>
          <w:kern w:val="0"/>
          <w:lang w:val="zh-CN"/>
        </w:rPr>
        <w:t>六、有关本次联合投标的其他事宜：</w:t>
      </w:r>
    </w:p>
    <w:p>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pPr>
        <w:ind w:firstLine="480"/>
        <w:rPr>
          <w:rFonts w:ascii="宋体" w:hAnsi="宋体" w:cs="宋体"/>
          <w:kern w:val="0"/>
          <w:lang w:val="zh-CN"/>
        </w:rPr>
      </w:pP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pPr>
        <w:ind w:right="960" w:firstLine="480"/>
        <w:jc w:val="center"/>
        <w:rPr>
          <w:rFonts w:ascii="宋体" w:hAnsi="宋体" w:cs="宋体"/>
          <w:kern w:val="0"/>
          <w:lang w:val="zh-CN"/>
        </w:rPr>
      </w:pPr>
      <w:r>
        <w:rPr>
          <w:rFonts w:hint="eastAsia" w:ascii="宋体" w:hAnsi="宋体" w:cs="宋体"/>
          <w:kern w:val="0"/>
          <w:lang w:val="zh-CN"/>
        </w:rPr>
        <w:t xml:space="preserve">                   ……</w:t>
      </w:r>
    </w:p>
    <w:p>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pPr>
        <w:ind w:right="420" w:firstLine="480"/>
        <w:rPr>
          <w:rFonts w:ascii="宋体" w:hAnsi="宋体" w:cs="宋体"/>
        </w:rPr>
      </w:pPr>
      <w:r>
        <w:rPr>
          <w:rFonts w:hint="eastAsia" w:ascii="宋体" w:hAnsi="宋体" w:cs="宋体"/>
        </w:rPr>
        <w:t>注：按本格式和要求提供。</w:t>
      </w: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jc w:val="center"/>
        <w:rPr>
          <w:rFonts w:ascii="宋体" w:hAnsi="宋体" w:cs="宋体"/>
          <w:b/>
          <w:spacing w:val="6"/>
          <w:sz w:val="32"/>
          <w:szCs w:val="32"/>
        </w:rPr>
      </w:pPr>
    </w:p>
    <w:p>
      <w:pPr>
        <w:autoSpaceDE w:val="0"/>
        <w:autoSpaceDN w:val="0"/>
        <w:ind w:firstLine="667"/>
        <w:rPr>
          <w:rFonts w:ascii="宋体" w:hAnsi="宋体" w:cs="宋体"/>
          <w:b/>
          <w:spacing w:val="6"/>
          <w:sz w:val="32"/>
          <w:szCs w:val="32"/>
        </w:rPr>
      </w:pPr>
    </w:p>
    <w:p>
      <w:pPr>
        <w:pStyle w:val="4"/>
        <w:rPr>
          <w:rFonts w:ascii="宋体" w:hAnsi="宋体" w:cs="宋体"/>
          <w:spacing w:val="6"/>
          <w:sz w:val="32"/>
        </w:rPr>
        <w:sectPr>
          <w:pgSz w:w="11905" w:h="16838"/>
          <w:pgMar w:top="1440" w:right="1797" w:bottom="1440" w:left="1797" w:header="851" w:footer="992" w:gutter="0"/>
          <w:cols w:space="0" w:num="1"/>
          <w:titlePg/>
          <w:docGrid w:linePitch="312" w:charSpace="0"/>
        </w:sectPr>
      </w:pPr>
    </w:p>
    <w:p>
      <w:pPr>
        <w:pStyle w:val="2"/>
      </w:pPr>
      <w:r>
        <w:rPr>
          <w:rFonts w:hint="eastAsia"/>
        </w:rPr>
        <w:t>附件6：分包意向协议</w:t>
      </w:r>
    </w:p>
    <w:p>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spacing w:line="420" w:lineRule="atLeast"/>
        <w:ind w:firstLine="480"/>
      </w:pPr>
      <w:r>
        <w:rPr>
          <w:rFonts w:hint="eastAsia"/>
        </w:rPr>
        <w:t>……</w:t>
      </w:r>
    </w:p>
    <w:p>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pPr>
        <w:spacing w:line="420" w:lineRule="atLeast"/>
        <w:ind w:firstLine="480"/>
        <w:rPr>
          <w:rFonts w:ascii="宋体" w:hAnsi="宋体" w:cs="宋体"/>
          <w:u w:val="single"/>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pPr>
        <w:spacing w:line="420" w:lineRule="atLeast"/>
        <w:ind w:left="655" w:leftChars="273" w:firstLine="480"/>
        <w:rPr>
          <w:rFonts w:ascii="宋体" w:hAnsi="宋体" w:cs="宋体"/>
          <w:kern w:val="0"/>
          <w:lang w:val="zh-CN"/>
        </w:rPr>
      </w:pPr>
      <w:r>
        <w:rPr>
          <w:rFonts w:hint="eastAsia" w:ascii="宋体" w:hAnsi="宋体" w:cs="宋体"/>
          <w:u w:val="single"/>
        </w:rPr>
        <w:t xml:space="preserve">                                                                                     </w:t>
      </w:r>
    </w:p>
    <w:p>
      <w:pPr>
        <w:spacing w:line="420" w:lineRule="atLeast"/>
        <w:ind w:left="655" w:leftChars="273"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pPr>
        <w:spacing w:line="420" w:lineRule="atLeast"/>
        <w:ind w:firstLine="480"/>
        <w:rPr>
          <w:rFonts w:ascii="宋体" w:hAnsi="宋体" w:cs="宋体"/>
          <w:kern w:val="0"/>
          <w:lang w:val="zh-CN"/>
        </w:rPr>
      </w:pPr>
      <w:r>
        <w:rPr>
          <w:rFonts w:hint="eastAsia" w:ascii="宋体" w:hAnsi="宋体" w:cs="宋体"/>
          <w:u w:val="single"/>
        </w:rPr>
        <w:t xml:space="preserve">                                                                                  </w:t>
      </w:r>
    </w:p>
    <w:p>
      <w:pPr>
        <w:numPr>
          <w:ilvl w:val="0"/>
          <w:numId w:val="6"/>
        </w:numPr>
        <w:spacing w:line="420" w:lineRule="atLeast"/>
        <w:ind w:firstLine="480"/>
        <w:rPr>
          <w:rFonts w:ascii="宋体" w:hAnsi="宋体" w:cs="宋体"/>
          <w:kern w:val="0"/>
        </w:rPr>
      </w:pPr>
      <w:r>
        <w:rPr>
          <w:rFonts w:hint="eastAsia" w:ascii="宋体" w:hAnsi="宋体" w:cs="宋体"/>
          <w:kern w:val="0"/>
        </w:rPr>
        <w:t>其他</w:t>
      </w:r>
    </w:p>
    <w:p>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pPr>
        <w:spacing w:line="420" w:lineRule="atLeast"/>
        <w:ind w:firstLine="5760" w:firstLineChars="2400"/>
        <w:rPr>
          <w:rFonts w:ascii="宋体" w:hAnsi="宋体" w:cs="宋体"/>
        </w:rPr>
      </w:pPr>
      <w:r>
        <w:rPr>
          <w:rFonts w:hint="eastAsia" w:ascii="宋体" w:hAnsi="宋体" w:cs="宋体"/>
          <w:kern w:val="0"/>
          <w:lang w:val="zh-CN"/>
        </w:rPr>
        <w:t>……</w:t>
      </w:r>
    </w:p>
    <w:p>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pPr>
        <w:pStyle w:val="2"/>
      </w:pPr>
      <w:r>
        <w:rPr>
          <w:rFonts w:hint="eastAsia"/>
        </w:rPr>
        <w:t>附件7：中小企业声明函</w:t>
      </w:r>
    </w:p>
    <w:p>
      <w:pPr>
        <w:ind w:firstLine="480"/>
        <w:jc w:val="center"/>
        <w:rPr>
          <w:rFonts w:ascii="宋体" w:hAnsi="宋体" w:cs="宋体"/>
          <w:u w:val="single"/>
        </w:rPr>
      </w:pPr>
    </w:p>
    <w:p>
      <w:pPr>
        <w:ind w:firstLine="643"/>
        <w:jc w:val="center"/>
        <w:rPr>
          <w:rFonts w:ascii="宋体" w:hAnsi="宋体" w:cs="宋体"/>
          <w:b/>
          <w:sz w:val="32"/>
          <w:szCs w:val="32"/>
        </w:rPr>
      </w:pPr>
      <w:r>
        <w:rPr>
          <w:rFonts w:hint="eastAsia" w:ascii="宋体" w:hAnsi="宋体" w:cs="宋体"/>
          <w:b/>
          <w:sz w:val="32"/>
          <w:szCs w:val="32"/>
        </w:rPr>
        <w:t>中小企业声明函（服务）</w:t>
      </w:r>
    </w:p>
    <w:p>
      <w:pPr>
        <w:ind w:firstLine="600" w:firstLineChars="250"/>
        <w:jc w:val="left"/>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pPr>
        <w:ind w:firstLine="48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ind w:firstLine="480"/>
        <w:jc w:val="left"/>
        <w:rPr>
          <w:rFonts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pPr>
        <w:ind w:firstLine="480"/>
        <w:jc w:val="left"/>
        <w:rPr>
          <w:rFonts w:ascii="宋体" w:hAnsi="宋体" w:cs="宋体"/>
        </w:rPr>
      </w:pPr>
      <w:r>
        <w:rPr>
          <w:rFonts w:hint="eastAsia" w:ascii="宋体" w:hAnsi="宋体" w:cs="宋体"/>
        </w:rPr>
        <w:t>……</w:t>
      </w:r>
    </w:p>
    <w:p>
      <w:pPr>
        <w:ind w:firstLine="48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firstLine="480"/>
        <w:jc w:val="left"/>
        <w:rPr>
          <w:rFonts w:ascii="宋体" w:hAnsi="宋体" w:cs="宋体"/>
        </w:rPr>
      </w:pPr>
      <w:r>
        <w:rPr>
          <w:rFonts w:hint="eastAsia" w:ascii="宋体" w:hAnsi="宋体" w:cs="宋体"/>
        </w:rPr>
        <w:t>本企业对上述声明内容的真实性负责。如有虚假，将依法承担相应责任。</w:t>
      </w:r>
    </w:p>
    <w:p>
      <w:pPr>
        <w:ind w:firstLine="480"/>
      </w:pPr>
    </w:p>
    <w:p>
      <w:pPr>
        <w:ind w:firstLine="5160" w:firstLineChars="2150"/>
        <w:rPr>
          <w:rFonts w:ascii="宋体" w:hAnsi="宋体" w:cs="宋体"/>
          <w:kern w:val="0"/>
        </w:rPr>
      </w:pPr>
      <w:r>
        <w:rPr>
          <w:rFonts w:hint="eastAsia" w:ascii="宋体" w:hAnsi="宋体" w:cs="宋体"/>
          <w:kern w:val="0"/>
          <w:lang w:val="zh-CN"/>
        </w:rPr>
        <w:t>投标人名称(电子签名)：</w:t>
      </w:r>
    </w:p>
    <w:p>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ind w:firstLine="422"/>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pPr>
        <w:ind w:right="420" w:firstLine="480"/>
        <w:rPr>
          <w:rFonts w:ascii="宋体" w:hAnsi="宋体" w:cs="宋体"/>
        </w:rPr>
      </w:pPr>
      <w:r>
        <w:rPr>
          <w:rFonts w:hint="eastAsia" w:ascii="宋体" w:hAnsi="宋体" w:cs="宋体"/>
        </w:rPr>
        <w:t>注：</w:t>
      </w:r>
    </w:p>
    <w:p>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firstLine="480"/>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firstLine="643"/>
        <w:jc w:val="center"/>
        <w:rPr>
          <w:rFonts w:ascii="宋体" w:hAnsi="宋体" w:cs="宋体"/>
          <w:b/>
          <w:sz w:val="32"/>
          <w:szCs w:val="32"/>
        </w:rPr>
      </w:pPr>
    </w:p>
    <w:p>
      <w:pPr>
        <w:ind w:right="420" w:firstLine="480"/>
        <w:rPr>
          <w:rFonts w:ascii="宋体" w:hAnsi="宋体" w:cs="宋体"/>
        </w:rPr>
      </w:pPr>
    </w:p>
    <w:p>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ind w:firstLine="360"/>
                          </w:pPr>
                          <w:r>
                            <w:t xml:space="preserve">第 </w:t>
                          </w:r>
                          <w:r>
                            <w:fldChar w:fldCharType="begin"/>
                          </w:r>
                          <w:r>
                            <w:instrText xml:space="preserve"> PAGE  \* MERGEFORMAT </w:instrText>
                          </w:r>
                          <w:r>
                            <w:fldChar w:fldCharType="separate"/>
                          </w:r>
                          <w:r>
                            <w:t>33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33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p>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p>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p>
    <w:pPr>
      <w:ind w:firstLine="360"/>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BBF8B6B0"/>
    <w:multiLevelType w:val="singleLevel"/>
    <w:tmpl w:val="BBF8B6B0"/>
    <w:lvl w:ilvl="0" w:tentative="0">
      <w:start w:val="1"/>
      <w:numFmt w:val="decimal"/>
      <w:suff w:val="nothing"/>
      <w:lvlText w:val="%1、"/>
      <w:lvlJc w:val="left"/>
    </w:lvl>
  </w:abstractNum>
  <w:abstractNum w:abstractNumId="2">
    <w:nsid w:val="ED70B397"/>
    <w:multiLevelType w:val="singleLevel"/>
    <w:tmpl w:val="ED70B397"/>
    <w:lvl w:ilvl="0" w:tentative="0">
      <w:start w:val="2"/>
      <w:numFmt w:val="chineseCounting"/>
      <w:suff w:val="nothing"/>
      <w:lvlText w:val="%1、"/>
      <w:lvlJc w:val="left"/>
      <w:rPr>
        <w:rFonts w:hint="eastAsia"/>
      </w:rPr>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3991CAFD"/>
    <w:multiLevelType w:val="singleLevel"/>
    <w:tmpl w:val="3991CAFD"/>
    <w:lvl w:ilvl="0" w:tentative="0">
      <w:start w:val="1"/>
      <w:numFmt w:val="decimal"/>
      <w:suff w:val="nothing"/>
      <w:lvlText w:val="%1、"/>
      <w:lvlJc w:val="left"/>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NWQ3ZTQzZGQ3YzkzZWNjMGRlZDhhYjFlMjI1Y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7BF"/>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37"/>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2BA"/>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588"/>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3ED5"/>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3E6"/>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E0F"/>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2B6C"/>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896"/>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351AA"/>
    <w:rsid w:val="010651D9"/>
    <w:rsid w:val="010A5926"/>
    <w:rsid w:val="010F3B4F"/>
    <w:rsid w:val="011C626C"/>
    <w:rsid w:val="011F6449"/>
    <w:rsid w:val="01236AFB"/>
    <w:rsid w:val="01431A4A"/>
    <w:rsid w:val="01475A35"/>
    <w:rsid w:val="015B4A06"/>
    <w:rsid w:val="01665986"/>
    <w:rsid w:val="01951217"/>
    <w:rsid w:val="019F7441"/>
    <w:rsid w:val="01B37585"/>
    <w:rsid w:val="01B76F0F"/>
    <w:rsid w:val="01BB4E57"/>
    <w:rsid w:val="01D55165"/>
    <w:rsid w:val="01DF6BF8"/>
    <w:rsid w:val="01EC2C57"/>
    <w:rsid w:val="02213098"/>
    <w:rsid w:val="0227136C"/>
    <w:rsid w:val="02385327"/>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D52DD"/>
    <w:rsid w:val="034A50BF"/>
    <w:rsid w:val="036634D2"/>
    <w:rsid w:val="036C334D"/>
    <w:rsid w:val="03787FA7"/>
    <w:rsid w:val="03824D80"/>
    <w:rsid w:val="03BE360A"/>
    <w:rsid w:val="03DD35E4"/>
    <w:rsid w:val="04076900"/>
    <w:rsid w:val="041A5A3B"/>
    <w:rsid w:val="04221DEB"/>
    <w:rsid w:val="042311BA"/>
    <w:rsid w:val="04250279"/>
    <w:rsid w:val="042B157A"/>
    <w:rsid w:val="043A29F5"/>
    <w:rsid w:val="046B6852"/>
    <w:rsid w:val="048F763B"/>
    <w:rsid w:val="049F330E"/>
    <w:rsid w:val="04AA775C"/>
    <w:rsid w:val="04AF1889"/>
    <w:rsid w:val="04B57B90"/>
    <w:rsid w:val="04C630A7"/>
    <w:rsid w:val="04C737B8"/>
    <w:rsid w:val="04D3209A"/>
    <w:rsid w:val="04EE7C6A"/>
    <w:rsid w:val="04F66F48"/>
    <w:rsid w:val="05251E14"/>
    <w:rsid w:val="053E0EA6"/>
    <w:rsid w:val="053E424B"/>
    <w:rsid w:val="054776DC"/>
    <w:rsid w:val="055B4188"/>
    <w:rsid w:val="0587093E"/>
    <w:rsid w:val="05886B6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15163"/>
    <w:rsid w:val="09642282"/>
    <w:rsid w:val="09733572"/>
    <w:rsid w:val="09772C16"/>
    <w:rsid w:val="098353B5"/>
    <w:rsid w:val="09A92330"/>
    <w:rsid w:val="09B06B87"/>
    <w:rsid w:val="09C13146"/>
    <w:rsid w:val="09E04166"/>
    <w:rsid w:val="09E518F1"/>
    <w:rsid w:val="0A1C0718"/>
    <w:rsid w:val="0A387C03"/>
    <w:rsid w:val="0A3E7710"/>
    <w:rsid w:val="0A5B7E63"/>
    <w:rsid w:val="0A7632C5"/>
    <w:rsid w:val="0A8654A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8B7B6A"/>
    <w:rsid w:val="0B9C164B"/>
    <w:rsid w:val="0BCA0C05"/>
    <w:rsid w:val="0BE65DF4"/>
    <w:rsid w:val="0BF6188C"/>
    <w:rsid w:val="0BF73C91"/>
    <w:rsid w:val="0C032502"/>
    <w:rsid w:val="0C057D3E"/>
    <w:rsid w:val="0C170175"/>
    <w:rsid w:val="0C2D5832"/>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2F2ACE"/>
    <w:rsid w:val="0D3D6507"/>
    <w:rsid w:val="0D4A7419"/>
    <w:rsid w:val="0D827401"/>
    <w:rsid w:val="0D84094E"/>
    <w:rsid w:val="0D8A00E9"/>
    <w:rsid w:val="0D8D589E"/>
    <w:rsid w:val="0D914EAB"/>
    <w:rsid w:val="0DA01C73"/>
    <w:rsid w:val="0DD63300"/>
    <w:rsid w:val="0DDC300B"/>
    <w:rsid w:val="0DE146F5"/>
    <w:rsid w:val="0DF50604"/>
    <w:rsid w:val="0DF540CC"/>
    <w:rsid w:val="0DF702FE"/>
    <w:rsid w:val="0E060E51"/>
    <w:rsid w:val="0E207BB1"/>
    <w:rsid w:val="0E5604B2"/>
    <w:rsid w:val="0E6D5D79"/>
    <w:rsid w:val="0E7117D9"/>
    <w:rsid w:val="0E7A68BA"/>
    <w:rsid w:val="0E9D0089"/>
    <w:rsid w:val="0EB803EE"/>
    <w:rsid w:val="0EB903ED"/>
    <w:rsid w:val="0ED87C76"/>
    <w:rsid w:val="0ED9097C"/>
    <w:rsid w:val="0EE57BBF"/>
    <w:rsid w:val="0EF94D4B"/>
    <w:rsid w:val="0F4958DC"/>
    <w:rsid w:val="0F4C27CC"/>
    <w:rsid w:val="0F4E2742"/>
    <w:rsid w:val="0F515DF7"/>
    <w:rsid w:val="0F596BA8"/>
    <w:rsid w:val="0F5A2BFE"/>
    <w:rsid w:val="0F5B4403"/>
    <w:rsid w:val="0F6248D2"/>
    <w:rsid w:val="0F693536"/>
    <w:rsid w:val="0F7B0511"/>
    <w:rsid w:val="0F7B76D9"/>
    <w:rsid w:val="0F816ACD"/>
    <w:rsid w:val="0F9832DB"/>
    <w:rsid w:val="0FBF3FD2"/>
    <w:rsid w:val="0FBF7FF3"/>
    <w:rsid w:val="0FD8769D"/>
    <w:rsid w:val="0FE663C2"/>
    <w:rsid w:val="0FF0524B"/>
    <w:rsid w:val="10433B10"/>
    <w:rsid w:val="10646583"/>
    <w:rsid w:val="107D4B15"/>
    <w:rsid w:val="1081433D"/>
    <w:rsid w:val="108A3C80"/>
    <w:rsid w:val="10A67900"/>
    <w:rsid w:val="10C26171"/>
    <w:rsid w:val="10DC3AFF"/>
    <w:rsid w:val="10F33360"/>
    <w:rsid w:val="10FC16EA"/>
    <w:rsid w:val="110F1D40"/>
    <w:rsid w:val="111570BC"/>
    <w:rsid w:val="1122342A"/>
    <w:rsid w:val="11266F33"/>
    <w:rsid w:val="11302E58"/>
    <w:rsid w:val="118963A1"/>
    <w:rsid w:val="118F2D20"/>
    <w:rsid w:val="11905D0C"/>
    <w:rsid w:val="11C6522A"/>
    <w:rsid w:val="11E104CC"/>
    <w:rsid w:val="11E20309"/>
    <w:rsid w:val="122338FE"/>
    <w:rsid w:val="12255233"/>
    <w:rsid w:val="12530213"/>
    <w:rsid w:val="127723A9"/>
    <w:rsid w:val="127810A3"/>
    <w:rsid w:val="12862074"/>
    <w:rsid w:val="12863E8D"/>
    <w:rsid w:val="12883966"/>
    <w:rsid w:val="128D6BEE"/>
    <w:rsid w:val="129C3D23"/>
    <w:rsid w:val="129E45B4"/>
    <w:rsid w:val="12B5455B"/>
    <w:rsid w:val="12D81596"/>
    <w:rsid w:val="12D925F2"/>
    <w:rsid w:val="12E14FB0"/>
    <w:rsid w:val="12F5292A"/>
    <w:rsid w:val="13072A44"/>
    <w:rsid w:val="133B6DF8"/>
    <w:rsid w:val="13481143"/>
    <w:rsid w:val="135409A7"/>
    <w:rsid w:val="135F4BE2"/>
    <w:rsid w:val="139B1A0A"/>
    <w:rsid w:val="139D25C7"/>
    <w:rsid w:val="13BB36C2"/>
    <w:rsid w:val="13BF3CE4"/>
    <w:rsid w:val="13FD3CDB"/>
    <w:rsid w:val="140D7E52"/>
    <w:rsid w:val="141008D8"/>
    <w:rsid w:val="14125FE6"/>
    <w:rsid w:val="146D271E"/>
    <w:rsid w:val="14982588"/>
    <w:rsid w:val="149A5AD9"/>
    <w:rsid w:val="14A7619D"/>
    <w:rsid w:val="14B72CF4"/>
    <w:rsid w:val="14BA2CD9"/>
    <w:rsid w:val="14D01265"/>
    <w:rsid w:val="14D40792"/>
    <w:rsid w:val="150536C3"/>
    <w:rsid w:val="150C1963"/>
    <w:rsid w:val="151447A0"/>
    <w:rsid w:val="15150728"/>
    <w:rsid w:val="15246428"/>
    <w:rsid w:val="152807B7"/>
    <w:rsid w:val="154A6454"/>
    <w:rsid w:val="15762120"/>
    <w:rsid w:val="158626FD"/>
    <w:rsid w:val="15A24376"/>
    <w:rsid w:val="15D33E82"/>
    <w:rsid w:val="15DA2525"/>
    <w:rsid w:val="15DF7B3C"/>
    <w:rsid w:val="15E117D1"/>
    <w:rsid w:val="15E71E0B"/>
    <w:rsid w:val="15F60C24"/>
    <w:rsid w:val="16382D92"/>
    <w:rsid w:val="168F530E"/>
    <w:rsid w:val="16A8729C"/>
    <w:rsid w:val="16B33777"/>
    <w:rsid w:val="16B921CE"/>
    <w:rsid w:val="16BC70A7"/>
    <w:rsid w:val="16C6339E"/>
    <w:rsid w:val="16E74130"/>
    <w:rsid w:val="172F2D79"/>
    <w:rsid w:val="17557BEF"/>
    <w:rsid w:val="179911E2"/>
    <w:rsid w:val="17D349C1"/>
    <w:rsid w:val="17F36AF9"/>
    <w:rsid w:val="1830729E"/>
    <w:rsid w:val="18333316"/>
    <w:rsid w:val="1870062C"/>
    <w:rsid w:val="187F6506"/>
    <w:rsid w:val="18817102"/>
    <w:rsid w:val="18830A15"/>
    <w:rsid w:val="18852B28"/>
    <w:rsid w:val="188B5321"/>
    <w:rsid w:val="19067AD5"/>
    <w:rsid w:val="191F46F3"/>
    <w:rsid w:val="19393A07"/>
    <w:rsid w:val="19412058"/>
    <w:rsid w:val="194D1260"/>
    <w:rsid w:val="195061BB"/>
    <w:rsid w:val="19932372"/>
    <w:rsid w:val="19A20DD5"/>
    <w:rsid w:val="19AE03F1"/>
    <w:rsid w:val="19CC6629"/>
    <w:rsid w:val="19F857F1"/>
    <w:rsid w:val="1A027E83"/>
    <w:rsid w:val="1A071A03"/>
    <w:rsid w:val="1A1F16AE"/>
    <w:rsid w:val="1A3B5C77"/>
    <w:rsid w:val="1A5E71D6"/>
    <w:rsid w:val="1A7F48BE"/>
    <w:rsid w:val="1A9609E5"/>
    <w:rsid w:val="1A984BAD"/>
    <w:rsid w:val="1AB8220E"/>
    <w:rsid w:val="1AE4166C"/>
    <w:rsid w:val="1AE914E9"/>
    <w:rsid w:val="1AF06CFB"/>
    <w:rsid w:val="1AF11B8D"/>
    <w:rsid w:val="1B104EA7"/>
    <w:rsid w:val="1B11359C"/>
    <w:rsid w:val="1B196286"/>
    <w:rsid w:val="1B1A33C4"/>
    <w:rsid w:val="1B251A22"/>
    <w:rsid w:val="1B2A271F"/>
    <w:rsid w:val="1B4346C9"/>
    <w:rsid w:val="1B4D42B7"/>
    <w:rsid w:val="1B530544"/>
    <w:rsid w:val="1B6237D6"/>
    <w:rsid w:val="1B713184"/>
    <w:rsid w:val="1BA209CF"/>
    <w:rsid w:val="1BB22BF4"/>
    <w:rsid w:val="1BB4777D"/>
    <w:rsid w:val="1BD75AB8"/>
    <w:rsid w:val="1C0459C2"/>
    <w:rsid w:val="1C0B75F6"/>
    <w:rsid w:val="1C1B3B4A"/>
    <w:rsid w:val="1C705992"/>
    <w:rsid w:val="1C88086E"/>
    <w:rsid w:val="1CA41E93"/>
    <w:rsid w:val="1CC03DE6"/>
    <w:rsid w:val="1CC40E9D"/>
    <w:rsid w:val="1D013333"/>
    <w:rsid w:val="1D1A36B1"/>
    <w:rsid w:val="1D266CE1"/>
    <w:rsid w:val="1D3963AF"/>
    <w:rsid w:val="1D3F13B8"/>
    <w:rsid w:val="1D554554"/>
    <w:rsid w:val="1D5F7333"/>
    <w:rsid w:val="1D6A673C"/>
    <w:rsid w:val="1D717E8E"/>
    <w:rsid w:val="1D9247AE"/>
    <w:rsid w:val="1DB567EC"/>
    <w:rsid w:val="1DD24F8B"/>
    <w:rsid w:val="1DE2702B"/>
    <w:rsid w:val="1DE53C6C"/>
    <w:rsid w:val="1DF51A98"/>
    <w:rsid w:val="1DFC5B75"/>
    <w:rsid w:val="1E3D060F"/>
    <w:rsid w:val="1E3F7D2E"/>
    <w:rsid w:val="1E4134E4"/>
    <w:rsid w:val="1E5062B3"/>
    <w:rsid w:val="1E523514"/>
    <w:rsid w:val="1E714A66"/>
    <w:rsid w:val="1E7C6FB9"/>
    <w:rsid w:val="1E802593"/>
    <w:rsid w:val="1E8474D2"/>
    <w:rsid w:val="1E8B6156"/>
    <w:rsid w:val="1EA703CC"/>
    <w:rsid w:val="1EB7330C"/>
    <w:rsid w:val="1EBB1037"/>
    <w:rsid w:val="1EBD6790"/>
    <w:rsid w:val="1EBF1498"/>
    <w:rsid w:val="1EE008AE"/>
    <w:rsid w:val="1F0A0FF3"/>
    <w:rsid w:val="1F291D4B"/>
    <w:rsid w:val="1F38206B"/>
    <w:rsid w:val="1F5771FF"/>
    <w:rsid w:val="1F6146A4"/>
    <w:rsid w:val="1FB44357"/>
    <w:rsid w:val="1FD013DE"/>
    <w:rsid w:val="1FD2426D"/>
    <w:rsid w:val="1FD67D2B"/>
    <w:rsid w:val="1FE868A9"/>
    <w:rsid w:val="1FF52CDF"/>
    <w:rsid w:val="20034907"/>
    <w:rsid w:val="200A052C"/>
    <w:rsid w:val="20173E4B"/>
    <w:rsid w:val="20174376"/>
    <w:rsid w:val="20436D85"/>
    <w:rsid w:val="204E48BC"/>
    <w:rsid w:val="208606BA"/>
    <w:rsid w:val="208921B3"/>
    <w:rsid w:val="20973DEB"/>
    <w:rsid w:val="20B26522"/>
    <w:rsid w:val="20B44310"/>
    <w:rsid w:val="20ED311F"/>
    <w:rsid w:val="20F41B9B"/>
    <w:rsid w:val="2103170F"/>
    <w:rsid w:val="211116EB"/>
    <w:rsid w:val="211F1734"/>
    <w:rsid w:val="21423675"/>
    <w:rsid w:val="214D1CF5"/>
    <w:rsid w:val="216133FC"/>
    <w:rsid w:val="216C51F8"/>
    <w:rsid w:val="21725AA3"/>
    <w:rsid w:val="21780E44"/>
    <w:rsid w:val="218E0668"/>
    <w:rsid w:val="21AC0D29"/>
    <w:rsid w:val="21BB6B29"/>
    <w:rsid w:val="21D56769"/>
    <w:rsid w:val="21E52EF3"/>
    <w:rsid w:val="21FB5D7B"/>
    <w:rsid w:val="22015E94"/>
    <w:rsid w:val="220B1C3D"/>
    <w:rsid w:val="221C3808"/>
    <w:rsid w:val="221D1D20"/>
    <w:rsid w:val="22314F7F"/>
    <w:rsid w:val="22334A87"/>
    <w:rsid w:val="22352461"/>
    <w:rsid w:val="22483EC5"/>
    <w:rsid w:val="22591518"/>
    <w:rsid w:val="226E3AF7"/>
    <w:rsid w:val="2289377F"/>
    <w:rsid w:val="22BE6801"/>
    <w:rsid w:val="23210C18"/>
    <w:rsid w:val="232F4EF8"/>
    <w:rsid w:val="233500BF"/>
    <w:rsid w:val="23377FF7"/>
    <w:rsid w:val="236B425F"/>
    <w:rsid w:val="236C43ED"/>
    <w:rsid w:val="23811D37"/>
    <w:rsid w:val="23836192"/>
    <w:rsid w:val="23901F29"/>
    <w:rsid w:val="239C0061"/>
    <w:rsid w:val="23B908A4"/>
    <w:rsid w:val="23C91A0F"/>
    <w:rsid w:val="23E95BEF"/>
    <w:rsid w:val="23F872E7"/>
    <w:rsid w:val="23FD0064"/>
    <w:rsid w:val="2438774A"/>
    <w:rsid w:val="245375B0"/>
    <w:rsid w:val="245A2A83"/>
    <w:rsid w:val="24642C0A"/>
    <w:rsid w:val="246758CC"/>
    <w:rsid w:val="246A53BC"/>
    <w:rsid w:val="247B1377"/>
    <w:rsid w:val="249A77A9"/>
    <w:rsid w:val="24A24583"/>
    <w:rsid w:val="24B22173"/>
    <w:rsid w:val="24B95AD9"/>
    <w:rsid w:val="24BE24DA"/>
    <w:rsid w:val="24CF5825"/>
    <w:rsid w:val="24D3611E"/>
    <w:rsid w:val="24D663E6"/>
    <w:rsid w:val="24D77F2B"/>
    <w:rsid w:val="251E56BC"/>
    <w:rsid w:val="25395D40"/>
    <w:rsid w:val="253E32FC"/>
    <w:rsid w:val="256102F5"/>
    <w:rsid w:val="25627E42"/>
    <w:rsid w:val="256C6F12"/>
    <w:rsid w:val="258B00E2"/>
    <w:rsid w:val="25A917A6"/>
    <w:rsid w:val="25BE27CC"/>
    <w:rsid w:val="25D71527"/>
    <w:rsid w:val="25F74A5C"/>
    <w:rsid w:val="2609650F"/>
    <w:rsid w:val="2628662C"/>
    <w:rsid w:val="262D044F"/>
    <w:rsid w:val="262D45DE"/>
    <w:rsid w:val="266C240C"/>
    <w:rsid w:val="26871DC8"/>
    <w:rsid w:val="269B4641"/>
    <w:rsid w:val="26A53EF9"/>
    <w:rsid w:val="26A94201"/>
    <w:rsid w:val="26AC274F"/>
    <w:rsid w:val="26E17522"/>
    <w:rsid w:val="26F47146"/>
    <w:rsid w:val="27044A29"/>
    <w:rsid w:val="2705294F"/>
    <w:rsid w:val="271D34C8"/>
    <w:rsid w:val="272947AF"/>
    <w:rsid w:val="274F6984"/>
    <w:rsid w:val="275053D0"/>
    <w:rsid w:val="27514BC5"/>
    <w:rsid w:val="27606603"/>
    <w:rsid w:val="276142BF"/>
    <w:rsid w:val="27783712"/>
    <w:rsid w:val="277B51EB"/>
    <w:rsid w:val="27907362"/>
    <w:rsid w:val="27955DFF"/>
    <w:rsid w:val="27BB0BF2"/>
    <w:rsid w:val="27BF5A1F"/>
    <w:rsid w:val="27F24C39"/>
    <w:rsid w:val="27F82B28"/>
    <w:rsid w:val="27FD567B"/>
    <w:rsid w:val="28333E1D"/>
    <w:rsid w:val="284214B5"/>
    <w:rsid w:val="28454BD6"/>
    <w:rsid w:val="28455253"/>
    <w:rsid w:val="28551971"/>
    <w:rsid w:val="285B1C53"/>
    <w:rsid w:val="285F44BB"/>
    <w:rsid w:val="289F7086"/>
    <w:rsid w:val="28AC0642"/>
    <w:rsid w:val="28C32028"/>
    <w:rsid w:val="28CC490F"/>
    <w:rsid w:val="28DB3F5E"/>
    <w:rsid w:val="28DE40AA"/>
    <w:rsid w:val="28E472D6"/>
    <w:rsid w:val="28F25980"/>
    <w:rsid w:val="29192396"/>
    <w:rsid w:val="29345E77"/>
    <w:rsid w:val="294C65AD"/>
    <w:rsid w:val="29573B46"/>
    <w:rsid w:val="29806583"/>
    <w:rsid w:val="298B3C4C"/>
    <w:rsid w:val="29AA5BAE"/>
    <w:rsid w:val="29B153F8"/>
    <w:rsid w:val="29C462AA"/>
    <w:rsid w:val="29F26D24"/>
    <w:rsid w:val="2A021BF3"/>
    <w:rsid w:val="2A077EA1"/>
    <w:rsid w:val="2A15033F"/>
    <w:rsid w:val="2A1662C1"/>
    <w:rsid w:val="2A1C7367"/>
    <w:rsid w:val="2A1D290F"/>
    <w:rsid w:val="2A2815FA"/>
    <w:rsid w:val="2A4F6D47"/>
    <w:rsid w:val="2A5E32CD"/>
    <w:rsid w:val="2A6D6092"/>
    <w:rsid w:val="2A7059AD"/>
    <w:rsid w:val="2A7D76B4"/>
    <w:rsid w:val="2A840C26"/>
    <w:rsid w:val="2A945420"/>
    <w:rsid w:val="2AAC6D47"/>
    <w:rsid w:val="2AC646EF"/>
    <w:rsid w:val="2ACE5934"/>
    <w:rsid w:val="2AFA4BDA"/>
    <w:rsid w:val="2B1B5580"/>
    <w:rsid w:val="2B4324C3"/>
    <w:rsid w:val="2B437463"/>
    <w:rsid w:val="2B7807EE"/>
    <w:rsid w:val="2B9D3AD8"/>
    <w:rsid w:val="2BA50BF7"/>
    <w:rsid w:val="2BAC6FF8"/>
    <w:rsid w:val="2BBF00EC"/>
    <w:rsid w:val="2BC37160"/>
    <w:rsid w:val="2BC37CFD"/>
    <w:rsid w:val="2BD5237F"/>
    <w:rsid w:val="2BD650E5"/>
    <w:rsid w:val="2BD81687"/>
    <w:rsid w:val="2BE536CE"/>
    <w:rsid w:val="2BE758D9"/>
    <w:rsid w:val="2BEF4AE8"/>
    <w:rsid w:val="2C09049E"/>
    <w:rsid w:val="2C0A653C"/>
    <w:rsid w:val="2C191F85"/>
    <w:rsid w:val="2C3D7BB8"/>
    <w:rsid w:val="2C4747CF"/>
    <w:rsid w:val="2C750989"/>
    <w:rsid w:val="2CA73354"/>
    <w:rsid w:val="2CE82D6F"/>
    <w:rsid w:val="2D031F0A"/>
    <w:rsid w:val="2D12214D"/>
    <w:rsid w:val="2D343236"/>
    <w:rsid w:val="2D771A84"/>
    <w:rsid w:val="2D870D8D"/>
    <w:rsid w:val="2DAA74E0"/>
    <w:rsid w:val="2DCE5BE2"/>
    <w:rsid w:val="2DD15014"/>
    <w:rsid w:val="2DF72DE4"/>
    <w:rsid w:val="2E0220AF"/>
    <w:rsid w:val="2E4B082A"/>
    <w:rsid w:val="2E5D4E86"/>
    <w:rsid w:val="2E5D6C6C"/>
    <w:rsid w:val="2E5D790B"/>
    <w:rsid w:val="2E9A3C18"/>
    <w:rsid w:val="2EA80FBB"/>
    <w:rsid w:val="2EA855EA"/>
    <w:rsid w:val="2EAA1469"/>
    <w:rsid w:val="2EBB0FEE"/>
    <w:rsid w:val="2EC63002"/>
    <w:rsid w:val="2F0A6B38"/>
    <w:rsid w:val="2F0F0341"/>
    <w:rsid w:val="2F3FA380"/>
    <w:rsid w:val="2F946CCB"/>
    <w:rsid w:val="2F9D6E59"/>
    <w:rsid w:val="2FA06539"/>
    <w:rsid w:val="2FB45B8C"/>
    <w:rsid w:val="2FD25781"/>
    <w:rsid w:val="2FDC745C"/>
    <w:rsid w:val="2FF50D74"/>
    <w:rsid w:val="2FFD7934"/>
    <w:rsid w:val="301744FA"/>
    <w:rsid w:val="305407BD"/>
    <w:rsid w:val="30733ACD"/>
    <w:rsid w:val="308C3862"/>
    <w:rsid w:val="30931AAA"/>
    <w:rsid w:val="309379D8"/>
    <w:rsid w:val="30A270F7"/>
    <w:rsid w:val="30DF1478"/>
    <w:rsid w:val="30EC586F"/>
    <w:rsid w:val="31470401"/>
    <w:rsid w:val="31994BEB"/>
    <w:rsid w:val="319C6071"/>
    <w:rsid w:val="31A92BF9"/>
    <w:rsid w:val="31AC537E"/>
    <w:rsid w:val="31E3679B"/>
    <w:rsid w:val="31E732FD"/>
    <w:rsid w:val="32070E04"/>
    <w:rsid w:val="3212150D"/>
    <w:rsid w:val="32236BAB"/>
    <w:rsid w:val="32430FFB"/>
    <w:rsid w:val="32462AB5"/>
    <w:rsid w:val="324F174E"/>
    <w:rsid w:val="32517576"/>
    <w:rsid w:val="32523D7F"/>
    <w:rsid w:val="32543208"/>
    <w:rsid w:val="32811B31"/>
    <w:rsid w:val="32AF46F6"/>
    <w:rsid w:val="32BE5C2C"/>
    <w:rsid w:val="32DF0D23"/>
    <w:rsid w:val="32DF6C24"/>
    <w:rsid w:val="32FB6478"/>
    <w:rsid w:val="33263B3F"/>
    <w:rsid w:val="33510884"/>
    <w:rsid w:val="336963EB"/>
    <w:rsid w:val="33783B53"/>
    <w:rsid w:val="33816EEB"/>
    <w:rsid w:val="33A658D0"/>
    <w:rsid w:val="33EB55CD"/>
    <w:rsid w:val="33EC4C02"/>
    <w:rsid w:val="34006087"/>
    <w:rsid w:val="340D2360"/>
    <w:rsid w:val="3410665D"/>
    <w:rsid w:val="341E7629"/>
    <w:rsid w:val="34211214"/>
    <w:rsid w:val="342E63AB"/>
    <w:rsid w:val="34950E68"/>
    <w:rsid w:val="34986E94"/>
    <w:rsid w:val="34A94C8A"/>
    <w:rsid w:val="34AF62C9"/>
    <w:rsid w:val="34B85E70"/>
    <w:rsid w:val="34C06EA1"/>
    <w:rsid w:val="34CB4388"/>
    <w:rsid w:val="34EF59D0"/>
    <w:rsid w:val="34FA31E1"/>
    <w:rsid w:val="34FA6E12"/>
    <w:rsid w:val="350D695D"/>
    <w:rsid w:val="354D7158"/>
    <w:rsid w:val="357243A5"/>
    <w:rsid w:val="358D5588"/>
    <w:rsid w:val="35B31528"/>
    <w:rsid w:val="35BD6C3B"/>
    <w:rsid w:val="363A3B40"/>
    <w:rsid w:val="36440F63"/>
    <w:rsid w:val="365302AE"/>
    <w:rsid w:val="36607A0A"/>
    <w:rsid w:val="366239F2"/>
    <w:rsid w:val="366E227C"/>
    <w:rsid w:val="366F2E0D"/>
    <w:rsid w:val="367B6A5C"/>
    <w:rsid w:val="36851BE2"/>
    <w:rsid w:val="3695256C"/>
    <w:rsid w:val="36956745"/>
    <w:rsid w:val="36A74ADA"/>
    <w:rsid w:val="36AD60D5"/>
    <w:rsid w:val="36B224F9"/>
    <w:rsid w:val="36EC0CC9"/>
    <w:rsid w:val="372143EA"/>
    <w:rsid w:val="372A08D8"/>
    <w:rsid w:val="37333C8F"/>
    <w:rsid w:val="373F410B"/>
    <w:rsid w:val="374B2155"/>
    <w:rsid w:val="37515F68"/>
    <w:rsid w:val="37985945"/>
    <w:rsid w:val="37B942BF"/>
    <w:rsid w:val="37DF4236"/>
    <w:rsid w:val="37EE7094"/>
    <w:rsid w:val="37F23F5C"/>
    <w:rsid w:val="38196A86"/>
    <w:rsid w:val="38296C89"/>
    <w:rsid w:val="383002EB"/>
    <w:rsid w:val="383218F5"/>
    <w:rsid w:val="384A10CB"/>
    <w:rsid w:val="385616DA"/>
    <w:rsid w:val="38586797"/>
    <w:rsid w:val="38653F8D"/>
    <w:rsid w:val="38B44A00"/>
    <w:rsid w:val="38B642D4"/>
    <w:rsid w:val="38BC0149"/>
    <w:rsid w:val="38D87D1C"/>
    <w:rsid w:val="394418E0"/>
    <w:rsid w:val="39557407"/>
    <w:rsid w:val="39636459"/>
    <w:rsid w:val="396B7F6C"/>
    <w:rsid w:val="39B417A9"/>
    <w:rsid w:val="39CD63CE"/>
    <w:rsid w:val="39EE5889"/>
    <w:rsid w:val="39FC5695"/>
    <w:rsid w:val="39FE23D7"/>
    <w:rsid w:val="3A006D8E"/>
    <w:rsid w:val="3A2C7DDF"/>
    <w:rsid w:val="3A3651E5"/>
    <w:rsid w:val="3A41726F"/>
    <w:rsid w:val="3A4B6C9E"/>
    <w:rsid w:val="3A744481"/>
    <w:rsid w:val="3A887EF3"/>
    <w:rsid w:val="3A8C7BEF"/>
    <w:rsid w:val="3A906246"/>
    <w:rsid w:val="3ADB2D2C"/>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B13978"/>
    <w:rsid w:val="3CC64D02"/>
    <w:rsid w:val="3CCE23CB"/>
    <w:rsid w:val="3CD17D17"/>
    <w:rsid w:val="3CFB75AA"/>
    <w:rsid w:val="3D3103CE"/>
    <w:rsid w:val="3D3C7F39"/>
    <w:rsid w:val="3D440F09"/>
    <w:rsid w:val="3D4504A0"/>
    <w:rsid w:val="3D6702AE"/>
    <w:rsid w:val="3D8734BB"/>
    <w:rsid w:val="3D8A7047"/>
    <w:rsid w:val="3D9A11D4"/>
    <w:rsid w:val="3D9A6B04"/>
    <w:rsid w:val="3DA16D89"/>
    <w:rsid w:val="3DA364BE"/>
    <w:rsid w:val="3DDB1283"/>
    <w:rsid w:val="3DE041CB"/>
    <w:rsid w:val="3DE1502A"/>
    <w:rsid w:val="3DF11A29"/>
    <w:rsid w:val="3E0709FB"/>
    <w:rsid w:val="3E0D48F6"/>
    <w:rsid w:val="3E131A40"/>
    <w:rsid w:val="3E1868B4"/>
    <w:rsid w:val="3E377251"/>
    <w:rsid w:val="3E42664B"/>
    <w:rsid w:val="3E5659BB"/>
    <w:rsid w:val="3E5A7334"/>
    <w:rsid w:val="3E6E73FF"/>
    <w:rsid w:val="3E7B5D6B"/>
    <w:rsid w:val="3E843E66"/>
    <w:rsid w:val="3E8F51FE"/>
    <w:rsid w:val="3E926F87"/>
    <w:rsid w:val="3E9A59DE"/>
    <w:rsid w:val="3E9B4876"/>
    <w:rsid w:val="3EAF4836"/>
    <w:rsid w:val="3EC33DFA"/>
    <w:rsid w:val="3F0264C5"/>
    <w:rsid w:val="3F060E16"/>
    <w:rsid w:val="3F1D1096"/>
    <w:rsid w:val="3F2D1834"/>
    <w:rsid w:val="3F2F0234"/>
    <w:rsid w:val="3F4C3C26"/>
    <w:rsid w:val="3F6363FE"/>
    <w:rsid w:val="3F756B8F"/>
    <w:rsid w:val="3F95482B"/>
    <w:rsid w:val="3F9C1CE6"/>
    <w:rsid w:val="3FA3034A"/>
    <w:rsid w:val="3FA94F62"/>
    <w:rsid w:val="3FC0345D"/>
    <w:rsid w:val="3FD97768"/>
    <w:rsid w:val="3FE81403"/>
    <w:rsid w:val="3FFC538D"/>
    <w:rsid w:val="4019356B"/>
    <w:rsid w:val="401C4AEF"/>
    <w:rsid w:val="401D0186"/>
    <w:rsid w:val="40421A8A"/>
    <w:rsid w:val="404544F3"/>
    <w:rsid w:val="404552A0"/>
    <w:rsid w:val="40592157"/>
    <w:rsid w:val="406E1CAE"/>
    <w:rsid w:val="40890521"/>
    <w:rsid w:val="40955117"/>
    <w:rsid w:val="40A0133A"/>
    <w:rsid w:val="40AC64D2"/>
    <w:rsid w:val="40C31A53"/>
    <w:rsid w:val="40C615C5"/>
    <w:rsid w:val="40FF545D"/>
    <w:rsid w:val="410067C8"/>
    <w:rsid w:val="412C31AD"/>
    <w:rsid w:val="4134048C"/>
    <w:rsid w:val="415A4752"/>
    <w:rsid w:val="41765884"/>
    <w:rsid w:val="417A621E"/>
    <w:rsid w:val="418F0D2A"/>
    <w:rsid w:val="41996E28"/>
    <w:rsid w:val="41C932CA"/>
    <w:rsid w:val="41D01505"/>
    <w:rsid w:val="41E10065"/>
    <w:rsid w:val="42145339"/>
    <w:rsid w:val="423D7F71"/>
    <w:rsid w:val="42474939"/>
    <w:rsid w:val="424C3C57"/>
    <w:rsid w:val="42613FF3"/>
    <w:rsid w:val="42660D96"/>
    <w:rsid w:val="428667D2"/>
    <w:rsid w:val="42A715A3"/>
    <w:rsid w:val="42CD1CE0"/>
    <w:rsid w:val="42E1381E"/>
    <w:rsid w:val="42ED6459"/>
    <w:rsid w:val="42F76310"/>
    <w:rsid w:val="42FE58DD"/>
    <w:rsid w:val="43174B3D"/>
    <w:rsid w:val="434B790E"/>
    <w:rsid w:val="43516679"/>
    <w:rsid w:val="4360274F"/>
    <w:rsid w:val="438A6373"/>
    <w:rsid w:val="43977AB6"/>
    <w:rsid w:val="43A3342B"/>
    <w:rsid w:val="43A63197"/>
    <w:rsid w:val="43C77C27"/>
    <w:rsid w:val="43D602EB"/>
    <w:rsid w:val="43D877F5"/>
    <w:rsid w:val="43DE09EE"/>
    <w:rsid w:val="44002FAD"/>
    <w:rsid w:val="44566306"/>
    <w:rsid w:val="449101DD"/>
    <w:rsid w:val="44DD24C2"/>
    <w:rsid w:val="44DE1391"/>
    <w:rsid w:val="450E0CAE"/>
    <w:rsid w:val="451B225C"/>
    <w:rsid w:val="452410C9"/>
    <w:rsid w:val="452B2968"/>
    <w:rsid w:val="45317DFB"/>
    <w:rsid w:val="453C389E"/>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AF5982"/>
    <w:rsid w:val="46B53CF5"/>
    <w:rsid w:val="46C4686E"/>
    <w:rsid w:val="46CA2574"/>
    <w:rsid w:val="46CD62D4"/>
    <w:rsid w:val="474402DF"/>
    <w:rsid w:val="474457CE"/>
    <w:rsid w:val="475F1574"/>
    <w:rsid w:val="475F1DC4"/>
    <w:rsid w:val="47644757"/>
    <w:rsid w:val="476C2789"/>
    <w:rsid w:val="47706278"/>
    <w:rsid w:val="477B778F"/>
    <w:rsid w:val="478203EC"/>
    <w:rsid w:val="47B025FA"/>
    <w:rsid w:val="47D3281F"/>
    <w:rsid w:val="4809698F"/>
    <w:rsid w:val="4811697D"/>
    <w:rsid w:val="4856518C"/>
    <w:rsid w:val="485B6724"/>
    <w:rsid w:val="487A3E25"/>
    <w:rsid w:val="488B5503"/>
    <w:rsid w:val="48937E21"/>
    <w:rsid w:val="48987CCA"/>
    <w:rsid w:val="489A0361"/>
    <w:rsid w:val="48B94FF3"/>
    <w:rsid w:val="48BB2297"/>
    <w:rsid w:val="48E37AAB"/>
    <w:rsid w:val="48FD4B4C"/>
    <w:rsid w:val="490A68E0"/>
    <w:rsid w:val="491055FE"/>
    <w:rsid w:val="49165B48"/>
    <w:rsid w:val="495F5B3E"/>
    <w:rsid w:val="496F77D7"/>
    <w:rsid w:val="49704F0A"/>
    <w:rsid w:val="497654FD"/>
    <w:rsid w:val="49886CA3"/>
    <w:rsid w:val="49B64211"/>
    <w:rsid w:val="49DD17B8"/>
    <w:rsid w:val="49F6167F"/>
    <w:rsid w:val="4A064FA0"/>
    <w:rsid w:val="4A16615C"/>
    <w:rsid w:val="4A3F01A4"/>
    <w:rsid w:val="4A4424D7"/>
    <w:rsid w:val="4AA62243"/>
    <w:rsid w:val="4AB82D0F"/>
    <w:rsid w:val="4AC20427"/>
    <w:rsid w:val="4AC76815"/>
    <w:rsid w:val="4ADA20A4"/>
    <w:rsid w:val="4AEB7664"/>
    <w:rsid w:val="4AEF3676"/>
    <w:rsid w:val="4AFD7C19"/>
    <w:rsid w:val="4B0567D1"/>
    <w:rsid w:val="4B1F1F0B"/>
    <w:rsid w:val="4B236AAE"/>
    <w:rsid w:val="4B3F553C"/>
    <w:rsid w:val="4B5F25AA"/>
    <w:rsid w:val="4B707271"/>
    <w:rsid w:val="4B89356C"/>
    <w:rsid w:val="4B9739F7"/>
    <w:rsid w:val="4BB11B2A"/>
    <w:rsid w:val="4BEA1283"/>
    <w:rsid w:val="4BEE2503"/>
    <w:rsid w:val="4C0A4C0B"/>
    <w:rsid w:val="4C116304"/>
    <w:rsid w:val="4C157304"/>
    <w:rsid w:val="4C1C659D"/>
    <w:rsid w:val="4C245A30"/>
    <w:rsid w:val="4C2E2EBF"/>
    <w:rsid w:val="4C80445A"/>
    <w:rsid w:val="4C871B54"/>
    <w:rsid w:val="4CB14CA1"/>
    <w:rsid w:val="4CB6685F"/>
    <w:rsid w:val="4CC367FE"/>
    <w:rsid w:val="4D077F3C"/>
    <w:rsid w:val="4D123355"/>
    <w:rsid w:val="4D2A3B31"/>
    <w:rsid w:val="4D312C52"/>
    <w:rsid w:val="4D6150D9"/>
    <w:rsid w:val="4D905305"/>
    <w:rsid w:val="4D964A72"/>
    <w:rsid w:val="4D9C1254"/>
    <w:rsid w:val="4DF74D1B"/>
    <w:rsid w:val="4E091428"/>
    <w:rsid w:val="4E1F6637"/>
    <w:rsid w:val="4E793892"/>
    <w:rsid w:val="4E800872"/>
    <w:rsid w:val="4E8D1FA1"/>
    <w:rsid w:val="4E9751B5"/>
    <w:rsid w:val="4E9D1D67"/>
    <w:rsid w:val="4EBC6DB7"/>
    <w:rsid w:val="4EC569ED"/>
    <w:rsid w:val="4ED50EA1"/>
    <w:rsid w:val="4EEC050C"/>
    <w:rsid w:val="4EF54F8F"/>
    <w:rsid w:val="4F104EC3"/>
    <w:rsid w:val="4F47354A"/>
    <w:rsid w:val="4F911C54"/>
    <w:rsid w:val="4F912F4E"/>
    <w:rsid w:val="4FA03191"/>
    <w:rsid w:val="4FB81CB8"/>
    <w:rsid w:val="4FCD070C"/>
    <w:rsid w:val="4FE625E0"/>
    <w:rsid w:val="5021480F"/>
    <w:rsid w:val="50407605"/>
    <w:rsid w:val="505F6D03"/>
    <w:rsid w:val="507117F6"/>
    <w:rsid w:val="50746AF7"/>
    <w:rsid w:val="507E6F02"/>
    <w:rsid w:val="50962ECB"/>
    <w:rsid w:val="50A42E38"/>
    <w:rsid w:val="50A4577F"/>
    <w:rsid w:val="50B73D1F"/>
    <w:rsid w:val="50BD5BC9"/>
    <w:rsid w:val="50C11EEE"/>
    <w:rsid w:val="50DD0EE9"/>
    <w:rsid w:val="50E97CFC"/>
    <w:rsid w:val="50EF1BED"/>
    <w:rsid w:val="50F342F4"/>
    <w:rsid w:val="50FA4028"/>
    <w:rsid w:val="51010FDA"/>
    <w:rsid w:val="510D65B7"/>
    <w:rsid w:val="511157AB"/>
    <w:rsid w:val="5142540C"/>
    <w:rsid w:val="514A35F4"/>
    <w:rsid w:val="514C5AD9"/>
    <w:rsid w:val="51501312"/>
    <w:rsid w:val="51674AAB"/>
    <w:rsid w:val="518832C8"/>
    <w:rsid w:val="518A1BE1"/>
    <w:rsid w:val="518F1137"/>
    <w:rsid w:val="519D3C50"/>
    <w:rsid w:val="51A0432A"/>
    <w:rsid w:val="51A477D8"/>
    <w:rsid w:val="51A86090"/>
    <w:rsid w:val="51AD6B85"/>
    <w:rsid w:val="51B7396D"/>
    <w:rsid w:val="51B853AA"/>
    <w:rsid w:val="51CB2747"/>
    <w:rsid w:val="5224471C"/>
    <w:rsid w:val="522E4CC3"/>
    <w:rsid w:val="52331D7F"/>
    <w:rsid w:val="5240116C"/>
    <w:rsid w:val="5244713B"/>
    <w:rsid w:val="52615633"/>
    <w:rsid w:val="526679D0"/>
    <w:rsid w:val="526F4DE4"/>
    <w:rsid w:val="528C5C89"/>
    <w:rsid w:val="52977FD4"/>
    <w:rsid w:val="529E42FF"/>
    <w:rsid w:val="52A25790"/>
    <w:rsid w:val="52A42173"/>
    <w:rsid w:val="52A96B6F"/>
    <w:rsid w:val="52B34185"/>
    <w:rsid w:val="52B45975"/>
    <w:rsid w:val="52D7336D"/>
    <w:rsid w:val="52D94AA4"/>
    <w:rsid w:val="52DA1E8F"/>
    <w:rsid w:val="52EA3A62"/>
    <w:rsid w:val="52F50BB8"/>
    <w:rsid w:val="53097272"/>
    <w:rsid w:val="530A525A"/>
    <w:rsid w:val="531360AD"/>
    <w:rsid w:val="53544462"/>
    <w:rsid w:val="536116CB"/>
    <w:rsid w:val="53762B86"/>
    <w:rsid w:val="5397158E"/>
    <w:rsid w:val="539B36B4"/>
    <w:rsid w:val="53C95979"/>
    <w:rsid w:val="54013861"/>
    <w:rsid w:val="54487265"/>
    <w:rsid w:val="544D6070"/>
    <w:rsid w:val="54605E1E"/>
    <w:rsid w:val="546F2119"/>
    <w:rsid w:val="54A71741"/>
    <w:rsid w:val="54B1251C"/>
    <w:rsid w:val="54B3506A"/>
    <w:rsid w:val="54B434F8"/>
    <w:rsid w:val="54CA0D16"/>
    <w:rsid w:val="54D4331E"/>
    <w:rsid w:val="54DD4057"/>
    <w:rsid w:val="54E7490F"/>
    <w:rsid w:val="550764A4"/>
    <w:rsid w:val="550B2BF6"/>
    <w:rsid w:val="551B4873"/>
    <w:rsid w:val="55214EB5"/>
    <w:rsid w:val="55364EFD"/>
    <w:rsid w:val="555D4828"/>
    <w:rsid w:val="5575108B"/>
    <w:rsid w:val="557A4C8B"/>
    <w:rsid w:val="5581501F"/>
    <w:rsid w:val="558931E1"/>
    <w:rsid w:val="558E060E"/>
    <w:rsid w:val="55923347"/>
    <w:rsid w:val="55925180"/>
    <w:rsid w:val="55980179"/>
    <w:rsid w:val="55983B1B"/>
    <w:rsid w:val="55A8376B"/>
    <w:rsid w:val="55B17915"/>
    <w:rsid w:val="55C65992"/>
    <w:rsid w:val="55DC29B6"/>
    <w:rsid w:val="55DD4241"/>
    <w:rsid w:val="56646524"/>
    <w:rsid w:val="566B6D1E"/>
    <w:rsid w:val="568338FF"/>
    <w:rsid w:val="568A2F88"/>
    <w:rsid w:val="56B544E7"/>
    <w:rsid w:val="56CB7313"/>
    <w:rsid w:val="56FC33A3"/>
    <w:rsid w:val="57030BD5"/>
    <w:rsid w:val="57032A2C"/>
    <w:rsid w:val="570F346D"/>
    <w:rsid w:val="570F5219"/>
    <w:rsid w:val="57514A6B"/>
    <w:rsid w:val="575D12B5"/>
    <w:rsid w:val="57610A87"/>
    <w:rsid w:val="57702BE6"/>
    <w:rsid w:val="577B1140"/>
    <w:rsid w:val="577B7F21"/>
    <w:rsid w:val="577F181B"/>
    <w:rsid w:val="57825270"/>
    <w:rsid w:val="578A6CD9"/>
    <w:rsid w:val="57921984"/>
    <w:rsid w:val="579737F0"/>
    <w:rsid w:val="57AA3701"/>
    <w:rsid w:val="57AB7B30"/>
    <w:rsid w:val="57AF5251"/>
    <w:rsid w:val="57B26373"/>
    <w:rsid w:val="57B63F04"/>
    <w:rsid w:val="57C245EC"/>
    <w:rsid w:val="57CD20C2"/>
    <w:rsid w:val="57D675AB"/>
    <w:rsid w:val="57D95FDD"/>
    <w:rsid w:val="57EE1A40"/>
    <w:rsid w:val="580B5F93"/>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32EDD"/>
    <w:rsid w:val="5A1716AB"/>
    <w:rsid w:val="5A2A7C7B"/>
    <w:rsid w:val="5A3E2560"/>
    <w:rsid w:val="5A42686F"/>
    <w:rsid w:val="5A4F65D5"/>
    <w:rsid w:val="5A5D3B6E"/>
    <w:rsid w:val="5A637A76"/>
    <w:rsid w:val="5A673229"/>
    <w:rsid w:val="5A6D33BA"/>
    <w:rsid w:val="5A792B1F"/>
    <w:rsid w:val="5A874767"/>
    <w:rsid w:val="5AA85BE2"/>
    <w:rsid w:val="5AAD6F28"/>
    <w:rsid w:val="5AB04370"/>
    <w:rsid w:val="5ABE3BC9"/>
    <w:rsid w:val="5AD21814"/>
    <w:rsid w:val="5AD63A24"/>
    <w:rsid w:val="5B2E1A1D"/>
    <w:rsid w:val="5B330FD0"/>
    <w:rsid w:val="5B372BFB"/>
    <w:rsid w:val="5B3E21DC"/>
    <w:rsid w:val="5B4269DA"/>
    <w:rsid w:val="5B541042"/>
    <w:rsid w:val="5B843A1C"/>
    <w:rsid w:val="5B873E3F"/>
    <w:rsid w:val="5B8B7D36"/>
    <w:rsid w:val="5B8F6EDB"/>
    <w:rsid w:val="5BA770FE"/>
    <w:rsid w:val="5BDF040F"/>
    <w:rsid w:val="5BE30FD5"/>
    <w:rsid w:val="5C02690E"/>
    <w:rsid w:val="5C196DA7"/>
    <w:rsid w:val="5C2A048C"/>
    <w:rsid w:val="5C530A93"/>
    <w:rsid w:val="5C80234E"/>
    <w:rsid w:val="5C8026E5"/>
    <w:rsid w:val="5C82418F"/>
    <w:rsid w:val="5C844510"/>
    <w:rsid w:val="5C8A680C"/>
    <w:rsid w:val="5C8E73AF"/>
    <w:rsid w:val="5CAF6A84"/>
    <w:rsid w:val="5CBC5AAE"/>
    <w:rsid w:val="5CDD5A24"/>
    <w:rsid w:val="5D07136C"/>
    <w:rsid w:val="5D0C4701"/>
    <w:rsid w:val="5D0F0395"/>
    <w:rsid w:val="5D1B7170"/>
    <w:rsid w:val="5D221076"/>
    <w:rsid w:val="5D397964"/>
    <w:rsid w:val="5D543F9A"/>
    <w:rsid w:val="5D5A391C"/>
    <w:rsid w:val="5D5F10C0"/>
    <w:rsid w:val="5D6A375C"/>
    <w:rsid w:val="5D891B7B"/>
    <w:rsid w:val="5D8B1FAD"/>
    <w:rsid w:val="5DA84041"/>
    <w:rsid w:val="5DAD38EE"/>
    <w:rsid w:val="5DC06184"/>
    <w:rsid w:val="5DEC0837"/>
    <w:rsid w:val="5E006862"/>
    <w:rsid w:val="5E0207B9"/>
    <w:rsid w:val="5E1834A1"/>
    <w:rsid w:val="5E261785"/>
    <w:rsid w:val="5E4A7017"/>
    <w:rsid w:val="5E552BBA"/>
    <w:rsid w:val="5E611C10"/>
    <w:rsid w:val="5E733EB6"/>
    <w:rsid w:val="5E7A0F3F"/>
    <w:rsid w:val="5EA90E9A"/>
    <w:rsid w:val="5EE17A4E"/>
    <w:rsid w:val="5EE252D1"/>
    <w:rsid w:val="5EFC7377"/>
    <w:rsid w:val="5F002C5F"/>
    <w:rsid w:val="5F06174D"/>
    <w:rsid w:val="5F3A3602"/>
    <w:rsid w:val="5F4104EC"/>
    <w:rsid w:val="5F45733B"/>
    <w:rsid w:val="5F6277C6"/>
    <w:rsid w:val="5F6D0B1D"/>
    <w:rsid w:val="5F8D0B82"/>
    <w:rsid w:val="5FB44916"/>
    <w:rsid w:val="5FCC5339"/>
    <w:rsid w:val="5FE34A5B"/>
    <w:rsid w:val="5FFE1E36"/>
    <w:rsid w:val="60032576"/>
    <w:rsid w:val="600E4517"/>
    <w:rsid w:val="60232584"/>
    <w:rsid w:val="60603856"/>
    <w:rsid w:val="6063353A"/>
    <w:rsid w:val="6065283C"/>
    <w:rsid w:val="607330CE"/>
    <w:rsid w:val="60825176"/>
    <w:rsid w:val="608D10A6"/>
    <w:rsid w:val="608E5C6A"/>
    <w:rsid w:val="60937EE0"/>
    <w:rsid w:val="609F2AC4"/>
    <w:rsid w:val="60D93E32"/>
    <w:rsid w:val="60E903BA"/>
    <w:rsid w:val="60F44FE8"/>
    <w:rsid w:val="60FA2EE8"/>
    <w:rsid w:val="61054A27"/>
    <w:rsid w:val="61061B60"/>
    <w:rsid w:val="610A52BC"/>
    <w:rsid w:val="610C28A7"/>
    <w:rsid w:val="611D2366"/>
    <w:rsid w:val="61421856"/>
    <w:rsid w:val="61496234"/>
    <w:rsid w:val="615227C4"/>
    <w:rsid w:val="61654E3F"/>
    <w:rsid w:val="6182292A"/>
    <w:rsid w:val="618229A0"/>
    <w:rsid w:val="61953654"/>
    <w:rsid w:val="619F7F92"/>
    <w:rsid w:val="61B01959"/>
    <w:rsid w:val="61F94C26"/>
    <w:rsid w:val="62000E56"/>
    <w:rsid w:val="624B51DE"/>
    <w:rsid w:val="624F3E49"/>
    <w:rsid w:val="62632286"/>
    <w:rsid w:val="62885958"/>
    <w:rsid w:val="62E26C7B"/>
    <w:rsid w:val="62F40B65"/>
    <w:rsid w:val="62FC2CFE"/>
    <w:rsid w:val="63024505"/>
    <w:rsid w:val="630755A9"/>
    <w:rsid w:val="63387D47"/>
    <w:rsid w:val="633961F6"/>
    <w:rsid w:val="635600A5"/>
    <w:rsid w:val="635A1B7D"/>
    <w:rsid w:val="635B1DB5"/>
    <w:rsid w:val="63711FED"/>
    <w:rsid w:val="63880DDC"/>
    <w:rsid w:val="638D750D"/>
    <w:rsid w:val="63AC6CC0"/>
    <w:rsid w:val="64055776"/>
    <w:rsid w:val="64240056"/>
    <w:rsid w:val="643E143A"/>
    <w:rsid w:val="64491666"/>
    <w:rsid w:val="644C301C"/>
    <w:rsid w:val="64812A1F"/>
    <w:rsid w:val="648B6EEF"/>
    <w:rsid w:val="649E5D35"/>
    <w:rsid w:val="64B13A1E"/>
    <w:rsid w:val="64C158BF"/>
    <w:rsid w:val="64CE2EAA"/>
    <w:rsid w:val="64E624BC"/>
    <w:rsid w:val="650A5C8A"/>
    <w:rsid w:val="652F4898"/>
    <w:rsid w:val="653C3090"/>
    <w:rsid w:val="653C4FAA"/>
    <w:rsid w:val="65425461"/>
    <w:rsid w:val="65854376"/>
    <w:rsid w:val="658767BE"/>
    <w:rsid w:val="65892531"/>
    <w:rsid w:val="658F6D0E"/>
    <w:rsid w:val="65951872"/>
    <w:rsid w:val="65AB25E7"/>
    <w:rsid w:val="65B33BEC"/>
    <w:rsid w:val="65E322FD"/>
    <w:rsid w:val="661204ED"/>
    <w:rsid w:val="66195831"/>
    <w:rsid w:val="662E75B1"/>
    <w:rsid w:val="66342C2E"/>
    <w:rsid w:val="66372A2B"/>
    <w:rsid w:val="663E784C"/>
    <w:rsid w:val="6678210A"/>
    <w:rsid w:val="668B6A45"/>
    <w:rsid w:val="66A40E14"/>
    <w:rsid w:val="66C85FD6"/>
    <w:rsid w:val="66D6776C"/>
    <w:rsid w:val="670578C8"/>
    <w:rsid w:val="671B7875"/>
    <w:rsid w:val="672243F5"/>
    <w:rsid w:val="672F3F24"/>
    <w:rsid w:val="673E055F"/>
    <w:rsid w:val="67450E58"/>
    <w:rsid w:val="67551CE3"/>
    <w:rsid w:val="67577E13"/>
    <w:rsid w:val="675D40DF"/>
    <w:rsid w:val="67A22552"/>
    <w:rsid w:val="67A50C5E"/>
    <w:rsid w:val="67AE2497"/>
    <w:rsid w:val="67B22DCC"/>
    <w:rsid w:val="67B87FD6"/>
    <w:rsid w:val="67BE71AA"/>
    <w:rsid w:val="67C91DE0"/>
    <w:rsid w:val="67D90273"/>
    <w:rsid w:val="67DE5875"/>
    <w:rsid w:val="67E55852"/>
    <w:rsid w:val="67EB1AB4"/>
    <w:rsid w:val="67FA1285"/>
    <w:rsid w:val="67FA4CF5"/>
    <w:rsid w:val="68084FB1"/>
    <w:rsid w:val="68441F4C"/>
    <w:rsid w:val="68502B9D"/>
    <w:rsid w:val="68551F4F"/>
    <w:rsid w:val="686E75CF"/>
    <w:rsid w:val="68784853"/>
    <w:rsid w:val="687C10C9"/>
    <w:rsid w:val="68840C16"/>
    <w:rsid w:val="68866B0F"/>
    <w:rsid w:val="68876EFB"/>
    <w:rsid w:val="68884654"/>
    <w:rsid w:val="688B7757"/>
    <w:rsid w:val="689F444F"/>
    <w:rsid w:val="68B96DBB"/>
    <w:rsid w:val="68CA2805"/>
    <w:rsid w:val="68D53B46"/>
    <w:rsid w:val="68D56DB4"/>
    <w:rsid w:val="68E937A3"/>
    <w:rsid w:val="68F81CDA"/>
    <w:rsid w:val="69041BF3"/>
    <w:rsid w:val="69083E29"/>
    <w:rsid w:val="693E15D3"/>
    <w:rsid w:val="695F2F1B"/>
    <w:rsid w:val="69627681"/>
    <w:rsid w:val="69664CCB"/>
    <w:rsid w:val="696D10B5"/>
    <w:rsid w:val="6977531D"/>
    <w:rsid w:val="69877256"/>
    <w:rsid w:val="69926EAA"/>
    <w:rsid w:val="699410ED"/>
    <w:rsid w:val="699B2818"/>
    <w:rsid w:val="699F1009"/>
    <w:rsid w:val="69B83AA1"/>
    <w:rsid w:val="69CA10DE"/>
    <w:rsid w:val="69CC2BFF"/>
    <w:rsid w:val="69D03A8B"/>
    <w:rsid w:val="69FD55B8"/>
    <w:rsid w:val="6A042526"/>
    <w:rsid w:val="6A06256A"/>
    <w:rsid w:val="6A0B1C62"/>
    <w:rsid w:val="6A2358EB"/>
    <w:rsid w:val="6A2406C8"/>
    <w:rsid w:val="6A3603B7"/>
    <w:rsid w:val="6A6F1742"/>
    <w:rsid w:val="6A9001BE"/>
    <w:rsid w:val="6AB165E0"/>
    <w:rsid w:val="6AD17EDC"/>
    <w:rsid w:val="6ADE0BD1"/>
    <w:rsid w:val="6AE508C6"/>
    <w:rsid w:val="6AE96859"/>
    <w:rsid w:val="6AF47095"/>
    <w:rsid w:val="6B147746"/>
    <w:rsid w:val="6B1B662D"/>
    <w:rsid w:val="6B24787C"/>
    <w:rsid w:val="6B573233"/>
    <w:rsid w:val="6B5B6274"/>
    <w:rsid w:val="6B935D53"/>
    <w:rsid w:val="6C1119E5"/>
    <w:rsid w:val="6C196F71"/>
    <w:rsid w:val="6C226FCB"/>
    <w:rsid w:val="6C31226F"/>
    <w:rsid w:val="6C552F0B"/>
    <w:rsid w:val="6C677B3E"/>
    <w:rsid w:val="6C8C67B7"/>
    <w:rsid w:val="6C9D744C"/>
    <w:rsid w:val="6CAB52CB"/>
    <w:rsid w:val="6CB26586"/>
    <w:rsid w:val="6CDE7E4F"/>
    <w:rsid w:val="6CF110B0"/>
    <w:rsid w:val="6D167928"/>
    <w:rsid w:val="6D1A412B"/>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CE1671"/>
    <w:rsid w:val="6ED446C5"/>
    <w:rsid w:val="6EDC5B3C"/>
    <w:rsid w:val="6F2A7D94"/>
    <w:rsid w:val="6F375CBE"/>
    <w:rsid w:val="6F71097A"/>
    <w:rsid w:val="6F7352BE"/>
    <w:rsid w:val="6F8331F1"/>
    <w:rsid w:val="6FA73538"/>
    <w:rsid w:val="6FAE1A09"/>
    <w:rsid w:val="6FB2215E"/>
    <w:rsid w:val="6FB43569"/>
    <w:rsid w:val="6FCE5D0B"/>
    <w:rsid w:val="6FD75BF8"/>
    <w:rsid w:val="6FDB2A63"/>
    <w:rsid w:val="6FF15617"/>
    <w:rsid w:val="707723D0"/>
    <w:rsid w:val="70AB7EBB"/>
    <w:rsid w:val="70BE583B"/>
    <w:rsid w:val="70C44A43"/>
    <w:rsid w:val="70C54F37"/>
    <w:rsid w:val="70E66662"/>
    <w:rsid w:val="70F5661B"/>
    <w:rsid w:val="70F77D0A"/>
    <w:rsid w:val="712362FD"/>
    <w:rsid w:val="71290E87"/>
    <w:rsid w:val="71360107"/>
    <w:rsid w:val="713B688E"/>
    <w:rsid w:val="71926986"/>
    <w:rsid w:val="71BC1C54"/>
    <w:rsid w:val="71C85F52"/>
    <w:rsid w:val="71D43752"/>
    <w:rsid w:val="71E846CF"/>
    <w:rsid w:val="71EC683B"/>
    <w:rsid w:val="71F1796A"/>
    <w:rsid w:val="72154626"/>
    <w:rsid w:val="72262B5D"/>
    <w:rsid w:val="72283FF7"/>
    <w:rsid w:val="722E7212"/>
    <w:rsid w:val="723A0474"/>
    <w:rsid w:val="725923E4"/>
    <w:rsid w:val="72686882"/>
    <w:rsid w:val="72864BF7"/>
    <w:rsid w:val="729023FC"/>
    <w:rsid w:val="733A1083"/>
    <w:rsid w:val="73720D0C"/>
    <w:rsid w:val="739E1612"/>
    <w:rsid w:val="73A50197"/>
    <w:rsid w:val="73AF7192"/>
    <w:rsid w:val="73C0646E"/>
    <w:rsid w:val="73E21E46"/>
    <w:rsid w:val="741325D9"/>
    <w:rsid w:val="7416389E"/>
    <w:rsid w:val="741743EB"/>
    <w:rsid w:val="742222F5"/>
    <w:rsid w:val="74476126"/>
    <w:rsid w:val="745148D6"/>
    <w:rsid w:val="746D05CC"/>
    <w:rsid w:val="74706664"/>
    <w:rsid w:val="74790B89"/>
    <w:rsid w:val="747F3682"/>
    <w:rsid w:val="749C4185"/>
    <w:rsid w:val="74CB2696"/>
    <w:rsid w:val="75067759"/>
    <w:rsid w:val="752E6DCD"/>
    <w:rsid w:val="753541F8"/>
    <w:rsid w:val="7551380D"/>
    <w:rsid w:val="75600BE5"/>
    <w:rsid w:val="7564475C"/>
    <w:rsid w:val="757F1917"/>
    <w:rsid w:val="7583797F"/>
    <w:rsid w:val="75B03B6C"/>
    <w:rsid w:val="75D20F1D"/>
    <w:rsid w:val="75D94B83"/>
    <w:rsid w:val="75DA2C18"/>
    <w:rsid w:val="75F43EC6"/>
    <w:rsid w:val="75F54412"/>
    <w:rsid w:val="761D08E0"/>
    <w:rsid w:val="76360227"/>
    <w:rsid w:val="764F1A43"/>
    <w:rsid w:val="765D347C"/>
    <w:rsid w:val="766B1082"/>
    <w:rsid w:val="76826699"/>
    <w:rsid w:val="768947FB"/>
    <w:rsid w:val="76A71A13"/>
    <w:rsid w:val="76C87133"/>
    <w:rsid w:val="76CD08D5"/>
    <w:rsid w:val="76D70AD3"/>
    <w:rsid w:val="76DB4B92"/>
    <w:rsid w:val="77052AA4"/>
    <w:rsid w:val="77136511"/>
    <w:rsid w:val="77340A39"/>
    <w:rsid w:val="77351FD0"/>
    <w:rsid w:val="773F65DA"/>
    <w:rsid w:val="77472422"/>
    <w:rsid w:val="775C5C1A"/>
    <w:rsid w:val="777F31F2"/>
    <w:rsid w:val="779F4A84"/>
    <w:rsid w:val="77AF3E74"/>
    <w:rsid w:val="77BC475C"/>
    <w:rsid w:val="77C6711F"/>
    <w:rsid w:val="77D1700D"/>
    <w:rsid w:val="77E918D9"/>
    <w:rsid w:val="77EC04CC"/>
    <w:rsid w:val="77EF68E0"/>
    <w:rsid w:val="78191BAF"/>
    <w:rsid w:val="7840538D"/>
    <w:rsid w:val="78512068"/>
    <w:rsid w:val="78775729"/>
    <w:rsid w:val="78A42DB0"/>
    <w:rsid w:val="78A51694"/>
    <w:rsid w:val="78A656AB"/>
    <w:rsid w:val="78B2245C"/>
    <w:rsid w:val="78E172CC"/>
    <w:rsid w:val="78EA1D1F"/>
    <w:rsid w:val="7904172F"/>
    <w:rsid w:val="790F7E27"/>
    <w:rsid w:val="792A231A"/>
    <w:rsid w:val="79316829"/>
    <w:rsid w:val="797E66A9"/>
    <w:rsid w:val="798518A4"/>
    <w:rsid w:val="79916E2D"/>
    <w:rsid w:val="79A97383"/>
    <w:rsid w:val="79DD6C0C"/>
    <w:rsid w:val="79E27E8B"/>
    <w:rsid w:val="79E640A7"/>
    <w:rsid w:val="79F850CE"/>
    <w:rsid w:val="79FD443C"/>
    <w:rsid w:val="7A1D1975"/>
    <w:rsid w:val="7A212AAF"/>
    <w:rsid w:val="7A3E5150"/>
    <w:rsid w:val="7A4670D6"/>
    <w:rsid w:val="7A534B63"/>
    <w:rsid w:val="7A605E80"/>
    <w:rsid w:val="7A615382"/>
    <w:rsid w:val="7A67303B"/>
    <w:rsid w:val="7A80770E"/>
    <w:rsid w:val="7A9B34D4"/>
    <w:rsid w:val="7AA3210C"/>
    <w:rsid w:val="7AAB1D04"/>
    <w:rsid w:val="7ABA4368"/>
    <w:rsid w:val="7AD05746"/>
    <w:rsid w:val="7AD85DA0"/>
    <w:rsid w:val="7AF82F16"/>
    <w:rsid w:val="7B257FFD"/>
    <w:rsid w:val="7B2F6C85"/>
    <w:rsid w:val="7B343476"/>
    <w:rsid w:val="7B3C56EE"/>
    <w:rsid w:val="7B5A2978"/>
    <w:rsid w:val="7B5A7E4C"/>
    <w:rsid w:val="7B667AF9"/>
    <w:rsid w:val="7B7468F8"/>
    <w:rsid w:val="7B974734"/>
    <w:rsid w:val="7BA13B58"/>
    <w:rsid w:val="7BA656AB"/>
    <w:rsid w:val="7BC425AA"/>
    <w:rsid w:val="7BE16020"/>
    <w:rsid w:val="7BEE0103"/>
    <w:rsid w:val="7BF15121"/>
    <w:rsid w:val="7C0A0FE4"/>
    <w:rsid w:val="7C254906"/>
    <w:rsid w:val="7C376AA7"/>
    <w:rsid w:val="7C590818"/>
    <w:rsid w:val="7C7C10F6"/>
    <w:rsid w:val="7C813471"/>
    <w:rsid w:val="7C853BEA"/>
    <w:rsid w:val="7C881368"/>
    <w:rsid w:val="7C8968A0"/>
    <w:rsid w:val="7CB023B6"/>
    <w:rsid w:val="7CD06DFF"/>
    <w:rsid w:val="7CE27788"/>
    <w:rsid w:val="7CE62623"/>
    <w:rsid w:val="7D0C32F1"/>
    <w:rsid w:val="7D0F408D"/>
    <w:rsid w:val="7D1D5F09"/>
    <w:rsid w:val="7D2343BE"/>
    <w:rsid w:val="7D2D17A9"/>
    <w:rsid w:val="7D491C6C"/>
    <w:rsid w:val="7D5429C0"/>
    <w:rsid w:val="7D6E6D43"/>
    <w:rsid w:val="7D711B45"/>
    <w:rsid w:val="7D77201B"/>
    <w:rsid w:val="7DB57A34"/>
    <w:rsid w:val="7DE60973"/>
    <w:rsid w:val="7DEF0916"/>
    <w:rsid w:val="7E102FFF"/>
    <w:rsid w:val="7E1322BB"/>
    <w:rsid w:val="7E1E5218"/>
    <w:rsid w:val="7E1E7F1F"/>
    <w:rsid w:val="7E4B6E7F"/>
    <w:rsid w:val="7E4D4360"/>
    <w:rsid w:val="7E5C7A06"/>
    <w:rsid w:val="7E750A33"/>
    <w:rsid w:val="7E795122"/>
    <w:rsid w:val="7E9A4E1F"/>
    <w:rsid w:val="7EA7723A"/>
    <w:rsid w:val="7EC642EF"/>
    <w:rsid w:val="7ED06A30"/>
    <w:rsid w:val="7EDF3993"/>
    <w:rsid w:val="7EE718FB"/>
    <w:rsid w:val="7EEF4326"/>
    <w:rsid w:val="7EF56FBB"/>
    <w:rsid w:val="7F0768EB"/>
    <w:rsid w:val="7F1242FF"/>
    <w:rsid w:val="7F143BEC"/>
    <w:rsid w:val="7F3B48A0"/>
    <w:rsid w:val="7F6A2CF0"/>
    <w:rsid w:val="7F715AF2"/>
    <w:rsid w:val="7F886E69"/>
    <w:rsid w:val="7FC037E7"/>
    <w:rsid w:val="7FC627FF"/>
    <w:rsid w:val="7FDB3BED"/>
    <w:rsid w:val="AEEE04A0"/>
    <w:rsid w:val="BB7FA927"/>
    <w:rsid w:val="F5FFD31F"/>
    <w:rsid w:val="F6FFD613"/>
    <w:rsid w:val="F7FF7FF5"/>
    <w:rsid w:val="FAFF423D"/>
    <w:rsid w:val="FFE28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5"/>
    <w:qFormat/>
    <w:uiPriority w:val="9"/>
    <w:pPr>
      <w:keepNext/>
      <w:keepLines/>
      <w:tabs>
        <w:tab w:val="left" w:pos="432"/>
      </w:tabs>
      <w:ind w:firstLine="0" w:firstLineChars="0"/>
      <w:jc w:val="center"/>
      <w:outlineLvl w:val="0"/>
    </w:pPr>
    <w:rPr>
      <w:b/>
      <w:bCs/>
      <w:kern w:val="44"/>
      <w:sz w:val="36"/>
      <w:szCs w:val="44"/>
    </w:rPr>
  </w:style>
  <w:style w:type="paragraph" w:styleId="4">
    <w:name w:val="heading 2"/>
    <w:basedOn w:val="1"/>
    <w:next w:val="1"/>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2">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29"/>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6"/>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32"/>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7"/>
    <w:qFormat/>
    <w:uiPriority w:val="0"/>
    <w:pPr>
      <w:spacing w:line="480" w:lineRule="exact"/>
      <w:ind w:firstLine="48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2"/>
    <w:qFormat/>
    <w:uiPriority w:val="0"/>
    <w:pPr>
      <w:widowControl/>
      <w:adjustRightInd/>
      <w:ind w:firstLine="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Cs w:val="21"/>
      <w:lang w:val="zh-CN"/>
    </w:rPr>
  </w:style>
  <w:style w:type="paragraph" w:styleId="38">
    <w:name w:val="Body Text Indent 2"/>
    <w:basedOn w:val="1"/>
    <w:link w:val="310"/>
    <w:qFormat/>
    <w:uiPriority w:val="0"/>
    <w:pPr>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pPr>
  </w:style>
  <w:style w:type="paragraph" w:styleId="47">
    <w:name w:val="index 1"/>
    <w:basedOn w:val="1"/>
    <w:next w:val="1"/>
    <w:qFormat/>
    <w:uiPriority w:val="0"/>
    <w:pPr>
      <w:adjustRightInd/>
      <w:ind w:firstLine="200"/>
      <w:jc w:val="center"/>
    </w:pPr>
    <w:rPr>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Cs w:val="20"/>
    </w:rPr>
  </w:style>
  <w:style w:type="paragraph" w:styleId="50">
    <w:name w:val="List"/>
    <w:basedOn w:val="1"/>
    <w:qFormat/>
    <w:uiPriority w:val="0"/>
    <w:pPr>
      <w:ind w:left="200" w:hanging="200" w:hangingChars="200"/>
    </w:pPr>
  </w:style>
  <w:style w:type="paragraph" w:styleId="51">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8"/>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9"/>
    <w:qFormat/>
    <w:uiPriority w:val="0"/>
    <w:rPr>
      <w:b/>
      <w:bCs/>
    </w:rPr>
  </w:style>
  <w:style w:type="paragraph" w:styleId="61">
    <w:name w:val="Body Text First Indent 2"/>
    <w:basedOn w:val="26"/>
    <w:next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spacing w:after="120" w:line="240" w:lineRule="auto"/>
      <w:ind w:left="420" w:leftChars="200" w:firstLine="420"/>
    </w:pPr>
    <w:rPr>
      <w:sz w:val="21"/>
    </w:rPr>
  </w:style>
  <w:style w:type="paragraph" w:customStyle="1" w:styleId="80">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qFormat/>
    <w:uiPriority w:val="0"/>
    <w:pPr>
      <w:adjustRightInd/>
      <w:ind w:firstLine="420"/>
    </w:pPr>
    <w:rPr>
      <w:rFonts w:eastAsia="仿宋_GB2312"/>
      <w:sz w:val="28"/>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jc w:val="left"/>
    </w:pPr>
    <w:rPr>
      <w:rFonts w:ascii="宋体" w:hAnsi="宋体"/>
      <w:kern w:val="0"/>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pPr>
    <w:rPr>
      <w:kern w:val="0"/>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ind w:firstLine="200"/>
    </w:pPr>
    <w:rPr>
      <w:rFonts w:ascii="宋体" w:hAnsi="宋体"/>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ind w:firstLine="510"/>
    </w:pPr>
    <w:rPr>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rFonts w:ascii="Times New Roman" w:hAnsi="Times New Roman" w:eastAsia="宋体"/>
      <w:sz w:val="24"/>
      <w:szCs w:val="22"/>
      <w:lang w:val="en-US" w:eastAsia="zh-CN" w:bidi="ar-SA"/>
    </w:rPr>
  </w:style>
  <w:style w:type="paragraph" w:customStyle="1" w:styleId="143">
    <w:name w:val="无间隔1"/>
    <w:link w:val="142"/>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pacing w:before="240" w:after="240" w:line="240" w:lineRule="auto"/>
    </w:pPr>
    <w:rPr>
      <w:rFonts w:ascii="Calibri" w:hAnsi="Calibri"/>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ind w:firstLine="480"/>
    </w:pPr>
    <w:rPr>
      <w:rFonts w:ascii="Tahoma" w:hAnsi="Tahoma"/>
      <w:kern w:val="0"/>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2"/>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ind w:firstLine="480"/>
    </w:pPr>
    <w:rPr>
      <w:rFonts w:ascii="宋体" w:hAnsi="宋体"/>
      <w:color w:val="000000"/>
      <w:kern w:val="0"/>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1"/>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ind w:firstLine="48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ind w:firstLine="48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ind w:left="720" w:firstLine="200"/>
      <w:jc w:val="left"/>
    </w:pPr>
    <w:rPr>
      <w:kern w:val="0"/>
      <w:szCs w:val="20"/>
      <w:lang w:eastAsia="en-US"/>
    </w:rPr>
  </w:style>
  <w:style w:type="paragraph" w:styleId="260">
    <w:name w:val="List Paragraph"/>
    <w:basedOn w:val="1"/>
    <w:qFormat/>
    <w:uiPriority w:val="34"/>
    <w:pPr>
      <w:ind w:firstLine="200"/>
    </w:pPr>
    <w:rPr>
      <w:rFonts w:eastAsia="楷体_GB2312" w:cs="Lucida San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ind w:firstLine="200"/>
    </w:p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rFonts w:ascii="Times New Roman" w:hAnsi="Times New Roman" w:eastAsia="宋体"/>
      <w:b/>
      <w:bCs/>
      <w:kern w:val="44"/>
      <w:sz w:val="36"/>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宋体" w:hAnsi="宋体" w:eastAsia="宋体" w:cs="宋体"/>
      <w:b/>
      <w:bCs/>
      <w:kern w:val="2"/>
      <w:sz w:val="24"/>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ind w:firstLine="36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ind w:firstLine="48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156" w:afterLines="50"/>
      <w:ind w:firstLine="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ind w:firstLine="48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ind w:firstLine="48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qFormat/>
    <w:uiPriority w:val="0"/>
    <w:pPr>
      <w:adjustRightInd/>
      <w:jc w:val="center"/>
    </w:pPr>
    <w:rPr>
      <w:rFonts w:ascii="宋体" w:hAnsi="宋体" w:cs="宋体"/>
      <w:b/>
      <w:bCs/>
      <w:color w:val="000000"/>
      <w:szCs w:val="21"/>
    </w:rPr>
  </w:style>
  <w:style w:type="paragraph" w:customStyle="1" w:styleId="440">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jc w:val="center"/>
    </w:pPr>
    <w:rPr>
      <w:rFonts w:ascii="宋体" w:hAnsi="宋体" w:cs="宋体"/>
      <w:b/>
      <w:bCs/>
      <w:szCs w:val="20"/>
    </w:rPr>
  </w:style>
  <w:style w:type="paragraph" w:customStyle="1" w:styleId="443">
    <w:name w:val="标题4_自定义"/>
    <w:basedOn w:val="5"/>
    <w:qFormat/>
    <w:uiPriority w:val="0"/>
    <w:pPr>
      <w:adjustRightInd/>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pPr>
    <w:rPr>
      <w:rFonts w:ascii="Tahoma" w:hAnsi="Tahoma"/>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qFormat/>
    <w:uiPriority w:val="0"/>
    <w:pPr>
      <w:tabs>
        <w:tab w:val="left" w:pos="360"/>
      </w:tabs>
    </w:pPr>
    <w:rPr>
      <w:szCs w:val="20"/>
    </w:rPr>
  </w:style>
  <w:style w:type="paragraph" w:customStyle="1" w:styleId="458">
    <w:name w:val="Char Char11 Char Char Char"/>
    <w:basedOn w:val="1"/>
    <w:qFormat/>
    <w:uiPriority w:val="0"/>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rPr>
  </w:style>
  <w:style w:type="paragraph" w:customStyle="1" w:styleId="464">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ind w:firstLine="510"/>
    </w:pPr>
    <w:rPr>
      <w:szCs w:val="20"/>
    </w:rPr>
  </w:style>
  <w:style w:type="paragraph" w:customStyle="1" w:styleId="468">
    <w:name w:val="Test2"/>
    <w:basedOn w:val="4"/>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3">
    <w:name w:val="样式 宋体 行距: 1.5 倍行距 首行缩进:  2 字符"/>
    <w:basedOn w:val="1"/>
    <w:qFormat/>
    <w:uiPriority w:val="0"/>
    <w:pPr>
      <w:adjustRightInd/>
      <w:ind w:firstLine="420"/>
    </w:pPr>
    <w:rPr>
      <w:rFonts w:ascii="宋体" w:hAnsi="宋体"/>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Cs w:val="20"/>
    </w:rPr>
  </w:style>
  <w:style w:type="paragraph" w:customStyle="1" w:styleId="480">
    <w:name w:val="_Style 11"/>
    <w:basedOn w:val="1"/>
    <w:qFormat/>
    <w:uiPriority w:val="34"/>
    <w:pPr>
      <w:adjustRightInd/>
      <w:ind w:firstLine="42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pacing w:before="120" w:after="160"/>
      <w:ind w:right="-360"/>
      <w:jc w:val="left"/>
    </w:pPr>
    <w:rPr>
      <w:rFonts w:ascii="Arial" w:hAnsi="Arial"/>
      <w:kern w:val="0"/>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2"/>
    <w:next w:val="1"/>
    <w:qFormat/>
    <w:uiPriority w:val="0"/>
    <w:pPr>
      <w:spacing w:line="240" w:lineRule="auto"/>
    </w:pPr>
    <w:rPr>
      <w:sz w:val="28"/>
      <w:szCs w:val="28"/>
    </w:rPr>
  </w:style>
  <w:style w:type="paragraph" w:customStyle="1" w:styleId="499">
    <w:name w:val="FA正文"/>
    <w:basedOn w:val="1"/>
    <w:qFormat/>
    <w:uiPriority w:val="0"/>
    <w:pPr>
      <w:ind w:firstLine="480"/>
    </w:pPr>
    <w:rPr>
      <w:rFonts w:hAnsi="宋体"/>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pacing w:line="0" w:lineRule="atLeast"/>
      <w:ind w:firstLine="200"/>
      <w:jc w:val="center"/>
    </w:pPr>
    <w:rPr>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2"/>
    <w:qFormat/>
    <w:uiPriority w:val="0"/>
    <w:pPr>
      <w:tabs>
        <w:tab w:val="left" w:pos="1680"/>
      </w:tabs>
      <w:adjustRightInd/>
      <w:ind w:left="1680" w:hanging="420"/>
    </w:pPr>
  </w:style>
  <w:style w:type="paragraph" w:customStyle="1" w:styleId="510">
    <w:name w:val="标准小四"/>
    <w:basedOn w:val="1"/>
    <w:qFormat/>
    <w:uiPriority w:val="0"/>
    <w:pPr>
      <w:ind w:firstLine="480"/>
    </w:pPr>
    <w:rPr>
      <w:rFonts w:ascii="Arial" w:hAnsi="Arial"/>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Cs w:val="20"/>
    </w:rPr>
  </w:style>
  <w:style w:type="paragraph" w:customStyle="1" w:styleId="515">
    <w:name w:val="列出段落5"/>
    <w:basedOn w:val="1"/>
    <w:qFormat/>
    <w:uiPriority w:val="0"/>
    <w:pPr>
      <w:ind w:firstLine="200"/>
    </w:pPr>
    <w:rPr>
      <w:rFonts w:eastAsia="楷体_GB2312" w:cs="Lucida Sans"/>
    </w:rPr>
  </w:style>
  <w:style w:type="paragraph" w:customStyle="1" w:styleId="516">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34"/>
    <w:next w:val="23"/>
    <w:qFormat/>
    <w:uiPriority w:val="0"/>
    <w:pPr>
      <w:adjustRightInd/>
      <w:ind w:firstLine="200"/>
    </w:pPr>
    <w:rPr>
      <w:rFonts w:ascii="Arial" w:hAnsi="Arial"/>
      <w:spacing w:val="-5"/>
      <w:kern w:val="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pPr>
    <w:rPr>
      <w:rFonts w:cs="宋体"/>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jc w:val="right"/>
    </w:pPr>
  </w:style>
  <w:style w:type="paragraph" w:customStyle="1" w:styleId="526">
    <w:name w:val="Char Char11 Char Char Char Char Char Char Char Char Char"/>
    <w:basedOn w:val="1"/>
    <w:qFormat/>
    <w:uiPriority w:val="0"/>
    <w:rPr>
      <w:szCs w:val="20"/>
    </w:rPr>
  </w:style>
  <w:style w:type="paragraph" w:customStyle="1" w:styleId="527">
    <w:name w:val="正文1.25"/>
    <w:basedOn w:val="1"/>
    <w:qFormat/>
    <w:uiPriority w:val="0"/>
    <w:pPr>
      <w:adjustRightInd/>
      <w:spacing w:line="300" w:lineRule="auto"/>
      <w:ind w:firstLine="480"/>
    </w:pPr>
    <w:rPr>
      <w:szCs w:val="20"/>
    </w:rPr>
  </w:style>
  <w:style w:type="paragraph" w:customStyle="1" w:styleId="528">
    <w:name w:val="1正文"/>
    <w:basedOn w:val="1"/>
    <w:qFormat/>
    <w:uiPriority w:val="0"/>
    <w:pPr>
      <w:adjustRightInd/>
      <w:ind w:firstLine="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pPr>
    <w:rPr>
      <w:szCs w:val="20"/>
    </w:rPr>
  </w:style>
  <w:style w:type="paragraph" w:customStyle="1" w:styleId="536">
    <w:name w:val="彩色列表 - 强调文字颜色 11"/>
    <w:basedOn w:val="1"/>
    <w:qFormat/>
    <w:uiPriority w:val="0"/>
    <w:pPr>
      <w:adjustRightInd/>
      <w:ind w:firstLine="420"/>
    </w:pPr>
    <w:rPr>
      <w:rFonts w:ascii="Calibri" w:hAnsi="Calibri"/>
      <w:szCs w:val="22"/>
    </w:rPr>
  </w:style>
  <w:style w:type="paragraph" w:customStyle="1" w:styleId="537">
    <w:name w:val="加粗正文"/>
    <w:basedOn w:val="1"/>
    <w:qFormat/>
    <w:uiPriority w:val="0"/>
    <w:pPr>
      <w:adjustRightInd/>
      <w:spacing w:before="156" w:beforeLines="50" w:after="156" w:afterLines="50"/>
      <w:ind w:firstLine="422"/>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5">
    <w:name w:val="Char Char111"/>
    <w:basedOn w:val="1"/>
    <w:qFormat/>
    <w:uiPriority w:val="0"/>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ind w:firstLine="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ind w:firstLine="42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156" w:beforeLines="50"/>
    </w:pPr>
    <w:rPr>
      <w:b/>
    </w:rPr>
  </w:style>
  <w:style w:type="paragraph" w:customStyle="1" w:styleId="586">
    <w:name w:val="Char Char1101"/>
    <w:basedOn w:val="1"/>
    <w:qFormat/>
    <w:uiPriority w:val="0"/>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ind w:firstLine="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pPr>
    <w:rPr>
      <w:rFonts w:ascii="仿宋_GB2312" w:eastAsia="仿宋_GB2312"/>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pPr>
    <w:rPr>
      <w:rFonts w:ascii="宋体"/>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Cs w:val="20"/>
    </w:rPr>
  </w:style>
  <w:style w:type="paragraph" w:customStyle="1" w:styleId="605">
    <w:name w:val="正文文字表格居中"/>
    <w:basedOn w:val="1"/>
    <w:next w:val="56"/>
    <w:qFormat/>
    <w:uiPriority w:val="0"/>
    <w:rPr>
      <w:rFonts w:ascii="宋体"/>
      <w:b/>
      <w:szCs w:val="20"/>
    </w:rPr>
  </w:style>
  <w:style w:type="paragraph" w:customStyle="1" w:styleId="606">
    <w:name w:val="规划正文"/>
    <w:basedOn w:val="1"/>
    <w:qFormat/>
    <w:uiPriority w:val="0"/>
    <w:pPr>
      <w:adjustRightInd/>
      <w:spacing w:before="312" w:beforeLines="100"/>
      <w:jc w:val="left"/>
    </w:pPr>
    <w:rPr>
      <w:rFonts w:ascii="Arial" w:hAnsi="Arial" w:eastAsia="仿宋_GB2312"/>
      <w:bCs/>
      <w:sz w:val="28"/>
    </w:rPr>
  </w:style>
  <w:style w:type="paragraph" w:customStyle="1" w:styleId="607">
    <w:name w:val="小节"/>
    <w:basedOn w:val="2"/>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ind w:firstLine="200"/>
    </w:pPr>
    <w:rPr>
      <w:rFonts w:eastAsia="楷体_GB2312" w:cs="Lucida Sans"/>
    </w:rPr>
  </w:style>
  <w:style w:type="paragraph" w:customStyle="1" w:styleId="614">
    <w:name w:val="样式 标题 3标题 3 Char第二层条h33Bold Headbh章标题1小标题level_3PIM 3..."/>
    <w:basedOn w:val="2"/>
    <w:qFormat/>
    <w:uiPriority w:val="0"/>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qFormat/>
    <w:uiPriority w:val="0"/>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qFormat/>
    <w:uiPriority w:val="0"/>
    <w:pPr>
      <w:adjustRightInd/>
      <w:spacing w:before="60" w:after="60"/>
      <w:ind w:firstLine="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qFormat/>
    <w:uiPriority w:val="0"/>
    <w:pPr>
      <w:ind w:firstLine="200"/>
    </w:pPr>
    <w:rPr>
      <w:kern w:val="0"/>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ind w:firstLine="200"/>
    </w:pPr>
    <w:rPr>
      <w:rFonts w:ascii="Arial" w:hAnsi="Arial"/>
      <w:szCs w:val="20"/>
    </w:rPr>
  </w:style>
  <w:style w:type="paragraph" w:customStyle="1" w:styleId="647">
    <w:name w:val="Char1 Char Char Char1"/>
    <w:basedOn w:val="1"/>
    <w:qFormat/>
    <w:uiPriority w:val="0"/>
    <w:pPr>
      <w:adjustRightInd/>
      <w:ind w:firstLine="200"/>
    </w:pPr>
    <w:rPr>
      <w:rFonts w:ascii="Tahoma" w:hAnsi="Tahoma"/>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Cs w:val="20"/>
    </w:rPr>
  </w:style>
  <w:style w:type="paragraph" w:customStyle="1" w:styleId="655">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i/>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qFormat/>
    <w:uiPriority w:val="6"/>
    <w:pPr>
      <w:widowControl/>
      <w:adjustRightInd/>
      <w:ind w:left="720" w:hanging="720"/>
    </w:pPr>
    <w:rPr>
      <w:color w:val="000000"/>
      <w:kern w:val="0"/>
      <w:szCs w:val="20"/>
      <w:lang w:val="en-GB"/>
    </w:rPr>
  </w:style>
  <w:style w:type="paragraph" w:customStyle="1" w:styleId="669">
    <w:name w:val="表1"/>
    <w:basedOn w:val="1"/>
    <w:qFormat/>
    <w:uiPriority w:val="0"/>
    <w:pPr>
      <w:tabs>
        <w:tab w:val="left" w:pos="703"/>
      </w:tabs>
      <w:adjustRightInd/>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p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rPr>
      <w:szCs w:val="20"/>
    </w:rPr>
  </w:style>
  <w:style w:type="paragraph" w:customStyle="1" w:styleId="691">
    <w:name w:val="金宏发行正文 Char"/>
    <w:basedOn w:val="1"/>
    <w:qFormat/>
    <w:uiPriority w:val="0"/>
    <w:pPr>
      <w:adjustRightInd/>
      <w:spacing w:line="500" w:lineRule="exact"/>
      <w:ind w:firstLine="56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qFormat/>
    <w:uiPriority w:val="0"/>
    <w:pPr>
      <w:adjustRightInd/>
      <w:jc w:val="center"/>
    </w:pPr>
  </w:style>
  <w:style w:type="paragraph" w:customStyle="1" w:styleId="701">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pacing w:after="120"/>
      <w:ind w:left="420" w:leftChars="200" w:firstLine="480"/>
    </w:pPr>
    <w:rPr>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rPr>
      <w:szCs w:val="20"/>
    </w:rPr>
  </w:style>
  <w:style w:type="paragraph" w:customStyle="1" w:styleId="707">
    <w:name w:val="小项目标题"/>
    <w:basedOn w:val="1"/>
    <w:qFormat/>
    <w:uiPriority w:val="0"/>
    <w:pPr>
      <w:adjustRightInd/>
      <w:spacing w:before="100" w:beforeAutospacing="1" w:after="100" w:afterAutospacing="1"/>
      <w:ind w:left="480" w:leftChars="200" w:firstLine="200"/>
      <w:jc w:val="left"/>
    </w:p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4"/>
    <w:qFormat/>
    <w:uiPriority w:val="0"/>
    <w:pPr>
      <w:spacing w:before="120" w:after="120"/>
      <w:jc w:val="both"/>
    </w:pPr>
    <w:rPr>
      <w:rFonts w:ascii="宋体" w:hAnsi="Arial"/>
      <w:sz w:val="28"/>
      <w:lang w:val="en-US"/>
    </w:rPr>
  </w:style>
  <w:style w:type="paragraph" w:customStyle="1" w:styleId="720">
    <w:name w:val="有符号正文"/>
    <w:basedOn w:val="1"/>
    <w:qFormat/>
    <w:uiPriority w:val="0"/>
    <w:pPr>
      <w:adjustRightInd/>
      <w:spacing w:line="400" w:lineRule="exact"/>
      <w:ind w:firstLine="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3">
    <w:name w:val="4"/>
    <w:basedOn w:val="1"/>
    <w:next w:val="38"/>
    <w:qFormat/>
    <w:uiPriority w:val="0"/>
    <w:pPr>
      <w:spacing w:after="120" w:line="480" w:lineRule="auto"/>
      <w:ind w:left="420" w:leftChars="200"/>
    </w:pPr>
    <w:rPr>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2"/>
    <w:qFormat/>
    <w:uiPriority w:val="0"/>
    <w:pPr>
      <w:keepLines w:val="0"/>
      <w:spacing w:line="240" w:lineRule="auto"/>
    </w:pPr>
    <w:rPr>
      <w:rFonts w:cs="宋体"/>
      <w:sz w:val="21"/>
      <w:szCs w:val="20"/>
    </w:rPr>
  </w:style>
  <w:style w:type="paragraph" w:customStyle="1" w:styleId="727">
    <w:name w:val="样式 仿宋_GB2312 小三 左侧:  1.06 厘米"/>
    <w:basedOn w:val="1"/>
    <w:qFormat/>
    <w:uiPriority w:val="0"/>
    <w:pPr>
      <w:ind w:left="601"/>
    </w:pPr>
    <w:rPr>
      <w:rFonts w:ascii="仿宋_GB2312" w:eastAsia="仿宋_GB2312"/>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Cs w:val="20"/>
    </w:rPr>
  </w:style>
  <w:style w:type="paragraph" w:customStyle="1" w:styleId="739">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0">
    <w:name w:val="正文（标题三）"/>
    <w:basedOn w:val="1"/>
    <w:qFormat/>
    <w:uiPriority w:val="0"/>
    <w:pPr>
      <w:ind w:firstLine="200"/>
    </w:pPr>
  </w:style>
  <w:style w:type="paragraph" w:customStyle="1" w:styleId="741">
    <w:name w:val="样式 正1 + 首行缩进:  2 字符"/>
    <w:basedOn w:val="1"/>
    <w:qFormat/>
    <w:uiPriority w:val="0"/>
    <w:pPr>
      <w:adjustRightInd/>
      <w:ind w:firstLine="480"/>
    </w:pPr>
    <w:rPr>
      <w:rFonts w:ascii="仿宋_GB2312" w:eastAsia="仿宋_GB2312"/>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4">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qFormat/>
    <w:uiPriority w:val="0"/>
    <w:pPr>
      <w:adjustRightInd/>
      <w:ind w:firstLine="200"/>
    </w:pPr>
    <w:rPr>
      <w:rFonts w:ascii="Tahoma" w:hAnsi="Tahoma"/>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qFormat/>
    <w:uiPriority w:val="0"/>
    <w:pPr>
      <w:adjustRightInd/>
    </w:pPr>
    <w:rPr>
      <w:rFonts w:ascii="宋体" w:hAnsi="宋体"/>
      <w:szCs w:val="20"/>
    </w:rPr>
  </w:style>
  <w:style w:type="paragraph" w:customStyle="1" w:styleId="753">
    <w:name w:val="深色列表 - 强调文字颜色 51"/>
    <w:basedOn w:val="1"/>
    <w:qFormat/>
    <w:uiPriority w:val="0"/>
    <w:pPr>
      <w:adjustRightInd/>
      <w:ind w:firstLine="200"/>
    </w:pPr>
    <w:rPr>
      <w:rFonts w:eastAsia="楷体_GB2312" w:cs="Lucida Sans"/>
    </w:rPr>
  </w:style>
  <w:style w:type="paragraph" w:customStyle="1" w:styleId="754">
    <w:name w:val="Char Char Char Char Char Char Char Char Char Char Char1 Char"/>
    <w:basedOn w:val="1"/>
    <w:qFormat/>
    <w:uiPriority w:val="0"/>
    <w:pPr>
      <w:adjustRightInd/>
    </w:pPr>
    <w:rPr>
      <w:rFonts w:ascii="Tahoma" w:hAnsi="Tahoma"/>
    </w:rPr>
  </w:style>
  <w:style w:type="paragraph" w:customStyle="1" w:styleId="755">
    <w:name w:val="Char Char Char Char11"/>
    <w:basedOn w:val="1"/>
    <w:qFormat/>
    <w:uiPriority w:val="0"/>
    <w:rPr>
      <w:rFonts w:ascii="Tahoma" w:hAnsi="Tahoma"/>
      <w:szCs w:val="20"/>
    </w:rPr>
  </w:style>
  <w:style w:type="paragraph" w:customStyle="1" w:styleId="756">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Cs w:val="20"/>
    </w:rPr>
  </w:style>
  <w:style w:type="paragraph" w:customStyle="1" w:styleId="758">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2">
    <w:name w:val="_Style 5"/>
    <w:basedOn w:val="1"/>
    <w:qFormat/>
    <w:uiPriority w:val="34"/>
    <w:pPr>
      <w:adjustRightInd/>
      <w:ind w:firstLine="42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qFormat/>
    <w:uiPriority w:val="0"/>
    <w:pPr>
      <w:adjustRightInd/>
      <w:ind w:firstLine="200"/>
    </w:pPr>
    <w:rPr>
      <w:rFonts w:eastAsia="楷体_GB2312" w:cs="Lucida Sans Unicode"/>
      <w:color w:val="000000"/>
      <w:kern w:val="1"/>
    </w:rPr>
  </w:style>
  <w:style w:type="paragraph" w:customStyle="1" w:styleId="765">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ind w:firstLine="48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ind w:firstLine="48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Cs w:val="20"/>
    </w:rPr>
  </w:style>
  <w:style w:type="paragraph" w:customStyle="1" w:styleId="777">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2"/>
    <w:next w:val="53"/>
    <w:qFormat/>
    <w:uiPriority w:val="0"/>
    <w:pPr>
      <w:tabs>
        <w:tab w:val="clear" w:pos="900"/>
      </w:tabs>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pPr>
    <w:rPr>
      <w:rFonts w:ascii="Tahoma" w:hAnsi="Tahoma"/>
      <w:szCs w:val="20"/>
    </w:rPr>
  </w:style>
  <w:style w:type="paragraph" w:customStyle="1" w:styleId="792">
    <w:name w:val="列出段落1"/>
    <w:basedOn w:val="1"/>
    <w:qFormat/>
    <w:uiPriority w:val="0"/>
    <w:pPr>
      <w:adjustRightInd/>
      <w:ind w:firstLine="420"/>
    </w:pPr>
    <w:rPr>
      <w:rFonts w:ascii="Calibri" w:hAnsi="Calibri"/>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qFormat/>
    <w:uiPriority w:val="34"/>
    <w:pPr>
      <w:adjustRightInd/>
      <w:ind w:firstLine="420"/>
    </w:pPr>
    <w:rPr>
      <w:rFonts w:ascii="Calibri" w:hAnsi="Calibri"/>
      <w:szCs w:val="22"/>
    </w:rPr>
  </w:style>
  <w:style w:type="paragraph" w:customStyle="1" w:styleId="801">
    <w:name w:val="首行缩进"/>
    <w:basedOn w:val="1"/>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3">
    <w:name w:val="单元格左对齐"/>
    <w:basedOn w:val="1"/>
    <w:qFormat/>
    <w:uiPriority w:val="0"/>
    <w:pPr>
      <w:adjustRightInd/>
    </w:p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pPr>
    <w:rPr>
      <w:rFonts w:ascii="Arial" w:hAnsi="Arial" w:eastAsia="黑体" w:cs="Arial"/>
      <w:snapToGrid w:val="0"/>
      <w:kern w:val="0"/>
      <w:szCs w:val="21"/>
    </w:rPr>
  </w:style>
  <w:style w:type="paragraph" w:customStyle="1" w:styleId="807">
    <w:name w:val="样式 首行缩进:  2 字符"/>
    <w:basedOn w:val="1"/>
    <w:qFormat/>
    <w:uiPriority w:val="0"/>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ind w:firstLine="480"/>
    </w:pPr>
    <w:rPr>
      <w:szCs w:val="20"/>
    </w:rPr>
  </w:style>
  <w:style w:type="paragraph" w:customStyle="1" w:styleId="809">
    <w:name w:val="P1"/>
    <w:basedOn w:val="1"/>
    <w:qFormat/>
    <w:uiPriority w:val="0"/>
    <w:pPr>
      <w:adjustRightInd/>
      <w:spacing w:line="288" w:lineRule="auto"/>
      <w:ind w:firstLine="425"/>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qFormat/>
    <w:uiPriority w:val="0"/>
    <w:rPr>
      <w:szCs w:val="20"/>
    </w:rPr>
  </w:style>
  <w:style w:type="paragraph" w:customStyle="1" w:styleId="818">
    <w:name w:val="正文4"/>
    <w:basedOn w:val="1"/>
    <w:qFormat/>
    <w:uiPriority w:val="0"/>
    <w:pPr>
      <w:tabs>
        <w:tab w:val="left" w:pos="720"/>
      </w:tabs>
      <w:adjustRightInd/>
      <w:spacing w:before="60" w:after="60"/>
      <w:ind w:left="575" w:leftChars="400" w:hanging="175" w:hangingChars="175"/>
    </w:p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qFormat/>
    <w:uiPriority w:val="0"/>
    <w:pPr>
      <w:adjustRightInd/>
      <w:ind w:firstLine="480"/>
    </w:pPr>
    <w:rPr>
      <w:rFonts w:cs="宋体"/>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qFormat/>
    <w:uiPriority w:val="0"/>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qFormat/>
    <w:uiPriority w:val="0"/>
    <w:pPr>
      <w:adjustRightInd/>
      <w:spacing w:before="20" w:after="20"/>
      <w:ind w:firstLine="200"/>
    </w:pPr>
    <w:rPr>
      <w:rFonts w:ascii="Century Gothic" w:hAnsi="Century Gothic"/>
      <w:szCs w:val="20"/>
    </w:rPr>
  </w:style>
  <w:style w:type="paragraph" w:customStyle="1" w:styleId="831">
    <w:name w:val="插图说明"/>
    <w:basedOn w:val="1"/>
    <w:qFormat/>
    <w:uiPriority w:val="0"/>
    <w:pPr>
      <w:spacing w:after="240"/>
      <w:ind w:firstLine="200"/>
      <w:jc w:val="center"/>
      <w:textAlignment w:val="baseline"/>
    </w:pPr>
    <w:rPr>
      <w:rFonts w:eastAsia="黑体"/>
      <w:szCs w:val="20"/>
    </w:rPr>
  </w:style>
  <w:style w:type="paragraph" w:customStyle="1" w:styleId="832">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qFormat/>
    <w:uiPriority w:val="0"/>
    <w:pPr>
      <w:adjustRightInd/>
      <w:ind w:firstLine="200"/>
    </w:pPr>
    <w:rPr>
      <w:rFonts w:ascii="Tahoma" w:hAnsi="Tahoma"/>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qFormat/>
    <w:uiPriority w:val="2"/>
    <w:pPr>
      <w:adjustRightInd/>
    </w:pPr>
    <w:rPr>
      <w:rFonts w:cs="宋体"/>
      <w:szCs w:val="20"/>
    </w:rPr>
  </w:style>
  <w:style w:type="paragraph" w:customStyle="1" w:styleId="840">
    <w:name w:val="Char Char Char Char Char Char Char Char Char Char Char Char1 Char"/>
    <w:basedOn w:val="1"/>
    <w:qFormat/>
    <w:uiPriority w:val="0"/>
    <w:rPr>
      <w:rFonts w:ascii="Tahoma" w:hAnsi="Tahoma" w:cs="仿宋_GB2312"/>
      <w:szCs w:val="20"/>
    </w:rPr>
  </w:style>
  <w:style w:type="paragraph" w:customStyle="1" w:styleId="841">
    <w:name w:val="正文1"/>
    <w:basedOn w:val="33"/>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0">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qFormat/>
    <w:uiPriority w:val="0"/>
    <w:pPr>
      <w:ind w:firstLine="200"/>
    </w:pPr>
    <w:rPr>
      <w:rFonts w:eastAsia="楷体_GB2312" w:cs="Lucida Sans"/>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rPr>
  </w:style>
  <w:style w:type="paragraph" w:customStyle="1" w:styleId="864">
    <w:name w:val="Char Char110"/>
    <w:basedOn w:val="1"/>
    <w:qFormat/>
    <w:uiPriority w:val="6"/>
    <w:rPr>
      <w:rFonts w:ascii="Tahoma" w:hAnsi="Tahoma"/>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Cs w:val="20"/>
    </w:rPr>
  </w:style>
  <w:style w:type="paragraph" w:customStyle="1" w:styleId="870">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pPr>
    <w:rPr>
      <w:rFonts w:ascii="Tahoma" w:hAnsi="Tahoma"/>
      <w:szCs w:val="20"/>
    </w:rPr>
  </w:style>
  <w:style w:type="paragraph" w:customStyle="1" w:styleId="874">
    <w:name w:val="_Style 12"/>
    <w:basedOn w:val="18"/>
    <w:qFormat/>
    <w:uiPriority w:val="0"/>
  </w:style>
  <w:style w:type="paragraph" w:customStyle="1" w:styleId="875">
    <w:name w:val="样式 首行缩进:  0 字符"/>
    <w:basedOn w:val="1"/>
    <w:qFormat/>
    <w:uiPriority w:val="0"/>
    <w:pPr>
      <w:adjustRightInd/>
      <w:ind w:firstLine="200"/>
    </w:pPr>
    <w:rPr>
      <w:rFonts w:ascii="Arial" w:hAnsi="Arial" w:cs="宋体"/>
      <w:szCs w:val="20"/>
    </w:rPr>
  </w:style>
  <w:style w:type="paragraph" w:customStyle="1" w:styleId="876">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qFormat/>
    <w:uiPriority w:val="34"/>
    <w:pPr>
      <w:adjustRightInd/>
      <w:ind w:firstLine="200"/>
    </w:pPr>
    <w:rPr>
      <w:rFonts w:ascii="Calibri" w:hAnsi="Calibri"/>
      <w:sz w:val="28"/>
      <w:szCs w:val="20"/>
    </w:rPr>
  </w:style>
  <w:style w:type="paragraph" w:customStyle="1" w:styleId="878">
    <w:name w:val="方案正文"/>
    <w:basedOn w:val="1"/>
    <w:qFormat/>
    <w:uiPriority w:val="0"/>
    <w:pPr>
      <w:spacing w:line="324" w:lineRule="auto"/>
    </w:pPr>
    <w:rPr>
      <w:rFonts w:ascii="仿宋_GB2312" w:eastAsia="仿宋_GB2312"/>
      <w:b/>
      <w:color w:val="000000"/>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ind w:firstLine="200"/>
      <w:jc w:val="left"/>
    </w:pPr>
    <w:rPr>
      <w:rFonts w:ascii="仿宋" w:hAnsi="Calibri" w:eastAsia="仿宋"/>
      <w:kern w:val="0"/>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pPr>
    <w:rPr>
      <w:rFonts w:ascii="Tahoma" w:hAnsi="Tahoma"/>
      <w:szCs w:val="20"/>
    </w:rPr>
  </w:style>
  <w:style w:type="paragraph" w:customStyle="1" w:styleId="884">
    <w:name w:val="GP正文(首行缩进)"/>
    <w:basedOn w:val="1"/>
    <w:qFormat/>
    <w:uiPriority w:val="0"/>
    <w:pPr>
      <w:adjustRightInd/>
      <w:ind w:firstLine="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2"/>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ind w:left="200" w:leftChars="200" w:firstLine="200"/>
    </w:p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qFormat/>
    <w:uiPriority w:val="0"/>
    <w:pPr>
      <w:widowControl/>
    </w:pPr>
    <w:rPr>
      <w:kern w:val="0"/>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pPr>
    <w:rPr>
      <w:rFonts w:ascii="仿宋_GB2312" w:hAnsi="仿宋" w:eastAsia="仿宋_GB2312"/>
    </w:rPr>
  </w:style>
  <w:style w:type="paragraph" w:customStyle="1" w:styleId="908">
    <w:name w:val="_Style 8"/>
    <w:basedOn w:val="1"/>
    <w:qFormat/>
    <w:uiPriority w:val="34"/>
    <w:pPr>
      <w:adjustRightInd/>
      <w:ind w:firstLine="42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ind w:firstLine="420"/>
    </w:pPr>
    <w:rPr>
      <w:rFonts w:cs="宋体"/>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ind w:firstLine="480"/>
    </w:p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ind w:firstLine="480"/>
    </w:pPr>
    <w:rPr>
      <w:rFonts w:cs="宋体"/>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4"/>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qFormat/>
    <w:uiPriority w:val="0"/>
  </w:style>
  <w:style w:type="paragraph" w:customStyle="1" w:styleId="967">
    <w:name w:val="无间隔3"/>
    <w:basedOn w:val="1"/>
    <w:qFormat/>
    <w:uiPriority w:val="0"/>
    <w:pPr>
      <w:spacing w:line="240" w:lineRule="auto"/>
      <w:jc w:val="center"/>
      <w:outlineLvl w:val="0"/>
    </w:pPr>
    <w:rPr>
      <w:rFonts w:hint="eastAsia" w:ascii="宋体" w:hAnsi="宋体" w:cs="宋体"/>
      <w:bCs/>
    </w:rPr>
  </w:style>
  <w:style w:type="character" w:customStyle="1" w:styleId="968">
    <w:name w:val="NormalCharacter"/>
    <w:qFormat/>
    <w:uiPriority w:val="0"/>
  </w:style>
  <w:style w:type="paragraph" w:customStyle="1" w:styleId="969">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0">
    <w:name w:val="Revision"/>
    <w:hidden/>
    <w:semiHidden/>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33909</Words>
  <Characters>35957</Characters>
  <Lines>1729</Lines>
  <Paragraphs>1611</Paragraphs>
  <TotalTime>10</TotalTime>
  <ScaleCrop>false</ScaleCrop>
  <LinksUpToDate>false</LinksUpToDate>
  <CharactersWithSpaces>41334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2024-09-09T02:08:00Z</cp:lastPrinted>
  <dcterms:modified xsi:type="dcterms:W3CDTF">2024-09-14T07:29:25Z</dcterms:modified>
  <dc:title>杭州市市民卡扩大发卡工程</dc:title>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D3BD7D000C6840DAB70F1A24E5D32E83</vt:lpwstr>
  </property>
</Properties>
</file>