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1EBF0">
      <w:pPr>
        <w:spacing w:line="360" w:lineRule="auto"/>
        <w:jc w:val="center"/>
        <w:rPr>
          <w:rFonts w:hint="eastAsia" w:ascii="仿宋" w:hAnsi="仿宋" w:eastAsia="仿宋" w:cs="仿宋"/>
          <w:b/>
          <w:color w:val="auto"/>
          <w:sz w:val="24"/>
          <w:highlight w:val="none"/>
        </w:rPr>
      </w:pPr>
    </w:p>
    <w:p w14:paraId="32212012">
      <w:pPr>
        <w:spacing w:line="360" w:lineRule="auto"/>
        <w:jc w:val="center"/>
        <w:rPr>
          <w:rFonts w:hint="eastAsia" w:ascii="仿宋" w:hAnsi="仿宋" w:eastAsia="仿宋" w:cs="仿宋"/>
          <w:b/>
          <w:color w:val="auto"/>
          <w:sz w:val="24"/>
          <w:highlight w:val="none"/>
        </w:rPr>
      </w:pPr>
    </w:p>
    <w:p w14:paraId="68223F30">
      <w:pPr>
        <w:spacing w:line="360" w:lineRule="auto"/>
        <w:jc w:val="center"/>
        <w:rPr>
          <w:rFonts w:hint="eastAsia" w:ascii="仿宋" w:hAnsi="仿宋" w:eastAsia="仿宋" w:cs="仿宋"/>
          <w:b/>
          <w:color w:val="auto"/>
          <w:sz w:val="44"/>
          <w:szCs w:val="44"/>
          <w:highlight w:val="none"/>
        </w:rPr>
      </w:pPr>
    </w:p>
    <w:p w14:paraId="1B49DB4E">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lang w:eastAsia="zh-CN"/>
        </w:rPr>
        <w:t>杭州市拱墅区人民政府潮鸣街道办</w:t>
      </w:r>
      <w:bookmarkStart w:id="407" w:name="_GoBack"/>
      <w:bookmarkEnd w:id="407"/>
      <w:r>
        <w:rPr>
          <w:rFonts w:hint="eastAsia" w:ascii="仿宋" w:hAnsi="仿宋" w:eastAsia="仿宋" w:cs="仿宋"/>
          <w:b/>
          <w:bCs/>
          <w:color w:val="auto"/>
          <w:sz w:val="52"/>
          <w:szCs w:val="52"/>
          <w:highlight w:val="none"/>
          <w:lang w:eastAsia="zh-CN"/>
        </w:rPr>
        <w:t>事处2025年特保服务项目</w:t>
      </w:r>
    </w:p>
    <w:p w14:paraId="52C8AE0A">
      <w:pPr>
        <w:adjustRightInd/>
        <w:spacing w:line="360" w:lineRule="auto"/>
        <w:jc w:val="center"/>
        <w:rPr>
          <w:rFonts w:hint="eastAsia" w:ascii="仿宋" w:hAnsi="仿宋" w:eastAsia="仿宋" w:cs="仿宋"/>
          <w:b/>
          <w:bCs/>
          <w:color w:val="auto"/>
          <w:sz w:val="52"/>
          <w:szCs w:val="52"/>
          <w:highlight w:val="none"/>
        </w:rPr>
      </w:pPr>
    </w:p>
    <w:p w14:paraId="561368A6">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 xml:space="preserve">招标文件 </w:t>
      </w:r>
    </w:p>
    <w:p w14:paraId="4D9CAB8D">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4D6A07FB">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13C49B84">
      <w:pPr>
        <w:snapToGrid w:val="0"/>
        <w:spacing w:line="360" w:lineRule="auto"/>
        <w:jc w:val="center"/>
        <w:rPr>
          <w:rFonts w:hint="eastAsia" w:ascii="仿宋" w:hAnsi="仿宋" w:eastAsia="仿宋" w:cs="仿宋"/>
          <w:color w:val="auto"/>
          <w:sz w:val="30"/>
          <w:szCs w:val="30"/>
          <w:highlight w:val="none"/>
        </w:rPr>
      </w:pPr>
    </w:p>
    <w:p w14:paraId="6EF4B8E5">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CMJD-ZJHY-20241202</w:t>
      </w:r>
    </w:p>
    <w:p w14:paraId="41CEB0DD">
      <w:pPr>
        <w:adjustRightInd/>
        <w:spacing w:line="360" w:lineRule="auto"/>
        <w:rPr>
          <w:rFonts w:hint="eastAsia" w:ascii="仿宋" w:hAnsi="仿宋" w:eastAsia="仿宋" w:cs="仿宋"/>
          <w:color w:val="auto"/>
          <w:sz w:val="28"/>
          <w:szCs w:val="20"/>
          <w:highlight w:val="none"/>
        </w:rPr>
      </w:pPr>
    </w:p>
    <w:p w14:paraId="516FD479">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5EBF25D">
      <w:pPr>
        <w:pStyle w:val="12"/>
        <w:rPr>
          <w:rFonts w:hint="eastAsia" w:ascii="仿宋" w:hAnsi="仿宋" w:eastAsia="仿宋" w:cs="仿宋"/>
          <w:b/>
          <w:color w:val="auto"/>
          <w:sz w:val="44"/>
          <w:szCs w:val="44"/>
          <w:highlight w:val="none"/>
        </w:rPr>
      </w:pPr>
    </w:p>
    <w:p w14:paraId="32F01FB8">
      <w:pPr>
        <w:spacing w:line="360" w:lineRule="auto"/>
        <w:jc w:val="both"/>
        <w:rPr>
          <w:rFonts w:hint="eastAsia" w:ascii="仿宋" w:hAnsi="仿宋" w:eastAsia="仿宋" w:cs="仿宋"/>
          <w:color w:val="auto"/>
          <w:sz w:val="24"/>
          <w:highlight w:val="none"/>
        </w:rPr>
      </w:pPr>
    </w:p>
    <w:tbl>
      <w:tblPr>
        <w:tblStyle w:val="13"/>
        <w:tblW w:w="0" w:type="auto"/>
        <w:tblInd w:w="837" w:type="dxa"/>
        <w:tblLayout w:type="fixed"/>
        <w:tblCellMar>
          <w:top w:w="0" w:type="dxa"/>
          <w:left w:w="108" w:type="dxa"/>
          <w:bottom w:w="0" w:type="dxa"/>
          <w:right w:w="108" w:type="dxa"/>
        </w:tblCellMar>
      </w:tblPr>
      <w:tblGrid>
        <w:gridCol w:w="2337"/>
        <w:gridCol w:w="5663"/>
      </w:tblGrid>
      <w:tr w14:paraId="604B08C5">
        <w:tblPrEx>
          <w:tblCellMar>
            <w:top w:w="0" w:type="dxa"/>
            <w:left w:w="108" w:type="dxa"/>
            <w:bottom w:w="0" w:type="dxa"/>
            <w:right w:w="108" w:type="dxa"/>
          </w:tblCellMar>
        </w:tblPrEx>
        <w:tc>
          <w:tcPr>
            <w:tcW w:w="2337" w:type="dxa"/>
            <w:noWrap w:val="0"/>
            <w:vAlign w:val="top"/>
          </w:tcPr>
          <w:p w14:paraId="00C3AAC4">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购</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人：</w:t>
            </w:r>
          </w:p>
        </w:tc>
        <w:tc>
          <w:tcPr>
            <w:tcW w:w="5663" w:type="dxa"/>
            <w:noWrap w:val="0"/>
            <w:vAlign w:val="top"/>
          </w:tcPr>
          <w:p w14:paraId="73B30828">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杭州市拱墅区人民政府潮鸣街道办事处</w:t>
            </w:r>
          </w:p>
        </w:tc>
      </w:tr>
      <w:tr w14:paraId="389B9385">
        <w:tblPrEx>
          <w:tblCellMar>
            <w:top w:w="0" w:type="dxa"/>
            <w:left w:w="108" w:type="dxa"/>
            <w:bottom w:w="0" w:type="dxa"/>
            <w:right w:w="108" w:type="dxa"/>
          </w:tblCellMar>
        </w:tblPrEx>
        <w:tc>
          <w:tcPr>
            <w:tcW w:w="2337" w:type="dxa"/>
            <w:noWrap w:val="0"/>
            <w:vAlign w:val="top"/>
          </w:tcPr>
          <w:p w14:paraId="53E580A6">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采购代理机构：</w:t>
            </w:r>
          </w:p>
        </w:tc>
        <w:tc>
          <w:tcPr>
            <w:tcW w:w="5663" w:type="dxa"/>
            <w:noWrap w:val="0"/>
            <w:vAlign w:val="top"/>
          </w:tcPr>
          <w:p w14:paraId="64E8542D">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浙江华耀建设咨询有限公司</w:t>
            </w:r>
          </w:p>
        </w:tc>
      </w:tr>
      <w:tr w14:paraId="16A91F3F">
        <w:tblPrEx>
          <w:tblCellMar>
            <w:top w:w="0" w:type="dxa"/>
            <w:left w:w="108" w:type="dxa"/>
            <w:bottom w:w="0" w:type="dxa"/>
            <w:right w:w="108" w:type="dxa"/>
          </w:tblCellMar>
        </w:tblPrEx>
        <w:tc>
          <w:tcPr>
            <w:tcW w:w="2337" w:type="dxa"/>
            <w:noWrap w:val="0"/>
            <w:vAlign w:val="top"/>
          </w:tcPr>
          <w:p w14:paraId="53E2299B">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日</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期：</w:t>
            </w:r>
          </w:p>
        </w:tc>
        <w:tc>
          <w:tcPr>
            <w:tcW w:w="5663" w:type="dxa"/>
            <w:noWrap w:val="0"/>
            <w:vAlign w:val="top"/>
          </w:tcPr>
          <w:p w14:paraId="541D6031">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月</w:t>
            </w:r>
          </w:p>
        </w:tc>
      </w:tr>
    </w:tbl>
    <w:p w14:paraId="5719609D">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46239B56">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1DFCAE0">
      <w:pPr>
        <w:spacing w:line="360" w:lineRule="auto"/>
        <w:rPr>
          <w:rFonts w:hint="eastAsia" w:ascii="仿宋" w:hAnsi="仿宋" w:eastAsia="仿宋" w:cs="仿宋"/>
          <w:color w:val="auto"/>
          <w:sz w:val="32"/>
          <w:szCs w:val="32"/>
          <w:highlight w:val="none"/>
        </w:rPr>
      </w:pPr>
    </w:p>
    <w:p w14:paraId="7D9EA0E6">
      <w:pPr>
        <w:spacing w:line="360" w:lineRule="auto"/>
        <w:rPr>
          <w:rFonts w:hint="eastAsia" w:ascii="仿宋" w:hAnsi="仿宋" w:eastAsia="仿宋" w:cs="仿宋"/>
          <w:color w:val="auto"/>
          <w:sz w:val="32"/>
          <w:szCs w:val="32"/>
          <w:highlight w:val="none"/>
        </w:rPr>
      </w:pPr>
    </w:p>
    <w:p w14:paraId="3CFC3E7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2707B85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45FA5A8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49CF49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CAFFDF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962F7E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E743C38">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255628FC">
      <w:pPr>
        <w:spacing w:line="360" w:lineRule="auto"/>
        <w:ind w:firstLine="549" w:firstLineChars="229"/>
        <w:rPr>
          <w:rFonts w:hint="eastAsia" w:ascii="仿宋" w:hAnsi="仿宋" w:eastAsia="仿宋" w:cs="仿宋"/>
          <w:color w:val="auto"/>
          <w:sz w:val="24"/>
          <w:highlight w:val="none"/>
        </w:rPr>
      </w:pPr>
    </w:p>
    <w:p w14:paraId="44B3975E">
      <w:pPr>
        <w:spacing w:line="360" w:lineRule="auto"/>
        <w:ind w:firstLine="549" w:firstLineChars="229"/>
        <w:rPr>
          <w:rFonts w:hint="eastAsia" w:ascii="仿宋" w:hAnsi="仿宋" w:eastAsia="仿宋" w:cs="仿宋"/>
          <w:color w:val="auto"/>
          <w:sz w:val="24"/>
          <w:highlight w:val="none"/>
        </w:rPr>
      </w:pPr>
    </w:p>
    <w:p w14:paraId="5C29EB16">
      <w:pPr>
        <w:spacing w:line="360" w:lineRule="auto"/>
        <w:ind w:firstLine="549" w:firstLineChars="229"/>
        <w:rPr>
          <w:rFonts w:hint="eastAsia" w:ascii="仿宋" w:hAnsi="仿宋" w:eastAsia="仿宋" w:cs="仿宋"/>
          <w:color w:val="auto"/>
          <w:sz w:val="24"/>
          <w:highlight w:val="none"/>
        </w:rPr>
      </w:pPr>
    </w:p>
    <w:p w14:paraId="64209EB3">
      <w:pPr>
        <w:spacing w:line="360" w:lineRule="auto"/>
        <w:ind w:firstLine="549" w:firstLineChars="229"/>
        <w:rPr>
          <w:rFonts w:hint="eastAsia" w:ascii="仿宋" w:hAnsi="仿宋" w:eastAsia="仿宋" w:cs="仿宋"/>
          <w:color w:val="auto"/>
          <w:sz w:val="24"/>
          <w:highlight w:val="none"/>
        </w:rPr>
      </w:pPr>
    </w:p>
    <w:p w14:paraId="7099FB68">
      <w:pPr>
        <w:spacing w:line="360" w:lineRule="auto"/>
        <w:ind w:firstLine="549" w:firstLineChars="229"/>
        <w:rPr>
          <w:rFonts w:hint="eastAsia" w:ascii="仿宋" w:hAnsi="仿宋" w:eastAsia="仿宋" w:cs="仿宋"/>
          <w:color w:val="auto"/>
          <w:sz w:val="24"/>
          <w:highlight w:val="none"/>
        </w:rPr>
      </w:pPr>
    </w:p>
    <w:p w14:paraId="0B57D31C">
      <w:pPr>
        <w:spacing w:line="360" w:lineRule="auto"/>
        <w:ind w:firstLine="549" w:firstLineChars="229"/>
        <w:rPr>
          <w:rFonts w:hint="eastAsia" w:ascii="仿宋" w:hAnsi="仿宋" w:eastAsia="仿宋" w:cs="仿宋"/>
          <w:color w:val="auto"/>
          <w:sz w:val="24"/>
          <w:highlight w:val="none"/>
        </w:rPr>
      </w:pPr>
    </w:p>
    <w:p w14:paraId="3E5A9D48">
      <w:pPr>
        <w:spacing w:line="360" w:lineRule="auto"/>
        <w:ind w:firstLine="549" w:firstLineChars="229"/>
        <w:rPr>
          <w:rFonts w:hint="eastAsia" w:ascii="仿宋" w:hAnsi="仿宋" w:eastAsia="仿宋" w:cs="仿宋"/>
          <w:color w:val="auto"/>
          <w:sz w:val="24"/>
          <w:highlight w:val="none"/>
        </w:rPr>
      </w:pPr>
    </w:p>
    <w:p w14:paraId="697AF98C">
      <w:pPr>
        <w:spacing w:line="360" w:lineRule="auto"/>
        <w:ind w:firstLine="549" w:firstLineChars="229"/>
        <w:rPr>
          <w:rFonts w:hint="eastAsia" w:ascii="仿宋" w:hAnsi="仿宋" w:eastAsia="仿宋" w:cs="仿宋"/>
          <w:color w:val="auto"/>
          <w:sz w:val="24"/>
          <w:highlight w:val="none"/>
        </w:rPr>
      </w:pPr>
    </w:p>
    <w:p w14:paraId="2BA7D4D0">
      <w:pPr>
        <w:spacing w:line="360" w:lineRule="auto"/>
        <w:ind w:firstLine="549" w:firstLineChars="229"/>
        <w:rPr>
          <w:rFonts w:hint="eastAsia" w:ascii="仿宋" w:hAnsi="仿宋" w:eastAsia="仿宋" w:cs="仿宋"/>
          <w:color w:val="auto"/>
          <w:sz w:val="24"/>
          <w:highlight w:val="none"/>
        </w:rPr>
      </w:pPr>
    </w:p>
    <w:p w14:paraId="677A8D7A">
      <w:pPr>
        <w:spacing w:line="360" w:lineRule="auto"/>
        <w:ind w:firstLine="549" w:firstLineChars="229"/>
        <w:rPr>
          <w:rFonts w:hint="eastAsia" w:ascii="仿宋" w:hAnsi="仿宋" w:eastAsia="仿宋" w:cs="仿宋"/>
          <w:color w:val="auto"/>
          <w:sz w:val="24"/>
          <w:highlight w:val="none"/>
        </w:rPr>
      </w:pPr>
    </w:p>
    <w:p w14:paraId="340DCC58">
      <w:pPr>
        <w:spacing w:line="360" w:lineRule="auto"/>
        <w:ind w:firstLine="549" w:firstLineChars="229"/>
        <w:rPr>
          <w:rFonts w:hint="eastAsia" w:ascii="仿宋" w:hAnsi="仿宋" w:eastAsia="仿宋" w:cs="仿宋"/>
          <w:color w:val="auto"/>
          <w:sz w:val="24"/>
          <w:highlight w:val="none"/>
        </w:rPr>
      </w:pPr>
    </w:p>
    <w:p w14:paraId="3A140E9B">
      <w:pPr>
        <w:spacing w:line="360" w:lineRule="auto"/>
        <w:ind w:firstLine="549" w:firstLineChars="229"/>
        <w:rPr>
          <w:rFonts w:hint="eastAsia" w:ascii="仿宋" w:hAnsi="仿宋" w:eastAsia="仿宋" w:cs="仿宋"/>
          <w:color w:val="auto"/>
          <w:sz w:val="24"/>
          <w:highlight w:val="none"/>
        </w:rPr>
      </w:pPr>
    </w:p>
    <w:p w14:paraId="2FC22BB1">
      <w:pPr>
        <w:spacing w:line="360" w:lineRule="auto"/>
        <w:rPr>
          <w:rFonts w:hint="eastAsia" w:ascii="仿宋" w:hAnsi="仿宋" w:eastAsia="仿宋" w:cs="仿宋"/>
          <w:color w:val="auto"/>
          <w:sz w:val="24"/>
          <w:highlight w:val="none"/>
        </w:rPr>
      </w:pPr>
    </w:p>
    <w:p w14:paraId="6616BC9A">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14:paraId="06F3BF5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2B4E04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杭州市拱墅区人民政府潮鸣街道办事处2025年特保服务项目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17"/>
          <w:rFonts w:hint="eastAsia" w:ascii="仿宋" w:hAnsi="仿宋" w:eastAsia="仿宋" w:cs="仿宋"/>
          <w:snapToGrid/>
          <w:color w:val="auto"/>
          <w:kern w:val="2"/>
          <w:sz w:val="24"/>
          <w:szCs w:val="24"/>
          <w:highlight w:val="none"/>
        </w:rPr>
        <w:t>https://www.zcygov.cn/）获取（下载）招标文件，并于202</w:t>
      </w:r>
      <w:r>
        <w:rPr>
          <w:rStyle w:val="17"/>
          <w:rFonts w:hint="eastAsia" w:ascii="仿宋" w:hAnsi="仿宋" w:eastAsia="仿宋" w:cs="仿宋"/>
          <w:snapToGrid/>
          <w:color w:val="auto"/>
          <w:kern w:val="2"/>
          <w:sz w:val="24"/>
          <w:szCs w:val="24"/>
          <w:highlight w:val="none"/>
          <w:lang w:val="en-US" w:eastAsia="zh-CN"/>
        </w:rPr>
        <w:t>5</w:t>
      </w:r>
      <w:r>
        <w:rPr>
          <w:rStyle w:val="17"/>
          <w:rFonts w:hint="eastAsia" w:ascii="仿宋" w:hAnsi="仿宋" w:eastAsia="仿宋" w:cs="仿宋"/>
          <w:snapToGrid/>
          <w:color w:val="auto"/>
          <w:kern w:val="2"/>
          <w:sz w:val="24"/>
          <w:szCs w:val="24"/>
          <w:highlight w:val="none"/>
        </w:rPr>
        <w:t>年</w:t>
      </w:r>
      <w:r>
        <w:rPr>
          <w:rStyle w:val="17"/>
          <w:rFonts w:hint="eastAsia" w:ascii="仿宋" w:hAnsi="仿宋" w:eastAsia="仿宋" w:cs="仿宋"/>
          <w:snapToGrid/>
          <w:color w:val="auto"/>
          <w:kern w:val="2"/>
          <w:sz w:val="24"/>
          <w:szCs w:val="24"/>
          <w:highlight w:val="none"/>
          <w:lang w:val="en-US" w:eastAsia="zh-CN"/>
        </w:rPr>
        <w:t>1</w:t>
      </w:r>
      <w:r>
        <w:rPr>
          <w:rStyle w:val="17"/>
          <w:rFonts w:hint="eastAsia" w:ascii="仿宋" w:hAnsi="仿宋" w:eastAsia="仿宋" w:cs="仿宋"/>
          <w:snapToGrid/>
          <w:color w:val="auto"/>
          <w:kern w:val="2"/>
          <w:sz w:val="24"/>
          <w:szCs w:val="24"/>
          <w:highlight w:val="none"/>
        </w:rPr>
        <w:t>月</w:t>
      </w:r>
      <w:r>
        <w:rPr>
          <w:rStyle w:val="17"/>
          <w:rFonts w:hint="eastAsia" w:ascii="仿宋" w:hAnsi="仿宋" w:eastAsia="仿宋" w:cs="仿宋"/>
          <w:snapToGrid/>
          <w:color w:val="auto"/>
          <w:kern w:val="2"/>
          <w:sz w:val="24"/>
          <w:szCs w:val="24"/>
          <w:highlight w:val="none"/>
          <w:lang w:val="en-US" w:eastAsia="zh-CN"/>
        </w:rPr>
        <w:t>10</w:t>
      </w:r>
      <w:r>
        <w:rPr>
          <w:rStyle w:val="17"/>
          <w:rFonts w:hint="eastAsia" w:ascii="仿宋" w:hAnsi="仿宋" w:eastAsia="仿宋" w:cs="仿宋"/>
          <w:snapToGrid/>
          <w:color w:val="auto"/>
          <w:kern w:val="2"/>
          <w:sz w:val="24"/>
          <w:szCs w:val="24"/>
          <w:highlight w:val="none"/>
        </w:rPr>
        <w:t>日</w:t>
      </w:r>
      <w:r>
        <w:rPr>
          <w:rStyle w:val="17"/>
          <w:rFonts w:hint="eastAsia" w:ascii="仿宋" w:hAnsi="仿宋" w:eastAsia="仿宋" w:cs="仿宋"/>
          <w:snapToGrid/>
          <w:color w:val="auto"/>
          <w:kern w:val="2"/>
          <w:sz w:val="24"/>
          <w:szCs w:val="24"/>
          <w:highlight w:val="none"/>
          <w:lang w:val="en-US" w:eastAsia="zh-CN"/>
        </w:rPr>
        <w:t>9</w:t>
      </w:r>
      <w:r>
        <w:rPr>
          <w:rStyle w:val="17"/>
          <w:rFonts w:hint="eastAsia" w:ascii="仿宋" w:hAnsi="仿宋" w:eastAsia="仿宋" w:cs="仿宋"/>
          <w:snapToGrid/>
          <w:color w:val="auto"/>
          <w:kern w:val="2"/>
          <w:sz w:val="24"/>
          <w:szCs w:val="24"/>
          <w:highlight w:val="none"/>
        </w:rPr>
        <w:t>点</w:t>
      </w:r>
      <w:r>
        <w:rPr>
          <w:rStyle w:val="17"/>
          <w:rFonts w:hint="eastAsia" w:ascii="仿宋" w:hAnsi="仿宋" w:eastAsia="仿宋" w:cs="仿宋"/>
          <w:snapToGrid/>
          <w:color w:val="auto"/>
          <w:kern w:val="2"/>
          <w:sz w:val="24"/>
          <w:szCs w:val="24"/>
          <w:highlight w:val="none"/>
          <w:lang w:val="en-US" w:eastAsia="zh-CN"/>
        </w:rPr>
        <w:t>30</w:t>
      </w:r>
      <w:r>
        <w:rPr>
          <w:rStyle w:val="17"/>
          <w:rFonts w:hint="eastAsia" w:ascii="仿宋" w:hAnsi="仿宋" w:eastAsia="仿宋" w:cs="仿宋"/>
          <w:snapToGrid/>
          <w:color w:val="auto"/>
          <w:kern w:val="2"/>
          <w:sz w:val="24"/>
          <w:szCs w:val="24"/>
          <w:highlight w:val="none"/>
        </w:rPr>
        <w:t>分</w:t>
      </w:r>
      <w:r>
        <w:rPr>
          <w:rStyle w:val="17"/>
          <w:rFonts w:hint="eastAsia" w:ascii="仿宋" w:hAnsi="仿宋" w:eastAsia="仿宋" w:cs="仿宋"/>
          <w:bCs/>
          <w:snapToGrid/>
          <w:color w:val="auto"/>
          <w:kern w:val="2"/>
          <w:sz w:val="24"/>
          <w:szCs w:val="24"/>
          <w:highlight w:val="none"/>
        </w:rPr>
        <w:t>00秒</w:t>
      </w:r>
      <w:r>
        <w:rPr>
          <w:rStyle w:val="1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B463B2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05BB649">
      <w:pPr>
        <w:pStyle w:val="5"/>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项目编号：</w:t>
      </w:r>
      <w:r>
        <w:rPr>
          <w:rFonts w:hint="eastAsia" w:ascii="仿宋" w:hAnsi="仿宋" w:eastAsia="仿宋" w:cs="仿宋"/>
          <w:snapToGrid/>
          <w:color w:val="auto"/>
          <w:kern w:val="2"/>
          <w:sz w:val="24"/>
          <w:szCs w:val="24"/>
          <w:highlight w:val="none"/>
          <w:lang w:val="zh-TW" w:eastAsia="zh-CN"/>
        </w:rPr>
        <w:t>CMJD-ZJHY-20241202</w:t>
      </w:r>
    </w:p>
    <w:p w14:paraId="34235D13">
      <w:pPr>
        <w:pStyle w:val="5"/>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项目名称：</w:t>
      </w:r>
      <w:r>
        <w:rPr>
          <w:rFonts w:hint="eastAsia" w:ascii="仿宋" w:hAnsi="仿宋" w:eastAsia="仿宋" w:cs="仿宋"/>
          <w:snapToGrid/>
          <w:color w:val="auto"/>
          <w:kern w:val="2"/>
          <w:sz w:val="24"/>
          <w:szCs w:val="24"/>
          <w:highlight w:val="none"/>
          <w:lang w:eastAsia="zh-CN"/>
        </w:rPr>
        <w:t>杭州市拱墅区人民政府潮鸣街道办事处2025年特保服务项目</w:t>
      </w:r>
    </w:p>
    <w:p w14:paraId="0BEF6644">
      <w:pPr>
        <w:pStyle w:val="5"/>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3360000</w:t>
      </w:r>
    </w:p>
    <w:p w14:paraId="019CE594">
      <w:pPr>
        <w:pStyle w:val="5"/>
        <w:spacing w:line="360" w:lineRule="auto"/>
        <w:ind w:firstLine="480"/>
        <w:rPr>
          <w:rFonts w:hint="default" w:ascii="仿宋" w:hAnsi="仿宋" w:eastAsia="仿宋" w:cs="仿宋"/>
          <w:snapToGrid/>
          <w:color w:val="auto"/>
          <w:kern w:val="2"/>
          <w:sz w:val="24"/>
          <w:szCs w:val="24"/>
          <w:highlight w:val="none"/>
          <w:lang w:val="en-US"/>
        </w:rPr>
      </w:pPr>
      <w:r>
        <w:rPr>
          <w:rFonts w:hint="eastAsia" w:ascii="仿宋" w:hAnsi="仿宋" w:eastAsia="仿宋" w:cs="仿宋"/>
          <w:snapToGrid/>
          <w:color w:val="auto"/>
          <w:kern w:val="2"/>
          <w:sz w:val="24"/>
          <w:szCs w:val="24"/>
          <w:highlight w:val="none"/>
        </w:rPr>
        <w:t>最高限价（元）：</w:t>
      </w:r>
      <w:r>
        <w:rPr>
          <w:rFonts w:hint="eastAsia" w:ascii="仿宋" w:hAnsi="仿宋" w:eastAsia="仿宋" w:cs="仿宋"/>
          <w:snapToGrid/>
          <w:color w:val="auto"/>
          <w:kern w:val="2"/>
          <w:sz w:val="24"/>
          <w:szCs w:val="24"/>
          <w:highlight w:val="none"/>
          <w:lang w:val="en-US" w:eastAsia="zh-CN"/>
        </w:rPr>
        <w:t>1008000</w:t>
      </w:r>
      <w:r>
        <w:rPr>
          <w:rFonts w:hint="eastAsia" w:ascii="仿宋" w:hAnsi="仿宋" w:eastAsia="仿宋" w:cs="仿宋"/>
          <w:snapToGrid/>
          <w:color w:val="auto"/>
          <w:kern w:val="2"/>
          <w:sz w:val="24"/>
          <w:szCs w:val="24"/>
          <w:highlight w:val="none"/>
          <w:lang w:eastAsia="zh-CN"/>
        </w:rPr>
        <w:t>，</w:t>
      </w:r>
      <w:r>
        <w:rPr>
          <w:rFonts w:hint="eastAsia" w:ascii="仿宋" w:hAnsi="仿宋" w:eastAsia="仿宋" w:cs="仿宋"/>
          <w:snapToGrid/>
          <w:color w:val="auto"/>
          <w:kern w:val="2"/>
          <w:sz w:val="24"/>
          <w:szCs w:val="24"/>
          <w:highlight w:val="none"/>
          <w:lang w:val="en-US" w:eastAsia="zh-CN"/>
        </w:rPr>
        <w:t>2352000</w:t>
      </w:r>
    </w:p>
    <w:p w14:paraId="422931D4">
      <w:pPr>
        <w:pStyle w:val="5"/>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采购需求：</w:t>
      </w:r>
    </w:p>
    <w:p w14:paraId="70793FCA">
      <w:pPr>
        <w:pStyle w:val="5"/>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标项一：</w:t>
      </w:r>
      <w:r>
        <w:rPr>
          <w:rFonts w:hint="eastAsia" w:ascii="仿宋" w:hAnsi="仿宋" w:eastAsia="仿宋" w:cs="仿宋"/>
          <w:snapToGrid/>
          <w:color w:val="auto"/>
          <w:kern w:val="2"/>
          <w:sz w:val="24"/>
          <w:szCs w:val="24"/>
          <w:highlight w:val="none"/>
          <w:lang w:eastAsia="zh-CN"/>
        </w:rPr>
        <w:t>潮鸣街道2025年平安综合治理协助项目</w:t>
      </w:r>
    </w:p>
    <w:p w14:paraId="5B9B29D7">
      <w:pPr>
        <w:pStyle w:val="5"/>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数量：1</w:t>
      </w:r>
    </w:p>
    <w:p w14:paraId="1A5123CD">
      <w:pPr>
        <w:pStyle w:val="5"/>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1008000</w:t>
      </w:r>
    </w:p>
    <w:p w14:paraId="13257606">
      <w:pPr>
        <w:pStyle w:val="5"/>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简要规格描述或项目基本概况介绍、用途：详见招标文件第三部分“采购需求”。</w:t>
      </w:r>
    </w:p>
    <w:p w14:paraId="7F54681B">
      <w:pPr>
        <w:pStyle w:val="5"/>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备注：</w:t>
      </w:r>
    </w:p>
    <w:p w14:paraId="41A38DE6">
      <w:pPr>
        <w:pStyle w:val="5"/>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标项二：</w:t>
      </w:r>
      <w:r>
        <w:rPr>
          <w:rFonts w:hint="eastAsia" w:ascii="仿宋" w:hAnsi="仿宋" w:eastAsia="仿宋" w:cs="仿宋"/>
          <w:snapToGrid/>
          <w:color w:val="auto"/>
          <w:kern w:val="2"/>
          <w:sz w:val="24"/>
          <w:szCs w:val="24"/>
          <w:highlight w:val="none"/>
          <w:lang w:eastAsia="zh-CN"/>
        </w:rPr>
        <w:t>潮鸣街道2025年社会面治安防控协助项目</w:t>
      </w:r>
    </w:p>
    <w:p w14:paraId="21BFD3DE">
      <w:pPr>
        <w:pStyle w:val="5"/>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数量：1</w:t>
      </w:r>
    </w:p>
    <w:p w14:paraId="228B0F89">
      <w:pPr>
        <w:pStyle w:val="5"/>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2352000</w:t>
      </w:r>
    </w:p>
    <w:p w14:paraId="454D6ABD">
      <w:pPr>
        <w:pStyle w:val="5"/>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简要规格描述或项目基本概况介绍、用途：详见招标文件第三部分“采购需求”。</w:t>
      </w:r>
    </w:p>
    <w:p w14:paraId="401D77CD">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备注：</w:t>
      </w:r>
    </w:p>
    <w:p w14:paraId="40CF06BD">
      <w:pPr>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合同履行期限</w:t>
      </w:r>
      <w:r>
        <w:rPr>
          <w:rFonts w:hint="eastAsia" w:ascii="仿宋" w:hAnsi="仿宋" w:eastAsia="仿宋" w:cs="仿宋"/>
          <w:snapToGrid/>
          <w:color w:val="auto"/>
          <w:kern w:val="2"/>
          <w:sz w:val="24"/>
          <w:szCs w:val="24"/>
          <w:highlight w:val="none"/>
          <w:lang w:val="en-US" w:eastAsia="zh-CN" w:bidi="ar-SA"/>
        </w:rPr>
        <w:t>：一年。</w:t>
      </w:r>
    </w:p>
    <w:p w14:paraId="770E89AF">
      <w:pPr>
        <w:pStyle w:val="5"/>
        <w:spacing w:line="360" w:lineRule="auto"/>
        <w:ind w:firstLine="48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rPr>
        <w:t>本项目接受联合体投标：</w:t>
      </w:r>
      <w:r>
        <w:rPr>
          <w:rFonts w:hint="eastAsia" w:ascii="仿宋" w:hAnsi="仿宋" w:eastAsia="仿宋" w:cs="仿宋"/>
          <w:snapToGrid/>
          <w:color w:val="auto"/>
          <w:kern w:val="2"/>
          <w:sz w:val="24"/>
          <w:szCs w:val="24"/>
          <w:highlight w:val="none"/>
          <w:lang w:val="en-US" w:eastAsia="zh-CN"/>
        </w:rPr>
        <w:t>是</w:t>
      </w:r>
    </w:p>
    <w:p w14:paraId="0F8D3AB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6D3EA40">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3BE6F21">
      <w:pPr>
        <w:spacing w:line="360" w:lineRule="auto"/>
        <w:rPr>
          <w:rFonts w:hint="default"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落实政府采购政策</w:t>
      </w:r>
      <w:r>
        <w:rPr>
          <w:rFonts w:hint="eastAsia" w:ascii="仿宋" w:hAnsi="仿宋" w:eastAsia="仿宋" w:cs="仿宋"/>
          <w:snapToGrid w:val="0"/>
          <w:color w:val="auto"/>
          <w:kern w:val="28"/>
          <w:sz w:val="24"/>
          <w:szCs w:val="20"/>
          <w:highlight w:val="none"/>
          <w:lang w:val="en-US" w:eastAsia="zh-CN"/>
        </w:rPr>
        <w:t>需满足的资格要求：供应商为中小企业。</w:t>
      </w:r>
    </w:p>
    <w:p w14:paraId="6A0CC398">
      <w:pPr>
        <w:spacing w:line="360" w:lineRule="auto"/>
        <w:ind w:firstLine="480"/>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lang w:val="en-US" w:eastAsia="zh-CN"/>
        </w:rPr>
        <w:t>3. 本项目的特定资格要求：投标人具有《保安服务许可证》，且在有效期内；</w:t>
      </w:r>
    </w:p>
    <w:p w14:paraId="4ABDEAF6">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4. 单位负责人为同一人或者存在直接控股、管理关系的不同供应商，不得参加同一合同项下的政府采购活动；为采购项目提供整体设计、规范编制或者项目管理、监理、检测等服务</w:t>
      </w:r>
      <w:r>
        <w:rPr>
          <w:rFonts w:hint="eastAsia" w:ascii="仿宋" w:hAnsi="仿宋" w:eastAsia="仿宋" w:cs="仿宋"/>
          <w:snapToGrid w:val="0"/>
          <w:color w:val="auto"/>
          <w:kern w:val="28"/>
          <w:sz w:val="24"/>
          <w:szCs w:val="20"/>
          <w:highlight w:val="none"/>
        </w:rPr>
        <w:t>后不得再参加该采购项目的其他采购活动。</w:t>
      </w:r>
    </w:p>
    <w:p w14:paraId="233237F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83DEAC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E68E8F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00E13C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8F1619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E42DD6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7AA425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3FB89A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CDA67E4">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44937F0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683E7C91">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229F91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A59574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17201F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6B026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2E8B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9222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AEF283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317FEB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3467B1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杭州市拱墅区人民政府潮鸣街道办事处</w:t>
      </w:r>
    </w:p>
    <w:p w14:paraId="3F93F93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w:t>
      </w:r>
      <w:r>
        <w:rPr>
          <w:rFonts w:hint="eastAsia" w:ascii="仿宋" w:hAnsi="仿宋" w:eastAsia="仿宋" w:cs="仿宋"/>
          <w:color w:val="auto"/>
          <w:sz w:val="24"/>
          <w:highlight w:val="none"/>
          <w:lang w:eastAsia="zh-CN"/>
        </w:rPr>
        <w:t>拱墅区潮鸣苑16号</w:t>
      </w:r>
    </w:p>
    <w:p w14:paraId="167E8B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1AE32D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w:t>
      </w:r>
      <w:r>
        <w:rPr>
          <w:rFonts w:hint="eastAsia" w:ascii="仿宋" w:hAnsi="仿宋" w:eastAsia="仿宋" w:cs="仿宋"/>
          <w:color w:val="auto"/>
          <w:sz w:val="24"/>
          <w:highlight w:val="none"/>
          <w:lang w:eastAsia="zh-CN"/>
        </w:rPr>
        <w:t>系人（询问）：洪敏</w:t>
      </w:r>
    </w:p>
    <w:p w14:paraId="2DFC62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项目联系方式（询问）：0571-87299241</w:t>
      </w:r>
    </w:p>
    <w:p w14:paraId="40E49D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质疑联系人：沈晨泽</w:t>
      </w:r>
    </w:p>
    <w:p w14:paraId="263DE95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质疑联系方式：15958172378</w:t>
      </w:r>
    </w:p>
    <w:p w14:paraId="1727A5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3D1C624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称：浙江华耀建设咨询有限公司 </w:t>
      </w:r>
    </w:p>
    <w:p w14:paraId="37A5320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址：杭州市上城区秋涛北路332号佰富时代中心3幢15楼1501室</w:t>
      </w:r>
    </w:p>
    <w:p w14:paraId="72E21D8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39246B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刘影乔</w:t>
      </w:r>
    </w:p>
    <w:p w14:paraId="5222D5B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18767157075</w:t>
      </w:r>
    </w:p>
    <w:p w14:paraId="0712DF0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钟澎鋆</w:t>
      </w:r>
    </w:p>
    <w:p w14:paraId="2F680B9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rPr>
        <w:t>15988806140</w:t>
      </w:r>
    </w:p>
    <w:p w14:paraId="4584C75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335FC3E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称：杭州市拱墅区财政局/浙江省政府采购行政裁决服务中心（杭州）</w:t>
      </w:r>
    </w:p>
    <w:p w14:paraId="6750EFD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06A1AC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14:paraId="78222E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1147AC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监督投诉电话：0571-87800218,0571-87227671</w:t>
      </w:r>
    </w:p>
    <w:p w14:paraId="662AFFD4">
      <w:pPr>
        <w:spacing w:line="360" w:lineRule="auto"/>
        <w:ind w:firstLine="480"/>
        <w:rPr>
          <w:rFonts w:hint="eastAsia" w:ascii="仿宋" w:hAnsi="仿宋" w:eastAsia="仿宋" w:cs="仿宋"/>
          <w:color w:val="auto"/>
          <w:sz w:val="24"/>
          <w:highlight w:val="none"/>
        </w:rPr>
      </w:pPr>
    </w:p>
    <w:p w14:paraId="1F1423B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2EF4D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37806F31">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D18F8F8">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5AD3A0BD">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4"/>
        <w:gridCol w:w="1953"/>
        <w:gridCol w:w="7121"/>
      </w:tblGrid>
      <w:tr w14:paraId="790FB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tcPr>
          <w:p w14:paraId="206861F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7" w:type="pct"/>
            <w:tcBorders>
              <w:top w:val="single" w:color="000000" w:sz="8" w:space="0"/>
              <w:left w:val="single" w:color="auto" w:sz="4" w:space="0"/>
              <w:bottom w:val="single" w:color="000000" w:sz="8" w:space="0"/>
              <w:right w:val="single" w:color="000000" w:sz="8" w:space="0"/>
            </w:tcBorders>
            <w:vAlign w:val="center"/>
          </w:tcPr>
          <w:p w14:paraId="0B53F77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636" w:type="pct"/>
            <w:tcBorders>
              <w:top w:val="single" w:color="000000" w:sz="8" w:space="0"/>
              <w:left w:val="single" w:color="000000" w:sz="2" w:space="0"/>
              <w:bottom w:val="single" w:color="000000" w:sz="8" w:space="0"/>
              <w:right w:val="single" w:color="000000" w:sz="8" w:space="0"/>
            </w:tcBorders>
            <w:vAlign w:val="center"/>
          </w:tcPr>
          <w:p w14:paraId="1B4B502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8F80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1DCC74B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7" w:type="pct"/>
            <w:tcBorders>
              <w:top w:val="single" w:color="000000" w:sz="8" w:space="0"/>
              <w:left w:val="single" w:color="auto" w:sz="4" w:space="0"/>
              <w:bottom w:val="single" w:color="000000" w:sz="8" w:space="0"/>
              <w:right w:val="single" w:color="000000" w:sz="8" w:space="0"/>
            </w:tcBorders>
            <w:vAlign w:val="center"/>
          </w:tcPr>
          <w:p w14:paraId="5963AE5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3636" w:type="pct"/>
            <w:tcBorders>
              <w:top w:val="single" w:color="000000" w:sz="8" w:space="0"/>
              <w:left w:val="single" w:color="000000" w:sz="2" w:space="0"/>
              <w:bottom w:val="single" w:color="000000" w:sz="8" w:space="0"/>
              <w:right w:val="single" w:color="000000" w:sz="8" w:space="0"/>
            </w:tcBorders>
            <w:vAlign w:val="center"/>
          </w:tcPr>
          <w:p w14:paraId="7F34ED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36B87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blHeader/>
        </w:trPr>
        <w:tc>
          <w:tcPr>
            <w:tcW w:w="365" w:type="pct"/>
            <w:tcBorders>
              <w:top w:val="single" w:color="auto" w:sz="4" w:space="0"/>
              <w:left w:val="single" w:color="auto" w:sz="4" w:space="0"/>
              <w:bottom w:val="single" w:color="auto" w:sz="4" w:space="0"/>
              <w:right w:val="single" w:color="auto" w:sz="4" w:space="0"/>
            </w:tcBorders>
          </w:tcPr>
          <w:p w14:paraId="72F01ACC">
            <w:pPr>
              <w:snapToGrid w:val="0"/>
              <w:spacing w:line="360" w:lineRule="auto"/>
              <w:jc w:val="center"/>
              <w:rPr>
                <w:rFonts w:hint="eastAsia" w:ascii="仿宋" w:hAnsi="仿宋" w:eastAsia="仿宋" w:cs="仿宋"/>
                <w:color w:val="auto"/>
                <w:sz w:val="24"/>
                <w:highlight w:val="none"/>
              </w:rPr>
            </w:pPr>
          </w:p>
          <w:p w14:paraId="7BC9186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7" w:type="pct"/>
            <w:tcBorders>
              <w:top w:val="single" w:color="000000" w:sz="8" w:space="0"/>
              <w:left w:val="single" w:color="auto" w:sz="4" w:space="0"/>
              <w:bottom w:val="single" w:color="000000" w:sz="8" w:space="0"/>
              <w:right w:val="single" w:color="000000" w:sz="8" w:space="0"/>
            </w:tcBorders>
            <w:vAlign w:val="center"/>
          </w:tcPr>
          <w:p w14:paraId="65CBAD8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3636" w:type="pct"/>
            <w:tcBorders>
              <w:top w:val="single" w:color="000000" w:sz="8" w:space="0"/>
              <w:left w:val="single" w:color="000000" w:sz="2" w:space="0"/>
              <w:bottom w:val="single" w:color="000000" w:sz="8" w:space="0"/>
              <w:right w:val="single" w:color="000000" w:sz="8" w:space="0"/>
            </w:tcBorders>
            <w:vAlign w:val="center"/>
          </w:tcPr>
          <w:p w14:paraId="5F6FA96B">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lang w:val="zh-TW"/>
              </w:rPr>
            </w:pPr>
            <w:r>
              <w:rPr>
                <w:rFonts w:hint="eastAsia" w:ascii="仿宋" w:hAnsi="仿宋" w:eastAsia="仿宋" w:cs="仿宋"/>
                <w:color w:val="auto"/>
                <w:sz w:val="24"/>
                <w:highlight w:val="none"/>
                <w:lang w:val="zh-TW"/>
              </w:rPr>
              <w:t>标的</w:t>
            </w:r>
            <w:r>
              <w:rPr>
                <w:rFonts w:hint="eastAsia" w:ascii="仿宋" w:hAnsi="仿宋" w:eastAsia="仿宋" w:cs="仿宋"/>
                <w:color w:val="auto"/>
                <w:sz w:val="24"/>
                <w:highlight w:val="none"/>
                <w:lang w:val="zh-TW" w:eastAsia="zh-CN"/>
              </w:rPr>
              <w:t>：</w:t>
            </w:r>
            <w:r>
              <w:rPr>
                <w:rFonts w:hint="eastAsia" w:ascii="仿宋" w:hAnsi="仿宋" w:eastAsia="仿宋" w:cs="仿宋"/>
                <w:snapToGrid/>
                <w:color w:val="auto"/>
                <w:kern w:val="2"/>
                <w:sz w:val="24"/>
                <w:szCs w:val="24"/>
                <w:highlight w:val="none"/>
                <w:u w:val="single"/>
                <w:lang w:eastAsia="zh-CN"/>
              </w:rPr>
              <w:t>杭州市拱墅区人民政府潮鸣街道办事处2025年特保服务项目</w:t>
            </w:r>
            <w:r>
              <w:rPr>
                <w:rFonts w:hint="eastAsia" w:ascii="仿宋" w:hAnsi="仿宋" w:eastAsia="仿宋" w:cs="仿宋"/>
                <w:color w:val="auto"/>
                <w:sz w:val="24"/>
                <w:highlight w:val="none"/>
                <w:lang w:val="zh-TW"/>
              </w:rPr>
              <w:t>，属于</w:t>
            </w:r>
            <w:r>
              <w:rPr>
                <w:rFonts w:hint="eastAsia" w:ascii="仿宋" w:hAnsi="仿宋" w:eastAsia="仿宋" w:cs="仿宋"/>
                <w:color w:val="auto"/>
                <w:sz w:val="24"/>
                <w:highlight w:val="none"/>
                <w:u w:val="single"/>
              </w:rPr>
              <w:t>租赁和商务服务业</w:t>
            </w:r>
            <w:r>
              <w:rPr>
                <w:rFonts w:hint="eastAsia" w:ascii="仿宋" w:hAnsi="仿宋" w:eastAsia="仿宋" w:cs="仿宋"/>
                <w:color w:val="auto"/>
                <w:sz w:val="24"/>
                <w:highlight w:val="none"/>
                <w:lang w:val="zh-TW"/>
              </w:rPr>
              <w:t>行业；</w:t>
            </w:r>
          </w:p>
          <w:p w14:paraId="4291B12A">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color w:val="auto"/>
                <w:lang w:val="en-US"/>
              </w:rPr>
            </w:pPr>
            <w:r>
              <w:rPr>
                <w:rFonts w:hint="eastAsia" w:ascii="仿宋" w:hAnsi="仿宋" w:eastAsia="仿宋" w:cs="仿宋"/>
                <w:color w:val="auto"/>
                <w:sz w:val="24"/>
                <w:highlight w:val="none"/>
                <w:lang w:val="en-US" w:eastAsia="zh-CN"/>
              </w:rPr>
              <w:t>租赁和商务服务业。从业人员300人以下或资产总额120000万元以下的为中小微型企业。</w:t>
            </w:r>
            <w:r>
              <w:rPr>
                <w:rFonts w:hint="eastAsia" w:ascii="仿宋" w:hAnsi="仿宋" w:eastAsia="仿宋" w:cs="仿宋"/>
                <w:b/>
                <w:bCs/>
                <w:color w:val="auto"/>
                <w:sz w:val="24"/>
                <w:highlight w:val="none"/>
                <w:lang w:val="en-US" w:eastAsia="zh-CN"/>
              </w:rPr>
              <w:t>其中，从业人员100人及以上，且资产总额8000万元及以上的为中型企业；从业人员10人及以上，且资产总100万元及以上的为小型企业；从业人员10人以下或资产总额100万元以下的为微型企业。</w:t>
            </w:r>
          </w:p>
        </w:tc>
      </w:tr>
      <w:tr w14:paraId="3BBD8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365" w:type="pct"/>
            <w:tcBorders>
              <w:top w:val="single" w:color="auto" w:sz="4" w:space="0"/>
              <w:left w:val="single" w:color="auto" w:sz="4" w:space="0"/>
              <w:bottom w:val="single" w:color="auto" w:sz="4" w:space="0"/>
              <w:right w:val="single" w:color="auto" w:sz="4" w:space="0"/>
            </w:tcBorders>
          </w:tcPr>
          <w:p w14:paraId="50C53D3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997" w:type="pct"/>
            <w:tcBorders>
              <w:top w:val="single" w:color="000000" w:sz="8" w:space="0"/>
              <w:left w:val="single" w:color="auto" w:sz="4" w:space="0"/>
              <w:bottom w:val="single" w:color="000000" w:sz="8" w:space="0"/>
              <w:right w:val="single" w:color="000000" w:sz="8" w:space="0"/>
            </w:tcBorders>
            <w:vAlign w:val="center"/>
          </w:tcPr>
          <w:p w14:paraId="74428BE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3636" w:type="pct"/>
            <w:tcBorders>
              <w:top w:val="single" w:color="000000" w:sz="8" w:space="0"/>
              <w:left w:val="single" w:color="000000" w:sz="2" w:space="0"/>
              <w:bottom w:val="single" w:color="000000" w:sz="8" w:space="0"/>
              <w:right w:val="single" w:color="000000" w:sz="8" w:space="0"/>
            </w:tcBorders>
            <w:vAlign w:val="center"/>
          </w:tcPr>
          <w:p w14:paraId="36723FC3">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tc>
      </w:tr>
      <w:tr w14:paraId="5AF8E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59881B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997" w:type="pct"/>
            <w:tcBorders>
              <w:top w:val="single" w:color="000000" w:sz="8" w:space="0"/>
              <w:left w:val="single" w:color="auto" w:sz="4" w:space="0"/>
              <w:bottom w:val="single" w:color="000000" w:sz="8" w:space="0"/>
              <w:right w:val="single" w:color="000000" w:sz="8" w:space="0"/>
            </w:tcBorders>
            <w:vAlign w:val="center"/>
          </w:tcPr>
          <w:p w14:paraId="5EA7B5B8">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636" w:type="pct"/>
            <w:tcBorders>
              <w:top w:val="single" w:color="000000" w:sz="8" w:space="0"/>
              <w:left w:val="single" w:color="000000" w:sz="2" w:space="0"/>
              <w:bottom w:val="single" w:color="000000" w:sz="8" w:space="0"/>
              <w:right w:val="single" w:color="000000" w:sz="8" w:space="0"/>
            </w:tcBorders>
            <w:vAlign w:val="center"/>
          </w:tcPr>
          <w:p w14:paraId="350B8D5A">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同意将非主体</w:t>
            </w:r>
            <w:r>
              <w:rPr>
                <w:rFonts w:hint="eastAsia" w:ascii="仿宋" w:hAnsi="仿宋" w:eastAsia="仿宋" w:cs="仿宋"/>
                <w:color w:val="auto"/>
                <w:sz w:val="24"/>
                <w:highlight w:val="none"/>
              </w:rPr>
              <w:t>、非关键性的工作分包</w:t>
            </w:r>
            <w:r>
              <w:rPr>
                <w:rFonts w:hint="eastAsia" w:ascii="仿宋" w:hAnsi="仿宋" w:eastAsia="仿宋" w:cs="仿宋"/>
                <w:color w:val="auto"/>
                <w:sz w:val="24"/>
                <w:highlight w:val="none"/>
                <w:lang w:eastAsia="zh-CN"/>
              </w:rPr>
              <w:t>。</w:t>
            </w:r>
          </w:p>
          <w:p w14:paraId="07C3B072">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不同意分包。</w:t>
            </w:r>
          </w:p>
          <w:p w14:paraId="05A58A13">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注：不得限制大中型企业向小微企业合理分包。</w:t>
            </w:r>
          </w:p>
        </w:tc>
      </w:tr>
      <w:tr w14:paraId="39372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5C847D64">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97" w:type="pct"/>
            <w:tcBorders>
              <w:top w:val="single" w:color="000000" w:sz="8" w:space="0"/>
              <w:left w:val="single" w:color="auto" w:sz="4" w:space="0"/>
              <w:bottom w:val="single" w:color="000000" w:sz="8" w:space="0"/>
              <w:right w:val="single" w:color="000000" w:sz="8" w:space="0"/>
            </w:tcBorders>
            <w:vAlign w:val="center"/>
          </w:tcPr>
          <w:p w14:paraId="4441782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3636" w:type="pct"/>
            <w:tcBorders>
              <w:top w:val="single" w:color="000000" w:sz="8" w:space="0"/>
              <w:left w:val="single" w:color="000000" w:sz="2" w:space="0"/>
              <w:bottom w:val="single" w:color="000000" w:sz="8" w:space="0"/>
              <w:right w:val="single" w:color="000000" w:sz="8" w:space="0"/>
            </w:tcBorders>
            <w:vAlign w:val="center"/>
          </w:tcPr>
          <w:p w14:paraId="3A40D6C1">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14:paraId="32A44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792C859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997" w:type="pct"/>
            <w:tcBorders>
              <w:top w:val="single" w:color="000000" w:sz="8" w:space="0"/>
              <w:left w:val="single" w:color="auto" w:sz="4" w:space="0"/>
              <w:bottom w:val="single" w:color="000000" w:sz="8" w:space="0"/>
              <w:right w:val="single" w:color="000000" w:sz="8" w:space="0"/>
            </w:tcBorders>
            <w:vAlign w:val="center"/>
          </w:tcPr>
          <w:p w14:paraId="7410BF5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3636" w:type="pct"/>
            <w:tcBorders>
              <w:top w:val="single" w:color="000000" w:sz="8" w:space="0"/>
              <w:left w:val="single" w:color="000000" w:sz="2" w:space="0"/>
              <w:bottom w:val="single" w:color="000000" w:sz="8" w:space="0"/>
              <w:right w:val="single" w:color="000000" w:sz="8" w:space="0"/>
            </w:tcBorders>
            <w:vAlign w:val="center"/>
          </w:tcPr>
          <w:p w14:paraId="1532DE1E">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不要求提供。</w:t>
            </w:r>
          </w:p>
        </w:tc>
      </w:tr>
      <w:tr w14:paraId="65D4A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6"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35D623F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997" w:type="pct"/>
            <w:tcBorders>
              <w:top w:val="single" w:color="000000" w:sz="8" w:space="0"/>
              <w:left w:val="single" w:color="auto" w:sz="4" w:space="0"/>
              <w:bottom w:val="single" w:color="000000" w:sz="8" w:space="0"/>
              <w:right w:val="single" w:color="000000" w:sz="8" w:space="0"/>
            </w:tcBorders>
            <w:vAlign w:val="center"/>
          </w:tcPr>
          <w:p w14:paraId="685FBD45">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3636" w:type="pct"/>
            <w:tcBorders>
              <w:top w:val="single" w:color="000000" w:sz="8" w:space="0"/>
              <w:left w:val="single" w:color="000000" w:sz="2" w:space="0"/>
              <w:bottom w:val="single" w:color="000000" w:sz="8" w:space="0"/>
              <w:right w:val="single" w:color="000000" w:sz="8" w:space="0"/>
            </w:tcBorders>
            <w:vAlign w:val="center"/>
          </w:tcPr>
          <w:p w14:paraId="2EC0F26C">
            <w:pPr>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14:paraId="6F4B4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restart"/>
            <w:tcBorders>
              <w:top w:val="single" w:color="auto" w:sz="4" w:space="0"/>
              <w:left w:val="single" w:color="auto" w:sz="4" w:space="0"/>
              <w:right w:val="single" w:color="auto" w:sz="4" w:space="0"/>
            </w:tcBorders>
            <w:vAlign w:val="center"/>
          </w:tcPr>
          <w:p w14:paraId="72108F7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997" w:type="pct"/>
            <w:vMerge w:val="restart"/>
            <w:tcBorders>
              <w:top w:val="single" w:color="000000" w:sz="8" w:space="0"/>
              <w:left w:val="single" w:color="auto" w:sz="4" w:space="0"/>
              <w:right w:val="single" w:color="000000" w:sz="8" w:space="0"/>
            </w:tcBorders>
            <w:vAlign w:val="center"/>
          </w:tcPr>
          <w:p w14:paraId="54F2CCF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3636" w:type="pct"/>
            <w:tcBorders>
              <w:top w:val="single" w:color="000000" w:sz="8" w:space="0"/>
              <w:left w:val="single" w:color="000000" w:sz="2" w:space="0"/>
              <w:bottom w:val="single" w:color="auto" w:sz="4" w:space="0"/>
              <w:right w:val="single" w:color="000000" w:sz="8" w:space="0"/>
            </w:tcBorders>
            <w:vAlign w:val="center"/>
          </w:tcPr>
          <w:p w14:paraId="41282282">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资格证明文件：见招标文件第二部分11.1。</w:t>
            </w:r>
          </w:p>
          <w:p w14:paraId="46ABB37D">
            <w:pPr>
              <w:numPr>
                <w:ilvl w:val="0"/>
                <w:numId w:val="0"/>
              </w:num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FBF7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continue"/>
            <w:tcBorders>
              <w:left w:val="single" w:color="auto" w:sz="4" w:space="0"/>
              <w:bottom w:val="single" w:color="auto" w:sz="4" w:space="0"/>
              <w:right w:val="single" w:color="auto" w:sz="4" w:space="0"/>
            </w:tcBorders>
          </w:tcPr>
          <w:p w14:paraId="5E995589">
            <w:pPr>
              <w:snapToGrid w:val="0"/>
              <w:spacing w:line="360" w:lineRule="auto"/>
              <w:jc w:val="center"/>
              <w:rPr>
                <w:rFonts w:hint="eastAsia" w:ascii="仿宋" w:hAnsi="仿宋" w:eastAsia="仿宋" w:cs="仿宋"/>
                <w:color w:val="auto"/>
                <w:sz w:val="24"/>
                <w:highlight w:val="none"/>
              </w:rPr>
            </w:pPr>
          </w:p>
        </w:tc>
        <w:tc>
          <w:tcPr>
            <w:tcW w:w="997" w:type="pct"/>
            <w:vMerge w:val="continue"/>
            <w:tcBorders>
              <w:left w:val="single" w:color="auto" w:sz="4" w:space="0"/>
              <w:bottom w:val="single" w:color="000000" w:sz="8" w:space="0"/>
              <w:right w:val="single" w:color="000000" w:sz="8" w:space="0"/>
            </w:tcBorders>
            <w:vAlign w:val="center"/>
          </w:tcPr>
          <w:p w14:paraId="60945BE0">
            <w:pPr>
              <w:snapToGrid w:val="0"/>
              <w:spacing w:line="360" w:lineRule="auto"/>
              <w:jc w:val="center"/>
              <w:rPr>
                <w:rFonts w:hint="eastAsia" w:ascii="仿宋" w:hAnsi="仿宋" w:eastAsia="仿宋" w:cs="仿宋"/>
                <w:b/>
                <w:color w:val="auto"/>
                <w:sz w:val="24"/>
                <w:highlight w:val="none"/>
              </w:rPr>
            </w:pPr>
          </w:p>
        </w:tc>
        <w:tc>
          <w:tcPr>
            <w:tcW w:w="3636" w:type="pct"/>
            <w:tcBorders>
              <w:top w:val="single" w:color="auto" w:sz="4" w:space="0"/>
              <w:left w:val="single" w:color="000000" w:sz="2" w:space="0"/>
              <w:bottom w:val="single" w:color="000000" w:sz="8" w:space="0"/>
              <w:right w:val="single" w:color="000000" w:sz="8" w:space="0"/>
            </w:tcBorders>
            <w:vAlign w:val="center"/>
          </w:tcPr>
          <w:p w14:paraId="4538E7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74C62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5" w:type="pct"/>
            <w:tcBorders>
              <w:top w:val="single" w:color="auto" w:sz="4" w:space="0"/>
              <w:left w:val="single" w:color="000000" w:sz="8" w:space="0"/>
              <w:bottom w:val="single" w:color="auto" w:sz="4" w:space="0"/>
              <w:right w:val="single" w:color="000000" w:sz="2" w:space="0"/>
            </w:tcBorders>
          </w:tcPr>
          <w:p w14:paraId="27626377">
            <w:pPr>
              <w:snapToGrid w:val="0"/>
              <w:spacing w:line="360" w:lineRule="auto"/>
              <w:jc w:val="center"/>
              <w:rPr>
                <w:rFonts w:hint="eastAsia" w:ascii="仿宋" w:hAnsi="仿宋" w:eastAsia="仿宋" w:cs="仿宋"/>
                <w:color w:val="auto"/>
                <w:sz w:val="24"/>
                <w:highlight w:val="none"/>
              </w:rPr>
            </w:pPr>
          </w:p>
          <w:p w14:paraId="0A9A5482">
            <w:pPr>
              <w:snapToGrid w:val="0"/>
              <w:spacing w:line="360" w:lineRule="auto"/>
              <w:jc w:val="center"/>
              <w:rPr>
                <w:rFonts w:hint="eastAsia" w:ascii="仿宋" w:hAnsi="仿宋" w:eastAsia="仿宋" w:cs="仿宋"/>
                <w:color w:val="auto"/>
                <w:sz w:val="24"/>
                <w:highlight w:val="none"/>
              </w:rPr>
            </w:pPr>
          </w:p>
          <w:p w14:paraId="009A474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997" w:type="pct"/>
            <w:tcBorders>
              <w:top w:val="single" w:color="000000" w:sz="8" w:space="0"/>
              <w:left w:val="single" w:color="000000" w:sz="2" w:space="0"/>
              <w:bottom w:val="single" w:color="000000" w:sz="8" w:space="0"/>
              <w:right w:val="single" w:color="000000" w:sz="8" w:space="0"/>
            </w:tcBorders>
            <w:vAlign w:val="center"/>
          </w:tcPr>
          <w:p w14:paraId="63C223F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3636" w:type="pct"/>
            <w:tcBorders>
              <w:top w:val="single" w:color="000000" w:sz="8" w:space="0"/>
              <w:left w:val="single" w:color="000000" w:sz="2" w:space="0"/>
              <w:bottom w:val="single" w:color="000000" w:sz="8" w:space="0"/>
              <w:right w:val="single" w:color="000000" w:sz="8" w:space="0"/>
            </w:tcBorders>
            <w:vAlign w:val="center"/>
          </w:tcPr>
          <w:p w14:paraId="4068FACD">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4D8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5"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24A9999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997" w:type="pct"/>
            <w:tcBorders>
              <w:top w:val="single" w:color="000000" w:sz="8" w:space="0"/>
              <w:left w:val="single" w:color="000000" w:sz="2" w:space="0"/>
              <w:bottom w:val="single" w:color="000000" w:sz="8" w:space="0"/>
              <w:right w:val="single" w:color="000000" w:sz="8" w:space="0"/>
            </w:tcBorders>
            <w:vAlign w:val="center"/>
          </w:tcPr>
          <w:p w14:paraId="5157D22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3636" w:type="pct"/>
            <w:tcBorders>
              <w:top w:val="single" w:color="000000" w:sz="8" w:space="0"/>
              <w:left w:val="single" w:color="000000" w:sz="2" w:space="0"/>
              <w:bottom w:val="single" w:color="000000" w:sz="8" w:space="0"/>
              <w:right w:val="single" w:color="000000" w:sz="8" w:space="0"/>
            </w:tcBorders>
            <w:vAlign w:val="center"/>
          </w:tcPr>
          <w:p w14:paraId="4F02F843">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3EA289A1">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37D7EC24">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5B157A18">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6A78E9F6">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291BF5F4">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4B873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8" w:hRule="atLeast"/>
          <w:tblHeader/>
        </w:trPr>
        <w:tc>
          <w:tcPr>
            <w:tcW w:w="365" w:type="pct"/>
            <w:tcBorders>
              <w:top w:val="single" w:color="auto" w:sz="4" w:space="0"/>
              <w:left w:val="single" w:color="000000" w:sz="8" w:space="0"/>
              <w:right w:val="single" w:color="000000" w:sz="2" w:space="0"/>
            </w:tcBorders>
            <w:vAlign w:val="center"/>
          </w:tcPr>
          <w:p w14:paraId="4E5066C2">
            <w:pPr>
              <w:snapToGrid w:val="0"/>
              <w:spacing w:line="360" w:lineRule="auto"/>
              <w:jc w:val="center"/>
              <w:rPr>
                <w:rFonts w:hint="eastAsia" w:ascii="仿宋" w:hAnsi="仿宋" w:eastAsia="仿宋" w:cs="仿宋"/>
                <w:color w:val="auto"/>
                <w:sz w:val="24"/>
                <w:highlight w:val="none"/>
              </w:rPr>
            </w:pPr>
          </w:p>
          <w:p w14:paraId="0CA1A70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997" w:type="pct"/>
            <w:tcBorders>
              <w:top w:val="single" w:color="000000" w:sz="8" w:space="0"/>
              <w:left w:val="single" w:color="000000" w:sz="2" w:space="0"/>
              <w:right w:val="single" w:color="000000" w:sz="8" w:space="0"/>
            </w:tcBorders>
            <w:vAlign w:val="center"/>
          </w:tcPr>
          <w:p w14:paraId="28F7298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636" w:type="pct"/>
            <w:tcBorders>
              <w:top w:val="single" w:color="000000" w:sz="8" w:space="0"/>
              <w:left w:val="single" w:color="000000" w:sz="2" w:space="0"/>
              <w:right w:val="single" w:color="000000" w:sz="8" w:space="0"/>
            </w:tcBorders>
            <w:vAlign w:val="center"/>
          </w:tcPr>
          <w:p w14:paraId="6CEC9C88">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05C9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9"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69A88E3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997" w:type="pct"/>
            <w:tcBorders>
              <w:top w:val="single" w:color="000000" w:sz="8" w:space="0"/>
              <w:left w:val="single" w:color="000000" w:sz="2" w:space="0"/>
              <w:bottom w:val="single" w:color="000000" w:sz="8" w:space="0"/>
              <w:right w:val="single" w:color="000000" w:sz="8" w:space="0"/>
            </w:tcBorders>
            <w:vAlign w:val="center"/>
          </w:tcPr>
          <w:p w14:paraId="28B8092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3636" w:type="pct"/>
            <w:tcBorders>
              <w:top w:val="single" w:color="000000" w:sz="8" w:space="0"/>
              <w:left w:val="single" w:color="000000" w:sz="2" w:space="0"/>
              <w:bottom w:val="single" w:color="000000" w:sz="8" w:space="0"/>
              <w:right w:val="single" w:color="000000" w:sz="8" w:space="0"/>
            </w:tcBorders>
            <w:vAlign w:val="center"/>
          </w:tcPr>
          <w:p w14:paraId="044D525C">
            <w:pPr>
              <w:pStyle w:val="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杭州市上城区佰富时代中心3幢1501室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lang w:eastAsia="zh-CN"/>
              </w:rPr>
              <w:t>18767157075</w:t>
            </w:r>
            <w:r>
              <w:rPr>
                <w:rFonts w:hint="eastAsia" w:ascii="仿宋" w:hAnsi="仿宋" w:eastAsia="仿宋" w:cs="仿宋"/>
                <w:color w:val="auto"/>
                <w:sz w:val="24"/>
                <w:szCs w:val="24"/>
                <w:highlight w:val="none"/>
              </w:rPr>
              <w:t>。</w:t>
            </w:r>
          </w:p>
          <w:p w14:paraId="5881B9E0">
            <w:pPr>
              <w:pStyle w:val="8"/>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34DFE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5" w:hRule="atLeast"/>
          <w:tblHeader/>
        </w:trPr>
        <w:tc>
          <w:tcPr>
            <w:tcW w:w="365" w:type="pct"/>
            <w:vMerge w:val="restart"/>
            <w:tcBorders>
              <w:top w:val="single" w:color="auto" w:sz="4" w:space="0"/>
              <w:left w:val="single" w:color="000000" w:sz="8" w:space="0"/>
              <w:right w:val="single" w:color="000000" w:sz="2" w:space="0"/>
            </w:tcBorders>
            <w:vAlign w:val="center"/>
          </w:tcPr>
          <w:p w14:paraId="62A048D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997" w:type="pct"/>
            <w:vMerge w:val="restart"/>
            <w:tcBorders>
              <w:top w:val="single" w:color="000000" w:sz="8" w:space="0"/>
              <w:left w:val="single" w:color="000000" w:sz="2" w:space="0"/>
              <w:right w:val="single" w:color="000000" w:sz="8" w:space="0"/>
            </w:tcBorders>
            <w:vAlign w:val="center"/>
          </w:tcPr>
          <w:p w14:paraId="4ACE39C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3636" w:type="pct"/>
            <w:tcBorders>
              <w:top w:val="single" w:color="000000" w:sz="8" w:space="0"/>
              <w:left w:val="single" w:color="000000" w:sz="2" w:space="0"/>
              <w:bottom w:val="single" w:color="000000" w:sz="8" w:space="0"/>
              <w:right w:val="single" w:color="000000" w:sz="8" w:space="0"/>
            </w:tcBorders>
            <w:vAlign w:val="center"/>
          </w:tcPr>
          <w:p w14:paraId="65CE29AA">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3603D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vMerge w:val="continue"/>
            <w:tcBorders>
              <w:left w:val="single" w:color="000000" w:sz="8" w:space="0"/>
              <w:right w:val="single" w:color="000000" w:sz="2" w:space="0"/>
            </w:tcBorders>
          </w:tcPr>
          <w:p w14:paraId="4DAFD39C">
            <w:pPr>
              <w:snapToGrid w:val="0"/>
              <w:spacing w:line="360" w:lineRule="auto"/>
              <w:jc w:val="center"/>
              <w:rPr>
                <w:rFonts w:hint="eastAsia" w:ascii="仿宋" w:hAnsi="仿宋" w:eastAsia="仿宋" w:cs="仿宋"/>
                <w:color w:val="auto"/>
                <w:sz w:val="24"/>
                <w:highlight w:val="none"/>
              </w:rPr>
            </w:pPr>
          </w:p>
        </w:tc>
        <w:tc>
          <w:tcPr>
            <w:tcW w:w="997" w:type="pct"/>
            <w:vMerge w:val="continue"/>
            <w:tcBorders>
              <w:left w:val="single" w:color="000000" w:sz="2" w:space="0"/>
              <w:right w:val="single" w:color="000000" w:sz="8" w:space="0"/>
            </w:tcBorders>
            <w:vAlign w:val="center"/>
          </w:tcPr>
          <w:p w14:paraId="2405AF2D">
            <w:pPr>
              <w:snapToGrid w:val="0"/>
              <w:spacing w:line="360" w:lineRule="auto"/>
              <w:jc w:val="center"/>
              <w:rPr>
                <w:rFonts w:hint="eastAsia" w:ascii="仿宋" w:hAnsi="仿宋" w:eastAsia="仿宋" w:cs="仿宋"/>
                <w:b/>
                <w:color w:val="auto"/>
                <w:sz w:val="24"/>
                <w:highlight w:val="none"/>
              </w:rPr>
            </w:pPr>
          </w:p>
        </w:tc>
        <w:tc>
          <w:tcPr>
            <w:tcW w:w="3636" w:type="pct"/>
            <w:tcBorders>
              <w:top w:val="single" w:color="000000" w:sz="8" w:space="0"/>
              <w:left w:val="single" w:color="000000" w:sz="2" w:space="0"/>
              <w:bottom w:val="single" w:color="000000" w:sz="8" w:space="0"/>
              <w:right w:val="single" w:color="000000" w:sz="8" w:space="0"/>
            </w:tcBorders>
            <w:vAlign w:val="center"/>
          </w:tcPr>
          <w:p w14:paraId="54868EB8">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0B12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tcBorders>
              <w:left w:val="single" w:color="000000" w:sz="8" w:space="0"/>
              <w:bottom w:val="single" w:color="auto" w:sz="4" w:space="0"/>
              <w:right w:val="single" w:color="000000" w:sz="2" w:space="0"/>
            </w:tcBorders>
            <w:vAlign w:val="center"/>
          </w:tcPr>
          <w:p w14:paraId="7C9F6C37">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997" w:type="pct"/>
            <w:tcBorders>
              <w:left w:val="single" w:color="000000" w:sz="2" w:space="0"/>
              <w:bottom w:val="single" w:color="auto" w:sz="4" w:space="0"/>
              <w:right w:val="single" w:color="000000" w:sz="8" w:space="0"/>
            </w:tcBorders>
            <w:vAlign w:val="center"/>
          </w:tcPr>
          <w:p w14:paraId="3EC80B64">
            <w:pPr>
              <w:snapToGrid w:val="0"/>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招标代理服务费</w:t>
            </w:r>
          </w:p>
        </w:tc>
        <w:tc>
          <w:tcPr>
            <w:tcW w:w="3636" w:type="pct"/>
            <w:tcBorders>
              <w:top w:val="single" w:color="000000" w:sz="8" w:space="0"/>
              <w:left w:val="single" w:color="000000" w:sz="2" w:space="0"/>
              <w:bottom w:val="single" w:color="auto" w:sz="4" w:space="0"/>
              <w:right w:val="single" w:color="000000" w:sz="8" w:space="0"/>
            </w:tcBorders>
            <w:vAlign w:val="center"/>
          </w:tcPr>
          <w:p w14:paraId="78973D8F">
            <w:pPr>
              <w:spacing w:line="360" w:lineRule="auto"/>
              <w:rPr>
                <w:rFonts w:hint="eastAsia" w:ascii="仿宋" w:hAnsi="仿宋" w:eastAsia="仿宋" w:cs="仿宋"/>
                <w:snapToGrid w:val="0"/>
                <w:color w:val="auto"/>
                <w:kern w:val="28"/>
                <w:sz w:val="24"/>
                <w:highlight w:val="none"/>
                <w:lang w:val="zh-TW" w:eastAsia="zh-TW"/>
              </w:rPr>
            </w:pPr>
            <w:r>
              <w:rPr>
                <w:rFonts w:hint="eastAsia" w:ascii="仿宋" w:hAnsi="仿宋" w:eastAsia="仿宋" w:cs="仿宋"/>
                <w:b/>
                <w:bCs/>
                <w:snapToGrid w:val="0"/>
                <w:color w:val="auto"/>
                <w:kern w:val="28"/>
                <w:sz w:val="24"/>
                <w:highlight w:val="none"/>
              </w:rPr>
              <w:t>收取标准：</w:t>
            </w:r>
            <w:r>
              <w:rPr>
                <w:rFonts w:hint="eastAsia" w:ascii="仿宋" w:hAnsi="仿宋" w:eastAsia="仿宋" w:cs="仿宋"/>
                <w:snapToGrid w:val="0"/>
                <w:color w:val="auto"/>
                <w:kern w:val="28"/>
                <w:sz w:val="24"/>
                <w:highlight w:val="none"/>
              </w:rPr>
              <w:t>本项目</w:t>
            </w:r>
            <w:r>
              <w:rPr>
                <w:rFonts w:hint="eastAsia" w:ascii="仿宋" w:hAnsi="仿宋" w:eastAsia="仿宋" w:cs="仿宋"/>
                <w:snapToGrid w:val="0"/>
                <w:color w:val="auto"/>
                <w:kern w:val="28"/>
                <w:sz w:val="24"/>
                <w:highlight w:val="none"/>
                <w:lang w:val="en-US" w:eastAsia="zh-CN"/>
              </w:rPr>
              <w:t>招标</w:t>
            </w:r>
            <w:r>
              <w:rPr>
                <w:rFonts w:hint="eastAsia" w:ascii="仿宋" w:hAnsi="仿宋" w:eastAsia="仿宋" w:cs="仿宋"/>
                <w:snapToGrid w:val="0"/>
                <w:color w:val="auto"/>
                <w:kern w:val="28"/>
                <w:sz w:val="24"/>
                <w:highlight w:val="none"/>
              </w:rPr>
              <w:t>代理服务费按国家计委关于印发《招标代理服务收费管理暂行办法》的通知计价格[2002]1980号文件规定的收费标准计算，以标段中标金额为计算基数</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lang w:val="en-US" w:eastAsia="zh-CN"/>
              </w:rPr>
              <w:t>不足8000元按8000元计取</w:t>
            </w:r>
            <w:r>
              <w:rPr>
                <w:rFonts w:hint="eastAsia" w:ascii="仿宋" w:hAnsi="仿宋" w:eastAsia="仿宋" w:cs="仿宋"/>
                <w:snapToGrid w:val="0"/>
                <w:color w:val="auto"/>
                <w:kern w:val="28"/>
                <w:sz w:val="24"/>
                <w:highlight w:val="none"/>
              </w:rPr>
              <w:t>。由中标人在领取中标通知书时一次性向代理机构支付。该费用在投标文件中不单列，由中标人在投标总报价中综合考虑。</w:t>
            </w:r>
          </w:p>
          <w:p w14:paraId="139844D8">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收取方式：</w:t>
            </w:r>
            <w:r>
              <w:rPr>
                <w:rFonts w:hint="eastAsia" w:ascii="仿宋" w:hAnsi="仿宋" w:eastAsia="仿宋" w:cs="仿宋"/>
                <w:snapToGrid w:val="0"/>
                <w:color w:val="auto"/>
                <w:kern w:val="28"/>
                <w:sz w:val="24"/>
                <w:highlight w:val="none"/>
              </w:rPr>
              <w:t>本项目的代理费由中标人支付。由中标人在领取中标通知书</w:t>
            </w:r>
            <w:r>
              <w:rPr>
                <w:rFonts w:hint="eastAsia" w:ascii="仿宋" w:hAnsi="仿宋" w:eastAsia="仿宋" w:cs="仿宋"/>
                <w:snapToGrid w:val="0"/>
                <w:color w:val="auto"/>
                <w:kern w:val="28"/>
                <w:sz w:val="24"/>
                <w:highlight w:val="none"/>
                <w:lang w:val="en-US" w:eastAsia="zh-CN"/>
              </w:rPr>
              <w:t>时</w:t>
            </w:r>
            <w:r>
              <w:rPr>
                <w:rFonts w:hint="eastAsia" w:ascii="仿宋" w:hAnsi="仿宋" w:eastAsia="仿宋" w:cs="仿宋"/>
                <w:snapToGrid w:val="0"/>
                <w:color w:val="auto"/>
                <w:kern w:val="28"/>
                <w:sz w:val="24"/>
                <w:highlight w:val="none"/>
              </w:rPr>
              <w:t>一次性向代理机构付清。账户信息如下：</w:t>
            </w:r>
          </w:p>
          <w:p w14:paraId="0BE53FB5">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收款单位：浙江华耀建设咨询有限公司</w:t>
            </w:r>
          </w:p>
          <w:p w14:paraId="0A64E508">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账号：1202026109900014283</w:t>
            </w:r>
          </w:p>
          <w:p w14:paraId="1C263CD3">
            <w:pPr>
              <w:spacing w:line="360" w:lineRule="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开户行：中国工商银行杭州莫干山路支行</w:t>
            </w:r>
          </w:p>
        </w:tc>
      </w:tr>
      <w:tr w14:paraId="6C2CD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tcBorders>
              <w:top w:val="single" w:color="auto" w:sz="4" w:space="0"/>
              <w:left w:val="single" w:color="auto" w:sz="4" w:space="0"/>
              <w:bottom w:val="single" w:color="auto" w:sz="4" w:space="0"/>
              <w:right w:val="single" w:color="000000" w:sz="2" w:space="0"/>
            </w:tcBorders>
            <w:vAlign w:val="center"/>
          </w:tcPr>
          <w:p w14:paraId="51EC198B">
            <w:pPr>
              <w:snapToGrid w:val="0"/>
              <w:spacing w:line="360" w:lineRule="auto"/>
              <w:jc w:val="center"/>
              <w:rPr>
                <w:rFonts w:hint="default" w:ascii="仿宋" w:hAnsi="仿宋" w:eastAsia="仿宋" w:cs="仿宋"/>
                <w:color w:val="auto"/>
                <w:sz w:val="24"/>
                <w:highlight w:val="none"/>
                <w:lang w:val="en-US" w:eastAsia="zh-CN"/>
              </w:rPr>
            </w:pPr>
            <w:bookmarkStart w:id="10" w:name="_Toc164416483"/>
            <w:bookmarkStart w:id="11" w:name="第三部分"/>
            <w:r>
              <w:rPr>
                <w:rFonts w:hint="eastAsia" w:ascii="仿宋" w:hAnsi="仿宋" w:eastAsia="仿宋" w:cs="仿宋"/>
                <w:color w:val="auto"/>
                <w:sz w:val="24"/>
                <w:highlight w:val="none"/>
                <w:lang w:val="en-US" w:eastAsia="zh-CN"/>
              </w:rPr>
              <w:t>15</w:t>
            </w:r>
          </w:p>
        </w:tc>
        <w:tc>
          <w:tcPr>
            <w:tcW w:w="997" w:type="pct"/>
            <w:tcBorders>
              <w:top w:val="single" w:color="auto" w:sz="4" w:space="0"/>
              <w:left w:val="single" w:color="000000" w:sz="2" w:space="0"/>
              <w:bottom w:val="single" w:color="auto" w:sz="4" w:space="0"/>
              <w:right w:val="single" w:color="000000" w:sz="8" w:space="0"/>
            </w:tcBorders>
            <w:vAlign w:val="center"/>
          </w:tcPr>
          <w:p w14:paraId="4D673D63">
            <w:pPr>
              <w:pStyle w:val="29"/>
              <w:widowControl w:val="0"/>
              <w:adjustRightInd/>
              <w:spacing w:line="460" w:lineRule="exact"/>
              <w:jc w:val="center"/>
              <w:rPr>
                <w:rFonts w:hint="default" w:ascii="仿宋" w:hAnsi="仿宋" w:eastAsia="仿宋" w:cs="仿宋"/>
                <w:b/>
                <w:color w:val="auto"/>
                <w:sz w:val="24"/>
                <w:highlight w:val="none"/>
              </w:rPr>
            </w:pPr>
            <w:r>
              <w:rPr>
                <w:rFonts w:ascii="仿宋" w:hAnsi="仿宋" w:eastAsia="仿宋" w:cs="仿宋"/>
                <w:b/>
                <w:color w:val="auto"/>
                <w:sz w:val="24"/>
                <w:highlight w:val="none"/>
              </w:rPr>
              <w:t>其他说明</w:t>
            </w:r>
          </w:p>
          <w:p w14:paraId="02ED9069">
            <w:pPr>
              <w:snapToGrid w:val="0"/>
              <w:spacing w:line="360" w:lineRule="auto"/>
              <w:jc w:val="center"/>
              <w:rPr>
                <w:rFonts w:hint="eastAsia" w:ascii="仿宋" w:hAnsi="仿宋" w:eastAsia="仿宋" w:cs="仿宋"/>
                <w:b/>
                <w:color w:val="auto"/>
                <w:sz w:val="24"/>
                <w:highlight w:val="none"/>
                <w:lang w:val="en-US" w:eastAsia="zh-CN"/>
              </w:rPr>
            </w:pPr>
          </w:p>
        </w:tc>
        <w:tc>
          <w:tcPr>
            <w:tcW w:w="3636" w:type="pct"/>
            <w:tcBorders>
              <w:top w:val="single" w:color="auto" w:sz="4" w:space="0"/>
              <w:left w:val="single" w:color="000000" w:sz="2" w:space="0"/>
              <w:bottom w:val="single" w:color="auto" w:sz="4" w:space="0"/>
              <w:right w:val="single" w:color="auto" w:sz="4" w:space="0"/>
            </w:tcBorders>
            <w:vAlign w:val="center"/>
          </w:tcPr>
          <w:p w14:paraId="19125B24">
            <w:pPr>
              <w:pStyle w:val="29"/>
              <w:widowControl w:val="0"/>
              <w:adjustRightInd/>
              <w:spacing w:line="460" w:lineRule="exact"/>
              <w:rPr>
                <w:rFonts w:hint="eastAsia" w:ascii="仿宋" w:hAnsi="仿宋" w:eastAsia="仿宋" w:cs="仿宋"/>
                <w:snapToGrid w:val="0"/>
                <w:color w:val="auto"/>
                <w:kern w:val="28"/>
                <w:sz w:val="24"/>
                <w:highlight w:val="none"/>
              </w:rPr>
            </w:pPr>
            <w:r>
              <w:rPr>
                <w:rFonts w:ascii="仿宋" w:hAnsi="仿宋" w:eastAsia="仿宋" w:cs="仿宋"/>
                <w:b/>
                <w:bCs/>
                <w:snapToGrid w:val="0"/>
                <w:color w:val="auto"/>
                <w:kern w:val="28"/>
                <w:sz w:val="24"/>
                <w:highlight w:val="none"/>
              </w:rPr>
              <w:t>本项目兼投不兼中。每个投标人最多只能中一个标项，如一家投标人参与多个标项的评标结果均名列第一时，以标项正排序为其中标标项。余下标项按评标结果由排序第二的中标候选人中标。</w:t>
            </w:r>
          </w:p>
        </w:tc>
      </w:tr>
      <w:bookmarkEnd w:id="9"/>
    </w:tbl>
    <w:p w14:paraId="2A80DC07">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249DADB4">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837ED35">
      <w:pPr>
        <w:snapToGrid w:val="0"/>
        <w:spacing w:line="360" w:lineRule="auto"/>
        <w:ind w:firstLine="361" w:firstLineChars="150"/>
        <w:jc w:val="left"/>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14:paraId="4B3028DE">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69F669AD">
      <w:pPr>
        <w:adjustRightInd/>
        <w:spacing w:line="36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2.定义</w:t>
      </w:r>
    </w:p>
    <w:p w14:paraId="24AD85E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52A715B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4B8B6FF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168E864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2B246E8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EE3C2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14:paraId="3E8D0A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sdt>
        <w:sdtPr>
          <w:rPr>
            <w:rFonts w:hint="eastAsia" w:ascii="仿宋" w:hAnsi="仿宋" w:eastAsia="仿宋" w:cs="仿宋"/>
            <w:color w:val="auto"/>
            <w:kern w:val="0"/>
            <w:sz w:val="24"/>
            <w:szCs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 系指适用本项目的要求，“</w:t>
      </w:r>
      <w:sdt>
        <w:sdtPr>
          <w:rPr>
            <w:rFonts w:hint="eastAsia" w:ascii="仿宋" w:hAnsi="仿宋" w:eastAsia="仿宋" w:cs="仿宋"/>
            <w:color w:val="auto"/>
            <w:kern w:val="0"/>
            <w:sz w:val="24"/>
            <w:szCs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 系指不适用本项目的要求。</w:t>
      </w:r>
    </w:p>
    <w:p w14:paraId="31A1D022">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14:paraId="61997F2E">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14:paraId="5D9AB024">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321E8779">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22EDC8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633669B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088A05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0FF891D">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14:paraId="19977EF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FB766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14:paraId="21CFF7DC">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5697E7A">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554F60B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DE1C4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AD0E0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BC9E3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14C2BD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14:paraId="74BAC80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01B8B25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100AD2F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512F2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6AEB4DA4">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r>
        <w:rPr>
          <w:rFonts w:hint="eastAsia" w:ascii="仿宋" w:hAnsi="仿宋" w:eastAsia="仿宋" w:cs="仿宋"/>
          <w:color w:val="auto"/>
          <w:sz w:val="24"/>
          <w:szCs w:val="24"/>
          <w:highlight w:val="none"/>
        </w:rPr>
        <w:cr/>
      </w:r>
      <w:r>
        <w:rPr>
          <w:rFonts w:hint="eastAsia" w:ascii="仿宋" w:hAnsi="仿宋" w:eastAsia="仿宋" w:cs="仿宋"/>
          <w:b/>
          <w:color w:val="auto"/>
          <w:sz w:val="24"/>
          <w:szCs w:val="24"/>
          <w:highlight w:val="none"/>
        </w:rPr>
        <w:t>4. 询问、质疑、投诉</w:t>
      </w:r>
    </w:p>
    <w:p w14:paraId="7510C7F8">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1DAEF5">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4.2供应商询问</w:t>
      </w:r>
    </w:p>
    <w:p w14:paraId="043BACAB">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EBA1E4">
      <w:pPr>
        <w:autoSpaceDE w:val="0"/>
        <w:autoSpaceDN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4.3供应商质疑</w:t>
      </w:r>
    </w:p>
    <w:p w14:paraId="286C153E">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265FD144">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提出质疑，否则，采购人或者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14:paraId="35231A2B">
      <w:pPr>
        <w:pStyle w:val="5"/>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4.3.2.1对招标文件提出质疑的，质疑期限为供应商获得招标文件之日或者招标文件公告期限届满之日起计算。</w:t>
      </w:r>
    </w:p>
    <w:p w14:paraId="78A754E4">
      <w:pPr>
        <w:pStyle w:val="8"/>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4.3.2.2对采购过程提出质疑的，质疑期限为各采购程序环节结束之日起计算。4.3.2.3对采购结果提出质疑的，质疑期限自采购结果公告期限届满之日起计算。</w:t>
      </w:r>
    </w:p>
    <w:p w14:paraId="66A866D3">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14:paraId="78220F3B">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4.3.3.1供应商的姓名或者名称、地址、邮编、联系人及联系电话；</w:t>
      </w:r>
    </w:p>
    <w:p w14:paraId="0DDEA961">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4.3.3.2质疑项目的名称、编号；</w:t>
      </w:r>
    </w:p>
    <w:p w14:paraId="7F640E52">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4.3.3.3具体、明确的质疑事项和与质疑事项相关的请求；</w:t>
      </w:r>
    </w:p>
    <w:p w14:paraId="75F651E8">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4.3.3.4事实依据；</w:t>
      </w:r>
    </w:p>
    <w:p w14:paraId="56018A21">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4.3.3.5必要的法律依据；</w:t>
      </w:r>
    </w:p>
    <w:p w14:paraId="5BDB27A7">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5C2D46BA">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34562C8B">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质疑函范本及制作说明详见附件2。</w:t>
      </w:r>
    </w:p>
    <w:p w14:paraId="46155FEA">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4.3.4对同一采购程序环节的质疑，供应商须在法定质疑期内一次性提出。</w:t>
      </w:r>
    </w:p>
    <w:p w14:paraId="0D795FAE">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4.3.5采购人或者</w:t>
      </w:r>
      <w:r>
        <w:rPr>
          <w:rFonts w:hint="eastAsia" w:ascii="仿宋" w:hAnsi="仿宋" w:eastAsia="仿宋" w:cs="仿宋"/>
          <w:color w:val="auto"/>
          <w:kern w:val="0"/>
          <w:sz w:val="24"/>
          <w:szCs w:val="24"/>
          <w:highlight w:val="none"/>
          <w:lang w:val="zh-CN" w:eastAsia="zh-CN"/>
        </w:rPr>
        <w:t>采购代理机构</w:t>
      </w:r>
      <w:r>
        <w:rPr>
          <w:rFonts w:hint="eastAsia" w:ascii="仿宋" w:hAnsi="仿宋" w:eastAsia="仿宋" w:cs="仿宋"/>
          <w:color w:val="auto"/>
          <w:kern w:val="0"/>
          <w:sz w:val="24"/>
          <w:szCs w:val="24"/>
          <w:highlight w:val="none"/>
          <w:lang w:val="zh-CN"/>
        </w:rPr>
        <w:t>应当在收到供应商的书面质疑后七个工作日内作出答复，</w:t>
      </w:r>
      <w:r>
        <w:rPr>
          <w:rFonts w:hint="eastAsia" w:ascii="仿宋" w:hAnsi="仿宋" w:eastAsia="仿宋" w:cs="仿宋"/>
          <w:color w:val="auto"/>
          <w:sz w:val="24"/>
          <w:szCs w:val="24"/>
          <w:highlight w:val="none"/>
        </w:rPr>
        <w:t>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在质疑回复后5个工作日内，在浙江政府采购网的“其他公告”栏目公开质疑答复，答复内容应当完整。质疑函作为附件上传。</w:t>
      </w:r>
    </w:p>
    <w:p w14:paraId="1C42D140">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20A46B39">
      <w:pPr>
        <w:pStyle w:val="8"/>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5D55A390">
      <w:pPr>
        <w:pStyle w:val="22"/>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的答复不满意或者采购人、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未在规定的时间内作出答复的，可以在答复期满后十五个工作日内向同级政府采购监督管理部门提出投诉。</w:t>
      </w:r>
    </w:p>
    <w:p w14:paraId="61AAA8E2">
      <w:pPr>
        <w:pStyle w:val="22"/>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787096E3">
      <w:pPr>
        <w:pStyle w:val="22"/>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14:paraId="6F894675">
      <w:pPr>
        <w:pStyle w:val="22"/>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14:paraId="72D7E062">
      <w:pPr>
        <w:pStyle w:val="22"/>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193FE08">
      <w:pPr>
        <w:pStyle w:val="2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741EB589">
      <w:pPr>
        <w:keepNext w:val="0"/>
        <w:keepLines w:val="0"/>
        <w:pageBreakBefore w:val="0"/>
        <w:kinsoku/>
        <w:wordWrap/>
        <w:overflowPunct/>
        <w:topLinePunct w:val="0"/>
        <w:autoSpaceDE/>
        <w:autoSpaceDN/>
        <w:bidi w:val="0"/>
        <w:adjustRightInd/>
        <w:spacing w:beforeAutospacing="0"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二、招标文件的构成、澄清、修改</w:t>
      </w:r>
    </w:p>
    <w:p w14:paraId="39C5C4BA">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E2A4161">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4DEFF26B">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0708D9E6">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229BCAD3">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E590EF2">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478B4A7">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539B8A5">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6C54C38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14:paraId="447EECF2">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DD57F7A">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14:paraId="3DB77C02">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AE5A15">
      <w:pPr>
        <w:pStyle w:val="3"/>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p>
    <w:p w14:paraId="05B50C7D">
      <w:pPr>
        <w:adjustRightInd/>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w:t>
      </w:r>
    </w:p>
    <w:p w14:paraId="022100D9">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4E2D962F">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5060DF93">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63D663D">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24738DA7">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51D25E7E">
      <w:pPr>
        <w:pStyle w:val="5"/>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5F9CBACE">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063F3D4">
      <w:pPr>
        <w:autoSpaceDE w:val="0"/>
        <w:autoSpaceDN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46A2ACD8">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56EF10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资格文件</w:t>
      </w:r>
      <w:r>
        <w:rPr>
          <w:rFonts w:hint="eastAsia" w:ascii="仿宋" w:hAnsi="仿宋" w:eastAsia="仿宋" w:cs="仿宋"/>
          <w:color w:val="auto"/>
          <w:sz w:val="24"/>
          <w:szCs w:val="24"/>
          <w:highlight w:val="none"/>
        </w:rPr>
        <w:t>：</w:t>
      </w:r>
    </w:p>
    <w:p w14:paraId="1F8DB230">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14:paraId="1501CE2E">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联合协议（如果有)；</w:t>
      </w:r>
    </w:p>
    <w:p w14:paraId="63EB2384">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11.1.3落实政府采购政策需满足的资格要求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739AD6EF">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11.1.4本项目的特定资格要求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385F2F33">
      <w:pPr>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4612E1B6">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14:paraId="7B6003D7">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14:paraId="46B35206">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79BE1F2C">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14:paraId="1821055C">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14:paraId="2CF1D401">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11.2.6投标标的清单；</w:t>
      </w:r>
    </w:p>
    <w:p w14:paraId="6B2AE5FA">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14:paraId="5A695A26">
      <w:pPr>
        <w:snapToGrid w:val="0"/>
        <w:spacing w:line="360" w:lineRule="auto"/>
        <w:ind w:firstLine="960" w:firstLineChars="4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11233881">
      <w:pPr>
        <w:snapToGrid w:val="0"/>
        <w:spacing w:line="360" w:lineRule="auto"/>
        <w:ind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2C7130A1">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14:paraId="16347477">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w:t>
      </w:r>
    </w:p>
    <w:p w14:paraId="0E30EBB5">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110690C1">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47C911DC">
      <w:pPr>
        <w:pStyle w:val="23"/>
        <w:snapToGrid w:val="0"/>
        <w:spacing w:before="0"/>
        <w:ind w:firstLine="0" w:firstLineChars="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14:paraId="66455F8D">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AF716AA">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DB6668E">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205C0539">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508FB617">
      <w:pPr>
        <w:pStyle w:val="23"/>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6D47D185">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767C7B27">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0DBC5E8C">
      <w:pPr>
        <w:pStyle w:val="23"/>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44A3B267">
      <w:pPr>
        <w:pStyle w:val="23"/>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A8F5E4A">
      <w:pPr>
        <w:pStyle w:val="23"/>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7EEBA1F">
      <w:pPr>
        <w:pStyle w:val="23"/>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14:paraId="4F46FD25">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336E9FD0">
      <w:pPr>
        <w:pStyle w:val="8"/>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3E90FC99">
      <w:pPr>
        <w:pStyle w:val="8"/>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22040779">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5FE8F719">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13C96251">
      <w:pPr>
        <w:pStyle w:val="8"/>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15502EE4">
      <w:pPr>
        <w:pStyle w:val="23"/>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5703B839">
      <w:pPr>
        <w:pStyle w:val="7"/>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14:paraId="3ACBF397">
      <w:pPr>
        <w:pStyle w:val="23"/>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1E113F85">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3EC666A2">
      <w:pPr>
        <w:pStyle w:val="23"/>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6EAFB5D7">
      <w:pPr>
        <w:pStyle w:val="23"/>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14:paraId="135CDC3B">
      <w:pPr>
        <w:pStyle w:val="23"/>
        <w:spacing w:before="0"/>
        <w:ind w:firstLine="1446" w:firstLineChars="6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四、开标、资格审查与信用信息查询</w:t>
      </w:r>
    </w:p>
    <w:p w14:paraId="6F7C19F3">
      <w:pPr>
        <w:pStyle w:val="24"/>
        <w:spacing w:before="0" w:line="360" w:lineRule="auto"/>
        <w:ind w:left="0" w:firstLine="241" w:firstLineChars="100"/>
        <w:contextualSpacing/>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16676E22">
      <w:pPr>
        <w:pStyle w:val="24"/>
        <w:spacing w:before="0" w:line="360" w:lineRule="auto"/>
        <w:ind w:left="0"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14:paraId="7191E356">
      <w:pPr>
        <w:pStyle w:val="24"/>
        <w:spacing w:before="0" w:line="360" w:lineRule="auto"/>
        <w:ind w:left="0" w:firstLine="240" w:firstLineChars="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14:paraId="45FE486F">
      <w:pPr>
        <w:pStyle w:val="24"/>
        <w:spacing w:before="0" w:line="360" w:lineRule="auto"/>
        <w:ind w:left="0" w:firstLine="240" w:firstLineChars="100"/>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273EF68E">
      <w:pPr>
        <w:widowControl/>
        <w:spacing w:before="100" w:beforeAutospacing="1" w:after="24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19、资格审查</w:t>
      </w:r>
    </w:p>
    <w:p w14:paraId="13559DE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14:paraId="14BD33E5">
      <w:pPr>
        <w:pStyle w:val="23"/>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14:paraId="44109B70">
      <w:pPr>
        <w:pStyle w:val="23"/>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14:paraId="318D358E">
      <w:pPr>
        <w:pStyle w:val="23"/>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合格投标人不足3家的，不再评标。</w:t>
      </w:r>
    </w:p>
    <w:p w14:paraId="6FFB5C6B">
      <w:pPr>
        <w:pStyle w:val="23"/>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14:paraId="250DF847">
      <w:pPr>
        <w:pStyle w:val="23"/>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14:paraId="2DCD3B54">
      <w:pPr>
        <w:pStyle w:val="23"/>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20.2信用信息查询记录和证据留存的具体方式：现场查询的投标人的信用记录、查询结果经确认后将与采购文件一起存档。</w:t>
      </w:r>
    </w:p>
    <w:p w14:paraId="66B56DA4">
      <w:pPr>
        <w:pStyle w:val="23"/>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40E7F696">
      <w:pPr>
        <w:pStyle w:val="23"/>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7763ACEB">
      <w:pPr>
        <w:pStyle w:val="23"/>
        <w:spacing w:before="0"/>
        <w:ind w:firstLine="0" w:firstLineChars="0"/>
        <w:rPr>
          <w:rFonts w:hint="eastAsia" w:ascii="仿宋" w:hAnsi="仿宋" w:eastAsia="仿宋" w:cs="仿宋"/>
          <w:color w:val="auto"/>
          <w:kern w:val="0"/>
          <w:sz w:val="24"/>
          <w:szCs w:val="24"/>
          <w:highlight w:val="none"/>
        </w:rPr>
      </w:pPr>
    </w:p>
    <w:p w14:paraId="58043A71">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五、评标</w:t>
      </w:r>
    </w:p>
    <w:p w14:paraId="1CC5544C">
      <w:pPr>
        <w:spacing w:line="360" w:lineRule="auto"/>
        <w:rPr>
          <w:rFonts w:hint="eastAsia" w:ascii="仿宋" w:hAnsi="仿宋" w:eastAsia="仿宋" w:cs="仿宋"/>
          <w:b/>
          <w:color w:val="auto"/>
          <w:sz w:val="24"/>
          <w:szCs w:val="24"/>
          <w:highlight w:val="none"/>
        </w:rPr>
      </w:pPr>
      <w:bookmarkStart w:id="12"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14:paraId="6C0405C7">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六、定 标</w:t>
      </w:r>
    </w:p>
    <w:p w14:paraId="5DE92D54">
      <w:pPr>
        <w:pStyle w:val="7"/>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14:paraId="73E5A269">
      <w:pPr>
        <w:pStyle w:val="23"/>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4CD837D">
      <w:pPr>
        <w:pStyle w:val="23"/>
        <w:snapToGrid w:val="0"/>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14:paraId="6EE06146">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通过电子交易平台向中标人发出中标通知书，同时编制发布采购结果公告。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也可以以纸质形式进行中标通知。</w:t>
      </w:r>
    </w:p>
    <w:p w14:paraId="112198DF">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szCs w:val="24"/>
          <w:highlight w:val="none"/>
        </w:rPr>
        <w:t>资格审查情况、评审专家抽取规则、符合性审查情况、</w:t>
      </w:r>
      <w:bookmarkEnd w:id="13"/>
      <w:r>
        <w:rPr>
          <w:rFonts w:hint="eastAsia" w:ascii="仿宋" w:hAnsi="仿宋" w:eastAsia="仿宋" w:cs="仿宋"/>
          <w:color w:val="auto"/>
          <w:sz w:val="24"/>
          <w:szCs w:val="24"/>
          <w:highlight w:val="none"/>
        </w:rPr>
        <w:t>未中标情况说明、中标公告期限以及评审专家名单、评分汇总及明细。</w:t>
      </w:r>
    </w:p>
    <w:p w14:paraId="21C90242">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14:paraId="052F6D35">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七、合同授予</w:t>
      </w:r>
    </w:p>
    <w:p w14:paraId="797FAFDB">
      <w:pPr>
        <w:pStyle w:val="7"/>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14:paraId="6C0B5066">
      <w:pPr>
        <w:pStyle w:val="7"/>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14:paraId="21E90FE6">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79B0C6">
      <w:pPr>
        <w:pStyle w:val="23"/>
        <w:snapToGrid w:val="0"/>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70992E9">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25.3如签订合同并生效后，供应商无故拒绝或延期，除按照合同条款处理外，列入不良行为记录一次，并给予通报。</w:t>
      </w:r>
    </w:p>
    <w:p w14:paraId="414F47C4">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62456C12">
      <w:pPr>
        <w:pStyle w:val="23"/>
        <w:snapToGrid w:val="0"/>
        <w:spacing w:before="0" w:after="1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25.5采购合同由采购人与中标供应商根据招标文件、投标文件等内容通过政府采购电子交易平台在线签订，自动备案。</w:t>
      </w:r>
    </w:p>
    <w:p w14:paraId="5B17672F">
      <w:pPr>
        <w:pStyle w:val="7"/>
        <w:spacing w:line="360" w:lineRule="auto"/>
        <w:ind w:left="479" w:hanging="479" w:hangingChars="199"/>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26. 履约保证金</w:t>
      </w:r>
    </w:p>
    <w:p w14:paraId="37E64894">
      <w:pPr>
        <w:tabs>
          <w:tab w:val="left" w:pos="0"/>
        </w:tabs>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3CB6AE5">
      <w:pPr>
        <w:pStyle w:val="4"/>
        <w:ind w:left="0" w:firstLine="480" w:firstLineChars="200"/>
        <w:rPr>
          <w:rFonts w:hint="eastAsia" w:ascii="仿宋" w:hAnsi="仿宋" w:eastAsia="仿宋" w:cs="仿宋"/>
          <w:b w:val="0"/>
          <w:bCs w:val="0"/>
          <w:snapToGrid w:val="0"/>
          <w:color w:val="auto"/>
          <w:kern w:val="28"/>
          <w:sz w:val="24"/>
          <w:szCs w:val="24"/>
          <w:highlight w:val="none"/>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7158C8F">
      <w:pPr>
        <w:pStyle w:val="4"/>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rPr>
        <w:t>27.预付款</w:t>
      </w:r>
    </w:p>
    <w:p w14:paraId="01FCF9D6">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BBF2559">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八、电子交易活动的中止</w:t>
      </w:r>
    </w:p>
    <w:p w14:paraId="054E895A">
      <w:pPr>
        <w:pStyle w:val="23"/>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b/>
          <w:color w:val="auto"/>
          <w:sz w:val="24"/>
          <w:szCs w:val="24"/>
          <w:highlight w:val="none"/>
        </w:rPr>
        <w:t>. 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14:paraId="69F6E56E">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28.1电子交易平台发生故障而无法登录访问的； </w:t>
      </w:r>
    </w:p>
    <w:p w14:paraId="2C1E9519">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28.2电子交易平台应用或数据库出现错误，不能进行正常操作的；</w:t>
      </w:r>
    </w:p>
    <w:p w14:paraId="4B804F04">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28.3电子交易平台发现严重安全漏洞，有潜在泄密危险的；</w:t>
      </w:r>
    </w:p>
    <w:p w14:paraId="6C4EFAF9">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28.4病毒发作导致不能进行正常操作的； </w:t>
      </w:r>
    </w:p>
    <w:p w14:paraId="0C36041C">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28.5其他无法保证电子交易的公平、公正和安全的情况。</w:t>
      </w:r>
    </w:p>
    <w:p w14:paraId="7DD9DBF9">
      <w:pPr>
        <w:pStyle w:val="23"/>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1229052">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九、验收</w:t>
      </w:r>
    </w:p>
    <w:p w14:paraId="4DCC8DED">
      <w:pPr>
        <w:pStyle w:val="7"/>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30.验收</w:t>
      </w:r>
    </w:p>
    <w:p w14:paraId="19086A29">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298EB5">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30.2采购人可以邀请参加本项目的其他投标人或者第三方机构参与验收。参与验收的投标人或者第三方机构的意见作为验收书的参考资料一并存档。</w:t>
      </w:r>
    </w:p>
    <w:p w14:paraId="5C4850CE">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73D395">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2FFA2F78">
      <w:pPr>
        <w:tabs>
          <w:tab w:val="left" w:pos="0"/>
        </w:tabs>
        <w:spacing w:line="360" w:lineRule="auto"/>
        <w:ind w:firstLine="480"/>
        <w:rPr>
          <w:rFonts w:hint="eastAsia" w:ascii="仿宋" w:hAnsi="仿宋" w:eastAsia="仿宋" w:cs="仿宋"/>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340" w:footer="992" w:gutter="0"/>
          <w:cols w:space="720" w:num="1"/>
          <w:titlePg/>
          <w:docGrid w:linePitch="312" w:charSpace="0"/>
        </w:sectPr>
      </w:pPr>
      <w:bookmarkStart w:id="14" w:name="_Hlt68072990"/>
      <w:bookmarkEnd w:id="14"/>
      <w:bookmarkStart w:id="15" w:name="_Hlt68403820"/>
      <w:bookmarkEnd w:id="15"/>
      <w:bookmarkStart w:id="16" w:name="_Hlt68072998"/>
      <w:bookmarkEnd w:id="16"/>
      <w:bookmarkStart w:id="17" w:name="_Hlt74730295"/>
      <w:bookmarkEnd w:id="17"/>
      <w:bookmarkStart w:id="18" w:name="_Hlt74707468"/>
      <w:bookmarkEnd w:id="18"/>
      <w:bookmarkStart w:id="19" w:name="_Hlt74729768"/>
      <w:bookmarkEnd w:id="19"/>
      <w:bookmarkStart w:id="20" w:name="_Hlt68057669"/>
      <w:bookmarkEnd w:id="20"/>
      <w:bookmarkStart w:id="21" w:name="_Hlt74714665"/>
      <w:bookmarkEnd w:id="21"/>
      <w:bookmarkStart w:id="22" w:name="_Hlt68073093"/>
      <w:bookmarkEnd w:id="22"/>
      <w:bookmarkStart w:id="23" w:name="_Hlt75236011"/>
      <w:bookmarkEnd w:id="23"/>
      <w:bookmarkStart w:id="24" w:name="_Hlt75236101"/>
      <w:bookmarkEnd w:id="24"/>
      <w:bookmarkStart w:id="25" w:name="_Hlt75236290"/>
      <w:bookmarkEnd w:id="25"/>
    </w:p>
    <w:bookmarkEnd w:id="10"/>
    <w:bookmarkEnd w:id="11"/>
    <w:p w14:paraId="6EEEA99D">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3F6CFF6E">
      <w:pPr>
        <w:spacing w:line="360" w:lineRule="auto"/>
        <w:ind w:firstLine="482" w:firstLineChars="200"/>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标项一：</w:t>
      </w:r>
      <w:r>
        <w:rPr>
          <w:rFonts w:hint="eastAsia" w:ascii="仿宋" w:hAnsi="仿宋" w:eastAsia="仿宋" w:cs="仿宋"/>
          <w:snapToGrid/>
          <w:color w:val="auto"/>
          <w:kern w:val="2"/>
          <w:sz w:val="24"/>
          <w:szCs w:val="24"/>
          <w:highlight w:val="none"/>
          <w:lang w:eastAsia="zh-CN"/>
        </w:rPr>
        <w:t>潮鸣街道2025年平安综合治理协助项目</w:t>
      </w:r>
    </w:p>
    <w:p w14:paraId="6AE537B5">
      <w:pPr>
        <w:widowControl/>
        <w:shd w:val="clear" w:color="auto" w:fill="FFFFFF"/>
        <w:adjustRightInd/>
        <w:snapToGrid w:val="0"/>
        <w:spacing w:before="120" w:beforeAutospacing="1" w:after="120" w:line="360" w:lineRule="auto"/>
        <w:contextualSpacing/>
        <w:jc w:val="left"/>
        <w:rPr>
          <w:rFonts w:hint="eastAsia" w:ascii="仿宋" w:hAnsi="仿宋" w:eastAsia="仿宋" w:cs="仿宋"/>
          <w:b/>
          <w:bCs/>
          <w:color w:val="auto"/>
          <w:kern w:val="0"/>
          <w:sz w:val="24"/>
        </w:rPr>
      </w:pPr>
      <w:r>
        <w:rPr>
          <w:rFonts w:hint="eastAsia" w:ascii="仿宋" w:hAnsi="仿宋" w:eastAsia="仿宋" w:cs="仿宋"/>
          <w:b/>
          <w:bCs/>
          <w:color w:val="auto"/>
          <w:kern w:val="0"/>
          <w:sz w:val="24"/>
        </w:rPr>
        <w:t>一、项目背景</w:t>
      </w:r>
    </w:p>
    <w:p w14:paraId="1FAC1910">
      <w:pPr>
        <w:adjustRightInd/>
        <w:spacing w:line="360" w:lineRule="auto"/>
        <w:ind w:firstLine="480" w:firstLineChars="200"/>
        <w:rPr>
          <w:rFonts w:hint="eastAsia" w:ascii="仿宋" w:hAnsi="仿宋" w:eastAsia="仿宋" w:cs="仿宋"/>
          <w:b/>
          <w:color w:val="auto"/>
          <w:sz w:val="24"/>
          <w:shd w:val="clear" w:color="auto" w:fill="FFFFFF"/>
        </w:rPr>
      </w:pPr>
      <w:r>
        <w:rPr>
          <w:rFonts w:hint="eastAsia" w:ascii="仿宋" w:hAnsi="仿宋" w:eastAsia="仿宋" w:cs="仿宋"/>
          <w:color w:val="auto"/>
          <w:kern w:val="0"/>
          <w:sz w:val="24"/>
        </w:rPr>
        <w:t>杭州市拱墅区人民政府潮鸣街道办事处为全面提升辖区社会治安管理水平，推进街道平安建设，及时应对处置突发状况，保障辖区社会治安环境稳定，通过政府购买服务的形式，聘请专业的特勤保安队伍进行相关工作。</w:t>
      </w:r>
    </w:p>
    <w:p w14:paraId="77A5C2C7">
      <w:pPr>
        <w:adjustRightInd/>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投标报价是履行合同的最终价格。本项目的投标报价，包括人员工资、各种社会保险、劳保、福利、食宿、交通、设备、利润、税金等为完成承包期内保安服务需要发生的全部费用，加班费用不在本项目内。投标人的投标价格在合同执行期间一次包干，其他市场价格波动因素自行考虑，合同总价不再作调整。采购人除以上服务费用之外不再承担其它任何费用，特勤保安人员的薪金、福利、休假日补贴、医疗费用等均由中标单位负责，与采购人无关。</w:t>
      </w:r>
    </w:p>
    <w:p w14:paraId="50B835DC">
      <w:pPr>
        <w:adjustRightInd/>
        <w:spacing w:line="360" w:lineRule="auto"/>
        <w:jc w:val="left"/>
        <w:rPr>
          <w:rFonts w:hint="eastAsia" w:ascii="仿宋" w:hAnsi="仿宋" w:eastAsia="仿宋" w:cs="仿宋"/>
          <w:b/>
          <w:color w:val="auto"/>
          <w:sz w:val="24"/>
          <w:shd w:val="clear" w:color="auto" w:fill="FFFFFF"/>
        </w:rPr>
      </w:pPr>
      <w:r>
        <w:rPr>
          <w:rFonts w:hint="eastAsia" w:ascii="仿宋" w:hAnsi="仿宋" w:eastAsia="仿宋" w:cs="仿宋"/>
          <w:b/>
          <w:bCs/>
          <w:color w:val="auto"/>
          <w:sz w:val="24"/>
        </w:rPr>
        <w:t>二、</w:t>
      </w:r>
      <w:r>
        <w:rPr>
          <w:rFonts w:hint="eastAsia" w:ascii="仿宋" w:hAnsi="仿宋" w:eastAsia="仿宋" w:cs="仿宋"/>
          <w:b/>
          <w:color w:val="auto"/>
          <w:sz w:val="24"/>
          <w:shd w:val="clear" w:color="auto" w:fill="FFFFFF"/>
        </w:rPr>
        <w:t xml:space="preserve">项目具体要求 </w:t>
      </w:r>
    </w:p>
    <w:p w14:paraId="425A9867">
      <w:pPr>
        <w:adjustRightInd/>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1、保安服务场所：</w:t>
      </w:r>
      <w:r>
        <w:rPr>
          <w:rFonts w:hint="eastAsia" w:ascii="仿宋" w:hAnsi="仿宋" w:eastAsia="仿宋" w:cs="仿宋"/>
          <w:color w:val="auto"/>
          <w:kern w:val="0"/>
          <w:sz w:val="24"/>
        </w:rPr>
        <w:t>杭州市拱墅区人民政府潮鸣街道管辖范围。</w:t>
      </w:r>
    </w:p>
    <w:p w14:paraId="02194A9B">
      <w:pPr>
        <w:adjustRightInd/>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2、甲方（采购人，下同）向乙方（供应商，下同）聘用特保</w:t>
      </w:r>
      <w:r>
        <w:rPr>
          <w:rFonts w:hint="eastAsia" w:ascii="仿宋" w:hAnsi="仿宋" w:eastAsia="仿宋" w:cs="仿宋"/>
          <w:b/>
          <w:color w:val="auto"/>
          <w:kern w:val="0"/>
          <w:sz w:val="24"/>
          <w:u w:val="single"/>
        </w:rPr>
        <w:t xml:space="preserve"> </w:t>
      </w:r>
      <w:r>
        <w:rPr>
          <w:rFonts w:hint="eastAsia" w:ascii="仿宋" w:hAnsi="仿宋" w:eastAsia="仿宋" w:cs="仿宋"/>
          <w:b/>
          <w:color w:val="auto"/>
          <w:kern w:val="0"/>
          <w:sz w:val="24"/>
          <w:u w:val="single"/>
          <w:lang w:val="en-US" w:eastAsia="zh-CN"/>
        </w:rPr>
        <w:t>15</w:t>
      </w:r>
      <w:r>
        <w:rPr>
          <w:rFonts w:hint="eastAsia" w:ascii="仿宋" w:hAnsi="仿宋" w:eastAsia="仿宋" w:cs="仿宋"/>
          <w:b/>
          <w:color w:val="auto"/>
          <w:kern w:val="0"/>
          <w:sz w:val="24"/>
          <w:u w:val="single"/>
        </w:rPr>
        <w:t xml:space="preserve"> </w:t>
      </w:r>
      <w:r>
        <w:rPr>
          <w:rFonts w:hint="eastAsia" w:ascii="仿宋" w:hAnsi="仿宋" w:eastAsia="仿宋" w:cs="仿宋"/>
          <w:color w:val="auto"/>
          <w:kern w:val="0"/>
          <w:sz w:val="24"/>
        </w:rPr>
        <w:t>岗，服务费用共计</w:t>
      </w:r>
      <w:r>
        <w:rPr>
          <w:rFonts w:hint="eastAsia" w:ascii="仿宋" w:hAnsi="仿宋" w:eastAsia="仿宋" w:cs="仿宋"/>
          <w:color w:val="auto"/>
          <w:kern w:val="0"/>
          <w:sz w:val="24"/>
          <w:lang w:val="en-US" w:eastAsia="zh-CN"/>
        </w:rPr>
        <w:t>100.8</w:t>
      </w:r>
      <w:r>
        <w:rPr>
          <w:rFonts w:hint="eastAsia" w:ascii="仿宋" w:hAnsi="仿宋" w:eastAsia="仿宋" w:cs="仿宋"/>
          <w:color w:val="auto"/>
          <w:kern w:val="0"/>
          <w:sz w:val="24"/>
        </w:rPr>
        <w:t>万元整，特保用于</w:t>
      </w:r>
      <w:r>
        <w:rPr>
          <w:rFonts w:hint="eastAsia" w:ascii="仿宋" w:hAnsi="仿宋" w:eastAsia="仿宋" w:cs="仿宋"/>
          <w:color w:val="auto"/>
          <w:kern w:val="0"/>
          <w:sz w:val="24"/>
          <w:lang w:val="en-US" w:eastAsia="zh-CN"/>
        </w:rPr>
        <w:t>平安综合治理协助项目</w:t>
      </w:r>
      <w:r>
        <w:rPr>
          <w:rFonts w:hint="eastAsia" w:ascii="仿宋" w:hAnsi="仿宋" w:eastAsia="仿宋" w:cs="仿宋"/>
          <w:color w:val="auto"/>
          <w:kern w:val="0"/>
          <w:sz w:val="24"/>
        </w:rPr>
        <w:t>，经费</w:t>
      </w:r>
      <w:r>
        <w:rPr>
          <w:rFonts w:hint="eastAsia" w:ascii="仿宋" w:hAnsi="仿宋" w:eastAsia="仿宋" w:cs="仿宋"/>
          <w:color w:val="auto"/>
          <w:kern w:val="0"/>
          <w:sz w:val="24"/>
          <w:lang w:val="en-US" w:eastAsia="zh-CN"/>
        </w:rPr>
        <w:t>由街道综治经费列支</w:t>
      </w:r>
      <w:r>
        <w:rPr>
          <w:rFonts w:hint="eastAsia" w:ascii="仿宋" w:hAnsi="仿宋" w:eastAsia="仿宋" w:cs="仿宋"/>
          <w:color w:val="auto"/>
          <w:kern w:val="0"/>
          <w:sz w:val="24"/>
        </w:rPr>
        <w:t>。岗位功能需求及数量如下，具体每位特保人员的工作岗位根据采购人实际需求由保安队长具体安排：</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8"/>
        <w:gridCol w:w="3786"/>
        <w:gridCol w:w="1974"/>
      </w:tblGrid>
      <w:tr w14:paraId="3A10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563" w:type="dxa"/>
          </w:tcPr>
          <w:p w14:paraId="39BA0FE6">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标段</w:t>
            </w:r>
          </w:p>
        </w:tc>
        <w:tc>
          <w:tcPr>
            <w:tcW w:w="1563" w:type="dxa"/>
          </w:tcPr>
          <w:p w14:paraId="0A2E49F4">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项目名称</w:t>
            </w:r>
          </w:p>
        </w:tc>
        <w:tc>
          <w:tcPr>
            <w:tcW w:w="4449" w:type="dxa"/>
          </w:tcPr>
          <w:p w14:paraId="6ABC20E2">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岗位描述</w:t>
            </w:r>
          </w:p>
        </w:tc>
        <w:tc>
          <w:tcPr>
            <w:tcW w:w="2300" w:type="dxa"/>
          </w:tcPr>
          <w:p w14:paraId="7860B741">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岗位数</w:t>
            </w:r>
          </w:p>
        </w:tc>
      </w:tr>
      <w:tr w14:paraId="5947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Merge w:val="restart"/>
            <w:vAlign w:val="center"/>
          </w:tcPr>
          <w:p w14:paraId="508D8F9D">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标段1</w:t>
            </w:r>
          </w:p>
        </w:tc>
        <w:tc>
          <w:tcPr>
            <w:tcW w:w="1563" w:type="dxa"/>
            <w:vMerge w:val="restart"/>
            <w:vAlign w:val="center"/>
          </w:tcPr>
          <w:p w14:paraId="6EDB1043">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平安综合治理协助</w:t>
            </w:r>
          </w:p>
        </w:tc>
        <w:tc>
          <w:tcPr>
            <w:tcW w:w="4449" w:type="dxa"/>
          </w:tcPr>
          <w:p w14:paraId="0648BDEC">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信访、综治、矛调、维稳</w:t>
            </w:r>
            <w:r>
              <w:rPr>
                <w:rFonts w:hint="eastAsia" w:ascii="仿宋" w:hAnsi="仿宋" w:eastAsia="仿宋" w:cs="仿宋"/>
                <w:color w:val="auto"/>
                <w:sz w:val="24"/>
                <w:szCs w:val="24"/>
                <w:lang w:eastAsia="zh-CN"/>
              </w:rPr>
              <w:t>协助岗</w:t>
            </w:r>
          </w:p>
        </w:tc>
        <w:tc>
          <w:tcPr>
            <w:tcW w:w="2300" w:type="dxa"/>
          </w:tcPr>
          <w:p w14:paraId="32506773">
            <w:pP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5168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Merge w:val="continue"/>
          </w:tcPr>
          <w:p w14:paraId="066573B5">
            <w:pPr>
              <w:rPr>
                <w:rFonts w:hint="eastAsia" w:ascii="仿宋" w:hAnsi="仿宋" w:eastAsia="仿宋" w:cs="仿宋"/>
                <w:color w:val="auto"/>
                <w:sz w:val="24"/>
                <w:szCs w:val="24"/>
              </w:rPr>
            </w:pPr>
          </w:p>
        </w:tc>
        <w:tc>
          <w:tcPr>
            <w:tcW w:w="1563" w:type="dxa"/>
            <w:vMerge w:val="continue"/>
          </w:tcPr>
          <w:p w14:paraId="4C88C125">
            <w:pPr>
              <w:rPr>
                <w:rFonts w:hint="eastAsia" w:ascii="仿宋" w:hAnsi="仿宋" w:eastAsia="仿宋" w:cs="仿宋"/>
                <w:color w:val="auto"/>
                <w:sz w:val="24"/>
                <w:szCs w:val="24"/>
              </w:rPr>
            </w:pPr>
          </w:p>
        </w:tc>
        <w:tc>
          <w:tcPr>
            <w:tcW w:w="4449" w:type="dxa"/>
          </w:tcPr>
          <w:p w14:paraId="6E2E7894">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警网协同</w:t>
            </w:r>
            <w:r>
              <w:rPr>
                <w:rFonts w:hint="eastAsia" w:ascii="仿宋" w:hAnsi="仿宋" w:eastAsia="仿宋" w:cs="仿宋"/>
                <w:color w:val="auto"/>
                <w:sz w:val="24"/>
                <w:szCs w:val="24"/>
                <w:lang w:eastAsia="zh-CN"/>
              </w:rPr>
              <w:t>协助岗（</w:t>
            </w:r>
            <w:r>
              <w:rPr>
                <w:rFonts w:hint="eastAsia" w:ascii="仿宋" w:hAnsi="仿宋" w:eastAsia="仿宋" w:cs="仿宋"/>
                <w:color w:val="auto"/>
                <w:sz w:val="24"/>
                <w:szCs w:val="24"/>
                <w:lang w:val="en-US" w:eastAsia="zh-CN"/>
              </w:rPr>
              <w:t>全年24小时确保2人同时在岗）</w:t>
            </w:r>
          </w:p>
        </w:tc>
        <w:tc>
          <w:tcPr>
            <w:tcW w:w="2300" w:type="dxa"/>
          </w:tcPr>
          <w:p w14:paraId="185D0B1B">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r>
      <w:tr w14:paraId="2537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Merge w:val="continue"/>
          </w:tcPr>
          <w:p w14:paraId="3CC7467A">
            <w:pPr>
              <w:jc w:val="center"/>
              <w:rPr>
                <w:rFonts w:hint="eastAsia" w:ascii="仿宋" w:hAnsi="仿宋" w:eastAsia="仿宋" w:cs="仿宋"/>
                <w:color w:val="auto"/>
                <w:sz w:val="24"/>
                <w:szCs w:val="24"/>
              </w:rPr>
            </w:pPr>
          </w:p>
        </w:tc>
        <w:tc>
          <w:tcPr>
            <w:tcW w:w="1563" w:type="dxa"/>
            <w:vMerge w:val="continue"/>
          </w:tcPr>
          <w:p w14:paraId="3F18F74C">
            <w:pPr>
              <w:jc w:val="center"/>
              <w:rPr>
                <w:rFonts w:hint="eastAsia" w:ascii="仿宋" w:hAnsi="仿宋" w:eastAsia="仿宋" w:cs="仿宋"/>
                <w:color w:val="auto"/>
                <w:sz w:val="24"/>
                <w:szCs w:val="24"/>
              </w:rPr>
            </w:pPr>
          </w:p>
        </w:tc>
        <w:tc>
          <w:tcPr>
            <w:tcW w:w="4449" w:type="dxa"/>
          </w:tcPr>
          <w:p w14:paraId="123BD0A0">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基层智治四平台</w:t>
            </w:r>
            <w:r>
              <w:rPr>
                <w:rFonts w:hint="eastAsia" w:ascii="仿宋" w:hAnsi="仿宋" w:eastAsia="仿宋" w:cs="仿宋"/>
                <w:color w:val="auto"/>
                <w:sz w:val="24"/>
                <w:szCs w:val="24"/>
                <w:lang w:eastAsia="zh-CN"/>
              </w:rPr>
              <w:t>协助岗</w:t>
            </w:r>
          </w:p>
        </w:tc>
        <w:tc>
          <w:tcPr>
            <w:tcW w:w="2300" w:type="dxa"/>
          </w:tcPr>
          <w:p w14:paraId="33314E22">
            <w:pP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4A96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Merge w:val="continue"/>
          </w:tcPr>
          <w:p w14:paraId="10B8DB53">
            <w:pPr>
              <w:jc w:val="center"/>
              <w:rPr>
                <w:rFonts w:hint="eastAsia" w:ascii="仿宋" w:hAnsi="仿宋" w:eastAsia="仿宋" w:cs="仿宋"/>
                <w:color w:val="auto"/>
                <w:sz w:val="24"/>
                <w:szCs w:val="24"/>
              </w:rPr>
            </w:pPr>
          </w:p>
        </w:tc>
        <w:tc>
          <w:tcPr>
            <w:tcW w:w="1563" w:type="dxa"/>
            <w:vMerge w:val="continue"/>
          </w:tcPr>
          <w:p w14:paraId="2D88D71B">
            <w:pPr>
              <w:jc w:val="center"/>
              <w:rPr>
                <w:rFonts w:hint="eastAsia" w:ascii="仿宋" w:hAnsi="仿宋" w:eastAsia="仿宋" w:cs="仿宋"/>
                <w:color w:val="auto"/>
                <w:sz w:val="24"/>
                <w:szCs w:val="24"/>
              </w:rPr>
            </w:pPr>
          </w:p>
        </w:tc>
        <w:tc>
          <w:tcPr>
            <w:tcW w:w="4449" w:type="dxa"/>
          </w:tcPr>
          <w:p w14:paraId="4288FD8E">
            <w:pPr>
              <w:rPr>
                <w:rFonts w:hint="eastAsia" w:ascii="仿宋" w:hAnsi="仿宋" w:eastAsia="仿宋" w:cs="仿宋"/>
                <w:color w:val="auto"/>
                <w:sz w:val="24"/>
                <w:szCs w:val="24"/>
              </w:rPr>
            </w:pPr>
            <w:r>
              <w:rPr>
                <w:rFonts w:hint="eastAsia" w:ascii="仿宋" w:hAnsi="仿宋" w:eastAsia="仿宋" w:cs="仿宋"/>
                <w:color w:val="auto"/>
                <w:sz w:val="24"/>
                <w:szCs w:val="24"/>
              </w:rPr>
              <w:t>市场监管</w:t>
            </w:r>
            <w:r>
              <w:rPr>
                <w:rFonts w:hint="eastAsia" w:ascii="仿宋" w:hAnsi="仿宋" w:eastAsia="仿宋" w:cs="仿宋"/>
                <w:color w:val="auto"/>
                <w:sz w:val="24"/>
                <w:szCs w:val="24"/>
                <w:lang w:eastAsia="zh-CN"/>
              </w:rPr>
              <w:t>协助</w:t>
            </w:r>
            <w:r>
              <w:rPr>
                <w:rFonts w:hint="eastAsia" w:ascii="仿宋" w:hAnsi="仿宋" w:eastAsia="仿宋" w:cs="仿宋"/>
                <w:color w:val="auto"/>
                <w:sz w:val="24"/>
                <w:szCs w:val="24"/>
              </w:rPr>
              <w:t>岗</w:t>
            </w:r>
          </w:p>
        </w:tc>
        <w:tc>
          <w:tcPr>
            <w:tcW w:w="2300" w:type="dxa"/>
          </w:tcPr>
          <w:p w14:paraId="5F2B3F30">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r>
    </w:tbl>
    <w:p w14:paraId="38E6618D">
      <w:pPr>
        <w:adjustRightInd/>
        <w:spacing w:line="360" w:lineRule="auto"/>
        <w:ind w:firstLine="480" w:firstLineChars="200"/>
        <w:rPr>
          <w:rFonts w:hint="eastAsia" w:ascii="仿宋" w:hAnsi="仿宋" w:eastAsia="仿宋" w:cs="仿宋"/>
          <w:color w:val="auto"/>
          <w:kern w:val="0"/>
          <w:sz w:val="24"/>
        </w:rPr>
      </w:pPr>
    </w:p>
    <w:p w14:paraId="32DD4203">
      <w:pPr>
        <w:adjustRightInd/>
        <w:spacing w:line="500" w:lineRule="exact"/>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rPr>
        <w:t>保安队长每天应向采购人提交特保人员签到情况，各具体岗位安排的人员名单，执勤班次时长。采购人将不定时进行核查。</w:t>
      </w:r>
    </w:p>
    <w:p w14:paraId="0894A693">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中标单位提供服务后，除正常休假外，确保不缺岗，如缺岗按实际缺岗时数扣除当月劳务费。</w:t>
      </w:r>
    </w:p>
    <w:p w14:paraId="4FEE0107">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中标单位要对相关人员进行绩效考核，奖优惩劣，原则上要预留20%左右经费用于绩效奖励，定期根据街道提供的建议人员名单综合确定。此外，中标单位需给予岗位工作人员购买不少于200万元/人的保险。</w:t>
      </w:r>
    </w:p>
    <w:p w14:paraId="131BFF51">
      <w:pPr>
        <w:adjustRightInd/>
        <w:spacing w:line="50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如需岗位加班的，按照24元/小时支付，需要额外新增岗位（人）的，按照40元/小时支付。加班费用另行约定及结算。</w:t>
      </w:r>
    </w:p>
    <w:p w14:paraId="4B1F2E2D">
      <w:pPr>
        <w:adjustRightInd/>
        <w:spacing w:line="50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3、乙方提供的岗位人员素质要求：</w:t>
      </w:r>
    </w:p>
    <w:p w14:paraId="525BCE90">
      <w:pPr>
        <w:adjustRightInd/>
        <w:spacing w:line="500" w:lineRule="exact"/>
        <w:ind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（1）特保人员须持证上岗，相关服务人员有较好的形象，男：身高（平均）在170cm及以上、40岁及以下。女：身高（平均）在160cm及以上、35岁及以下。特保人员应具备</w:t>
      </w:r>
      <w:r>
        <w:rPr>
          <w:rFonts w:hint="eastAsia" w:ascii="仿宋" w:hAnsi="仿宋" w:eastAsia="仿宋" w:cs="仿宋"/>
          <w:color w:val="auto"/>
          <w:kern w:val="0"/>
          <w:sz w:val="24"/>
          <w:lang w:val="en-US" w:eastAsia="zh-CN"/>
        </w:rPr>
        <w:t>大专</w:t>
      </w:r>
      <w:r>
        <w:rPr>
          <w:rFonts w:hint="eastAsia" w:ascii="仿宋" w:hAnsi="仿宋" w:eastAsia="仿宋" w:cs="仿宋"/>
          <w:color w:val="auto"/>
          <w:kern w:val="0"/>
          <w:sz w:val="24"/>
        </w:rPr>
        <w:t>及以上文化程度</w:t>
      </w:r>
      <w:r>
        <w:rPr>
          <w:rFonts w:hint="eastAsia" w:ascii="仿宋" w:hAnsi="仿宋" w:eastAsia="仿宋" w:cs="仿宋"/>
          <w:color w:val="auto"/>
          <w:kern w:val="0"/>
          <w:sz w:val="24"/>
          <w:lang w:eastAsia="zh-CN"/>
        </w:rPr>
        <w:t>（</w:t>
      </w:r>
      <w:r>
        <w:rPr>
          <w:rFonts w:hint="eastAsia" w:ascii="仿宋" w:hAnsi="仿宋" w:eastAsia="仿宋" w:cs="仿宋"/>
          <w:color w:val="auto"/>
          <w:sz w:val="24"/>
          <w:szCs w:val="24"/>
        </w:rPr>
        <w:t>警网协同</w:t>
      </w:r>
      <w:r>
        <w:rPr>
          <w:rFonts w:hint="eastAsia" w:ascii="仿宋" w:hAnsi="仿宋" w:eastAsia="仿宋" w:cs="仿宋"/>
          <w:color w:val="auto"/>
          <w:sz w:val="24"/>
          <w:szCs w:val="24"/>
          <w:lang w:eastAsia="zh-CN"/>
        </w:rPr>
        <w:t>协助岗</w:t>
      </w:r>
      <w:r>
        <w:rPr>
          <w:rFonts w:hint="eastAsia" w:ascii="仿宋" w:hAnsi="仿宋" w:eastAsia="仿宋" w:cs="仿宋"/>
          <w:color w:val="auto"/>
          <w:sz w:val="24"/>
          <w:szCs w:val="24"/>
          <w:lang w:val="en-US" w:eastAsia="zh-CN"/>
        </w:rPr>
        <w:t>可适当放宽要求至高中）</w:t>
      </w:r>
      <w:r>
        <w:rPr>
          <w:rFonts w:hint="eastAsia" w:ascii="仿宋" w:hAnsi="仿宋" w:eastAsia="仿宋" w:cs="仿宋"/>
          <w:color w:val="auto"/>
          <w:kern w:val="0"/>
          <w:sz w:val="24"/>
        </w:rPr>
        <w:t>，身体健康，没有传染病及精神疾病等不能控制自己行为能力的疾病病史，体貌端正、政治上可靠、没有犯罪记录；</w:t>
      </w:r>
    </w:p>
    <w:p w14:paraId="6A4A8AB2">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（2）特保人员须有较好的语言、文字表达能力、执法、懂法、守法、依法办事、能独立履行岗位管理工作职能，退伍军人或从事保安工作的人员优先；</w:t>
      </w:r>
    </w:p>
    <w:p w14:paraId="310352EB">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（3）特保人员须有吃苦耐劳的精神和高度的责任感，受过专门的岗前培训，熟知管理规定，严格履行岗位职责，善于发现各类问题，具备一定的管理经验和处理突发事件的能力；</w:t>
      </w:r>
    </w:p>
    <w:p w14:paraId="091A9ADB">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（4）特保从业人员上岗时应当着保安员服装，佩戴全国统一的保安服务标志。</w:t>
      </w:r>
    </w:p>
    <w:p w14:paraId="730127CD">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4、工作职责：</w:t>
      </w:r>
    </w:p>
    <w:p w14:paraId="4DA2FEE6">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（1）特保从业人员应当服从街道的工作安排，进行巡查管控，形成工作合力；</w:t>
      </w:r>
    </w:p>
    <w:p w14:paraId="69078A0A">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（2）协助做好街道区域内维稳、</w:t>
      </w:r>
      <w:r>
        <w:rPr>
          <w:rFonts w:hint="eastAsia" w:ascii="仿宋" w:hAnsi="仿宋" w:eastAsia="仿宋" w:cs="仿宋"/>
          <w:color w:val="auto"/>
          <w:kern w:val="0"/>
          <w:sz w:val="24"/>
          <w:lang w:val="en-US" w:eastAsia="zh-CN"/>
        </w:rPr>
        <w:t>信访、</w:t>
      </w:r>
      <w:r>
        <w:rPr>
          <w:rFonts w:hint="eastAsia" w:ascii="仿宋" w:hAnsi="仿宋" w:eastAsia="仿宋" w:cs="仿宋"/>
          <w:color w:val="auto"/>
          <w:kern w:val="0"/>
          <w:sz w:val="24"/>
        </w:rPr>
        <w:t>消防、安全生产、工地安全、平安宣传等相关工作；</w:t>
      </w:r>
    </w:p>
    <w:p w14:paraId="170B6117">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（3）配合社区做好治安巡查、出租房管理、重点点位人、房、企、事信息的排查工作，发现可疑情况及时汇报。</w:t>
      </w:r>
    </w:p>
    <w:p w14:paraId="1BCD519E">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（4）配合派出所、城管执法中队、交警、市场监管部门规范区域内秩序、发现违法行为的应立即汇报、劝导和制止。</w:t>
      </w:r>
    </w:p>
    <w:p w14:paraId="4FB25BBE">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（5）特保从业人员应当及时制止发生在服务区域内的违法犯罪行为，对制止无效的违法犯罪行为应当立即报警，同时采取措施保护现场。</w:t>
      </w:r>
    </w:p>
    <w:p w14:paraId="2B215C2E">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（6）严格按照分配岗位的职能开展巡逻、管控工作，对各类前期的违法违规行为进行及时的制止、劝导、规范，并立即汇报街道分管领导。确保整洁、干净、安全、有序。</w:t>
      </w:r>
    </w:p>
    <w:p w14:paraId="6499E373">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（7）特保从业人员的日常工作程序内容需全面，常态化管理需合理。</w:t>
      </w:r>
    </w:p>
    <w:p w14:paraId="7089DF5F">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（8）特保从业人员的应急处置方案需内容完整、严谨、可操作性强、可提供专业的应急队伍，与辖区联动单位能够良好沟通。</w:t>
      </w:r>
    </w:p>
    <w:p w14:paraId="35C3861E">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（9）如遇紧急情况及突发事件时，乙方有责任在最短的时间内配合甲方提供充足的人员，并应无条件听从甲方现场工作人员的调遣。</w:t>
      </w:r>
    </w:p>
    <w:p w14:paraId="3614FFB1">
      <w:pPr>
        <w:adjustRightInd/>
        <w:spacing w:line="50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    5、在保安服务中，为履行保安服务职责，保安员可以采取下列措施：</w:t>
      </w:r>
    </w:p>
    <w:p w14:paraId="2DB4E642">
      <w:pPr>
        <w:adjustRightInd/>
        <w:spacing w:line="500" w:lineRule="exact"/>
        <w:rPr>
          <w:rFonts w:hint="eastAsia" w:ascii="仿宋" w:hAnsi="仿宋" w:eastAsia="仿宋" w:cs="仿宋"/>
          <w:color w:val="auto"/>
          <w:kern w:val="0"/>
          <w:sz w:val="24"/>
        </w:rPr>
      </w:pPr>
      <w:r>
        <w:rPr>
          <w:rFonts w:hint="eastAsia" w:ascii="仿宋" w:hAnsi="仿宋" w:eastAsia="仿宋" w:cs="仿宋"/>
          <w:color w:val="auto"/>
          <w:kern w:val="0"/>
          <w:sz w:val="24"/>
        </w:rPr>
        <w:t>　　（1）在服务区域内进行巡逻、守护、安全检查、报警监控；</w:t>
      </w:r>
    </w:p>
    <w:p w14:paraId="43230AF7">
      <w:pPr>
        <w:adjustRightInd/>
        <w:spacing w:line="500" w:lineRule="exact"/>
        <w:rPr>
          <w:rFonts w:hint="eastAsia" w:ascii="仿宋" w:hAnsi="仿宋" w:eastAsia="仿宋" w:cs="仿宋"/>
          <w:color w:val="auto"/>
          <w:kern w:val="0"/>
          <w:sz w:val="24"/>
        </w:rPr>
      </w:pPr>
      <w:r>
        <w:rPr>
          <w:rFonts w:hint="eastAsia" w:ascii="仿宋" w:hAnsi="仿宋" w:eastAsia="仿宋" w:cs="仿宋"/>
          <w:color w:val="auto"/>
          <w:kern w:val="0"/>
          <w:sz w:val="24"/>
        </w:rPr>
        <w:t>　　（2）协助派出所在公共场所对人员及其所携带的物品进行安全检查，维护公共秩序。</w:t>
      </w:r>
    </w:p>
    <w:p w14:paraId="32717A5A">
      <w:pPr>
        <w:widowControl/>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6、保安员不得有下列行为：</w:t>
      </w:r>
    </w:p>
    <w:p w14:paraId="6338B3E8">
      <w:pPr>
        <w:widowControl/>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（1）限制他人人身自由、搜查他人身体或者侮辱、殴打他人；</w:t>
      </w:r>
    </w:p>
    <w:p w14:paraId="62CCC4D5">
      <w:pPr>
        <w:widowControl/>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（2）扣押、没收他人证件、财物；</w:t>
      </w:r>
    </w:p>
    <w:p w14:paraId="12F83913">
      <w:pPr>
        <w:widowControl/>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（3）阻碍依法执行公务；</w:t>
      </w:r>
    </w:p>
    <w:p w14:paraId="586DC5C5">
      <w:pPr>
        <w:widowControl/>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（4）参与追索债务、采用暴力或者以暴力相威胁的手段处置纠纷；</w:t>
      </w:r>
    </w:p>
    <w:p w14:paraId="02E66D75">
      <w:pPr>
        <w:widowControl/>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（5）删改或者扩散保安服务中形成的监控影像资料、报警记录；</w:t>
      </w:r>
    </w:p>
    <w:p w14:paraId="19DFF914">
      <w:pPr>
        <w:widowControl/>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（6）侵犯个人隐私或者泄露在保安服务中获知的国家秘密、商业秘密以及客户单位明确要求保密的信息；</w:t>
      </w:r>
    </w:p>
    <w:p w14:paraId="338ECD30">
      <w:pPr>
        <w:widowControl/>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（7）违反法律、行政法规的其他行为。</w:t>
      </w:r>
    </w:p>
    <w:p w14:paraId="5D7E4237">
      <w:pPr>
        <w:widowControl/>
        <w:adjustRightInd/>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7、保安队长设置：</w:t>
      </w:r>
    </w:p>
    <w:p w14:paraId="78C5A12C">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乙方指派的综合管理岗人员代表公司全面负责保安队伍的日常管理事务，应具有两年以上的管理服务工作经验，应具有较强的责任心和管理能力，较高的政治思想素养和业务水平，较好的语言、文字表达能力和一定的沟通、协调、组织、指挥能力；负责对服务队伍的管理及与甲方的日常联络工作，并要求保证工作相对稳定。</w:t>
      </w:r>
    </w:p>
    <w:p w14:paraId="79E0D99B">
      <w:pPr>
        <w:widowControl/>
        <w:adjustRightInd/>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8、乙方人员待遇：</w:t>
      </w:r>
    </w:p>
    <w:p w14:paraId="232131EB">
      <w:pPr>
        <w:autoSpaceDE w:val="0"/>
        <w:autoSpaceDN w:val="0"/>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每人必须缴纳相关的社会保险（五险）。</w:t>
      </w:r>
    </w:p>
    <w:p w14:paraId="6AB329DE">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（2）人员福利：按照国家标准发放国家法定节假日加班费、高温补贴和国定节假日的慰问品、配备服装、通讯器材等必要装备，防暑防雨用品等。</w:t>
      </w:r>
    </w:p>
    <w:p w14:paraId="6686600B">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（3）所有特保人员均需持证上岗。</w:t>
      </w:r>
    </w:p>
    <w:p w14:paraId="1301D45B">
      <w:pPr>
        <w:adjustRightInd/>
        <w:spacing w:line="50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    9、服务内容：</w:t>
      </w:r>
    </w:p>
    <w:p w14:paraId="46B4A871">
      <w:pPr>
        <w:widowControl/>
        <w:tabs>
          <w:tab w:val="left" w:pos="180"/>
          <w:tab w:val="left" w:pos="1440"/>
        </w:tabs>
        <w:adjustRightInd/>
        <w:snapToGrid w:val="0"/>
        <w:spacing w:before="50" w:after="50" w:line="500" w:lineRule="exact"/>
        <w:ind w:right="-153" w:rightChars="-73"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（1）负责协助辖区街道、社区、派出所、城管、交警、市场监督等部门推进街道平安建设；</w:t>
      </w:r>
    </w:p>
    <w:p w14:paraId="7149B372">
      <w:pPr>
        <w:widowControl/>
        <w:tabs>
          <w:tab w:val="left" w:pos="180"/>
          <w:tab w:val="left" w:pos="1440"/>
        </w:tabs>
        <w:adjustRightInd/>
        <w:snapToGrid w:val="0"/>
        <w:spacing w:before="50" w:after="50" w:line="500" w:lineRule="exact"/>
        <w:ind w:right="-153" w:rightChars="-73"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（2）其他经甲乙双方协商同意的服务方式；</w:t>
      </w:r>
    </w:p>
    <w:p w14:paraId="6F7D3A02">
      <w:pPr>
        <w:tabs>
          <w:tab w:val="left" w:pos="180"/>
          <w:tab w:val="left" w:pos="1440"/>
        </w:tabs>
        <w:adjustRightInd/>
        <w:snapToGrid w:val="0"/>
        <w:spacing w:before="50" w:after="50" w:line="500" w:lineRule="exact"/>
        <w:ind w:right="-153" w:rightChars="-73"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（3）各项服务的细则和有关规章制度另行制定；</w:t>
      </w:r>
    </w:p>
    <w:p w14:paraId="5E22C922">
      <w:pPr>
        <w:tabs>
          <w:tab w:val="left" w:pos="180"/>
          <w:tab w:val="left" w:pos="1440"/>
        </w:tabs>
        <w:adjustRightInd/>
        <w:snapToGrid w:val="0"/>
        <w:spacing w:before="50" w:after="50" w:line="500" w:lineRule="exact"/>
        <w:ind w:right="-153" w:rightChars="-73"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（4）甲方要求应急、临时处理的其他工作；</w:t>
      </w:r>
    </w:p>
    <w:p w14:paraId="2F175FE7">
      <w:pPr>
        <w:tabs>
          <w:tab w:val="left" w:pos="180"/>
          <w:tab w:val="left" w:pos="1440"/>
        </w:tabs>
        <w:adjustRightInd/>
        <w:snapToGrid w:val="0"/>
        <w:spacing w:before="50" w:after="50" w:line="500" w:lineRule="exact"/>
        <w:ind w:right="-153" w:rightChars="-73"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（5）配合甲方的其他工作。</w:t>
      </w:r>
    </w:p>
    <w:p w14:paraId="021E8BCF">
      <w:pPr>
        <w:adjustRightInd/>
        <w:spacing w:line="50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10、保安服务费用付款方式：</w:t>
      </w:r>
      <w:r>
        <w:rPr>
          <w:rFonts w:hint="eastAsia" w:ascii="仿宋" w:hAnsi="仿宋" w:eastAsia="仿宋" w:cs="仿宋"/>
          <w:color w:val="auto"/>
          <w:sz w:val="24"/>
          <w:highlight w:val="none"/>
        </w:rPr>
        <w:t>本项目预付款为合同价的20%，每个季度支付合同价的15%</w:t>
      </w:r>
      <w:r>
        <w:rPr>
          <w:rFonts w:hint="eastAsia" w:ascii="仿宋" w:hAnsi="仿宋" w:eastAsia="仿宋" w:cs="仿宋"/>
          <w:color w:val="auto"/>
          <w:kern w:val="0"/>
          <w:sz w:val="24"/>
          <w:highlight w:val="none"/>
        </w:rPr>
        <w:t>服务费用（每季度次月15日前支付）。剩余20%费用待合同期满后的10个工作日内支付给乙方。</w:t>
      </w:r>
    </w:p>
    <w:p w14:paraId="006416A8">
      <w:pPr>
        <w:adjustRightInd/>
        <w:spacing w:line="500" w:lineRule="exact"/>
        <w:ind w:firstLine="480"/>
        <w:rPr>
          <w:rFonts w:hint="eastAsia" w:ascii="仿宋" w:hAnsi="仿宋" w:eastAsia="仿宋" w:cs="仿宋"/>
          <w:color w:val="auto"/>
          <w:sz w:val="24"/>
        </w:rPr>
      </w:pPr>
      <w:r>
        <w:rPr>
          <w:rFonts w:hint="eastAsia" w:ascii="仿宋" w:hAnsi="仿宋" w:eastAsia="仿宋" w:cs="仿宋"/>
          <w:color w:val="auto"/>
          <w:kern w:val="0"/>
          <w:sz w:val="24"/>
        </w:rPr>
        <w:t>11、合同期限：202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年1月1日至202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年12月31日</w:t>
      </w:r>
      <w:r>
        <w:rPr>
          <w:rFonts w:hint="eastAsia" w:ascii="仿宋" w:hAnsi="仿宋" w:eastAsia="仿宋" w:cs="仿宋"/>
          <w:b/>
          <w:bCs/>
          <w:color w:val="auto"/>
          <w:sz w:val="24"/>
        </w:rPr>
        <w:t>。</w:t>
      </w:r>
      <w:r>
        <w:rPr>
          <w:rFonts w:hint="eastAsia" w:ascii="仿宋" w:hAnsi="仿宋" w:eastAsia="仿宋" w:cs="仿宋"/>
          <w:color w:val="auto"/>
          <w:sz w:val="24"/>
        </w:rPr>
        <w:t>合同期内，供应商需严格履行合同，若在合同期内乙方有严重违约行为或考核不合格的，甲方有权提前终止合同，由此造成的一切后果和损失由乙方承担。</w:t>
      </w:r>
    </w:p>
    <w:p w14:paraId="0B6EBD54">
      <w:pPr>
        <w:adjustRightInd/>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12、违约责任及监督机制考核：</w:t>
      </w:r>
    </w:p>
    <w:p w14:paraId="0AC0E370">
      <w:pPr>
        <w:adjustRightInd/>
        <w:snapToGrid w:val="0"/>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1）甲方成立综合考评小组，结合领导交办、群众举报及日常巡查情况，每月对特保及乙方工作实绩进行考核，考核情况与经费挂钩。其中：1.乙方月考核不合格的，乙方每次应向甲方支付月服务费的5%作为违约金；2.甲方每发现一次特保行为规范或仪容仪表不符合约定标准的，甲方有权扣除乙方50元/次的服务费；3. 乙方出现3次月考核不合格的，甲方有权提前终止合同，由此造成的一切后果和损失由乙方承担。</w:t>
      </w:r>
    </w:p>
    <w:p w14:paraId="12FFBE25">
      <w:pPr>
        <w:adjustRightInd/>
        <w:snapToGrid w:val="0"/>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2）特保存在方法不当、工作失职情况或考核不达标的，乙方应予以更换。特保岗位适应期为一个月，适应期过后，甲方不定期对岗位职责及辖区（网格）人、事、物、场所等各要素掌握情况进行抽查，发现存在岗位职责不清，情况不明的，乙方应予以更换；</w:t>
      </w:r>
    </w:p>
    <w:p w14:paraId="5F2E7E3C">
      <w:pPr>
        <w:adjustRightInd/>
        <w:snapToGrid w:val="0"/>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（3）乙方特保因方法不当、工作失职造成甲方或第三方损失的，经公安机关查证属实，确认特保失职的，由乙方承担相关损失，且乙方追究直接责任人的行政、法律责任；</w:t>
      </w:r>
    </w:p>
    <w:p w14:paraId="08673C43">
      <w:pPr>
        <w:adjustRightInd/>
        <w:snapToGrid w:val="0"/>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（4）乙方特保因方法不当、工作失职造成恶劣社会影响，引发较大社会舆情，严重影响年度平安考核的，甲方有权中途解除合同，如造成损失的，由乙方自行承担；</w:t>
      </w:r>
    </w:p>
    <w:p w14:paraId="10BBF713">
      <w:pPr>
        <w:adjustRightInd/>
        <w:snapToGrid w:val="0"/>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（5）甲乙双方均应忠实履行合同。乙方在未能或无法履行职责时，甲方有权中途解除合同，如造成损失的，由乙方自行承担。</w:t>
      </w:r>
    </w:p>
    <w:p w14:paraId="0FF91E77">
      <w:pPr>
        <w:adjustRightInd/>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（6）乙方不得以任何形式进行分包、转包，否则甲方有权提前终止合同，由此造成的一切后果和损失由乙方承担。</w:t>
      </w:r>
    </w:p>
    <w:p w14:paraId="06E54820">
      <w:pPr>
        <w:adjustRightInd/>
        <w:snapToGrid w:val="0"/>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13、因不可抗力或甲方自身原因造成的经济损失，乙方不承担责任；如合同执行期间因国家、地方政策或其他情况等因素需变更相应条款、费用的，由甲、乙双方友好协商解决，后签订的补充协议与原合同具有同等的法律效力。</w:t>
      </w:r>
    </w:p>
    <w:p w14:paraId="0232ABF2">
      <w:pPr>
        <w:adjustRightInd/>
        <w:snapToGrid w:val="0"/>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14、保安服务外包方式</w:t>
      </w:r>
    </w:p>
    <w:p w14:paraId="26ED61C3">
      <w:pPr>
        <w:adjustRightInd/>
        <w:snapToGrid w:val="0"/>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（1）乙方负责工作人员的招聘、使用、管理、调配和辞退。若有违反相关规定，对工作不负责的工作人员，甲方有权进行退回处理。</w:t>
      </w:r>
    </w:p>
    <w:p w14:paraId="6D3A655C">
      <w:pPr>
        <w:adjustRightInd/>
        <w:snapToGrid w:val="0"/>
        <w:spacing w:line="500" w:lineRule="exact"/>
        <w:rPr>
          <w:rFonts w:hint="eastAsia" w:ascii="仿宋" w:hAnsi="仿宋" w:eastAsia="仿宋" w:cs="仿宋"/>
          <w:color w:val="auto"/>
          <w:kern w:val="0"/>
          <w:sz w:val="24"/>
        </w:rPr>
      </w:pPr>
      <w:r>
        <w:rPr>
          <w:rFonts w:hint="eastAsia" w:ascii="仿宋" w:hAnsi="仿宋" w:eastAsia="仿宋" w:cs="仿宋"/>
          <w:color w:val="auto"/>
          <w:sz w:val="24"/>
        </w:rPr>
        <w:t xml:space="preserve">    （2）服务人员的健康状况（包括操作不规范等因素造成的安全责任事故）全部费用由乙方承担，甲方不承担任何责任；乙方必须根据国家《劳动合</w:t>
      </w:r>
      <w:r>
        <w:rPr>
          <w:rFonts w:hint="eastAsia" w:ascii="仿宋" w:hAnsi="仿宋" w:eastAsia="仿宋" w:cs="仿宋"/>
          <w:color w:val="auto"/>
          <w:kern w:val="0"/>
          <w:sz w:val="24"/>
        </w:rPr>
        <w:t>同法》合法用工，依法为每位员工支付各类社会保险；如用工不当，给甲方造成损失由乙方承担。</w:t>
      </w:r>
    </w:p>
    <w:p w14:paraId="5496C7DB">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（3）乙方在承包期间内与外界发生的一切债权、债务等纠纷均与甲方无关。</w:t>
      </w:r>
    </w:p>
    <w:p w14:paraId="62C7F314">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（4）保安服务中使用的技术防范产品，应当符合有关的产品质量要求。</w:t>
      </w:r>
    </w:p>
    <w:p w14:paraId="2045D6C8">
      <w:pPr>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（5）保安服务中形成的监控影像资料、报警记录，应当至少留存30日备查，保安服务单位不得删改或者扩散。</w:t>
      </w:r>
    </w:p>
    <w:p w14:paraId="52E391D2">
      <w:pPr>
        <w:adjustRightInd/>
        <w:spacing w:line="50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    15、解决合同纠纷方式：双方协商解决；协商不成的，向甲方所在地人民法院起诉。</w:t>
      </w:r>
    </w:p>
    <w:p w14:paraId="3C092AE8">
      <w:pPr>
        <w:adjustRightInd/>
        <w:spacing w:line="500" w:lineRule="exact"/>
        <w:rPr>
          <w:rFonts w:hint="eastAsia" w:ascii="仿宋" w:hAnsi="仿宋" w:eastAsia="仿宋" w:cs="仿宋"/>
          <w:color w:val="auto"/>
          <w:sz w:val="24"/>
        </w:rPr>
      </w:pPr>
      <w:r>
        <w:rPr>
          <w:rFonts w:hint="eastAsia" w:ascii="仿宋" w:hAnsi="仿宋" w:eastAsia="仿宋" w:cs="仿宋"/>
          <w:color w:val="auto"/>
          <w:kern w:val="0"/>
          <w:sz w:val="24"/>
        </w:rPr>
        <w:t xml:space="preserve">    16、其他约定事项：未尽事宜，甲乙双方协商解决。</w:t>
      </w:r>
    </w:p>
    <w:p w14:paraId="7B78EC0A">
      <w:pPr>
        <w:widowControl/>
        <w:shd w:val="clear" w:color="auto" w:fill="FFFFFF"/>
        <w:adjustRightInd/>
        <w:snapToGrid w:val="0"/>
        <w:spacing w:before="120" w:beforeAutospacing="1" w:after="120" w:line="500" w:lineRule="exact"/>
        <w:contextualSpacing/>
        <w:jc w:val="left"/>
        <w:rPr>
          <w:rFonts w:hint="eastAsia" w:ascii="仿宋" w:hAnsi="仿宋" w:eastAsia="仿宋" w:cs="仿宋"/>
          <w:b/>
          <w:bCs/>
          <w:color w:val="auto"/>
          <w:kern w:val="0"/>
          <w:sz w:val="24"/>
        </w:rPr>
      </w:pPr>
      <w:r>
        <w:rPr>
          <w:rFonts w:hint="eastAsia" w:ascii="仿宋" w:hAnsi="仿宋" w:eastAsia="仿宋" w:cs="仿宋"/>
          <w:b/>
          <w:bCs/>
          <w:color w:val="auto"/>
          <w:kern w:val="0"/>
          <w:sz w:val="24"/>
        </w:rPr>
        <w:t xml:space="preserve">    三、其他说明</w:t>
      </w:r>
    </w:p>
    <w:p w14:paraId="587724AE">
      <w:pPr>
        <w:adjustRightInd/>
        <w:spacing w:line="360" w:lineRule="auto"/>
        <w:rPr>
          <w:rFonts w:hint="eastAsia" w:ascii="仿宋" w:hAnsi="仿宋" w:eastAsia="仿宋" w:cs="仿宋"/>
          <w:b/>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1、本项目要求中乙方所提供的保安人员都需持证上岗。(提供保安员相关证件复印件)</w:t>
      </w:r>
    </w:p>
    <w:p w14:paraId="538F7E89">
      <w:pPr>
        <w:adjustRightInd/>
        <w:spacing w:line="360" w:lineRule="auto"/>
        <w:rPr>
          <w:rFonts w:hint="eastAsia" w:ascii="仿宋" w:hAnsi="仿宋" w:eastAsia="仿宋" w:cs="仿宋"/>
          <w:b/>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2、本项目要求中乙方所提供的每周工作时间需满足。（需提供承诺函）</w:t>
      </w:r>
    </w:p>
    <w:p w14:paraId="7670B36D">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b/>
          <w:color w:val="auto"/>
          <w:sz w:val="24"/>
        </w:rPr>
        <w:t>3、本项目如甲方有要求增加的临时应急处理的其他工作，乙方需承诺按甲方要求无条件在1小时内组织保安人员协助甲方处理临时应急工作；临时派遣的保安人员身体素质、业务技能等各类要求与常驻保安人员相同，按实结算，另行支付。(需提供承诺函）</w:t>
      </w:r>
    </w:p>
    <w:p w14:paraId="021D9D8A">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4、本项目最终结算价，以中标人实际中标价折算成以“天”为单位，服务天数以实际服务天数为准，按实结算。</w:t>
      </w:r>
    </w:p>
    <w:p w14:paraId="7E3B8BFB">
      <w:pPr>
        <w:spacing w:before="24" w:beforeLines="10" w:line="360" w:lineRule="auto"/>
        <w:ind w:firstLine="361" w:firstLineChars="150"/>
        <w:rPr>
          <w:rFonts w:hint="eastAsia" w:ascii="仿宋" w:hAnsi="仿宋" w:eastAsia="仿宋" w:cs="仿宋"/>
          <w:b/>
          <w:bCs/>
          <w:color w:val="auto"/>
          <w:kern w:val="0"/>
          <w:sz w:val="24"/>
          <w:szCs w:val="22"/>
          <w:highlight w:val="none"/>
        </w:rPr>
      </w:pPr>
      <w:r>
        <w:rPr>
          <w:rFonts w:hint="eastAsia" w:ascii="仿宋" w:hAnsi="仿宋" w:eastAsia="仿宋" w:cs="仿宋"/>
          <w:b/>
          <w:color w:val="auto"/>
          <w:sz w:val="24"/>
          <w:highlight w:val="none"/>
        </w:rPr>
        <w:t>5、202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年1月1日至合同签订之日前的空档期服务由原供应商进行服务，费用结算方式如下：空档期原供应商的服务人数、岗位、服务天数经采购人确认后，按原服务合同费用标准进行结算（空档期服务产生的费用由新中标供应商支付给原供应商）。</w:t>
      </w:r>
    </w:p>
    <w:p w14:paraId="412A4698">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br w:type="page"/>
      </w:r>
    </w:p>
    <w:p w14:paraId="7C486CD5">
      <w:pPr>
        <w:spacing w:line="360" w:lineRule="auto"/>
        <w:ind w:firstLine="482" w:firstLineChars="200"/>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标项二：</w:t>
      </w:r>
      <w:r>
        <w:rPr>
          <w:rFonts w:hint="eastAsia" w:ascii="仿宋" w:hAnsi="仿宋" w:eastAsia="仿宋" w:cs="仿宋"/>
          <w:snapToGrid/>
          <w:color w:val="auto"/>
          <w:kern w:val="2"/>
          <w:sz w:val="24"/>
          <w:szCs w:val="24"/>
          <w:highlight w:val="none"/>
          <w:lang w:eastAsia="zh-CN"/>
        </w:rPr>
        <w:t>潮鸣街道2025年社会面治安防控协助项目</w:t>
      </w:r>
    </w:p>
    <w:p w14:paraId="5DED2256">
      <w:pPr>
        <w:widowControl/>
        <w:shd w:val="clear" w:color="auto" w:fill="FFFFFF"/>
        <w:adjustRightInd/>
        <w:snapToGrid w:val="0"/>
        <w:spacing w:before="120" w:beforeAutospacing="1" w:after="120" w:line="360" w:lineRule="auto"/>
        <w:contextualSpacing/>
        <w:jc w:val="left"/>
        <w:rPr>
          <w:rFonts w:hint="eastAsia" w:ascii="仿宋" w:hAnsi="仿宋" w:eastAsia="仿宋" w:cs="仿宋"/>
          <w:b/>
          <w:bCs/>
          <w:color w:val="auto"/>
          <w:kern w:val="0"/>
          <w:sz w:val="24"/>
        </w:rPr>
      </w:pPr>
      <w:r>
        <w:rPr>
          <w:rFonts w:hint="eastAsia" w:ascii="仿宋" w:hAnsi="仿宋" w:eastAsia="仿宋" w:cs="仿宋"/>
          <w:b/>
          <w:bCs/>
          <w:color w:val="auto"/>
          <w:kern w:val="0"/>
          <w:sz w:val="24"/>
        </w:rPr>
        <w:t>一、项目背景</w:t>
      </w:r>
    </w:p>
    <w:p w14:paraId="6F8ED1A2">
      <w:pPr>
        <w:adjustRightInd/>
        <w:spacing w:line="360" w:lineRule="auto"/>
        <w:ind w:firstLine="480" w:firstLineChars="200"/>
        <w:rPr>
          <w:rFonts w:hint="eastAsia" w:ascii="仿宋" w:hAnsi="仿宋" w:eastAsia="仿宋" w:cs="仿宋"/>
          <w:b/>
          <w:color w:val="auto"/>
          <w:sz w:val="24"/>
          <w:shd w:val="clear" w:color="auto" w:fill="FFFFFF"/>
        </w:rPr>
      </w:pPr>
      <w:r>
        <w:rPr>
          <w:rFonts w:hint="eastAsia" w:ascii="仿宋" w:hAnsi="仿宋" w:eastAsia="仿宋" w:cs="仿宋"/>
          <w:color w:val="auto"/>
          <w:kern w:val="0"/>
          <w:sz w:val="24"/>
        </w:rPr>
        <w:t>杭州市拱墅区人民政府潮鸣街道办事处为全面提升辖区社会治安管理水平，推进街道平安建设，及时应对处置突发状况，保障辖区社会治安环境稳定，通过政府购买服务的形式，聘请专业的特勤保安队伍进行相关工作。</w:t>
      </w:r>
    </w:p>
    <w:p w14:paraId="05515426">
      <w:pPr>
        <w:adjustRightInd/>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投标报价是履行合同的最终价格。本项目的投标报价，包括人员工资、各种社会保险、劳保、福利、食宿、交通、设备、利润、税金等为完成承包期内保安服务需要发生的全部费用，加班费用不在本项目内。投标人的投标价格在合同执行期间一次包干，其他市场价格波动因素自行考虑，合同总价不再作调整。采购人除以上服务费用之外不再承担其它任何费用，特勤保安人员的薪金、福利、休假日补贴、医疗费用等均由中标单位负责，与采购人无关。</w:t>
      </w:r>
    </w:p>
    <w:p w14:paraId="576D8EDB">
      <w:pPr>
        <w:adjustRightInd/>
        <w:spacing w:line="360" w:lineRule="auto"/>
        <w:jc w:val="left"/>
        <w:rPr>
          <w:rFonts w:hint="eastAsia" w:ascii="仿宋" w:hAnsi="仿宋" w:eastAsia="仿宋" w:cs="仿宋"/>
          <w:b/>
          <w:color w:val="auto"/>
          <w:sz w:val="24"/>
          <w:shd w:val="clear" w:color="auto" w:fill="FFFFFF"/>
        </w:rPr>
      </w:pPr>
      <w:r>
        <w:rPr>
          <w:rFonts w:hint="eastAsia" w:ascii="仿宋" w:hAnsi="仿宋" w:eastAsia="仿宋" w:cs="仿宋"/>
          <w:b/>
          <w:bCs/>
          <w:color w:val="auto"/>
          <w:sz w:val="24"/>
        </w:rPr>
        <w:t>二、</w:t>
      </w:r>
      <w:r>
        <w:rPr>
          <w:rFonts w:hint="eastAsia" w:ascii="仿宋" w:hAnsi="仿宋" w:eastAsia="仿宋" w:cs="仿宋"/>
          <w:b/>
          <w:color w:val="auto"/>
          <w:sz w:val="24"/>
          <w:shd w:val="clear" w:color="auto" w:fill="FFFFFF"/>
        </w:rPr>
        <w:t xml:space="preserve">项目具体要求 </w:t>
      </w:r>
    </w:p>
    <w:p w14:paraId="10F58978">
      <w:pPr>
        <w:adjustRightInd/>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1、保安服务场所：</w:t>
      </w:r>
      <w:r>
        <w:rPr>
          <w:rFonts w:hint="eastAsia" w:ascii="仿宋" w:hAnsi="仿宋" w:eastAsia="仿宋" w:cs="仿宋"/>
          <w:color w:val="auto"/>
          <w:kern w:val="0"/>
          <w:sz w:val="24"/>
        </w:rPr>
        <w:t>杭州市拱墅区人民政府潮鸣街道管辖范围。</w:t>
      </w:r>
    </w:p>
    <w:p w14:paraId="0FE1E11E">
      <w:pPr>
        <w:adjustRightInd/>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2、甲方（采购人，下同）向乙方（供应商，下同）聘用特保</w:t>
      </w:r>
      <w:r>
        <w:rPr>
          <w:rFonts w:hint="eastAsia" w:ascii="仿宋" w:hAnsi="仿宋" w:eastAsia="仿宋" w:cs="仿宋"/>
          <w:b/>
          <w:color w:val="auto"/>
          <w:kern w:val="0"/>
          <w:sz w:val="24"/>
          <w:u w:val="single"/>
        </w:rPr>
        <w:t xml:space="preserve"> </w:t>
      </w:r>
      <w:r>
        <w:rPr>
          <w:rFonts w:hint="eastAsia" w:ascii="仿宋" w:hAnsi="仿宋" w:eastAsia="仿宋" w:cs="仿宋"/>
          <w:b/>
          <w:color w:val="auto"/>
          <w:kern w:val="0"/>
          <w:sz w:val="24"/>
          <w:u w:val="single"/>
          <w:lang w:val="en-US" w:eastAsia="zh-CN"/>
        </w:rPr>
        <w:t>35</w:t>
      </w:r>
      <w:r>
        <w:rPr>
          <w:rFonts w:hint="eastAsia" w:ascii="仿宋" w:hAnsi="仿宋" w:eastAsia="仿宋" w:cs="仿宋"/>
          <w:b/>
          <w:color w:val="auto"/>
          <w:kern w:val="0"/>
          <w:sz w:val="24"/>
          <w:u w:val="single"/>
        </w:rPr>
        <w:t xml:space="preserve"> </w:t>
      </w:r>
      <w:r>
        <w:rPr>
          <w:rFonts w:hint="eastAsia" w:ascii="仿宋" w:hAnsi="仿宋" w:eastAsia="仿宋" w:cs="仿宋"/>
          <w:color w:val="auto"/>
          <w:kern w:val="0"/>
          <w:sz w:val="24"/>
        </w:rPr>
        <w:t>岗，服务费用共计</w:t>
      </w:r>
      <w:r>
        <w:rPr>
          <w:rFonts w:hint="eastAsia" w:ascii="仿宋" w:hAnsi="仿宋" w:eastAsia="仿宋" w:cs="仿宋"/>
          <w:color w:val="auto"/>
          <w:kern w:val="0"/>
          <w:sz w:val="24"/>
          <w:lang w:val="en-US" w:eastAsia="zh-CN"/>
        </w:rPr>
        <w:t>235.2</w:t>
      </w:r>
      <w:r>
        <w:rPr>
          <w:rFonts w:hint="eastAsia" w:ascii="仿宋" w:hAnsi="仿宋" w:eastAsia="仿宋" w:cs="仿宋"/>
          <w:color w:val="auto"/>
          <w:kern w:val="0"/>
          <w:sz w:val="24"/>
        </w:rPr>
        <w:t>万元整，特保用于</w:t>
      </w:r>
      <w:r>
        <w:rPr>
          <w:rFonts w:hint="eastAsia" w:ascii="仿宋" w:hAnsi="仿宋" w:eastAsia="仿宋" w:cs="仿宋"/>
          <w:color w:val="auto"/>
          <w:kern w:val="0"/>
          <w:sz w:val="24"/>
          <w:lang w:val="en-US" w:eastAsia="zh-CN"/>
        </w:rPr>
        <w:t>社会面治安防控协助项目</w:t>
      </w:r>
      <w:r>
        <w:rPr>
          <w:rFonts w:hint="eastAsia" w:ascii="仿宋" w:hAnsi="仿宋" w:eastAsia="仿宋" w:cs="仿宋"/>
          <w:color w:val="auto"/>
          <w:kern w:val="0"/>
          <w:sz w:val="24"/>
        </w:rPr>
        <w:t>，经费</w:t>
      </w:r>
      <w:r>
        <w:rPr>
          <w:rFonts w:hint="eastAsia" w:ascii="仿宋" w:hAnsi="仿宋" w:eastAsia="仿宋" w:cs="仿宋"/>
          <w:color w:val="auto"/>
          <w:kern w:val="0"/>
          <w:sz w:val="24"/>
          <w:lang w:val="en-US" w:eastAsia="zh-CN"/>
        </w:rPr>
        <w:t>由街道综治经费列支</w:t>
      </w:r>
      <w:r>
        <w:rPr>
          <w:rFonts w:hint="eastAsia" w:ascii="仿宋" w:hAnsi="仿宋" w:eastAsia="仿宋" w:cs="仿宋"/>
          <w:color w:val="auto"/>
          <w:kern w:val="0"/>
          <w:sz w:val="24"/>
        </w:rPr>
        <w:t>。岗位功能需求及数量如下，具体每位特保人员的工作岗位根据采购人实际需求由保安队长具体安排：</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378"/>
        <w:gridCol w:w="3624"/>
        <w:gridCol w:w="2116"/>
      </w:tblGrid>
      <w:tr w14:paraId="1DAB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563" w:type="dxa"/>
          </w:tcPr>
          <w:p w14:paraId="663CB457">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标段</w:t>
            </w:r>
          </w:p>
        </w:tc>
        <w:tc>
          <w:tcPr>
            <w:tcW w:w="1563" w:type="dxa"/>
          </w:tcPr>
          <w:p w14:paraId="31A41014">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项目名称</w:t>
            </w:r>
          </w:p>
        </w:tc>
        <w:tc>
          <w:tcPr>
            <w:tcW w:w="4262" w:type="dxa"/>
          </w:tcPr>
          <w:p w14:paraId="75793FA4">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岗位描述</w:t>
            </w:r>
          </w:p>
        </w:tc>
        <w:tc>
          <w:tcPr>
            <w:tcW w:w="2450" w:type="dxa"/>
          </w:tcPr>
          <w:p w14:paraId="22A391C1">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岗位数</w:t>
            </w:r>
          </w:p>
        </w:tc>
      </w:tr>
      <w:tr w14:paraId="4678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Merge w:val="restart"/>
            <w:vAlign w:val="center"/>
          </w:tcPr>
          <w:p w14:paraId="5127EA3A">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标段2</w:t>
            </w:r>
          </w:p>
        </w:tc>
        <w:tc>
          <w:tcPr>
            <w:tcW w:w="1563" w:type="dxa"/>
            <w:vMerge w:val="restart"/>
          </w:tcPr>
          <w:p w14:paraId="0AF2E2AE">
            <w:pPr>
              <w:jc w:val="center"/>
              <w:rPr>
                <w:rFonts w:hint="eastAsia" w:ascii="仿宋" w:hAnsi="仿宋" w:eastAsia="仿宋" w:cs="仿宋"/>
                <w:color w:val="auto"/>
                <w:sz w:val="24"/>
                <w:szCs w:val="24"/>
              </w:rPr>
            </w:pPr>
          </w:p>
          <w:p w14:paraId="74281867">
            <w:pPr>
              <w:jc w:val="center"/>
              <w:rPr>
                <w:rFonts w:hint="eastAsia" w:ascii="仿宋" w:hAnsi="仿宋" w:eastAsia="仿宋" w:cs="仿宋"/>
                <w:color w:val="auto"/>
                <w:sz w:val="24"/>
                <w:szCs w:val="24"/>
              </w:rPr>
            </w:pPr>
          </w:p>
          <w:p w14:paraId="31985A6B">
            <w:pPr>
              <w:jc w:val="center"/>
              <w:rPr>
                <w:rFonts w:hint="eastAsia" w:ascii="仿宋" w:hAnsi="仿宋" w:eastAsia="仿宋" w:cs="仿宋"/>
                <w:color w:val="auto"/>
                <w:sz w:val="24"/>
                <w:szCs w:val="24"/>
              </w:rPr>
            </w:pPr>
          </w:p>
          <w:p w14:paraId="6B34008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社会面治安防控协助</w:t>
            </w:r>
          </w:p>
        </w:tc>
        <w:tc>
          <w:tcPr>
            <w:tcW w:w="4262" w:type="dxa"/>
          </w:tcPr>
          <w:p w14:paraId="3D261063">
            <w:pPr>
              <w:rPr>
                <w:rFonts w:hint="eastAsia" w:ascii="仿宋" w:hAnsi="仿宋" w:eastAsia="仿宋" w:cs="仿宋"/>
                <w:color w:val="auto"/>
                <w:sz w:val="24"/>
                <w:szCs w:val="24"/>
              </w:rPr>
            </w:pPr>
            <w:r>
              <w:rPr>
                <w:rFonts w:hint="eastAsia" w:ascii="仿宋" w:hAnsi="仿宋" w:eastAsia="仿宋" w:cs="仿宋"/>
                <w:color w:val="auto"/>
                <w:sz w:val="24"/>
                <w:szCs w:val="24"/>
              </w:rPr>
              <w:t>治安巡逻岗</w:t>
            </w:r>
          </w:p>
        </w:tc>
        <w:tc>
          <w:tcPr>
            <w:tcW w:w="2450" w:type="dxa"/>
          </w:tcPr>
          <w:p w14:paraId="0CD7F2E2">
            <w:pP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14:paraId="2AEC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Merge w:val="continue"/>
          </w:tcPr>
          <w:p w14:paraId="34155319">
            <w:pPr>
              <w:jc w:val="center"/>
              <w:rPr>
                <w:rFonts w:hint="eastAsia" w:ascii="仿宋" w:hAnsi="仿宋" w:eastAsia="仿宋" w:cs="仿宋"/>
                <w:color w:val="auto"/>
                <w:sz w:val="24"/>
                <w:szCs w:val="24"/>
              </w:rPr>
            </w:pPr>
          </w:p>
        </w:tc>
        <w:tc>
          <w:tcPr>
            <w:tcW w:w="1563" w:type="dxa"/>
            <w:vMerge w:val="continue"/>
          </w:tcPr>
          <w:p w14:paraId="2060676A">
            <w:pPr>
              <w:jc w:val="center"/>
              <w:rPr>
                <w:rFonts w:hint="eastAsia" w:ascii="仿宋" w:hAnsi="仿宋" w:eastAsia="仿宋" w:cs="仿宋"/>
                <w:color w:val="auto"/>
                <w:sz w:val="24"/>
                <w:szCs w:val="24"/>
              </w:rPr>
            </w:pPr>
          </w:p>
        </w:tc>
        <w:tc>
          <w:tcPr>
            <w:tcW w:w="4262" w:type="dxa"/>
          </w:tcPr>
          <w:p w14:paraId="3E242E8D">
            <w:pPr>
              <w:rPr>
                <w:rFonts w:hint="eastAsia" w:ascii="仿宋" w:hAnsi="仿宋" w:eastAsia="仿宋" w:cs="仿宋"/>
                <w:color w:val="auto"/>
                <w:sz w:val="24"/>
                <w:szCs w:val="24"/>
              </w:rPr>
            </w:pPr>
            <w:r>
              <w:rPr>
                <w:rFonts w:hint="eastAsia" w:ascii="仿宋" w:hAnsi="仿宋" w:eastAsia="仿宋" w:cs="仿宋"/>
                <w:color w:val="auto"/>
                <w:sz w:val="24"/>
                <w:szCs w:val="24"/>
              </w:rPr>
              <w:t>法制</w:t>
            </w:r>
            <w:r>
              <w:rPr>
                <w:rFonts w:hint="eastAsia" w:ascii="仿宋" w:hAnsi="仿宋" w:eastAsia="仿宋" w:cs="仿宋"/>
                <w:color w:val="auto"/>
                <w:sz w:val="24"/>
                <w:szCs w:val="24"/>
                <w:lang w:eastAsia="zh-CN"/>
              </w:rPr>
              <w:t>协助</w:t>
            </w:r>
            <w:r>
              <w:rPr>
                <w:rFonts w:hint="eastAsia" w:ascii="仿宋" w:hAnsi="仿宋" w:eastAsia="仿宋" w:cs="仿宋"/>
                <w:color w:val="auto"/>
                <w:sz w:val="24"/>
                <w:szCs w:val="24"/>
              </w:rPr>
              <w:t>岗</w:t>
            </w:r>
          </w:p>
        </w:tc>
        <w:tc>
          <w:tcPr>
            <w:tcW w:w="2450" w:type="dxa"/>
          </w:tcPr>
          <w:p w14:paraId="692FC318">
            <w:pP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6155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Merge w:val="continue"/>
          </w:tcPr>
          <w:p w14:paraId="27216BC8">
            <w:pPr>
              <w:jc w:val="center"/>
              <w:rPr>
                <w:rFonts w:hint="eastAsia" w:ascii="仿宋" w:hAnsi="仿宋" w:eastAsia="仿宋" w:cs="仿宋"/>
                <w:color w:val="auto"/>
                <w:sz w:val="24"/>
                <w:szCs w:val="24"/>
              </w:rPr>
            </w:pPr>
          </w:p>
        </w:tc>
        <w:tc>
          <w:tcPr>
            <w:tcW w:w="1563" w:type="dxa"/>
            <w:vMerge w:val="continue"/>
          </w:tcPr>
          <w:p w14:paraId="6537A0DC">
            <w:pPr>
              <w:jc w:val="center"/>
              <w:rPr>
                <w:rFonts w:hint="eastAsia" w:ascii="仿宋" w:hAnsi="仿宋" w:eastAsia="仿宋" w:cs="仿宋"/>
                <w:color w:val="auto"/>
                <w:sz w:val="24"/>
                <w:szCs w:val="24"/>
              </w:rPr>
            </w:pPr>
          </w:p>
        </w:tc>
        <w:tc>
          <w:tcPr>
            <w:tcW w:w="4262" w:type="dxa"/>
          </w:tcPr>
          <w:p w14:paraId="4D113FF1">
            <w:pPr>
              <w:rPr>
                <w:rFonts w:hint="eastAsia" w:ascii="仿宋" w:hAnsi="仿宋" w:eastAsia="仿宋" w:cs="仿宋"/>
                <w:color w:val="auto"/>
                <w:sz w:val="24"/>
                <w:szCs w:val="24"/>
              </w:rPr>
            </w:pPr>
            <w:r>
              <w:rPr>
                <w:rFonts w:hint="eastAsia" w:ascii="仿宋" w:hAnsi="仿宋" w:eastAsia="仿宋" w:cs="仿宋"/>
                <w:color w:val="auto"/>
                <w:sz w:val="24"/>
                <w:szCs w:val="24"/>
              </w:rPr>
              <w:t>情指内勤</w:t>
            </w:r>
            <w:r>
              <w:rPr>
                <w:rFonts w:hint="eastAsia" w:ascii="仿宋" w:hAnsi="仿宋" w:eastAsia="仿宋" w:cs="仿宋"/>
                <w:color w:val="auto"/>
                <w:sz w:val="24"/>
                <w:szCs w:val="24"/>
                <w:lang w:eastAsia="zh-CN"/>
              </w:rPr>
              <w:t>协助</w:t>
            </w:r>
            <w:r>
              <w:rPr>
                <w:rFonts w:hint="eastAsia" w:ascii="仿宋" w:hAnsi="仿宋" w:eastAsia="仿宋" w:cs="仿宋"/>
                <w:color w:val="auto"/>
                <w:sz w:val="24"/>
                <w:szCs w:val="24"/>
              </w:rPr>
              <w:t>岗</w:t>
            </w:r>
          </w:p>
        </w:tc>
        <w:tc>
          <w:tcPr>
            <w:tcW w:w="2450" w:type="dxa"/>
          </w:tcPr>
          <w:p w14:paraId="552371D8">
            <w:pP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1892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Merge w:val="continue"/>
          </w:tcPr>
          <w:p w14:paraId="7215FC8A">
            <w:pPr>
              <w:jc w:val="center"/>
              <w:rPr>
                <w:rFonts w:hint="eastAsia" w:ascii="仿宋" w:hAnsi="仿宋" w:eastAsia="仿宋" w:cs="仿宋"/>
                <w:color w:val="auto"/>
                <w:sz w:val="24"/>
                <w:szCs w:val="24"/>
              </w:rPr>
            </w:pPr>
          </w:p>
        </w:tc>
        <w:tc>
          <w:tcPr>
            <w:tcW w:w="1563" w:type="dxa"/>
            <w:vMerge w:val="continue"/>
          </w:tcPr>
          <w:p w14:paraId="594D7DB9">
            <w:pPr>
              <w:jc w:val="center"/>
              <w:rPr>
                <w:rFonts w:hint="eastAsia" w:ascii="仿宋" w:hAnsi="仿宋" w:eastAsia="仿宋" w:cs="仿宋"/>
                <w:color w:val="auto"/>
                <w:sz w:val="24"/>
                <w:szCs w:val="24"/>
              </w:rPr>
            </w:pPr>
          </w:p>
        </w:tc>
        <w:tc>
          <w:tcPr>
            <w:tcW w:w="4262" w:type="dxa"/>
          </w:tcPr>
          <w:p w14:paraId="5C37A6AD">
            <w:pPr>
              <w:rPr>
                <w:rFonts w:hint="eastAsia" w:ascii="仿宋" w:hAnsi="仿宋" w:eastAsia="仿宋" w:cs="仿宋"/>
                <w:color w:val="auto"/>
                <w:sz w:val="24"/>
                <w:szCs w:val="24"/>
              </w:rPr>
            </w:pPr>
            <w:r>
              <w:rPr>
                <w:rFonts w:hint="eastAsia" w:ascii="仿宋" w:hAnsi="仿宋" w:eastAsia="仿宋" w:cs="仿宋"/>
                <w:color w:val="auto"/>
                <w:sz w:val="24"/>
                <w:szCs w:val="24"/>
              </w:rPr>
              <w:t>第七刑侦</w:t>
            </w:r>
            <w:r>
              <w:rPr>
                <w:rFonts w:hint="eastAsia" w:ascii="仿宋" w:hAnsi="仿宋" w:eastAsia="仿宋" w:cs="仿宋"/>
                <w:color w:val="auto"/>
                <w:sz w:val="24"/>
                <w:szCs w:val="24"/>
                <w:lang w:eastAsia="zh-CN"/>
              </w:rPr>
              <w:t>协助</w:t>
            </w:r>
            <w:r>
              <w:rPr>
                <w:rFonts w:hint="eastAsia" w:ascii="仿宋" w:hAnsi="仿宋" w:eastAsia="仿宋" w:cs="仿宋"/>
                <w:color w:val="auto"/>
                <w:sz w:val="24"/>
                <w:szCs w:val="24"/>
              </w:rPr>
              <w:t>岗</w:t>
            </w:r>
          </w:p>
        </w:tc>
        <w:tc>
          <w:tcPr>
            <w:tcW w:w="2450" w:type="dxa"/>
          </w:tcPr>
          <w:p w14:paraId="32F827DF">
            <w:pP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1EF3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Merge w:val="continue"/>
          </w:tcPr>
          <w:p w14:paraId="52192808">
            <w:pPr>
              <w:jc w:val="center"/>
              <w:rPr>
                <w:rFonts w:hint="eastAsia" w:ascii="仿宋" w:hAnsi="仿宋" w:eastAsia="仿宋" w:cs="仿宋"/>
                <w:color w:val="auto"/>
                <w:sz w:val="24"/>
                <w:szCs w:val="24"/>
              </w:rPr>
            </w:pPr>
          </w:p>
        </w:tc>
        <w:tc>
          <w:tcPr>
            <w:tcW w:w="1563" w:type="dxa"/>
            <w:vMerge w:val="continue"/>
          </w:tcPr>
          <w:p w14:paraId="69AD7132">
            <w:pPr>
              <w:jc w:val="center"/>
              <w:rPr>
                <w:rFonts w:hint="eastAsia" w:ascii="仿宋" w:hAnsi="仿宋" w:eastAsia="仿宋" w:cs="仿宋"/>
                <w:color w:val="auto"/>
                <w:sz w:val="24"/>
                <w:szCs w:val="24"/>
              </w:rPr>
            </w:pPr>
          </w:p>
        </w:tc>
        <w:tc>
          <w:tcPr>
            <w:tcW w:w="4262" w:type="dxa"/>
          </w:tcPr>
          <w:p w14:paraId="761B9342">
            <w:pPr>
              <w:rPr>
                <w:rFonts w:hint="eastAsia" w:ascii="仿宋" w:hAnsi="仿宋" w:eastAsia="仿宋" w:cs="仿宋"/>
                <w:color w:val="auto"/>
                <w:sz w:val="24"/>
                <w:szCs w:val="24"/>
              </w:rPr>
            </w:pPr>
            <w:r>
              <w:rPr>
                <w:rFonts w:hint="eastAsia" w:ascii="仿宋" w:hAnsi="仿宋" w:eastAsia="仿宋" w:cs="仿宋"/>
                <w:color w:val="auto"/>
                <w:sz w:val="24"/>
                <w:szCs w:val="24"/>
              </w:rPr>
              <w:t>反诈</w:t>
            </w:r>
            <w:r>
              <w:rPr>
                <w:rFonts w:hint="eastAsia" w:ascii="仿宋" w:hAnsi="仿宋" w:eastAsia="仿宋" w:cs="仿宋"/>
                <w:color w:val="auto"/>
                <w:sz w:val="24"/>
                <w:szCs w:val="24"/>
                <w:lang w:eastAsia="zh-CN"/>
              </w:rPr>
              <w:t>协助</w:t>
            </w:r>
            <w:r>
              <w:rPr>
                <w:rFonts w:hint="eastAsia" w:ascii="仿宋" w:hAnsi="仿宋" w:eastAsia="仿宋" w:cs="仿宋"/>
                <w:color w:val="auto"/>
                <w:sz w:val="24"/>
                <w:szCs w:val="24"/>
              </w:rPr>
              <w:t>岗</w:t>
            </w:r>
          </w:p>
        </w:tc>
        <w:tc>
          <w:tcPr>
            <w:tcW w:w="2450" w:type="dxa"/>
          </w:tcPr>
          <w:p w14:paraId="7AFEADBE">
            <w:pP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545E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Merge w:val="continue"/>
          </w:tcPr>
          <w:p w14:paraId="584A3A6C">
            <w:pPr>
              <w:jc w:val="center"/>
              <w:rPr>
                <w:rFonts w:hint="eastAsia" w:ascii="仿宋" w:hAnsi="仿宋" w:eastAsia="仿宋" w:cs="仿宋"/>
                <w:color w:val="auto"/>
                <w:sz w:val="24"/>
                <w:szCs w:val="24"/>
              </w:rPr>
            </w:pPr>
          </w:p>
        </w:tc>
        <w:tc>
          <w:tcPr>
            <w:tcW w:w="1563" w:type="dxa"/>
            <w:vMerge w:val="continue"/>
          </w:tcPr>
          <w:p w14:paraId="60C0F18B">
            <w:pPr>
              <w:jc w:val="center"/>
              <w:rPr>
                <w:rFonts w:hint="eastAsia" w:ascii="仿宋" w:hAnsi="仿宋" w:eastAsia="仿宋" w:cs="仿宋"/>
                <w:color w:val="auto"/>
                <w:sz w:val="24"/>
                <w:szCs w:val="24"/>
              </w:rPr>
            </w:pPr>
          </w:p>
        </w:tc>
        <w:tc>
          <w:tcPr>
            <w:tcW w:w="4262" w:type="dxa"/>
          </w:tcPr>
          <w:p w14:paraId="39AD4CDA">
            <w:pPr>
              <w:rPr>
                <w:rFonts w:hint="eastAsia" w:ascii="仿宋" w:hAnsi="仿宋" w:eastAsia="仿宋" w:cs="仿宋"/>
                <w:color w:val="auto"/>
                <w:sz w:val="24"/>
                <w:szCs w:val="24"/>
              </w:rPr>
            </w:pPr>
            <w:r>
              <w:rPr>
                <w:rFonts w:hint="eastAsia" w:ascii="仿宋" w:hAnsi="仿宋" w:eastAsia="仿宋" w:cs="仿宋"/>
                <w:color w:val="auto"/>
                <w:sz w:val="24"/>
                <w:szCs w:val="24"/>
              </w:rPr>
              <w:t>应急处突</w:t>
            </w:r>
            <w:r>
              <w:rPr>
                <w:rFonts w:hint="eastAsia" w:ascii="仿宋" w:hAnsi="仿宋" w:eastAsia="仿宋" w:cs="仿宋"/>
                <w:color w:val="auto"/>
                <w:sz w:val="24"/>
                <w:szCs w:val="24"/>
                <w:lang w:eastAsia="zh-CN"/>
              </w:rPr>
              <w:t>协助</w:t>
            </w:r>
            <w:r>
              <w:rPr>
                <w:rFonts w:hint="eastAsia" w:ascii="仿宋" w:hAnsi="仿宋" w:eastAsia="仿宋" w:cs="仿宋"/>
                <w:color w:val="auto"/>
                <w:sz w:val="24"/>
                <w:szCs w:val="24"/>
              </w:rPr>
              <w:t>岗</w:t>
            </w:r>
          </w:p>
        </w:tc>
        <w:tc>
          <w:tcPr>
            <w:tcW w:w="2450" w:type="dxa"/>
          </w:tcPr>
          <w:p w14:paraId="51AA5438">
            <w:pP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5272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Merge w:val="continue"/>
          </w:tcPr>
          <w:p w14:paraId="64C21A41">
            <w:pPr>
              <w:jc w:val="center"/>
              <w:rPr>
                <w:rFonts w:hint="eastAsia" w:ascii="仿宋" w:hAnsi="仿宋" w:eastAsia="仿宋" w:cs="仿宋"/>
                <w:color w:val="auto"/>
                <w:sz w:val="24"/>
                <w:szCs w:val="24"/>
              </w:rPr>
            </w:pPr>
          </w:p>
        </w:tc>
        <w:tc>
          <w:tcPr>
            <w:tcW w:w="1563" w:type="dxa"/>
            <w:vMerge w:val="continue"/>
          </w:tcPr>
          <w:p w14:paraId="7BD58240">
            <w:pPr>
              <w:jc w:val="center"/>
              <w:rPr>
                <w:rFonts w:hint="eastAsia" w:ascii="仿宋" w:hAnsi="仿宋" w:eastAsia="仿宋" w:cs="仿宋"/>
                <w:color w:val="auto"/>
                <w:sz w:val="24"/>
                <w:szCs w:val="24"/>
              </w:rPr>
            </w:pPr>
          </w:p>
        </w:tc>
        <w:tc>
          <w:tcPr>
            <w:tcW w:w="4262" w:type="dxa"/>
          </w:tcPr>
          <w:p w14:paraId="3834E0BF">
            <w:pPr>
              <w:rPr>
                <w:rFonts w:hint="eastAsia" w:ascii="仿宋" w:hAnsi="仿宋" w:eastAsia="仿宋" w:cs="仿宋"/>
                <w:color w:val="auto"/>
                <w:sz w:val="24"/>
                <w:szCs w:val="24"/>
              </w:rPr>
            </w:pPr>
            <w:r>
              <w:rPr>
                <w:rFonts w:hint="eastAsia" w:ascii="仿宋" w:hAnsi="仿宋" w:eastAsia="仿宋" w:cs="仿宋"/>
                <w:color w:val="auto"/>
                <w:sz w:val="24"/>
                <w:szCs w:val="24"/>
              </w:rPr>
              <w:t>护学岗</w:t>
            </w:r>
          </w:p>
        </w:tc>
        <w:tc>
          <w:tcPr>
            <w:tcW w:w="2450" w:type="dxa"/>
          </w:tcPr>
          <w:p w14:paraId="1229E417">
            <w:pPr>
              <w:rPr>
                <w:rFonts w:hint="eastAsia" w:ascii="仿宋" w:hAnsi="仿宋" w:eastAsia="仿宋" w:cs="仿宋"/>
                <w:color w:val="auto"/>
                <w:sz w:val="24"/>
                <w:szCs w:val="24"/>
              </w:rPr>
            </w:pPr>
            <w:r>
              <w:rPr>
                <w:rFonts w:hint="eastAsia" w:ascii="仿宋" w:hAnsi="仿宋" w:eastAsia="仿宋" w:cs="仿宋"/>
                <w:color w:val="auto"/>
                <w:sz w:val="24"/>
                <w:szCs w:val="24"/>
              </w:rPr>
              <w:t>11</w:t>
            </w:r>
          </w:p>
        </w:tc>
      </w:tr>
    </w:tbl>
    <w:p w14:paraId="364764AB">
      <w:pPr>
        <w:adjustRightInd/>
        <w:spacing w:line="360" w:lineRule="auto"/>
        <w:ind w:firstLine="480" w:firstLineChars="200"/>
        <w:rPr>
          <w:rFonts w:hint="eastAsia" w:ascii="仿宋" w:hAnsi="仿宋" w:eastAsia="仿宋" w:cs="仿宋"/>
          <w:color w:val="auto"/>
          <w:kern w:val="0"/>
          <w:sz w:val="24"/>
        </w:rPr>
      </w:pPr>
    </w:p>
    <w:p w14:paraId="2F164BCC">
      <w:pPr>
        <w:adjustRightInd/>
        <w:spacing w:line="500" w:lineRule="exact"/>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rPr>
        <w:t>保安队长每天应向采购人提交特保人员签到情况，各具体岗位安排的人员名单，执勤班次时长。采购人将不定时进行核查。</w:t>
      </w:r>
    </w:p>
    <w:p w14:paraId="0B994FEE">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中标单位提供服务后，除正常休假外，确保不缺岗，如缺岗按实际缺岗时数扣除当月劳务费。</w:t>
      </w:r>
    </w:p>
    <w:p w14:paraId="5025D9EE">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中标单位要对相关人员进行绩效考核，奖优惩劣，原则上要预留20%左右经费用于绩效奖励，定期根据街道提供的建议人员名单综合确定。此外，中标单位需给予岗位工作人员购买不少于200万元/人的保险。</w:t>
      </w:r>
    </w:p>
    <w:p w14:paraId="428B5FC4">
      <w:pPr>
        <w:adjustRightInd/>
        <w:spacing w:line="50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如需岗位加班的，按照24元/小时支付，需要额外新增岗位（人）的，按照40元/小时支付。加班费用另行约定及结算。</w:t>
      </w:r>
    </w:p>
    <w:p w14:paraId="34428552">
      <w:pPr>
        <w:adjustRightInd/>
        <w:spacing w:line="50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3、乙方提供的岗位人员素质要求：</w:t>
      </w:r>
    </w:p>
    <w:p w14:paraId="42D0CA03">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特保人员须持证上岗，相关服务人员有较好的形象，男：身高（平均）在170cm及以上、40岁及以下。女：身高（平均）在160cm及以上、35岁及以下。特保人员应具备初中及以上文化程度，身体健康，没有传染病及精神疾病等不能控制自己行为能力的疾病病史，体貌端正、政治上可靠、没有犯罪记录；</w:t>
      </w:r>
    </w:p>
    <w:p w14:paraId="02074953">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（2）特保人员须有较好的语言、文字表达能力、执法、懂法、守法、依法办事、能独立履行岗位管理工作职能，退伍军人或从事保安工作的人员优先；</w:t>
      </w:r>
    </w:p>
    <w:p w14:paraId="3DFC21E5">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（3）特保人员须有吃苦耐劳的精神和高度的责任感，受过专门的岗前培训，熟知管理规定，严格履行岗位职责，善于发现各类问题，具备一定的管理经验和处理突发事件的能力；</w:t>
      </w:r>
    </w:p>
    <w:p w14:paraId="617F5F8A">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（4）特保从业人员上岗时应当着保安员服装，佩戴全国统一的保安服务标志。</w:t>
      </w:r>
    </w:p>
    <w:p w14:paraId="7F1026C2">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4、工作职责：</w:t>
      </w:r>
    </w:p>
    <w:p w14:paraId="40131064">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（1）特保从业人员应当服从街道的工作安排，进行巡查管控，形成工作合力；</w:t>
      </w:r>
    </w:p>
    <w:p w14:paraId="356E7E4C">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（2）协助做好街道区域内维稳、消防、安全生产、工地安全、平安宣传等相关工作；</w:t>
      </w:r>
    </w:p>
    <w:p w14:paraId="74417AD9">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（3）配合社区做好治安巡查、出租房管理、重点点位人、房、企、事信息的排查工作，发现可疑情况及时汇报。</w:t>
      </w:r>
    </w:p>
    <w:p w14:paraId="2E8DFD2C">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（4）配合派出所、城管执法中队、交警、市场监管部门规范区域内秩序、发现违法行为的应立即汇报、劝导和制止。</w:t>
      </w:r>
    </w:p>
    <w:p w14:paraId="6E741355">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（5）特保从业人员应当及时制止发生在服务区域内的违法犯罪行为，对制止无效的违法犯罪行为应当立即报警，同时采取措施保护现场。</w:t>
      </w:r>
    </w:p>
    <w:p w14:paraId="618CC696">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（6）严格按照分配岗位的职能开展巡逻、管控工作，对各类前期的违法违规行为进行及时的制止、劝导、规范，并立即汇报街道分管领导。确保整洁、干净、安全、有序。</w:t>
      </w:r>
    </w:p>
    <w:p w14:paraId="1236D47F">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（7）特保从业人员的日常工作程序内容需全面，常态化管理需合理。</w:t>
      </w:r>
    </w:p>
    <w:p w14:paraId="1D15C899">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（8）特保从业人员的应急处置方案需内容完整、严谨、可操作性强、可提供专业的应急队伍，与辖区联动单位能够良好沟通。</w:t>
      </w:r>
    </w:p>
    <w:p w14:paraId="498D4E1F">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（9）如遇紧急情况及突发事件时，乙方有责任在最短的时间内配合甲方提供充足的人员，并应无条件听从甲方现场工作人员的调遣。</w:t>
      </w:r>
    </w:p>
    <w:p w14:paraId="07FAE5A1">
      <w:pPr>
        <w:adjustRightInd/>
        <w:spacing w:line="50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    5、在保安服务中，为履行保安服务职责，保安员可以采取下列措施：</w:t>
      </w:r>
    </w:p>
    <w:p w14:paraId="47964A47">
      <w:pPr>
        <w:adjustRightInd/>
        <w:spacing w:line="500" w:lineRule="exact"/>
        <w:rPr>
          <w:rFonts w:hint="eastAsia" w:ascii="仿宋" w:hAnsi="仿宋" w:eastAsia="仿宋" w:cs="仿宋"/>
          <w:color w:val="auto"/>
          <w:kern w:val="0"/>
          <w:sz w:val="24"/>
        </w:rPr>
      </w:pPr>
      <w:r>
        <w:rPr>
          <w:rFonts w:hint="eastAsia" w:ascii="仿宋" w:hAnsi="仿宋" w:eastAsia="仿宋" w:cs="仿宋"/>
          <w:color w:val="auto"/>
          <w:kern w:val="0"/>
          <w:sz w:val="24"/>
        </w:rPr>
        <w:t>　　（1）在服务区域内进行巡逻、守护、安全检查、报警监控；</w:t>
      </w:r>
    </w:p>
    <w:p w14:paraId="2F86803A">
      <w:pPr>
        <w:adjustRightInd/>
        <w:spacing w:line="500" w:lineRule="exact"/>
        <w:rPr>
          <w:rFonts w:hint="eastAsia" w:ascii="仿宋" w:hAnsi="仿宋" w:eastAsia="仿宋" w:cs="仿宋"/>
          <w:color w:val="auto"/>
          <w:kern w:val="0"/>
          <w:sz w:val="24"/>
        </w:rPr>
      </w:pPr>
      <w:r>
        <w:rPr>
          <w:rFonts w:hint="eastAsia" w:ascii="仿宋" w:hAnsi="仿宋" w:eastAsia="仿宋" w:cs="仿宋"/>
          <w:color w:val="auto"/>
          <w:kern w:val="0"/>
          <w:sz w:val="24"/>
        </w:rPr>
        <w:t>　　（2）协助派出所在公共场所对人员及其所携带的物品进行安全检查，维护公共秩序。</w:t>
      </w:r>
    </w:p>
    <w:p w14:paraId="488B6262">
      <w:pPr>
        <w:widowControl/>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6、保安员不得有下列行为：</w:t>
      </w:r>
    </w:p>
    <w:p w14:paraId="7E0E57C2">
      <w:pPr>
        <w:widowControl/>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（1）限制他人人身自由、搜查他人身体或者侮辱、殴打他人；</w:t>
      </w:r>
    </w:p>
    <w:p w14:paraId="1F974842">
      <w:pPr>
        <w:widowControl/>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（2）扣押、没收他人证件、财物；</w:t>
      </w:r>
    </w:p>
    <w:p w14:paraId="072CF505">
      <w:pPr>
        <w:widowControl/>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（3）阻碍依法执行公务；</w:t>
      </w:r>
    </w:p>
    <w:p w14:paraId="7555F740">
      <w:pPr>
        <w:widowControl/>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（4）参与追索债务、采用暴力或者以暴力相威胁的手段处置纠纷；</w:t>
      </w:r>
    </w:p>
    <w:p w14:paraId="37061246">
      <w:pPr>
        <w:widowControl/>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（5）删改或者扩散保安服务中形成的监控影像资料、报警记录；</w:t>
      </w:r>
    </w:p>
    <w:p w14:paraId="6699E64E">
      <w:pPr>
        <w:widowControl/>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（6）侵犯个人隐私或者泄露在保安服务中获知的国家秘密、商业秘密以及客户单位明确要求保密的信息；</w:t>
      </w:r>
    </w:p>
    <w:p w14:paraId="553AA435">
      <w:pPr>
        <w:widowControl/>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（7）违反法律、行政法规的其他行为。</w:t>
      </w:r>
    </w:p>
    <w:p w14:paraId="3E5772F2">
      <w:pPr>
        <w:widowControl/>
        <w:adjustRightInd/>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7、保安队长设置：</w:t>
      </w:r>
    </w:p>
    <w:p w14:paraId="43C70099">
      <w:pPr>
        <w:widowControl/>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乙方指派的综合管理岗人员代表公司全面负责保安队伍的日常管理事务，应具有两年以上的管理服务工作经验，应具有较强的责任心和管理能力，较高的政治思想素养和业务水平，较好的语言、文字表达能力和一定的沟通、协调、组织、指挥能力；负责对服务队伍的管理及与甲方的日常联络工作，并要求保证工作相对稳定。</w:t>
      </w:r>
    </w:p>
    <w:p w14:paraId="2F325603">
      <w:pPr>
        <w:widowControl/>
        <w:adjustRightInd/>
        <w:spacing w:line="5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8、乙方人员待遇：</w:t>
      </w:r>
    </w:p>
    <w:p w14:paraId="7ABE960A">
      <w:pPr>
        <w:autoSpaceDE w:val="0"/>
        <w:autoSpaceDN w:val="0"/>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每人必须缴纳相关的社会保险（五险）。</w:t>
      </w:r>
    </w:p>
    <w:p w14:paraId="70C514E1">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（2）人员福利：按照国家标准发放国家法定节假日加班费、高温补贴和国定节假日的慰问品、配备服装、通讯器材等必要装备，防暑防雨用品等。</w:t>
      </w:r>
    </w:p>
    <w:p w14:paraId="08DB8A22">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（3）所有特保人员均需持证上岗。</w:t>
      </w:r>
    </w:p>
    <w:p w14:paraId="7A43A5B0">
      <w:pPr>
        <w:adjustRightInd/>
        <w:spacing w:line="50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    9、服务内容：</w:t>
      </w:r>
    </w:p>
    <w:p w14:paraId="24678C82">
      <w:pPr>
        <w:widowControl/>
        <w:tabs>
          <w:tab w:val="left" w:pos="180"/>
          <w:tab w:val="left" w:pos="1440"/>
        </w:tabs>
        <w:adjustRightInd/>
        <w:snapToGrid w:val="0"/>
        <w:spacing w:before="50" w:after="50" w:line="500" w:lineRule="exact"/>
        <w:ind w:right="-153" w:rightChars="-73"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（1）负责协助辖区街道、社区、派出所、城管、交警、市场监督等部门推进街道平安建设；</w:t>
      </w:r>
    </w:p>
    <w:p w14:paraId="25DA50E0">
      <w:pPr>
        <w:widowControl/>
        <w:tabs>
          <w:tab w:val="left" w:pos="180"/>
          <w:tab w:val="left" w:pos="1440"/>
        </w:tabs>
        <w:adjustRightInd/>
        <w:snapToGrid w:val="0"/>
        <w:spacing w:before="50" w:after="50" w:line="500" w:lineRule="exact"/>
        <w:ind w:right="-153" w:rightChars="-73"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（2）其他经甲乙双方协商同意的服务方式；</w:t>
      </w:r>
    </w:p>
    <w:p w14:paraId="20D854DE">
      <w:pPr>
        <w:tabs>
          <w:tab w:val="left" w:pos="180"/>
          <w:tab w:val="left" w:pos="1440"/>
        </w:tabs>
        <w:adjustRightInd/>
        <w:snapToGrid w:val="0"/>
        <w:spacing w:before="50" w:after="50" w:line="500" w:lineRule="exact"/>
        <w:ind w:right="-153" w:rightChars="-73"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（3）各项服务的细则和有关规章制度另行制定；</w:t>
      </w:r>
    </w:p>
    <w:p w14:paraId="7659E083">
      <w:pPr>
        <w:tabs>
          <w:tab w:val="left" w:pos="180"/>
          <w:tab w:val="left" w:pos="1440"/>
        </w:tabs>
        <w:adjustRightInd/>
        <w:snapToGrid w:val="0"/>
        <w:spacing w:before="50" w:after="50" w:line="500" w:lineRule="exact"/>
        <w:ind w:right="-153" w:rightChars="-73"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（4）甲方要求应急、临时处理的其他工作；</w:t>
      </w:r>
    </w:p>
    <w:p w14:paraId="3E81DE4D">
      <w:pPr>
        <w:tabs>
          <w:tab w:val="left" w:pos="180"/>
          <w:tab w:val="left" w:pos="1440"/>
        </w:tabs>
        <w:adjustRightInd/>
        <w:snapToGrid w:val="0"/>
        <w:spacing w:before="50" w:after="50" w:line="500" w:lineRule="exact"/>
        <w:ind w:right="-153" w:rightChars="-73"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（5）配合甲方的其他工作。</w:t>
      </w:r>
    </w:p>
    <w:p w14:paraId="01B65653">
      <w:pPr>
        <w:adjustRightInd/>
        <w:spacing w:line="50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10、保安服务费用付款方式：</w:t>
      </w:r>
      <w:r>
        <w:rPr>
          <w:rFonts w:hint="eastAsia" w:ascii="仿宋" w:hAnsi="仿宋" w:eastAsia="仿宋" w:cs="仿宋"/>
          <w:color w:val="auto"/>
          <w:sz w:val="24"/>
          <w:highlight w:val="none"/>
        </w:rPr>
        <w:t>本项目预付款为合同价的20%，每个季度支付合同价的15%</w:t>
      </w:r>
      <w:r>
        <w:rPr>
          <w:rFonts w:hint="eastAsia" w:ascii="仿宋" w:hAnsi="仿宋" w:eastAsia="仿宋" w:cs="仿宋"/>
          <w:color w:val="auto"/>
          <w:kern w:val="0"/>
          <w:sz w:val="24"/>
          <w:highlight w:val="none"/>
        </w:rPr>
        <w:t>服务费用（每季度次月15日前支付）。剩余20%费用待合同期满后的10个工作日内支付给乙方。</w:t>
      </w:r>
    </w:p>
    <w:p w14:paraId="3964370F">
      <w:pPr>
        <w:adjustRightInd/>
        <w:spacing w:line="500" w:lineRule="exact"/>
        <w:ind w:firstLine="480"/>
        <w:rPr>
          <w:rFonts w:hint="eastAsia" w:ascii="仿宋" w:hAnsi="仿宋" w:eastAsia="仿宋" w:cs="仿宋"/>
          <w:color w:val="auto"/>
          <w:sz w:val="24"/>
        </w:rPr>
      </w:pPr>
      <w:r>
        <w:rPr>
          <w:rFonts w:hint="eastAsia" w:ascii="仿宋" w:hAnsi="仿宋" w:eastAsia="仿宋" w:cs="仿宋"/>
          <w:color w:val="auto"/>
          <w:kern w:val="0"/>
          <w:sz w:val="24"/>
        </w:rPr>
        <w:t>11、合同期限：202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年1月1日至202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年12月31日</w:t>
      </w:r>
      <w:r>
        <w:rPr>
          <w:rFonts w:hint="eastAsia" w:ascii="仿宋" w:hAnsi="仿宋" w:eastAsia="仿宋" w:cs="仿宋"/>
          <w:b/>
          <w:bCs/>
          <w:color w:val="auto"/>
          <w:sz w:val="24"/>
        </w:rPr>
        <w:t>。</w:t>
      </w:r>
      <w:r>
        <w:rPr>
          <w:rFonts w:hint="eastAsia" w:ascii="仿宋" w:hAnsi="仿宋" w:eastAsia="仿宋" w:cs="仿宋"/>
          <w:color w:val="auto"/>
          <w:sz w:val="24"/>
        </w:rPr>
        <w:t>合同期内，供应商需严格履行合同，若在合同期内乙方有严重违约行为或考核不合格的，甲方有权提前终止合同，由此造成的一切后果和损失由乙方承担。</w:t>
      </w:r>
    </w:p>
    <w:p w14:paraId="3B0C34F4">
      <w:pPr>
        <w:adjustRightInd/>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12、违约责任及监督机制考核：</w:t>
      </w:r>
    </w:p>
    <w:p w14:paraId="5CE3F39D">
      <w:pPr>
        <w:adjustRightInd/>
        <w:snapToGrid w:val="0"/>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1）甲方成立综合考评小组，结合领导交办、群众举报及日常巡查情况，每月对特保及乙方工作实绩进行考核，考核情况与经费挂钩。其中：1.乙方月考核不合格的，乙方每次应向甲方支付月服务费的5%作为违约金；2.甲方每发现一次特保行为规范或仪容仪表不符合约定标准的，甲方有权扣除乙方50元/次的服务费；3. 乙方出现3次月考核不合格的，甲方有权提前终止合同，由此造成的一切后果和损失由乙方承担。</w:t>
      </w:r>
    </w:p>
    <w:p w14:paraId="4391DA0A">
      <w:pPr>
        <w:adjustRightInd/>
        <w:snapToGrid w:val="0"/>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2）特保存在方法不当、工作失职情况或考核不达标的，乙方应予以更换。特保岗位适应期为一个月，适应期过后，甲方不定期对岗位职责及辖区（网格）人、事、物、场所等各要素掌握情况进行抽查，发现存在岗位职责不清，情况不明的，乙方应予以更换；</w:t>
      </w:r>
    </w:p>
    <w:p w14:paraId="1CA36DD0">
      <w:pPr>
        <w:adjustRightInd/>
        <w:snapToGrid w:val="0"/>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（3）乙方特保因方法不当、工作失职造成甲方或第三方损失的，经公安机关查证属实，确认特保失职的，由乙方承担相关损失，且乙方追究直接责任人的行政、法律责任；</w:t>
      </w:r>
    </w:p>
    <w:p w14:paraId="01F8C4C1">
      <w:pPr>
        <w:adjustRightInd/>
        <w:snapToGrid w:val="0"/>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（4）乙方特保因方法不当、工作失职造成恶劣社会影响，引发较大社会舆情，严重影响年度平安考核的，甲方有权中途解除合同，如造成损失的，由乙方自行承担；</w:t>
      </w:r>
    </w:p>
    <w:p w14:paraId="79186CA2">
      <w:pPr>
        <w:adjustRightInd/>
        <w:snapToGrid w:val="0"/>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（5）甲乙双方均应忠实履行合同。乙方在未能或无法履行职责时，甲方有权中途解除合同，如造成损失的，由乙方自行承担。</w:t>
      </w:r>
    </w:p>
    <w:p w14:paraId="193873DD">
      <w:pPr>
        <w:adjustRightInd/>
        <w:snapToGrid w:val="0"/>
        <w:spacing w:line="500" w:lineRule="exact"/>
        <w:rPr>
          <w:rFonts w:hint="eastAsia" w:ascii="仿宋" w:hAnsi="仿宋" w:eastAsia="仿宋" w:cs="仿宋"/>
          <w:color w:val="auto"/>
          <w:sz w:val="24"/>
        </w:rPr>
      </w:pPr>
      <w:r>
        <w:rPr>
          <w:rFonts w:hint="eastAsia" w:ascii="仿宋" w:hAnsi="仿宋" w:eastAsia="仿宋" w:cs="仿宋"/>
          <w:color w:val="auto"/>
          <w:sz w:val="24"/>
        </w:rPr>
        <w:t>（6）乙方不得以任何形式进行分包、转包，否则甲方有权提前终止合同，由此造成的一切后果和损失由乙方承担。</w:t>
      </w:r>
    </w:p>
    <w:p w14:paraId="110A25AD">
      <w:pPr>
        <w:adjustRightInd/>
        <w:snapToGrid w:val="0"/>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13、因不可抗力或甲方自身原因造成的经济损失，乙方不承担责任；如合同执行期间因国家、地方政策或其他情况等因素需变更相应条款、费用的，由甲、乙双方友好协商解决，后签订的补充协议与原合同具有同等的法律效力。</w:t>
      </w:r>
    </w:p>
    <w:p w14:paraId="387E74F6">
      <w:pPr>
        <w:adjustRightInd/>
        <w:snapToGrid w:val="0"/>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14、保安服务外包方式</w:t>
      </w:r>
    </w:p>
    <w:p w14:paraId="1A68D4F4">
      <w:pPr>
        <w:adjustRightInd/>
        <w:snapToGrid w:val="0"/>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（1）乙方负责工作人员的招聘、使用、管理、调配和辞退。若有违反相关规定，对工作不负责的工作人员，甲方有权进行退回处理。</w:t>
      </w:r>
    </w:p>
    <w:p w14:paraId="4E59E3FA">
      <w:pPr>
        <w:adjustRightInd/>
        <w:snapToGrid w:val="0"/>
        <w:spacing w:line="500" w:lineRule="exact"/>
        <w:rPr>
          <w:rFonts w:hint="eastAsia" w:ascii="仿宋" w:hAnsi="仿宋" w:eastAsia="仿宋" w:cs="仿宋"/>
          <w:color w:val="auto"/>
          <w:kern w:val="0"/>
          <w:sz w:val="24"/>
        </w:rPr>
      </w:pPr>
      <w:r>
        <w:rPr>
          <w:rFonts w:hint="eastAsia" w:ascii="仿宋" w:hAnsi="仿宋" w:eastAsia="仿宋" w:cs="仿宋"/>
          <w:color w:val="auto"/>
          <w:sz w:val="24"/>
        </w:rPr>
        <w:t xml:space="preserve">    （2）服务人员的健康状况（包括操作不规范等因素造成的安全责任事故）全部费用由乙方承担，甲方不承担任何责任；乙方必须根据国家《劳动合</w:t>
      </w:r>
      <w:r>
        <w:rPr>
          <w:rFonts w:hint="eastAsia" w:ascii="仿宋" w:hAnsi="仿宋" w:eastAsia="仿宋" w:cs="仿宋"/>
          <w:color w:val="auto"/>
          <w:kern w:val="0"/>
          <w:sz w:val="24"/>
        </w:rPr>
        <w:t>同法》合法用工，依法为每位员工支付各类社会保险；如用工不当，给甲方造成损失由乙方承担。</w:t>
      </w:r>
    </w:p>
    <w:p w14:paraId="3DFCBD18">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（3）乙方在承包期间内与外界发生的一切债权、债务等纠纷均与甲方无关。</w:t>
      </w:r>
    </w:p>
    <w:p w14:paraId="4C4C8E91">
      <w:pPr>
        <w:adjustRightInd/>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（4）保安服务中使用的技术防范产品，应当符合有关的产品质量要求。</w:t>
      </w:r>
    </w:p>
    <w:p w14:paraId="6BADE423">
      <w:pPr>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（5）保安服务中形成的监控影像资料、报警记录，应当至少留存30日备查，保安服务单位不得删改或者扩散。</w:t>
      </w:r>
    </w:p>
    <w:p w14:paraId="66664749">
      <w:pPr>
        <w:adjustRightInd/>
        <w:spacing w:line="50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    15、解决合同纠纷方式：双方协商解决；协商不成的，向甲方所在地人民法院起诉。</w:t>
      </w:r>
    </w:p>
    <w:p w14:paraId="7BEA20F2">
      <w:pPr>
        <w:adjustRightInd/>
        <w:spacing w:line="500" w:lineRule="exact"/>
        <w:rPr>
          <w:rFonts w:hint="eastAsia" w:ascii="仿宋" w:hAnsi="仿宋" w:eastAsia="仿宋" w:cs="仿宋"/>
          <w:color w:val="auto"/>
          <w:sz w:val="24"/>
        </w:rPr>
      </w:pPr>
      <w:r>
        <w:rPr>
          <w:rFonts w:hint="eastAsia" w:ascii="仿宋" w:hAnsi="仿宋" w:eastAsia="仿宋" w:cs="仿宋"/>
          <w:color w:val="auto"/>
          <w:kern w:val="0"/>
          <w:sz w:val="24"/>
        </w:rPr>
        <w:t xml:space="preserve">    16、其他约定事项：未尽事宜，甲乙双方协商解决。</w:t>
      </w:r>
    </w:p>
    <w:p w14:paraId="2C5FC8B3">
      <w:pPr>
        <w:widowControl/>
        <w:shd w:val="clear" w:color="auto" w:fill="FFFFFF"/>
        <w:adjustRightInd/>
        <w:snapToGrid w:val="0"/>
        <w:spacing w:before="120" w:beforeAutospacing="1" w:after="120" w:line="500" w:lineRule="exact"/>
        <w:contextualSpacing/>
        <w:jc w:val="left"/>
        <w:rPr>
          <w:rFonts w:hint="eastAsia" w:ascii="仿宋" w:hAnsi="仿宋" w:eastAsia="仿宋" w:cs="仿宋"/>
          <w:b/>
          <w:bCs/>
          <w:color w:val="auto"/>
          <w:kern w:val="0"/>
          <w:sz w:val="24"/>
        </w:rPr>
      </w:pPr>
      <w:r>
        <w:rPr>
          <w:rFonts w:hint="eastAsia" w:ascii="仿宋" w:hAnsi="仿宋" w:eastAsia="仿宋" w:cs="仿宋"/>
          <w:b/>
          <w:bCs/>
          <w:color w:val="auto"/>
          <w:kern w:val="0"/>
          <w:sz w:val="24"/>
        </w:rPr>
        <w:t xml:space="preserve">    三、其他说明</w:t>
      </w:r>
    </w:p>
    <w:p w14:paraId="71A0E04C">
      <w:pPr>
        <w:adjustRightInd/>
        <w:spacing w:line="360" w:lineRule="auto"/>
        <w:rPr>
          <w:rFonts w:hint="eastAsia" w:ascii="仿宋" w:hAnsi="仿宋" w:eastAsia="仿宋" w:cs="仿宋"/>
          <w:b/>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1、本项目要求中乙方所提供的保安人员都需持证上岗。(提供保安员相关证件复印件)</w:t>
      </w:r>
    </w:p>
    <w:p w14:paraId="43EF18CA">
      <w:pPr>
        <w:adjustRightInd/>
        <w:spacing w:line="360" w:lineRule="auto"/>
        <w:rPr>
          <w:rFonts w:hint="eastAsia" w:ascii="仿宋" w:hAnsi="仿宋" w:eastAsia="仿宋" w:cs="仿宋"/>
          <w:b/>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2、本项目要求中乙方所提供的每周工作时间需满足。（需提供承诺函）</w:t>
      </w:r>
    </w:p>
    <w:p w14:paraId="69698303">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b/>
          <w:color w:val="auto"/>
          <w:sz w:val="24"/>
        </w:rPr>
        <w:t>3、本项目如甲方有要求增加的临时应急处理的其他工作，乙方需承诺按甲方要求无条件在1小时内组织保安人员协助甲方处理临时应急工作；临时派遣的保安人员身体素质、业务技能等各类要求与常驻保安人员相同，按实结算，另行支付。(需提供承诺函）</w:t>
      </w:r>
    </w:p>
    <w:p w14:paraId="44250767">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rPr>
        <w:t>4、本项目最终结算价，以中标人实际中标价折算成以“天”为单位，服务</w:t>
      </w:r>
      <w:r>
        <w:rPr>
          <w:rFonts w:hint="eastAsia" w:ascii="仿宋" w:hAnsi="仿宋" w:eastAsia="仿宋" w:cs="仿宋"/>
          <w:b/>
          <w:bCs/>
          <w:color w:val="auto"/>
          <w:sz w:val="24"/>
          <w:highlight w:val="none"/>
        </w:rPr>
        <w:t>天数以实际服务天数为准，按实结算。</w:t>
      </w:r>
    </w:p>
    <w:p w14:paraId="59B72D20">
      <w:pPr>
        <w:spacing w:before="24" w:beforeLines="10" w:line="360" w:lineRule="auto"/>
        <w:ind w:firstLine="361" w:firstLineChars="150"/>
        <w:rPr>
          <w:rFonts w:hint="eastAsia" w:ascii="仿宋" w:hAnsi="仿宋" w:eastAsia="仿宋" w:cs="仿宋"/>
          <w:b/>
          <w:bCs/>
          <w:color w:val="auto"/>
          <w:kern w:val="0"/>
          <w:sz w:val="24"/>
          <w:szCs w:val="22"/>
          <w:highlight w:val="none"/>
        </w:rPr>
      </w:pPr>
      <w:r>
        <w:rPr>
          <w:rFonts w:hint="eastAsia" w:ascii="仿宋" w:hAnsi="仿宋" w:eastAsia="仿宋" w:cs="仿宋"/>
          <w:b/>
          <w:color w:val="auto"/>
          <w:sz w:val="24"/>
          <w:highlight w:val="none"/>
        </w:rPr>
        <w:t>5、202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年1月1日至合同签订之日前的空档期服务由原供应商进行服务，费用结算方式如下：空档期原供应商的服务人数、岗位、服务天数经采购人确认后，按原服务合同费用标准进行结算（空档期服务产生的费用由新中标供应商支付给原供应商）。</w:t>
      </w:r>
    </w:p>
    <w:p w14:paraId="1AB96D54">
      <w:pPr>
        <w:pStyle w:val="7"/>
        <w:rPr>
          <w:rFonts w:hint="default"/>
          <w:color w:val="auto"/>
          <w:highlight w:val="none"/>
          <w:lang w:val="en-US" w:eastAsia="zh-CN"/>
        </w:rPr>
      </w:pPr>
    </w:p>
    <w:p w14:paraId="7B96BB2D">
      <w:pPr>
        <w:pStyle w:val="7"/>
        <w:rPr>
          <w:rFonts w:hint="eastAsia"/>
          <w:color w:val="auto"/>
          <w:highlight w:val="none"/>
        </w:rPr>
      </w:pPr>
    </w:p>
    <w:p w14:paraId="3949EB60">
      <w:pPr>
        <w:tabs>
          <w:tab w:val="left" w:pos="0"/>
        </w:tabs>
        <w:spacing w:line="360" w:lineRule="auto"/>
        <w:ind w:firstLine="480"/>
        <w:rPr>
          <w:rFonts w:hint="eastAsia" w:ascii="仿宋" w:hAnsi="仿宋" w:eastAsia="仿宋" w:cs="仿宋"/>
          <w:color w:val="auto"/>
          <w:kern w:val="0"/>
          <w:sz w:val="24"/>
          <w:szCs w:val="24"/>
          <w:highlight w:val="none"/>
        </w:rPr>
      </w:pPr>
    </w:p>
    <w:p w14:paraId="68D20DE2">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7" w:name="_Toc184308102"/>
      <w:bookmarkEnd w:id="27"/>
      <w:bookmarkStart w:id="28" w:name="_Toc184313285"/>
      <w:bookmarkEnd w:id="28"/>
      <w:bookmarkStart w:id="29" w:name="_Toc184310295"/>
      <w:bookmarkEnd w:id="29"/>
      <w:bookmarkStart w:id="30" w:name="_Toc184312117"/>
      <w:bookmarkEnd w:id="30"/>
      <w:bookmarkStart w:id="31" w:name="_Toc184314479"/>
      <w:bookmarkEnd w:id="31"/>
      <w:bookmarkStart w:id="32" w:name="_Toc184312118"/>
      <w:bookmarkEnd w:id="32"/>
      <w:bookmarkStart w:id="33" w:name="_Toc184310292"/>
      <w:bookmarkEnd w:id="33"/>
      <w:bookmarkStart w:id="34" w:name="_Toc184313271"/>
      <w:bookmarkEnd w:id="34"/>
      <w:bookmarkStart w:id="35" w:name="_Toc184313279"/>
      <w:bookmarkEnd w:id="35"/>
      <w:bookmarkStart w:id="36" w:name="_Toc184313297"/>
      <w:bookmarkEnd w:id="36"/>
      <w:bookmarkStart w:id="37" w:name="_Toc184310313"/>
      <w:bookmarkEnd w:id="37"/>
      <w:bookmarkStart w:id="38" w:name="_Toc184312097"/>
      <w:bookmarkEnd w:id="38"/>
      <w:bookmarkStart w:id="39" w:name="_Toc184313308"/>
      <w:bookmarkEnd w:id="39"/>
      <w:bookmarkStart w:id="40" w:name="_Toc184312136"/>
      <w:bookmarkEnd w:id="40"/>
      <w:bookmarkStart w:id="41" w:name="_Toc184314443"/>
      <w:bookmarkEnd w:id="41"/>
      <w:bookmarkStart w:id="42" w:name="_Toc184310296"/>
      <w:bookmarkEnd w:id="42"/>
      <w:bookmarkStart w:id="43" w:name="_Toc184314463"/>
      <w:bookmarkEnd w:id="43"/>
      <w:bookmarkStart w:id="44" w:name="_Toc184310272"/>
      <w:bookmarkEnd w:id="44"/>
      <w:bookmarkStart w:id="45" w:name="_Toc184313303"/>
      <w:bookmarkEnd w:id="45"/>
      <w:bookmarkStart w:id="46" w:name="_Toc184312096"/>
      <w:bookmarkEnd w:id="46"/>
      <w:bookmarkStart w:id="47" w:name="_Toc184312109"/>
      <w:bookmarkEnd w:id="47"/>
      <w:bookmarkStart w:id="48" w:name="_Toc184310327"/>
      <w:bookmarkEnd w:id="48"/>
      <w:bookmarkStart w:id="49" w:name="_Toc184310288"/>
      <w:bookmarkEnd w:id="49"/>
      <w:bookmarkStart w:id="50" w:name="_Toc184308050"/>
      <w:bookmarkEnd w:id="50"/>
      <w:bookmarkStart w:id="51" w:name="_Toc184312073"/>
      <w:bookmarkEnd w:id="51"/>
      <w:bookmarkStart w:id="52" w:name="_Toc184310343"/>
      <w:bookmarkEnd w:id="52"/>
      <w:bookmarkStart w:id="53" w:name="_Toc184308065"/>
      <w:bookmarkEnd w:id="53"/>
      <w:bookmarkStart w:id="54" w:name="_Toc184314441"/>
      <w:bookmarkEnd w:id="54"/>
      <w:bookmarkStart w:id="55" w:name="_Toc184314413"/>
      <w:bookmarkEnd w:id="55"/>
      <w:bookmarkStart w:id="56" w:name="_Toc184312082"/>
      <w:bookmarkEnd w:id="56"/>
      <w:bookmarkStart w:id="57" w:name="_Toc184312129"/>
      <w:bookmarkEnd w:id="57"/>
      <w:bookmarkStart w:id="58" w:name="_Toc184312105"/>
      <w:bookmarkEnd w:id="58"/>
      <w:bookmarkStart w:id="59" w:name="_Toc184314430"/>
      <w:bookmarkEnd w:id="59"/>
      <w:bookmarkStart w:id="60" w:name="_Toc184308079"/>
      <w:bookmarkEnd w:id="60"/>
      <w:bookmarkStart w:id="61" w:name="_Toc184310322"/>
      <w:bookmarkEnd w:id="61"/>
      <w:bookmarkStart w:id="62" w:name="_Toc184313301"/>
      <w:bookmarkEnd w:id="62"/>
      <w:bookmarkStart w:id="63" w:name="_Toc184312081"/>
      <w:bookmarkEnd w:id="63"/>
      <w:bookmarkStart w:id="64" w:name="_Toc184308036"/>
      <w:bookmarkEnd w:id="64"/>
      <w:bookmarkStart w:id="65" w:name="_Toc184314478"/>
      <w:bookmarkEnd w:id="65"/>
      <w:bookmarkStart w:id="66" w:name="_Toc184313269"/>
      <w:bookmarkEnd w:id="66"/>
      <w:bookmarkStart w:id="67" w:name="_Toc184313276"/>
      <w:bookmarkEnd w:id="67"/>
      <w:bookmarkStart w:id="68" w:name="_Toc184308091"/>
      <w:bookmarkEnd w:id="68"/>
      <w:bookmarkStart w:id="69" w:name="_Toc184313300"/>
      <w:bookmarkEnd w:id="69"/>
      <w:bookmarkStart w:id="70" w:name="_Toc184313259"/>
      <w:bookmarkEnd w:id="70"/>
      <w:bookmarkStart w:id="71" w:name="_Toc184312100"/>
      <w:bookmarkEnd w:id="71"/>
      <w:bookmarkStart w:id="72" w:name="_Toc184313310"/>
      <w:bookmarkEnd w:id="72"/>
      <w:bookmarkStart w:id="73" w:name="_Toc184314431"/>
      <w:bookmarkEnd w:id="73"/>
      <w:bookmarkStart w:id="74" w:name="_Toc184312120"/>
      <w:bookmarkEnd w:id="74"/>
      <w:bookmarkStart w:id="75" w:name="_Toc184308061"/>
      <w:bookmarkEnd w:id="75"/>
      <w:bookmarkStart w:id="76" w:name="_Toc184313241"/>
      <w:bookmarkEnd w:id="76"/>
      <w:bookmarkStart w:id="77" w:name="_Toc184313263"/>
      <w:bookmarkEnd w:id="77"/>
      <w:bookmarkStart w:id="78" w:name="_Toc184310328"/>
      <w:bookmarkEnd w:id="78"/>
      <w:bookmarkStart w:id="79" w:name="_Toc184312092"/>
      <w:bookmarkEnd w:id="79"/>
      <w:bookmarkStart w:id="80" w:name="_Toc184312137"/>
      <w:bookmarkEnd w:id="80"/>
      <w:bookmarkStart w:id="81" w:name="_Toc184312132"/>
      <w:bookmarkEnd w:id="81"/>
      <w:bookmarkStart w:id="82" w:name="_Toc184310291"/>
      <w:bookmarkEnd w:id="82"/>
      <w:bookmarkStart w:id="83" w:name="_Toc184308107"/>
      <w:bookmarkEnd w:id="83"/>
      <w:bookmarkStart w:id="84" w:name="_Toc184312074"/>
      <w:bookmarkEnd w:id="84"/>
      <w:bookmarkStart w:id="85" w:name="_Toc184312107"/>
      <w:bookmarkEnd w:id="85"/>
      <w:bookmarkStart w:id="86" w:name="_Toc184313256"/>
      <w:bookmarkEnd w:id="86"/>
      <w:bookmarkStart w:id="87" w:name="_Toc184312071"/>
      <w:bookmarkEnd w:id="87"/>
      <w:bookmarkStart w:id="88" w:name="_Toc184308066"/>
      <w:bookmarkEnd w:id="88"/>
      <w:bookmarkStart w:id="89" w:name="_Toc184310277"/>
      <w:bookmarkEnd w:id="89"/>
      <w:bookmarkStart w:id="90" w:name="_Toc184314439"/>
      <w:bookmarkEnd w:id="90"/>
      <w:bookmarkStart w:id="91" w:name="_Toc184308082"/>
      <w:bookmarkEnd w:id="91"/>
      <w:bookmarkStart w:id="92" w:name="_Toc184314459"/>
      <w:bookmarkEnd w:id="92"/>
      <w:bookmarkStart w:id="93" w:name="_Toc184312087"/>
      <w:bookmarkEnd w:id="93"/>
      <w:bookmarkStart w:id="94" w:name="_Toc184314435"/>
      <w:bookmarkEnd w:id="94"/>
      <w:bookmarkStart w:id="95" w:name="_Toc184308040"/>
      <w:bookmarkEnd w:id="95"/>
      <w:bookmarkStart w:id="96" w:name="_Toc184313270"/>
      <w:bookmarkEnd w:id="96"/>
      <w:bookmarkStart w:id="97" w:name="_Toc184312089"/>
      <w:bookmarkEnd w:id="97"/>
      <w:bookmarkStart w:id="98" w:name="_Toc184314425"/>
      <w:bookmarkEnd w:id="98"/>
      <w:bookmarkStart w:id="99" w:name="_Toc184310284"/>
      <w:bookmarkEnd w:id="99"/>
      <w:bookmarkStart w:id="100" w:name="_Toc184314417"/>
      <w:bookmarkEnd w:id="100"/>
      <w:bookmarkStart w:id="101" w:name="_Toc184310299"/>
      <w:bookmarkEnd w:id="101"/>
      <w:bookmarkStart w:id="102" w:name="_Toc184308094"/>
      <w:bookmarkEnd w:id="102"/>
      <w:bookmarkStart w:id="103" w:name="_Toc184310336"/>
      <w:bookmarkEnd w:id="103"/>
      <w:bookmarkStart w:id="104" w:name="_Toc184314411"/>
      <w:bookmarkEnd w:id="104"/>
      <w:bookmarkStart w:id="105" w:name="_Toc184308052"/>
      <w:bookmarkEnd w:id="105"/>
      <w:bookmarkStart w:id="106" w:name="_Toc184308101"/>
      <w:bookmarkEnd w:id="106"/>
      <w:bookmarkStart w:id="107" w:name="_Toc184312130"/>
      <w:bookmarkEnd w:id="107"/>
      <w:bookmarkStart w:id="108" w:name="_Toc184308060"/>
      <w:bookmarkEnd w:id="108"/>
      <w:bookmarkStart w:id="109" w:name="_Toc184314415"/>
      <w:bookmarkEnd w:id="109"/>
      <w:bookmarkStart w:id="110" w:name="_Toc184310303"/>
      <w:bookmarkEnd w:id="110"/>
      <w:bookmarkStart w:id="111" w:name="_Toc184310323"/>
      <w:bookmarkEnd w:id="111"/>
      <w:bookmarkStart w:id="112" w:name="_Toc184313280"/>
      <w:bookmarkEnd w:id="112"/>
      <w:bookmarkStart w:id="113" w:name="_Toc184313281"/>
      <w:bookmarkEnd w:id="113"/>
      <w:bookmarkStart w:id="114" w:name="_Toc184312123"/>
      <w:bookmarkEnd w:id="114"/>
      <w:bookmarkStart w:id="115" w:name="_Toc184310283"/>
      <w:bookmarkEnd w:id="115"/>
      <w:bookmarkStart w:id="116" w:name="_Toc184312076"/>
      <w:bookmarkEnd w:id="116"/>
      <w:bookmarkStart w:id="117" w:name="_Toc184308062"/>
      <w:bookmarkEnd w:id="117"/>
      <w:bookmarkStart w:id="118" w:name="_Toc184308087"/>
      <w:bookmarkEnd w:id="118"/>
      <w:bookmarkStart w:id="119" w:name="_Toc184314460"/>
      <w:bookmarkEnd w:id="119"/>
      <w:bookmarkStart w:id="120" w:name="_Toc184312083"/>
      <w:bookmarkEnd w:id="120"/>
      <w:bookmarkStart w:id="121" w:name="_Toc184308038"/>
      <w:bookmarkEnd w:id="121"/>
      <w:bookmarkStart w:id="122" w:name="_Toc184313288"/>
      <w:bookmarkEnd w:id="122"/>
      <w:bookmarkStart w:id="123" w:name="_Toc184312095"/>
      <w:bookmarkEnd w:id="123"/>
      <w:bookmarkStart w:id="124" w:name="_Toc184310307"/>
      <w:bookmarkEnd w:id="124"/>
      <w:bookmarkStart w:id="125" w:name="_Toc184313242"/>
      <w:bookmarkEnd w:id="125"/>
      <w:bookmarkStart w:id="126" w:name="_Toc184312090"/>
      <w:bookmarkEnd w:id="126"/>
      <w:bookmarkStart w:id="127" w:name="_Toc184310324"/>
      <w:bookmarkEnd w:id="127"/>
      <w:bookmarkStart w:id="128" w:name="_Toc184312108"/>
      <w:bookmarkEnd w:id="128"/>
      <w:bookmarkStart w:id="129" w:name="_Toc184312104"/>
      <w:bookmarkEnd w:id="129"/>
      <w:bookmarkStart w:id="130" w:name="_Toc184310278"/>
      <w:bookmarkEnd w:id="130"/>
      <w:bookmarkStart w:id="131" w:name="_Toc184313296"/>
      <w:bookmarkEnd w:id="131"/>
      <w:bookmarkStart w:id="132" w:name="_Toc184312102"/>
      <w:bookmarkEnd w:id="132"/>
      <w:bookmarkStart w:id="133" w:name="_Toc184312127"/>
      <w:bookmarkEnd w:id="133"/>
      <w:bookmarkStart w:id="134" w:name="_Toc184314455"/>
      <w:bookmarkEnd w:id="134"/>
      <w:bookmarkStart w:id="135" w:name="_Toc184312126"/>
      <w:bookmarkEnd w:id="135"/>
      <w:bookmarkStart w:id="136" w:name="_Toc184314410"/>
      <w:bookmarkEnd w:id="136"/>
      <w:bookmarkStart w:id="137" w:name="_Toc184312091"/>
      <w:bookmarkEnd w:id="137"/>
      <w:bookmarkStart w:id="138" w:name="_Toc184308077"/>
      <w:bookmarkEnd w:id="138"/>
      <w:bookmarkStart w:id="139" w:name="_Toc184313252"/>
      <w:bookmarkEnd w:id="139"/>
      <w:bookmarkStart w:id="140" w:name="_Toc184313243"/>
      <w:bookmarkEnd w:id="140"/>
      <w:bookmarkStart w:id="141" w:name="_Toc184314466"/>
      <w:bookmarkEnd w:id="141"/>
      <w:bookmarkStart w:id="142" w:name="_Toc184313239"/>
      <w:bookmarkEnd w:id="142"/>
      <w:bookmarkStart w:id="143" w:name="_Toc184313282"/>
      <w:bookmarkEnd w:id="143"/>
      <w:bookmarkStart w:id="144" w:name="_Toc184310321"/>
      <w:bookmarkEnd w:id="144"/>
      <w:bookmarkStart w:id="145" w:name="_Toc184312111"/>
      <w:bookmarkEnd w:id="145"/>
      <w:bookmarkStart w:id="146" w:name="_Toc184308105"/>
      <w:bookmarkEnd w:id="146"/>
      <w:bookmarkStart w:id="147" w:name="_Toc184314442"/>
      <w:bookmarkEnd w:id="147"/>
      <w:bookmarkStart w:id="148" w:name="_Toc184312121"/>
      <w:bookmarkEnd w:id="148"/>
      <w:bookmarkStart w:id="149" w:name="_Toc184308097"/>
      <w:bookmarkEnd w:id="149"/>
      <w:bookmarkStart w:id="150" w:name="_Toc184314445"/>
      <w:bookmarkEnd w:id="150"/>
      <w:bookmarkStart w:id="151" w:name="_Toc184313238"/>
      <w:bookmarkEnd w:id="151"/>
      <w:bookmarkStart w:id="152" w:name="_Toc184314421"/>
      <w:bookmarkEnd w:id="152"/>
      <w:bookmarkStart w:id="153" w:name="_Toc184310329"/>
      <w:bookmarkEnd w:id="153"/>
      <w:bookmarkStart w:id="154" w:name="_Toc184313257"/>
      <w:bookmarkEnd w:id="154"/>
      <w:bookmarkStart w:id="155" w:name="_Toc184312125"/>
      <w:bookmarkEnd w:id="155"/>
      <w:bookmarkStart w:id="156" w:name="_Toc184312098"/>
      <w:bookmarkEnd w:id="156"/>
      <w:bookmarkStart w:id="157" w:name="_Toc184314448"/>
      <w:bookmarkEnd w:id="157"/>
      <w:bookmarkStart w:id="158" w:name="_Toc184310326"/>
      <w:bookmarkEnd w:id="158"/>
      <w:bookmarkStart w:id="159" w:name="_Toc184313253"/>
      <w:bookmarkEnd w:id="159"/>
      <w:bookmarkStart w:id="160" w:name="_Toc184313248"/>
      <w:bookmarkEnd w:id="160"/>
      <w:bookmarkStart w:id="161" w:name="_Toc184313299"/>
      <w:bookmarkEnd w:id="161"/>
      <w:bookmarkStart w:id="162" w:name="_Toc184308051"/>
      <w:bookmarkEnd w:id="162"/>
      <w:bookmarkStart w:id="163" w:name="_Toc184313304"/>
      <w:bookmarkEnd w:id="163"/>
      <w:bookmarkStart w:id="164" w:name="_Toc184313274"/>
      <w:bookmarkEnd w:id="164"/>
      <w:bookmarkStart w:id="165" w:name="_Toc184312124"/>
      <w:bookmarkEnd w:id="165"/>
      <w:bookmarkStart w:id="166" w:name="_Toc184313291"/>
      <w:bookmarkEnd w:id="166"/>
      <w:bookmarkStart w:id="167" w:name="_Toc184310282"/>
      <w:bookmarkEnd w:id="167"/>
      <w:bookmarkStart w:id="168" w:name="_Toc184308092"/>
      <w:bookmarkEnd w:id="168"/>
      <w:bookmarkStart w:id="169" w:name="_Toc184313266"/>
      <w:bookmarkEnd w:id="169"/>
      <w:bookmarkStart w:id="170" w:name="_Toc184308067"/>
      <w:bookmarkEnd w:id="170"/>
      <w:bookmarkStart w:id="171" w:name="_Toc184314424"/>
      <w:bookmarkEnd w:id="171"/>
      <w:bookmarkStart w:id="172" w:name="_Toc184312106"/>
      <w:bookmarkEnd w:id="172"/>
      <w:bookmarkStart w:id="173" w:name="_Toc184310273"/>
      <w:bookmarkEnd w:id="173"/>
      <w:bookmarkStart w:id="174" w:name="_Toc184313255"/>
      <w:bookmarkEnd w:id="174"/>
      <w:bookmarkStart w:id="175" w:name="_Toc184313258"/>
      <w:bookmarkEnd w:id="175"/>
      <w:bookmarkStart w:id="176" w:name="_Toc184312135"/>
      <w:bookmarkEnd w:id="176"/>
      <w:bookmarkStart w:id="177" w:name="_Toc184314414"/>
      <w:bookmarkEnd w:id="177"/>
      <w:bookmarkStart w:id="178" w:name="_Toc184314419"/>
      <w:bookmarkEnd w:id="178"/>
      <w:bookmarkStart w:id="179" w:name="_Toc184308046"/>
      <w:bookmarkEnd w:id="179"/>
      <w:bookmarkStart w:id="180" w:name="_Toc184312068"/>
      <w:bookmarkEnd w:id="180"/>
      <w:bookmarkStart w:id="181" w:name="_Toc184310325"/>
      <w:bookmarkEnd w:id="181"/>
      <w:bookmarkStart w:id="182" w:name="_Toc184310316"/>
      <w:bookmarkEnd w:id="182"/>
      <w:bookmarkStart w:id="183" w:name="_Toc184312079"/>
      <w:bookmarkEnd w:id="183"/>
      <w:bookmarkStart w:id="184" w:name="_Toc184313251"/>
      <w:bookmarkEnd w:id="184"/>
      <w:bookmarkStart w:id="185" w:name="_Toc184313286"/>
      <w:bookmarkEnd w:id="185"/>
      <w:bookmarkStart w:id="186" w:name="_Toc184312085"/>
      <w:bookmarkEnd w:id="186"/>
      <w:bookmarkStart w:id="187" w:name="_Toc184308037"/>
      <w:bookmarkEnd w:id="187"/>
      <w:bookmarkStart w:id="188" w:name="_Toc184310335"/>
      <w:bookmarkEnd w:id="188"/>
      <w:bookmarkStart w:id="189" w:name="_Toc184314473"/>
      <w:bookmarkEnd w:id="189"/>
      <w:bookmarkStart w:id="190" w:name="_Toc184312069"/>
      <w:bookmarkEnd w:id="190"/>
      <w:bookmarkStart w:id="191" w:name="_Toc184308078"/>
      <w:bookmarkEnd w:id="191"/>
      <w:bookmarkStart w:id="192" w:name="_Toc184310287"/>
      <w:bookmarkEnd w:id="192"/>
      <w:bookmarkStart w:id="193" w:name="_Toc184314461"/>
      <w:bookmarkEnd w:id="193"/>
      <w:bookmarkStart w:id="194" w:name="_Toc184308100"/>
      <w:bookmarkEnd w:id="194"/>
      <w:bookmarkStart w:id="195" w:name="_Toc184312101"/>
      <w:bookmarkEnd w:id="195"/>
      <w:bookmarkStart w:id="196" w:name="_Toc184314437"/>
      <w:bookmarkEnd w:id="196"/>
      <w:bookmarkStart w:id="197" w:name="_Toc184310342"/>
      <w:bookmarkEnd w:id="197"/>
      <w:bookmarkStart w:id="198" w:name="_Toc184313265"/>
      <w:bookmarkEnd w:id="198"/>
      <w:bookmarkStart w:id="199" w:name="_Toc184308071"/>
      <w:bookmarkEnd w:id="199"/>
      <w:bookmarkStart w:id="200" w:name="_Toc184314472"/>
      <w:bookmarkEnd w:id="200"/>
      <w:bookmarkStart w:id="201" w:name="_Toc184312113"/>
      <w:bookmarkEnd w:id="201"/>
      <w:bookmarkStart w:id="202" w:name="_Toc184313254"/>
      <w:bookmarkEnd w:id="202"/>
      <w:bookmarkStart w:id="203" w:name="_Toc184312099"/>
      <w:bookmarkEnd w:id="203"/>
      <w:bookmarkStart w:id="204" w:name="_Toc184313278"/>
      <w:bookmarkEnd w:id="204"/>
      <w:bookmarkStart w:id="205" w:name="_Toc184308096"/>
      <w:bookmarkEnd w:id="205"/>
      <w:bookmarkStart w:id="206" w:name="_Toc184313273"/>
      <w:bookmarkEnd w:id="206"/>
      <w:bookmarkStart w:id="207" w:name="_Toc184308083"/>
      <w:bookmarkEnd w:id="207"/>
      <w:bookmarkStart w:id="208" w:name="_Toc184314470"/>
      <w:bookmarkEnd w:id="208"/>
      <w:bookmarkStart w:id="209" w:name="_Toc184308075"/>
      <w:bookmarkEnd w:id="209"/>
      <w:bookmarkStart w:id="210" w:name="_Toc184308069"/>
      <w:bookmarkEnd w:id="210"/>
      <w:bookmarkStart w:id="211" w:name="_Toc184310315"/>
      <w:bookmarkEnd w:id="211"/>
      <w:bookmarkStart w:id="212" w:name="_Toc184314465"/>
      <w:bookmarkEnd w:id="212"/>
      <w:bookmarkStart w:id="213" w:name="_Toc184312115"/>
      <w:bookmarkEnd w:id="213"/>
      <w:bookmarkStart w:id="214" w:name="_Toc184314446"/>
      <w:bookmarkEnd w:id="214"/>
      <w:bookmarkStart w:id="215" w:name="_Toc184314429"/>
      <w:bookmarkEnd w:id="215"/>
      <w:bookmarkStart w:id="216" w:name="_Toc184312133"/>
      <w:bookmarkEnd w:id="216"/>
      <w:bookmarkStart w:id="217" w:name="_Toc184312110"/>
      <w:bookmarkEnd w:id="217"/>
      <w:bookmarkStart w:id="218" w:name="_Toc184310300"/>
      <w:bookmarkEnd w:id="218"/>
      <w:bookmarkStart w:id="219" w:name="_Toc184314456"/>
      <w:bookmarkEnd w:id="219"/>
      <w:bookmarkStart w:id="220" w:name="_Toc184312093"/>
      <w:bookmarkEnd w:id="220"/>
      <w:bookmarkStart w:id="221" w:name="_Toc184313290"/>
      <w:bookmarkEnd w:id="221"/>
      <w:bookmarkStart w:id="222" w:name="_Toc184308070"/>
      <w:bookmarkEnd w:id="222"/>
      <w:bookmarkStart w:id="223" w:name="_Toc184313284"/>
      <w:bookmarkEnd w:id="223"/>
      <w:bookmarkStart w:id="224" w:name="_Toc184314436"/>
      <w:bookmarkEnd w:id="224"/>
      <w:bookmarkStart w:id="225" w:name="_Toc184310294"/>
      <w:bookmarkEnd w:id="225"/>
      <w:bookmarkStart w:id="226" w:name="_Toc184310317"/>
      <w:bookmarkEnd w:id="226"/>
      <w:bookmarkStart w:id="227" w:name="_Toc184312075"/>
      <w:bookmarkEnd w:id="227"/>
      <w:bookmarkStart w:id="228" w:name="_Toc184314427"/>
      <w:bookmarkEnd w:id="228"/>
      <w:bookmarkStart w:id="229" w:name="_Toc184310312"/>
      <w:bookmarkEnd w:id="229"/>
      <w:bookmarkStart w:id="230" w:name="_Toc184310279"/>
      <w:bookmarkEnd w:id="230"/>
      <w:bookmarkStart w:id="231" w:name="_Toc184310338"/>
      <w:bookmarkEnd w:id="231"/>
      <w:bookmarkStart w:id="232" w:name="_Toc184314481"/>
      <w:bookmarkEnd w:id="232"/>
      <w:bookmarkStart w:id="233" w:name="_Toc184312072"/>
      <w:bookmarkEnd w:id="233"/>
      <w:bookmarkStart w:id="234" w:name="_Toc184314453"/>
      <w:bookmarkEnd w:id="234"/>
      <w:bookmarkStart w:id="235" w:name="_Toc184308041"/>
      <w:bookmarkEnd w:id="235"/>
      <w:bookmarkStart w:id="236" w:name="_Toc184308104"/>
      <w:bookmarkEnd w:id="236"/>
      <w:bookmarkStart w:id="237" w:name="_Toc184310318"/>
      <w:bookmarkEnd w:id="237"/>
      <w:bookmarkStart w:id="238" w:name="_Toc184314482"/>
      <w:bookmarkEnd w:id="238"/>
      <w:bookmarkStart w:id="239" w:name="_Toc184312119"/>
      <w:bookmarkEnd w:id="239"/>
      <w:bookmarkStart w:id="240" w:name="_Toc184313293"/>
      <w:bookmarkEnd w:id="240"/>
      <w:bookmarkStart w:id="241" w:name="_Toc184313277"/>
      <w:bookmarkEnd w:id="241"/>
      <w:bookmarkStart w:id="242" w:name="_Toc184310333"/>
      <w:bookmarkEnd w:id="242"/>
      <w:bookmarkStart w:id="243" w:name="_Toc184312078"/>
      <w:bookmarkEnd w:id="243"/>
      <w:bookmarkStart w:id="244" w:name="_Toc184308045"/>
      <w:bookmarkEnd w:id="244"/>
      <w:bookmarkStart w:id="245" w:name="_Toc184308089"/>
      <w:bookmarkEnd w:id="245"/>
      <w:bookmarkStart w:id="246" w:name="_Toc184312112"/>
      <w:bookmarkEnd w:id="246"/>
      <w:bookmarkStart w:id="247" w:name="_Toc184314438"/>
      <w:bookmarkEnd w:id="247"/>
      <w:bookmarkStart w:id="248" w:name="_Toc184308055"/>
      <w:bookmarkEnd w:id="248"/>
      <w:bookmarkStart w:id="249" w:name="_Toc184310302"/>
      <w:bookmarkEnd w:id="249"/>
      <w:bookmarkStart w:id="250" w:name="_Toc184314477"/>
      <w:bookmarkEnd w:id="250"/>
      <w:bookmarkStart w:id="251" w:name="_Toc184314433"/>
      <w:bookmarkEnd w:id="251"/>
      <w:bookmarkStart w:id="252" w:name="_Toc184312116"/>
      <w:bookmarkEnd w:id="252"/>
      <w:bookmarkStart w:id="253" w:name="_Toc184314440"/>
      <w:bookmarkEnd w:id="253"/>
      <w:bookmarkStart w:id="254" w:name="_Toc184312134"/>
      <w:bookmarkEnd w:id="254"/>
      <w:bookmarkStart w:id="255" w:name="_Toc184312067"/>
      <w:bookmarkEnd w:id="255"/>
      <w:bookmarkStart w:id="256" w:name="_Toc184308042"/>
      <w:bookmarkEnd w:id="256"/>
      <w:bookmarkStart w:id="257" w:name="_Toc184308058"/>
      <w:bookmarkEnd w:id="257"/>
      <w:bookmarkStart w:id="258" w:name="_Toc184312094"/>
      <w:bookmarkEnd w:id="258"/>
      <w:bookmarkStart w:id="259" w:name="_Toc184313307"/>
      <w:bookmarkEnd w:id="259"/>
      <w:bookmarkStart w:id="260" w:name="_Toc184313245"/>
      <w:bookmarkEnd w:id="260"/>
      <w:bookmarkStart w:id="261" w:name="_Toc184313287"/>
      <w:bookmarkEnd w:id="261"/>
      <w:bookmarkStart w:id="262" w:name="_Toc184314474"/>
      <w:bookmarkEnd w:id="262"/>
      <w:bookmarkStart w:id="263" w:name="_Toc184310310"/>
      <w:bookmarkEnd w:id="263"/>
      <w:bookmarkStart w:id="264" w:name="_Toc184313250"/>
      <w:bookmarkEnd w:id="264"/>
      <w:bookmarkStart w:id="265" w:name="_Toc184314462"/>
      <w:bookmarkEnd w:id="265"/>
      <w:bookmarkStart w:id="266" w:name="_Toc184308064"/>
      <w:bookmarkEnd w:id="266"/>
      <w:bookmarkStart w:id="267" w:name="_Toc184310341"/>
      <w:bookmarkEnd w:id="267"/>
      <w:bookmarkStart w:id="268" w:name="_Toc184308072"/>
      <w:bookmarkEnd w:id="268"/>
      <w:bookmarkStart w:id="269" w:name="_Toc184308085"/>
      <w:bookmarkEnd w:id="269"/>
      <w:bookmarkStart w:id="270" w:name="_Toc184310281"/>
      <w:bookmarkEnd w:id="270"/>
      <w:bookmarkStart w:id="271" w:name="_Toc184314471"/>
      <w:bookmarkEnd w:id="271"/>
      <w:bookmarkStart w:id="272" w:name="_Toc184308106"/>
      <w:bookmarkEnd w:id="272"/>
      <w:bookmarkStart w:id="273" w:name="_Toc184310332"/>
      <w:bookmarkEnd w:id="273"/>
      <w:bookmarkStart w:id="274" w:name="_Toc184310309"/>
      <w:bookmarkEnd w:id="274"/>
      <w:bookmarkStart w:id="275" w:name="_Toc184314464"/>
      <w:bookmarkEnd w:id="275"/>
      <w:bookmarkStart w:id="276" w:name="_Toc184308039"/>
      <w:bookmarkEnd w:id="276"/>
      <w:bookmarkStart w:id="277" w:name="_Toc184312114"/>
      <w:bookmarkEnd w:id="277"/>
      <w:bookmarkStart w:id="278" w:name="_Toc184312086"/>
      <w:bookmarkEnd w:id="278"/>
      <w:bookmarkStart w:id="279" w:name="_Toc184308059"/>
      <w:bookmarkEnd w:id="279"/>
      <w:bookmarkStart w:id="280" w:name="_Toc184312077"/>
      <w:bookmarkEnd w:id="280"/>
      <w:bookmarkStart w:id="281" w:name="_Toc184314469"/>
      <w:bookmarkEnd w:id="281"/>
      <w:bookmarkStart w:id="282" w:name="_Toc184313264"/>
      <w:bookmarkEnd w:id="282"/>
      <w:bookmarkStart w:id="283" w:name="_Toc184313305"/>
      <w:bookmarkEnd w:id="283"/>
      <w:bookmarkStart w:id="284" w:name="_Toc184314432"/>
      <w:bookmarkEnd w:id="284"/>
      <w:bookmarkStart w:id="285" w:name="_Toc184310319"/>
      <w:bookmarkEnd w:id="285"/>
      <w:bookmarkStart w:id="286" w:name="_Toc184314454"/>
      <w:bookmarkEnd w:id="286"/>
      <w:bookmarkStart w:id="287" w:name="_Toc184313309"/>
      <w:bookmarkEnd w:id="287"/>
      <w:bookmarkStart w:id="288" w:name="_Toc184313249"/>
      <w:bookmarkEnd w:id="288"/>
      <w:bookmarkStart w:id="289" w:name="_Toc184312084"/>
      <w:bookmarkEnd w:id="289"/>
      <w:bookmarkStart w:id="290" w:name="_Toc184308074"/>
      <w:bookmarkEnd w:id="290"/>
      <w:bookmarkStart w:id="291" w:name="_Toc184310334"/>
      <w:bookmarkEnd w:id="291"/>
      <w:bookmarkStart w:id="292" w:name="_Toc184310344"/>
      <w:bookmarkEnd w:id="292"/>
      <w:bookmarkStart w:id="293" w:name="_Toc184314426"/>
      <w:bookmarkEnd w:id="293"/>
      <w:bookmarkStart w:id="294" w:name="_Toc184312128"/>
      <w:bookmarkEnd w:id="294"/>
      <w:bookmarkStart w:id="295" w:name="_Toc184313244"/>
      <w:bookmarkEnd w:id="295"/>
      <w:bookmarkStart w:id="296" w:name="_Toc184310301"/>
      <w:bookmarkEnd w:id="296"/>
      <w:bookmarkStart w:id="297" w:name="_Toc184312131"/>
      <w:bookmarkEnd w:id="297"/>
      <w:bookmarkStart w:id="298" w:name="_Toc184314422"/>
      <w:bookmarkEnd w:id="298"/>
      <w:bookmarkStart w:id="299" w:name="_Toc184310311"/>
      <w:bookmarkEnd w:id="299"/>
      <w:bookmarkStart w:id="300" w:name="_Toc184313289"/>
      <w:bookmarkEnd w:id="300"/>
      <w:bookmarkStart w:id="301" w:name="_Toc184313240"/>
      <w:bookmarkEnd w:id="301"/>
      <w:bookmarkStart w:id="302" w:name="_Toc184308049"/>
      <w:bookmarkEnd w:id="302"/>
      <w:bookmarkStart w:id="303" w:name="_Toc184308088"/>
      <w:bookmarkEnd w:id="303"/>
      <w:bookmarkStart w:id="304" w:name="_Toc184310280"/>
      <w:bookmarkEnd w:id="304"/>
      <w:bookmarkStart w:id="305" w:name="_Toc184310314"/>
      <w:bookmarkEnd w:id="305"/>
      <w:bookmarkStart w:id="306" w:name="_Toc184310306"/>
      <w:bookmarkEnd w:id="306"/>
      <w:bookmarkStart w:id="307" w:name="_Toc184313294"/>
      <w:bookmarkEnd w:id="307"/>
      <w:bookmarkStart w:id="308" w:name="_Toc184314480"/>
      <w:bookmarkEnd w:id="308"/>
      <w:bookmarkStart w:id="309" w:name="_Toc184312080"/>
      <w:bookmarkEnd w:id="309"/>
      <w:bookmarkStart w:id="310" w:name="_Toc184314450"/>
      <w:bookmarkEnd w:id="310"/>
      <w:bookmarkStart w:id="311" w:name="_Toc184308093"/>
      <w:bookmarkEnd w:id="311"/>
      <w:bookmarkStart w:id="312" w:name="_Toc184312070"/>
      <w:bookmarkEnd w:id="312"/>
      <w:bookmarkStart w:id="313" w:name="_Toc184310290"/>
      <w:bookmarkEnd w:id="313"/>
      <w:bookmarkStart w:id="314" w:name="_Toc184308056"/>
      <w:bookmarkEnd w:id="314"/>
      <w:bookmarkStart w:id="315" w:name="_Toc184310276"/>
      <w:bookmarkEnd w:id="315"/>
      <w:bookmarkStart w:id="316" w:name="_Toc184310286"/>
      <w:bookmarkEnd w:id="316"/>
      <w:bookmarkStart w:id="317" w:name="_Toc184310293"/>
      <w:bookmarkEnd w:id="317"/>
      <w:bookmarkStart w:id="318" w:name="_Toc184308103"/>
      <w:bookmarkEnd w:id="318"/>
      <w:bookmarkStart w:id="319" w:name="_Toc184313261"/>
      <w:bookmarkEnd w:id="319"/>
      <w:bookmarkStart w:id="320" w:name="_Toc184310308"/>
      <w:bookmarkEnd w:id="320"/>
      <w:bookmarkStart w:id="321" w:name="_Toc184314412"/>
      <w:bookmarkEnd w:id="321"/>
      <w:bookmarkStart w:id="322" w:name="_Toc184310339"/>
      <w:bookmarkEnd w:id="322"/>
      <w:bookmarkStart w:id="323" w:name="_Toc184310340"/>
      <w:bookmarkEnd w:id="323"/>
      <w:bookmarkStart w:id="324" w:name="_Toc184308099"/>
      <w:bookmarkEnd w:id="324"/>
      <w:bookmarkStart w:id="325" w:name="_Toc184312103"/>
      <w:bookmarkEnd w:id="325"/>
      <w:bookmarkStart w:id="326" w:name="_Toc184313295"/>
      <w:bookmarkEnd w:id="326"/>
      <w:bookmarkStart w:id="327" w:name="_Toc184308044"/>
      <w:bookmarkEnd w:id="327"/>
      <w:bookmarkStart w:id="328" w:name="_Toc184313267"/>
      <w:bookmarkEnd w:id="328"/>
      <w:bookmarkStart w:id="329" w:name="_Toc184312139"/>
      <w:bookmarkEnd w:id="329"/>
      <w:bookmarkStart w:id="330" w:name="_Toc184308086"/>
      <w:bookmarkEnd w:id="330"/>
      <w:bookmarkStart w:id="331" w:name="_Toc184314416"/>
      <w:bookmarkEnd w:id="331"/>
      <w:bookmarkStart w:id="332" w:name="_Toc184312138"/>
      <w:bookmarkEnd w:id="332"/>
      <w:bookmarkStart w:id="333" w:name="_Toc184314475"/>
      <w:bookmarkEnd w:id="333"/>
      <w:bookmarkStart w:id="334" w:name="_Toc184314418"/>
      <w:bookmarkEnd w:id="334"/>
      <w:bookmarkStart w:id="335" w:name="_Toc184314468"/>
      <w:bookmarkEnd w:id="335"/>
      <w:bookmarkStart w:id="336" w:name="_Toc184314452"/>
      <w:bookmarkEnd w:id="336"/>
      <w:bookmarkStart w:id="337" w:name="_Toc184308053"/>
      <w:bookmarkEnd w:id="337"/>
      <w:bookmarkStart w:id="338" w:name="_Toc184308081"/>
      <w:bookmarkEnd w:id="338"/>
      <w:bookmarkStart w:id="339" w:name="_Toc184314428"/>
      <w:bookmarkEnd w:id="339"/>
      <w:bookmarkStart w:id="340" w:name="_Toc184313260"/>
      <w:bookmarkEnd w:id="340"/>
      <w:bookmarkStart w:id="341" w:name="_Toc184308098"/>
      <w:bookmarkEnd w:id="341"/>
      <w:bookmarkStart w:id="342" w:name="_Toc184314434"/>
      <w:bookmarkEnd w:id="342"/>
      <w:bookmarkStart w:id="343" w:name="_Toc184314423"/>
      <w:bookmarkEnd w:id="343"/>
      <w:bookmarkStart w:id="344" w:name="_Toc184308047"/>
      <w:bookmarkEnd w:id="344"/>
      <w:bookmarkStart w:id="345" w:name="_Toc184308063"/>
      <w:bookmarkEnd w:id="345"/>
      <w:bookmarkStart w:id="346" w:name="_Toc184314449"/>
      <w:bookmarkEnd w:id="346"/>
      <w:bookmarkStart w:id="347" w:name="_Toc184308057"/>
      <w:bookmarkEnd w:id="347"/>
      <w:bookmarkStart w:id="348" w:name="_Toc184308080"/>
      <w:bookmarkEnd w:id="348"/>
      <w:bookmarkStart w:id="349" w:name="_Toc184314458"/>
      <w:bookmarkEnd w:id="349"/>
      <w:bookmarkStart w:id="350" w:name="_Toc184310330"/>
      <w:bookmarkEnd w:id="350"/>
      <w:bookmarkStart w:id="351" w:name="_Toc184314457"/>
      <w:bookmarkEnd w:id="351"/>
      <w:bookmarkStart w:id="352" w:name="_Toc184313298"/>
      <w:bookmarkEnd w:id="352"/>
      <w:bookmarkStart w:id="353" w:name="_Toc184308043"/>
      <w:bookmarkEnd w:id="353"/>
      <w:bookmarkStart w:id="354" w:name="_Toc184308090"/>
      <w:bookmarkEnd w:id="354"/>
      <w:bookmarkStart w:id="355" w:name="_Toc184310275"/>
      <w:bookmarkEnd w:id="355"/>
      <w:bookmarkStart w:id="356" w:name="_Toc184313246"/>
      <w:bookmarkEnd w:id="356"/>
      <w:bookmarkStart w:id="357" w:name="_Toc184310297"/>
      <w:bookmarkEnd w:id="357"/>
      <w:bookmarkStart w:id="358" w:name="_Toc184313302"/>
      <w:bookmarkEnd w:id="358"/>
      <w:bookmarkStart w:id="359" w:name="_Toc184310289"/>
      <w:bookmarkEnd w:id="359"/>
      <w:bookmarkStart w:id="360" w:name="_Toc184310304"/>
      <w:bookmarkEnd w:id="360"/>
      <w:bookmarkStart w:id="361" w:name="_Toc184312088"/>
      <w:bookmarkEnd w:id="361"/>
      <w:bookmarkStart w:id="362" w:name="_Toc184313272"/>
      <w:bookmarkEnd w:id="362"/>
      <w:bookmarkStart w:id="363" w:name="_Toc184313262"/>
      <w:bookmarkEnd w:id="363"/>
      <w:bookmarkStart w:id="364" w:name="_Toc184308054"/>
      <w:bookmarkEnd w:id="364"/>
      <w:bookmarkStart w:id="365" w:name="_Toc184314467"/>
      <w:bookmarkEnd w:id="365"/>
      <w:bookmarkStart w:id="366" w:name="_Toc184308084"/>
      <w:bookmarkEnd w:id="366"/>
      <w:bookmarkStart w:id="367" w:name="_Toc184310298"/>
      <w:bookmarkEnd w:id="367"/>
      <w:bookmarkStart w:id="368" w:name="_Toc184312122"/>
      <w:bookmarkEnd w:id="368"/>
      <w:bookmarkStart w:id="369" w:name="_Toc184310331"/>
      <w:bookmarkEnd w:id="369"/>
      <w:bookmarkStart w:id="370" w:name="_Toc184313247"/>
      <w:bookmarkEnd w:id="370"/>
      <w:bookmarkStart w:id="371" w:name="_Toc184313283"/>
      <w:bookmarkEnd w:id="371"/>
      <w:bookmarkStart w:id="372" w:name="_Toc184308095"/>
      <w:bookmarkEnd w:id="372"/>
      <w:bookmarkStart w:id="373" w:name="_Toc184313292"/>
      <w:bookmarkEnd w:id="373"/>
      <w:bookmarkStart w:id="374" w:name="_Toc184310305"/>
      <w:bookmarkEnd w:id="374"/>
      <w:bookmarkStart w:id="375" w:name="_Toc184313306"/>
      <w:bookmarkEnd w:id="375"/>
      <w:bookmarkStart w:id="376" w:name="_Toc184313268"/>
      <w:bookmarkEnd w:id="376"/>
      <w:bookmarkStart w:id="377" w:name="_Toc184308108"/>
      <w:bookmarkEnd w:id="377"/>
      <w:bookmarkStart w:id="378" w:name="_Toc184310320"/>
      <w:bookmarkEnd w:id="378"/>
      <w:bookmarkStart w:id="379" w:name="_Toc184313275"/>
      <w:bookmarkEnd w:id="379"/>
      <w:bookmarkStart w:id="380" w:name="_Toc184308068"/>
      <w:bookmarkEnd w:id="380"/>
      <w:bookmarkStart w:id="381" w:name="_Toc184308073"/>
      <w:bookmarkEnd w:id="381"/>
      <w:bookmarkStart w:id="382" w:name="_Toc184308048"/>
      <w:bookmarkEnd w:id="382"/>
      <w:bookmarkStart w:id="383" w:name="_Toc184314420"/>
      <w:bookmarkEnd w:id="383"/>
      <w:bookmarkStart w:id="384" w:name="_Toc184308076"/>
      <w:bookmarkEnd w:id="384"/>
      <w:bookmarkStart w:id="385" w:name="_Toc184314451"/>
      <w:bookmarkEnd w:id="385"/>
      <w:bookmarkStart w:id="386" w:name="_Toc184310337"/>
      <w:bookmarkEnd w:id="386"/>
      <w:bookmarkStart w:id="387" w:name="_Toc184314444"/>
      <w:bookmarkEnd w:id="387"/>
      <w:bookmarkStart w:id="388" w:name="_Toc184314447"/>
      <w:bookmarkEnd w:id="388"/>
      <w:bookmarkStart w:id="389" w:name="_Toc184314476"/>
      <w:bookmarkEnd w:id="389"/>
      <w:bookmarkStart w:id="390" w:name="_Toc184310274"/>
      <w:bookmarkEnd w:id="390"/>
      <w:bookmarkStart w:id="391" w:name="_Toc184310285"/>
      <w:bookmarkEnd w:id="391"/>
      <w:r>
        <w:rPr>
          <w:rFonts w:hint="eastAsia" w:ascii="仿宋" w:hAnsi="仿宋" w:eastAsia="仿宋" w:cs="仿宋"/>
          <w:b/>
          <w:color w:val="auto"/>
          <w:sz w:val="36"/>
          <w:szCs w:val="36"/>
          <w:highlight w:val="none"/>
        </w:rPr>
        <w:t>评标办法</w:t>
      </w:r>
    </w:p>
    <w:p w14:paraId="429B8C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20"/>
          <w:highlight w:val="none"/>
          <w:lang w:val="en-US" w:eastAsia="zh-CN"/>
        </w:rPr>
      </w:pPr>
      <w:r>
        <w:rPr>
          <w:rFonts w:hint="eastAsia" w:ascii="仿宋" w:hAnsi="仿宋" w:eastAsia="仿宋" w:cs="仿宋"/>
          <w:b/>
          <w:bCs/>
          <w:snapToGrid/>
          <w:color w:val="auto"/>
          <w:kern w:val="2"/>
          <w:sz w:val="24"/>
          <w:szCs w:val="24"/>
          <w:highlight w:val="none"/>
          <w:lang w:val="en-US" w:eastAsia="zh-CN"/>
        </w:rPr>
        <w:t>标项一：</w:t>
      </w:r>
      <w:r>
        <w:rPr>
          <w:rFonts w:hint="eastAsia" w:ascii="仿宋" w:hAnsi="仿宋" w:eastAsia="仿宋" w:cs="仿宋"/>
          <w:snapToGrid/>
          <w:color w:val="auto"/>
          <w:kern w:val="2"/>
          <w:sz w:val="24"/>
          <w:szCs w:val="24"/>
          <w:highlight w:val="none"/>
          <w:lang w:eastAsia="zh-CN"/>
        </w:rPr>
        <w:t>潮鸣街道2025年平安综合治理协助项目</w:t>
      </w:r>
    </w:p>
    <w:p w14:paraId="13CBD2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14:paraId="6908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7B0598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545" w:type="dxa"/>
            <w:vAlign w:val="center"/>
          </w:tcPr>
          <w:p w14:paraId="2A4462EE">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评标标准</w:t>
            </w:r>
          </w:p>
        </w:tc>
        <w:tc>
          <w:tcPr>
            <w:tcW w:w="764" w:type="dxa"/>
            <w:vAlign w:val="center"/>
          </w:tcPr>
          <w:p w14:paraId="40D47617">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权重</w:t>
            </w:r>
          </w:p>
        </w:tc>
        <w:tc>
          <w:tcPr>
            <w:tcW w:w="1147" w:type="dxa"/>
            <w:vAlign w:val="center"/>
          </w:tcPr>
          <w:p w14:paraId="678EC28B">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主观分/客观分属性</w:t>
            </w:r>
          </w:p>
        </w:tc>
        <w:tc>
          <w:tcPr>
            <w:tcW w:w="2150" w:type="dxa"/>
          </w:tcPr>
          <w:p w14:paraId="7EAB8B0A">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bCs/>
                <w:color w:val="auto"/>
                <w:sz w:val="24"/>
                <w:szCs w:val="24"/>
              </w:rPr>
              <w:t>投标文件中评标标准相应的商务技术资料目录*</w:t>
            </w:r>
          </w:p>
        </w:tc>
      </w:tr>
      <w:tr w14:paraId="0B67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30AA76E9">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545" w:type="dxa"/>
            <w:vAlign w:val="center"/>
          </w:tcPr>
          <w:p w14:paraId="4D327B20">
            <w:pPr>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投标人自202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年1月1日以来承担类似保安服务项目的经验情况，每提供一个合同得0.5分，最高得1分。（注：提供合同，时间以合同签订的时间为准。）</w:t>
            </w:r>
          </w:p>
        </w:tc>
        <w:tc>
          <w:tcPr>
            <w:tcW w:w="764" w:type="dxa"/>
            <w:vAlign w:val="center"/>
          </w:tcPr>
          <w:p w14:paraId="659A19D3">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47" w:type="dxa"/>
            <w:vAlign w:val="center"/>
          </w:tcPr>
          <w:p w14:paraId="65D6BDD9">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c>
          <w:tcPr>
            <w:tcW w:w="2150" w:type="dxa"/>
          </w:tcPr>
          <w:p w14:paraId="4A74B7E2">
            <w:pPr>
              <w:snapToGrid w:val="0"/>
              <w:spacing w:line="360" w:lineRule="auto"/>
              <w:jc w:val="center"/>
              <w:rPr>
                <w:rFonts w:hint="eastAsia" w:ascii="仿宋" w:hAnsi="仿宋" w:eastAsia="仿宋" w:cs="仿宋"/>
                <w:color w:val="auto"/>
                <w:sz w:val="24"/>
                <w:szCs w:val="24"/>
              </w:rPr>
            </w:pPr>
          </w:p>
        </w:tc>
      </w:tr>
      <w:tr w14:paraId="1874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71207E5">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545" w:type="dxa"/>
            <w:vAlign w:val="center"/>
          </w:tcPr>
          <w:p w14:paraId="1FE09297">
            <w:pPr>
              <w:jc w:val="left"/>
              <w:rPr>
                <w:rFonts w:hint="eastAsia" w:ascii="仿宋" w:hAnsi="仿宋" w:eastAsia="仿宋" w:cs="仿宋"/>
                <w:color w:val="auto"/>
                <w:sz w:val="24"/>
                <w:szCs w:val="24"/>
              </w:rPr>
            </w:pPr>
            <w:r>
              <w:rPr>
                <w:rFonts w:hint="eastAsia" w:ascii="仿宋" w:hAnsi="仿宋" w:eastAsia="仿宋" w:cs="仿宋"/>
                <w:color w:val="auto"/>
                <w:sz w:val="24"/>
                <w:szCs w:val="24"/>
              </w:rPr>
              <w:t>投标方案的整体情况（0-5分）：</w:t>
            </w:r>
          </w:p>
          <w:p w14:paraId="788D0F43">
            <w:pPr>
              <w:jc w:val="left"/>
              <w:rPr>
                <w:rFonts w:hint="eastAsia" w:ascii="仿宋" w:hAnsi="仿宋" w:eastAsia="仿宋" w:cs="仿宋"/>
                <w:color w:val="auto"/>
                <w:sz w:val="24"/>
                <w:szCs w:val="24"/>
              </w:rPr>
            </w:pPr>
            <w:r>
              <w:rPr>
                <w:rFonts w:hint="eastAsia" w:ascii="仿宋" w:hAnsi="仿宋" w:eastAsia="仿宋" w:cs="仿宋"/>
                <w:color w:val="auto"/>
                <w:sz w:val="24"/>
                <w:szCs w:val="24"/>
              </w:rPr>
              <w:t>投标方案与采购需求的吻合程度，应答是否详尽、明晰，是否满足招标文件要求；内容是否完整齐全、表述准确、条理清晰，内容无前后矛盾，符合招标文件要求。</w:t>
            </w:r>
          </w:p>
        </w:tc>
        <w:tc>
          <w:tcPr>
            <w:tcW w:w="764" w:type="dxa"/>
            <w:vAlign w:val="center"/>
          </w:tcPr>
          <w:p w14:paraId="09D1FE75">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147" w:type="dxa"/>
            <w:vAlign w:val="center"/>
          </w:tcPr>
          <w:p w14:paraId="0C5C5374">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177530F8">
            <w:pPr>
              <w:snapToGrid w:val="0"/>
              <w:spacing w:line="360" w:lineRule="auto"/>
              <w:jc w:val="center"/>
              <w:rPr>
                <w:rFonts w:hint="eastAsia" w:ascii="仿宋" w:hAnsi="仿宋" w:eastAsia="仿宋" w:cs="仿宋"/>
                <w:color w:val="auto"/>
                <w:sz w:val="24"/>
                <w:szCs w:val="24"/>
              </w:rPr>
            </w:pPr>
          </w:p>
        </w:tc>
      </w:tr>
      <w:tr w14:paraId="4603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2D1CCB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3</w:t>
            </w:r>
          </w:p>
        </w:tc>
        <w:tc>
          <w:tcPr>
            <w:tcW w:w="3545" w:type="dxa"/>
            <w:vAlign w:val="center"/>
          </w:tcPr>
          <w:p w14:paraId="26D37DFF">
            <w:pPr>
              <w:jc w:val="left"/>
              <w:rPr>
                <w:rFonts w:hint="eastAsia" w:ascii="仿宋" w:hAnsi="仿宋" w:eastAsia="仿宋" w:cs="仿宋"/>
                <w:color w:val="auto"/>
                <w:sz w:val="24"/>
                <w:szCs w:val="24"/>
              </w:rPr>
            </w:pPr>
            <w:r>
              <w:rPr>
                <w:rFonts w:hint="eastAsia" w:ascii="仿宋" w:hAnsi="仿宋" w:eastAsia="仿宋" w:cs="仿宋"/>
                <w:color w:val="auto"/>
                <w:sz w:val="24"/>
                <w:szCs w:val="24"/>
              </w:rPr>
              <w:t>投标方案对提供安全咨询、安全风险评估等服务，做好各类维稳工作，为采购单位做好综合会议等大型活动的安全保卫工作的说明、描述情况，0-3分；</w:t>
            </w:r>
          </w:p>
          <w:p w14:paraId="0D36EDA1">
            <w:pPr>
              <w:jc w:val="left"/>
              <w:rPr>
                <w:rFonts w:hint="eastAsia" w:ascii="仿宋" w:hAnsi="仿宋" w:eastAsia="仿宋" w:cs="仿宋"/>
                <w:color w:val="auto"/>
                <w:sz w:val="24"/>
                <w:szCs w:val="24"/>
              </w:rPr>
            </w:pPr>
            <w:r>
              <w:rPr>
                <w:rFonts w:hint="eastAsia" w:ascii="仿宋" w:hAnsi="仿宋" w:eastAsia="仿宋" w:cs="仿宋"/>
                <w:color w:val="auto"/>
                <w:sz w:val="24"/>
                <w:szCs w:val="24"/>
              </w:rPr>
              <w:t>投标方案对工作区域内的刑事、治安案件处理措施的说明、描述情况。0-4分</w:t>
            </w:r>
          </w:p>
        </w:tc>
        <w:tc>
          <w:tcPr>
            <w:tcW w:w="764" w:type="dxa"/>
            <w:vAlign w:val="center"/>
          </w:tcPr>
          <w:p w14:paraId="4FC10BAE">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147" w:type="dxa"/>
            <w:vAlign w:val="center"/>
          </w:tcPr>
          <w:p w14:paraId="21BA09D4">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6F0C2C06">
            <w:pPr>
              <w:snapToGrid w:val="0"/>
              <w:spacing w:line="360" w:lineRule="auto"/>
              <w:jc w:val="center"/>
              <w:rPr>
                <w:rFonts w:hint="eastAsia" w:ascii="仿宋" w:hAnsi="仿宋" w:eastAsia="仿宋" w:cs="仿宋"/>
                <w:color w:val="auto"/>
                <w:sz w:val="24"/>
                <w:szCs w:val="24"/>
              </w:rPr>
            </w:pPr>
          </w:p>
        </w:tc>
      </w:tr>
      <w:tr w14:paraId="348F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68E25A2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3545" w:type="dxa"/>
            <w:vAlign w:val="center"/>
          </w:tcPr>
          <w:p w14:paraId="29DE3BD1">
            <w:pPr>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投标人的管理制度的完善情况（0-8分）：</w:t>
            </w:r>
          </w:p>
          <w:p w14:paraId="58C1AE12">
            <w:pPr>
              <w:jc w:val="left"/>
              <w:rPr>
                <w:rFonts w:hint="eastAsia" w:ascii="仿宋" w:hAnsi="仿宋" w:eastAsia="仿宋" w:cs="仿宋"/>
                <w:color w:val="auto"/>
                <w:sz w:val="24"/>
                <w:szCs w:val="24"/>
              </w:rPr>
            </w:pPr>
            <w:r>
              <w:rPr>
                <w:rFonts w:hint="eastAsia" w:ascii="仿宋" w:hAnsi="仿宋" w:eastAsia="仿宋" w:cs="仿宋"/>
                <w:color w:val="auto"/>
                <w:sz w:val="24"/>
                <w:szCs w:val="24"/>
              </w:rPr>
              <w:t>1、投标人制定的《保安工作人员职责》、《保安交接班制度》、《保安队伍例会制度》、《保安员义务消防队方案》、《保安员等级考核管理制度》、《队伍绩效考核管理》、《队伍奖惩制度》、《保安员等级考核管理制度》考核等规章制度是否符合要求。（0-4分）</w:t>
            </w:r>
          </w:p>
          <w:p w14:paraId="070A2DE1">
            <w:pPr>
              <w:jc w:val="left"/>
              <w:rPr>
                <w:rFonts w:hint="eastAsia" w:ascii="仿宋" w:hAnsi="仿宋" w:eastAsia="仿宋" w:cs="仿宋"/>
                <w:color w:val="auto"/>
                <w:sz w:val="24"/>
                <w:szCs w:val="24"/>
              </w:rPr>
            </w:pPr>
            <w:r>
              <w:rPr>
                <w:rFonts w:hint="eastAsia" w:ascii="仿宋" w:hAnsi="仿宋" w:eastAsia="仿宋" w:cs="仿宋"/>
                <w:color w:val="auto"/>
                <w:sz w:val="24"/>
                <w:szCs w:val="24"/>
              </w:rPr>
              <w:t>2、投标人是否建立规范的人力资源管理体系。（0-1分）</w:t>
            </w:r>
          </w:p>
          <w:p w14:paraId="73D81258">
            <w:pPr>
              <w:jc w:val="left"/>
              <w:rPr>
                <w:rFonts w:hint="eastAsia" w:ascii="仿宋" w:hAnsi="仿宋" w:eastAsia="仿宋" w:cs="仿宋"/>
                <w:color w:val="auto"/>
                <w:sz w:val="24"/>
                <w:szCs w:val="24"/>
              </w:rPr>
            </w:pPr>
            <w:r>
              <w:rPr>
                <w:rFonts w:hint="eastAsia" w:ascii="仿宋" w:hAnsi="仿宋" w:eastAsia="仿宋" w:cs="仿宋"/>
                <w:color w:val="auto"/>
                <w:sz w:val="24"/>
                <w:szCs w:val="24"/>
              </w:rPr>
              <w:t>3、内部管理制度和员工考核管理办法等设定是否科学、合理和有效性，是否制订了切实可行的考核办法。（0-1分）</w:t>
            </w:r>
          </w:p>
          <w:p w14:paraId="20CB45EE">
            <w:pPr>
              <w:jc w:val="left"/>
              <w:rPr>
                <w:rFonts w:hint="eastAsia" w:ascii="仿宋" w:hAnsi="仿宋" w:eastAsia="仿宋" w:cs="仿宋"/>
                <w:color w:val="auto"/>
                <w:sz w:val="24"/>
                <w:szCs w:val="24"/>
              </w:rPr>
            </w:pPr>
            <w:r>
              <w:rPr>
                <w:rFonts w:hint="eastAsia" w:ascii="仿宋" w:hAnsi="仿宋" w:eastAsia="仿宋" w:cs="仿宋"/>
                <w:color w:val="auto"/>
                <w:sz w:val="24"/>
                <w:szCs w:val="24"/>
              </w:rPr>
              <w:t>4、是否制订了针对考核结果的补救措施和奖励办法。（0-1分）</w:t>
            </w:r>
          </w:p>
          <w:p w14:paraId="59283A8C">
            <w:pPr>
              <w:jc w:val="left"/>
              <w:rPr>
                <w:rFonts w:hint="eastAsia" w:ascii="仿宋" w:hAnsi="仿宋" w:eastAsia="仿宋" w:cs="仿宋"/>
                <w:color w:val="auto"/>
                <w:sz w:val="24"/>
                <w:szCs w:val="24"/>
              </w:rPr>
            </w:pPr>
            <w:r>
              <w:rPr>
                <w:rFonts w:hint="eastAsia" w:ascii="仿宋" w:hAnsi="仿宋" w:eastAsia="仿宋" w:cs="仿宋"/>
                <w:color w:val="auto"/>
                <w:sz w:val="24"/>
                <w:szCs w:val="24"/>
              </w:rPr>
              <w:t>5、是否有专门成立的考核组织进行内部考核。（0-1分）</w:t>
            </w:r>
          </w:p>
        </w:tc>
        <w:tc>
          <w:tcPr>
            <w:tcW w:w="764" w:type="dxa"/>
            <w:vAlign w:val="center"/>
          </w:tcPr>
          <w:p w14:paraId="4DF57142">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147" w:type="dxa"/>
            <w:vAlign w:val="center"/>
          </w:tcPr>
          <w:p w14:paraId="416E854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152C71F6">
            <w:pPr>
              <w:snapToGrid w:val="0"/>
              <w:spacing w:line="360" w:lineRule="auto"/>
              <w:jc w:val="center"/>
              <w:rPr>
                <w:rFonts w:hint="eastAsia" w:ascii="仿宋" w:hAnsi="仿宋" w:eastAsia="仿宋" w:cs="仿宋"/>
                <w:color w:val="auto"/>
                <w:sz w:val="24"/>
                <w:szCs w:val="24"/>
              </w:rPr>
            </w:pPr>
          </w:p>
        </w:tc>
      </w:tr>
      <w:tr w14:paraId="5B7D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5DE2A863">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3545" w:type="dxa"/>
          </w:tcPr>
          <w:p w14:paraId="4816F3B1">
            <w:pPr>
              <w:jc w:val="left"/>
              <w:rPr>
                <w:rFonts w:hint="eastAsia" w:ascii="仿宋" w:hAnsi="仿宋" w:eastAsia="仿宋" w:cs="仿宋"/>
                <w:color w:val="auto"/>
                <w:sz w:val="24"/>
                <w:szCs w:val="24"/>
              </w:rPr>
            </w:pPr>
            <w:r>
              <w:rPr>
                <w:rFonts w:hint="eastAsia" w:ascii="仿宋" w:hAnsi="仿宋" w:eastAsia="仿宋" w:cs="仿宋"/>
                <w:color w:val="auto"/>
                <w:sz w:val="24"/>
                <w:szCs w:val="24"/>
              </w:rPr>
              <w:t>拟投入的项目负责人（保安队长）：具有同类项目经验的得2分，没有不得分；提供确保100%到位的承诺的得1分；具有职业资格为高级保安管理师证书的得1分；具有大专（含）以上文化程度的1分；为退伍军人的得1分；</w:t>
            </w:r>
          </w:p>
          <w:p w14:paraId="6808F61E">
            <w:pPr>
              <w:jc w:val="left"/>
              <w:rPr>
                <w:rFonts w:hint="eastAsia" w:ascii="仿宋" w:hAnsi="仿宋" w:eastAsia="仿宋" w:cs="仿宋"/>
                <w:color w:val="auto"/>
                <w:sz w:val="24"/>
                <w:szCs w:val="24"/>
              </w:rPr>
            </w:pPr>
            <w:r>
              <w:rPr>
                <w:rFonts w:hint="eastAsia" w:ascii="仿宋" w:hAnsi="仿宋" w:eastAsia="仿宋" w:cs="仿宋"/>
                <w:color w:val="auto"/>
                <w:sz w:val="24"/>
                <w:szCs w:val="24"/>
              </w:rPr>
              <w:t>注：提供有效的相关证明材料及在缴社保证明，否则该项不得分。</w:t>
            </w:r>
          </w:p>
        </w:tc>
        <w:tc>
          <w:tcPr>
            <w:tcW w:w="764" w:type="dxa"/>
            <w:vAlign w:val="center"/>
          </w:tcPr>
          <w:p w14:paraId="7C68A27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147" w:type="dxa"/>
            <w:vAlign w:val="center"/>
          </w:tcPr>
          <w:p w14:paraId="526DBB5F">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49D363A9">
            <w:pPr>
              <w:snapToGrid w:val="0"/>
              <w:spacing w:line="360" w:lineRule="auto"/>
              <w:jc w:val="center"/>
              <w:rPr>
                <w:rFonts w:hint="eastAsia" w:ascii="仿宋" w:hAnsi="仿宋" w:eastAsia="仿宋" w:cs="仿宋"/>
                <w:color w:val="auto"/>
                <w:sz w:val="24"/>
                <w:szCs w:val="24"/>
              </w:rPr>
            </w:pPr>
          </w:p>
        </w:tc>
      </w:tr>
      <w:tr w14:paraId="6FE3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5E7A8725">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3545" w:type="dxa"/>
          </w:tcPr>
          <w:p w14:paraId="0F28E597">
            <w:pPr>
              <w:jc w:val="left"/>
              <w:rPr>
                <w:rFonts w:hint="eastAsia" w:ascii="仿宋" w:hAnsi="仿宋" w:eastAsia="仿宋" w:cs="仿宋"/>
                <w:color w:val="auto"/>
                <w:sz w:val="24"/>
                <w:szCs w:val="24"/>
              </w:rPr>
            </w:pPr>
            <w:r>
              <w:rPr>
                <w:rFonts w:hint="eastAsia" w:ascii="仿宋" w:hAnsi="仿宋" w:eastAsia="仿宋" w:cs="仿宋"/>
                <w:color w:val="auto"/>
                <w:sz w:val="24"/>
                <w:szCs w:val="24"/>
              </w:rPr>
              <w:t>针对本项目配置的管理人员组织分工明确，人员配置合理且有针对性（0-3分）</w:t>
            </w:r>
          </w:p>
        </w:tc>
        <w:tc>
          <w:tcPr>
            <w:tcW w:w="764" w:type="dxa"/>
            <w:vAlign w:val="center"/>
          </w:tcPr>
          <w:p w14:paraId="58FCEAA9">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147" w:type="dxa"/>
            <w:vAlign w:val="center"/>
          </w:tcPr>
          <w:p w14:paraId="1EDD4B5F">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7595CDEA">
            <w:pPr>
              <w:snapToGrid w:val="0"/>
              <w:spacing w:line="360" w:lineRule="auto"/>
              <w:jc w:val="center"/>
              <w:rPr>
                <w:rFonts w:hint="eastAsia" w:ascii="仿宋" w:hAnsi="仿宋" w:eastAsia="仿宋" w:cs="仿宋"/>
                <w:color w:val="auto"/>
                <w:sz w:val="24"/>
                <w:szCs w:val="24"/>
              </w:rPr>
            </w:pPr>
          </w:p>
        </w:tc>
      </w:tr>
      <w:tr w14:paraId="7A19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634125C">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7</w:t>
            </w:r>
          </w:p>
        </w:tc>
        <w:tc>
          <w:tcPr>
            <w:tcW w:w="3545" w:type="dxa"/>
          </w:tcPr>
          <w:p w14:paraId="12B25DA7">
            <w:pPr>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1.本项目保安人员拥有中级保安员证书，每个得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分，高级保安员证书，每个得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分。最高得5分（5分）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以提供相关证书为准</w:t>
            </w:r>
            <w:r>
              <w:rPr>
                <w:rFonts w:hint="eastAsia" w:ascii="仿宋" w:hAnsi="仿宋" w:eastAsia="仿宋" w:cs="仿宋"/>
                <w:color w:val="auto"/>
                <w:sz w:val="24"/>
                <w:szCs w:val="24"/>
                <w:highlight w:val="none"/>
                <w:lang w:eastAsia="zh-CN"/>
              </w:rPr>
              <w:t>）</w:t>
            </w:r>
          </w:p>
          <w:p w14:paraId="440BEA56">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2.本项目保安人员退伍军人数量3-5名得1分；6-8名得2分；9-10名得3分；11名及以上得4分。最高得4分（4分）；（以提供的退伍证为准）</w:t>
            </w:r>
          </w:p>
          <w:p w14:paraId="586B9D63">
            <w:pPr>
              <w:snapToGrid w:val="0"/>
              <w:rPr>
                <w:rFonts w:hint="eastAsia" w:ascii="仿宋" w:hAnsi="仿宋" w:eastAsia="仿宋" w:cs="仿宋"/>
                <w:color w:val="auto"/>
                <w:sz w:val="24"/>
                <w:szCs w:val="24"/>
              </w:rPr>
            </w:pPr>
            <w:r>
              <w:rPr>
                <w:rFonts w:hint="eastAsia" w:ascii="仿宋" w:hAnsi="仿宋" w:eastAsia="仿宋" w:cs="仿宋"/>
                <w:color w:val="auto"/>
                <w:sz w:val="24"/>
                <w:szCs w:val="24"/>
                <w:highlight w:val="none"/>
              </w:rPr>
              <w:t>3.本项目保安人员曾经参与协助开展行政执法综合管理及综治维稳工作经验的有3-5名得1分；6-8名得2分；9-10名得3分；11名及以上得4分。最高得4分（4分）；（以提供的合同或业主证明资料为准）</w:t>
            </w:r>
          </w:p>
        </w:tc>
        <w:tc>
          <w:tcPr>
            <w:tcW w:w="764" w:type="dxa"/>
            <w:vAlign w:val="center"/>
          </w:tcPr>
          <w:p w14:paraId="37EFC905">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147" w:type="dxa"/>
            <w:vAlign w:val="center"/>
          </w:tcPr>
          <w:p w14:paraId="4B4C9472">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1D30AD95">
            <w:pPr>
              <w:snapToGrid w:val="0"/>
              <w:spacing w:line="360" w:lineRule="auto"/>
              <w:jc w:val="center"/>
              <w:rPr>
                <w:rFonts w:hint="eastAsia" w:ascii="仿宋" w:hAnsi="仿宋" w:eastAsia="仿宋" w:cs="仿宋"/>
                <w:color w:val="auto"/>
                <w:sz w:val="24"/>
                <w:szCs w:val="24"/>
              </w:rPr>
            </w:pPr>
          </w:p>
        </w:tc>
      </w:tr>
      <w:tr w14:paraId="00C4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467C7C3B">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3545" w:type="dxa"/>
          </w:tcPr>
          <w:p w14:paraId="73986240">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1.投标人是否承诺为所有项目组成员购买“五险”和意外险。承诺的得2分，未承诺的不得分。在投标文件中提供承诺书等证明材料；</w:t>
            </w:r>
          </w:p>
          <w:p w14:paraId="61296C6A">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2.投标人是否承诺项目组人员扣除“五险”和意外险后的月均实际收入不低于当年杭州市最低工资标准数额。承诺的得2分，未承诺不得分。在投标文件中提供承诺书等证明材料；</w:t>
            </w:r>
          </w:p>
          <w:p w14:paraId="6A9AA7F4">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3.投标人承诺中标后在服务过程中，因保安人过失造成第三方人员人身伤亡或财产损失的，投标人负责处理及赔偿事宜的，得2分。</w:t>
            </w:r>
          </w:p>
          <w:p w14:paraId="036E7C35">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4.承诺保安人员每周工作时间满足需求及符合劳动法相关规定的得2分；</w:t>
            </w:r>
          </w:p>
          <w:p w14:paraId="597F7A81">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5.承诺如遇人员临时换岗调整，公司能及时安排人员到岗执勤的得2分；</w:t>
            </w:r>
          </w:p>
          <w:p w14:paraId="161E71A8">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6.承诺保安队长每天向采购人提交保安人员签到情况，各具体岗位安排的人员名单，执勤班次时长的得2分；</w:t>
            </w:r>
          </w:p>
        </w:tc>
        <w:tc>
          <w:tcPr>
            <w:tcW w:w="764" w:type="dxa"/>
            <w:vAlign w:val="center"/>
          </w:tcPr>
          <w:p w14:paraId="2B5B8C67">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147" w:type="dxa"/>
            <w:vAlign w:val="center"/>
          </w:tcPr>
          <w:p w14:paraId="5F1B1DA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76410765">
            <w:pPr>
              <w:snapToGrid w:val="0"/>
              <w:spacing w:line="360" w:lineRule="auto"/>
              <w:jc w:val="center"/>
              <w:rPr>
                <w:rFonts w:hint="eastAsia" w:ascii="仿宋" w:hAnsi="仿宋" w:eastAsia="仿宋" w:cs="仿宋"/>
                <w:color w:val="auto"/>
                <w:sz w:val="24"/>
                <w:szCs w:val="24"/>
              </w:rPr>
            </w:pPr>
          </w:p>
        </w:tc>
      </w:tr>
      <w:tr w14:paraId="2DC3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E871F17">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3545" w:type="dxa"/>
            <w:vAlign w:val="center"/>
          </w:tcPr>
          <w:p w14:paraId="55A619C8">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拟投入使用的服装、设备、工器具的储备情况（0-10分）</w:t>
            </w:r>
          </w:p>
          <w:p w14:paraId="07348754">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1）提供的保安人员的各季节服装、防暑防雨用品配备是否完整合理。0-5分</w:t>
            </w:r>
          </w:p>
          <w:p w14:paraId="20C4392A">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2）提供的保安人员的通讯器材、保安装备配置是否完整合理。0-5分</w:t>
            </w:r>
          </w:p>
        </w:tc>
        <w:tc>
          <w:tcPr>
            <w:tcW w:w="764" w:type="dxa"/>
            <w:vAlign w:val="center"/>
          </w:tcPr>
          <w:p w14:paraId="6A50984B">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147" w:type="dxa"/>
            <w:vAlign w:val="center"/>
          </w:tcPr>
          <w:p w14:paraId="4DE0490E">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6DA8C9AE">
            <w:pPr>
              <w:snapToGrid w:val="0"/>
              <w:spacing w:line="360" w:lineRule="auto"/>
              <w:jc w:val="center"/>
              <w:rPr>
                <w:rFonts w:hint="eastAsia" w:ascii="仿宋" w:hAnsi="仿宋" w:eastAsia="仿宋" w:cs="仿宋"/>
                <w:color w:val="auto"/>
                <w:sz w:val="24"/>
                <w:szCs w:val="24"/>
              </w:rPr>
            </w:pPr>
          </w:p>
        </w:tc>
      </w:tr>
      <w:tr w14:paraId="19B6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554995C">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3545" w:type="dxa"/>
            <w:vAlign w:val="center"/>
          </w:tcPr>
          <w:p w14:paraId="77B75AD1">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应急方案及措施的可行性、可操作性及针对性（0-19分）</w:t>
            </w:r>
          </w:p>
          <w:p w14:paraId="4918930A">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1）对于突发事件的响应时间及处理时间的响应承诺情况；（0-3分）</w:t>
            </w:r>
          </w:p>
          <w:p w14:paraId="7D54115D">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2）对突发事件（包括发生灾害性天气及其他突发事件）时的紧急预案；（0-3分）</w:t>
            </w:r>
          </w:p>
          <w:p w14:paraId="57CE3833">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3）对保安服务区域内安全防范措施、消防等紧急预案；（0-3分）</w:t>
            </w:r>
          </w:p>
          <w:p w14:paraId="4D3E3F41">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4）对重大活动或重要接待任务等的应急预案编制情况；（0-3分）</w:t>
            </w:r>
          </w:p>
          <w:p w14:paraId="4F573C12">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5）承诺在特殊需要时迅速派出足够数量（20人以上）的增援人员的的得3分；</w:t>
            </w:r>
          </w:p>
          <w:p w14:paraId="01BFE46E">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6）承诺在特殊需要时承诺迅速派出专业应急队伍、专用机动车辆的得2分；</w:t>
            </w:r>
          </w:p>
          <w:p w14:paraId="1DCA48D0">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7）与采购人所属地理区域公安有联动机制的得2分。提供相关证明材料。</w:t>
            </w:r>
          </w:p>
        </w:tc>
        <w:tc>
          <w:tcPr>
            <w:tcW w:w="764" w:type="dxa"/>
            <w:vAlign w:val="center"/>
          </w:tcPr>
          <w:p w14:paraId="1174C9A3">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1147" w:type="dxa"/>
            <w:vAlign w:val="center"/>
          </w:tcPr>
          <w:p w14:paraId="0B1696C1">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5A841EA2">
            <w:pPr>
              <w:snapToGrid w:val="0"/>
              <w:spacing w:line="360" w:lineRule="auto"/>
              <w:jc w:val="center"/>
              <w:rPr>
                <w:rFonts w:hint="eastAsia" w:ascii="仿宋" w:hAnsi="仿宋" w:eastAsia="仿宋" w:cs="仿宋"/>
                <w:color w:val="auto"/>
                <w:sz w:val="24"/>
                <w:szCs w:val="24"/>
              </w:rPr>
            </w:pPr>
          </w:p>
        </w:tc>
      </w:tr>
      <w:tr w14:paraId="12A4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3A27586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3545" w:type="dxa"/>
            <w:vAlign w:val="center"/>
          </w:tcPr>
          <w:p w14:paraId="5D29A806">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保安人员的培训（0-6分）</w:t>
            </w:r>
          </w:p>
          <w:p w14:paraId="28C327D4">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（1）提供整个服务团队从业能力的培训教育方案是否贴合实际需求。0-2分。</w:t>
            </w:r>
          </w:p>
          <w:p w14:paraId="7B9C4F3D">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（2）是否有切实可行的每月不少于一次的培训计划的。0-2分</w:t>
            </w:r>
          </w:p>
          <w:p w14:paraId="630DCAB5">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（3）是否有专门的培训部门、培训师资及相关人员力量。提供相关证明资料。0-2分</w:t>
            </w:r>
          </w:p>
        </w:tc>
        <w:tc>
          <w:tcPr>
            <w:tcW w:w="764" w:type="dxa"/>
            <w:vAlign w:val="center"/>
          </w:tcPr>
          <w:p w14:paraId="4AC061AE">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147" w:type="dxa"/>
            <w:vAlign w:val="center"/>
          </w:tcPr>
          <w:p w14:paraId="401AEF64">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5C560E04">
            <w:pPr>
              <w:snapToGrid w:val="0"/>
              <w:spacing w:line="360" w:lineRule="auto"/>
              <w:jc w:val="center"/>
              <w:rPr>
                <w:rFonts w:hint="eastAsia" w:ascii="仿宋" w:hAnsi="仿宋" w:eastAsia="仿宋" w:cs="仿宋"/>
                <w:color w:val="auto"/>
                <w:sz w:val="24"/>
                <w:szCs w:val="24"/>
              </w:rPr>
            </w:pPr>
          </w:p>
        </w:tc>
      </w:tr>
      <w:tr w14:paraId="39C5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34C509AB">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3545" w:type="dxa"/>
          </w:tcPr>
          <w:p w14:paraId="5500EF79">
            <w:pPr>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有效投标报价的最低价作为评标基准价，其最低报价为满分；按［投标报价得分=（评标基准价/投标报价）*权重］的计算公式计算。</w:t>
            </w:r>
          </w:p>
          <w:p w14:paraId="5E10C98D">
            <w:pPr>
              <w:widowControl/>
              <w:shd w:val="clear" w:color="auto" w:fill="FFFFFF"/>
              <w:adjustRightInd/>
              <w:spacing w:after="225"/>
              <w:ind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tc>
        <w:tc>
          <w:tcPr>
            <w:tcW w:w="764" w:type="dxa"/>
            <w:vAlign w:val="center"/>
          </w:tcPr>
          <w:p w14:paraId="546691B1">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147" w:type="dxa"/>
            <w:vAlign w:val="center"/>
          </w:tcPr>
          <w:p w14:paraId="21D20732">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c>
          <w:tcPr>
            <w:tcW w:w="2150" w:type="dxa"/>
            <w:vAlign w:val="center"/>
          </w:tcPr>
          <w:p w14:paraId="4D5967CC">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14:paraId="53F8EFFF">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721137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color w:val="auto"/>
          <w:sz w:val="32"/>
          <w:szCs w:val="20"/>
          <w:highlight w:val="none"/>
          <w:lang w:val="en-US" w:eastAsia="zh-CN"/>
        </w:rPr>
      </w:pPr>
      <w:r>
        <w:rPr>
          <w:rFonts w:hint="eastAsia" w:ascii="仿宋" w:hAnsi="仿宋" w:eastAsia="仿宋" w:cs="仿宋"/>
          <w:b/>
          <w:bCs/>
          <w:snapToGrid/>
          <w:color w:val="auto"/>
          <w:kern w:val="2"/>
          <w:sz w:val="24"/>
          <w:szCs w:val="24"/>
          <w:highlight w:val="none"/>
          <w:lang w:val="en-US" w:eastAsia="zh-CN"/>
        </w:rPr>
        <w:t>标项二：</w:t>
      </w:r>
      <w:r>
        <w:rPr>
          <w:rFonts w:hint="eastAsia" w:ascii="仿宋" w:hAnsi="仿宋" w:eastAsia="仿宋" w:cs="仿宋"/>
          <w:snapToGrid/>
          <w:color w:val="auto"/>
          <w:kern w:val="2"/>
          <w:sz w:val="24"/>
          <w:szCs w:val="24"/>
          <w:highlight w:val="none"/>
          <w:lang w:eastAsia="zh-CN"/>
        </w:rPr>
        <w:t>潮鸣街道2025年社会面治安防控协助项目</w:t>
      </w:r>
    </w:p>
    <w:p w14:paraId="726392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14:paraId="5916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2E1CA59">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545" w:type="dxa"/>
            <w:vAlign w:val="center"/>
          </w:tcPr>
          <w:p w14:paraId="7E16E2D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评标标准</w:t>
            </w:r>
          </w:p>
        </w:tc>
        <w:tc>
          <w:tcPr>
            <w:tcW w:w="764" w:type="dxa"/>
            <w:vAlign w:val="center"/>
          </w:tcPr>
          <w:p w14:paraId="2DBBB90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权重</w:t>
            </w:r>
          </w:p>
        </w:tc>
        <w:tc>
          <w:tcPr>
            <w:tcW w:w="1147" w:type="dxa"/>
            <w:vAlign w:val="center"/>
          </w:tcPr>
          <w:p w14:paraId="13FB9DC0">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主观分/客观分属性</w:t>
            </w:r>
          </w:p>
        </w:tc>
        <w:tc>
          <w:tcPr>
            <w:tcW w:w="2150" w:type="dxa"/>
          </w:tcPr>
          <w:p w14:paraId="76769961">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bCs/>
                <w:color w:val="auto"/>
                <w:sz w:val="24"/>
                <w:szCs w:val="24"/>
              </w:rPr>
              <w:t>投标文件中评标标准相应的商务技术资料目录*</w:t>
            </w:r>
          </w:p>
        </w:tc>
      </w:tr>
      <w:tr w14:paraId="0C92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6DB92DCF">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545" w:type="dxa"/>
            <w:vAlign w:val="center"/>
          </w:tcPr>
          <w:p w14:paraId="4B048835">
            <w:pPr>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投标人自202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年1月1日以来承担类似保安服务项目的经验情况，每提供一个合同得0.5分，最高得1分。（注：提供合同，时间以合同签订的时间为准。）</w:t>
            </w:r>
          </w:p>
        </w:tc>
        <w:tc>
          <w:tcPr>
            <w:tcW w:w="764" w:type="dxa"/>
            <w:vAlign w:val="center"/>
          </w:tcPr>
          <w:p w14:paraId="00EFAC99">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47" w:type="dxa"/>
            <w:vAlign w:val="center"/>
          </w:tcPr>
          <w:p w14:paraId="6064BF60">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c>
          <w:tcPr>
            <w:tcW w:w="2150" w:type="dxa"/>
          </w:tcPr>
          <w:p w14:paraId="009961F1">
            <w:pPr>
              <w:snapToGrid w:val="0"/>
              <w:spacing w:line="360" w:lineRule="auto"/>
              <w:jc w:val="center"/>
              <w:rPr>
                <w:rFonts w:hint="eastAsia" w:ascii="仿宋" w:hAnsi="仿宋" w:eastAsia="仿宋" w:cs="仿宋"/>
                <w:color w:val="auto"/>
                <w:sz w:val="24"/>
                <w:szCs w:val="24"/>
              </w:rPr>
            </w:pPr>
          </w:p>
        </w:tc>
      </w:tr>
      <w:tr w14:paraId="0694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490655D5">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545" w:type="dxa"/>
            <w:vAlign w:val="center"/>
          </w:tcPr>
          <w:p w14:paraId="77919D20">
            <w:pPr>
              <w:jc w:val="left"/>
              <w:rPr>
                <w:rFonts w:hint="eastAsia" w:ascii="仿宋" w:hAnsi="仿宋" w:eastAsia="仿宋" w:cs="仿宋"/>
                <w:color w:val="auto"/>
                <w:sz w:val="24"/>
                <w:szCs w:val="24"/>
              </w:rPr>
            </w:pPr>
            <w:r>
              <w:rPr>
                <w:rFonts w:hint="eastAsia" w:ascii="仿宋" w:hAnsi="仿宋" w:eastAsia="仿宋" w:cs="仿宋"/>
                <w:color w:val="auto"/>
                <w:sz w:val="24"/>
                <w:szCs w:val="24"/>
              </w:rPr>
              <w:t>投标方案的整体情况（0-5分）：</w:t>
            </w:r>
          </w:p>
          <w:p w14:paraId="03B5AEB4">
            <w:pPr>
              <w:jc w:val="left"/>
              <w:rPr>
                <w:rFonts w:hint="eastAsia" w:ascii="仿宋" w:hAnsi="仿宋" w:eastAsia="仿宋" w:cs="仿宋"/>
                <w:color w:val="auto"/>
                <w:sz w:val="24"/>
                <w:szCs w:val="24"/>
              </w:rPr>
            </w:pPr>
            <w:r>
              <w:rPr>
                <w:rFonts w:hint="eastAsia" w:ascii="仿宋" w:hAnsi="仿宋" w:eastAsia="仿宋" w:cs="仿宋"/>
                <w:color w:val="auto"/>
                <w:sz w:val="24"/>
                <w:szCs w:val="24"/>
              </w:rPr>
              <w:t>投标方案与采购需求的吻合程度，应答是否详尽、明晰，是否满足招标文件要求；内容是否完整齐全、表述准确、条理清晰，内容无前后矛盾，符合招标文件要求。</w:t>
            </w:r>
          </w:p>
        </w:tc>
        <w:tc>
          <w:tcPr>
            <w:tcW w:w="764" w:type="dxa"/>
            <w:vAlign w:val="center"/>
          </w:tcPr>
          <w:p w14:paraId="562B8A03">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147" w:type="dxa"/>
            <w:vAlign w:val="center"/>
          </w:tcPr>
          <w:p w14:paraId="4BEE8783">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4390207E">
            <w:pPr>
              <w:snapToGrid w:val="0"/>
              <w:spacing w:line="360" w:lineRule="auto"/>
              <w:jc w:val="center"/>
              <w:rPr>
                <w:rFonts w:hint="eastAsia" w:ascii="仿宋" w:hAnsi="仿宋" w:eastAsia="仿宋" w:cs="仿宋"/>
                <w:color w:val="auto"/>
                <w:sz w:val="24"/>
                <w:szCs w:val="24"/>
              </w:rPr>
            </w:pPr>
          </w:p>
        </w:tc>
      </w:tr>
      <w:tr w14:paraId="6C3E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B378D0A">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3</w:t>
            </w:r>
          </w:p>
        </w:tc>
        <w:tc>
          <w:tcPr>
            <w:tcW w:w="3545" w:type="dxa"/>
            <w:vAlign w:val="center"/>
          </w:tcPr>
          <w:p w14:paraId="24DEBDBF">
            <w:pPr>
              <w:jc w:val="left"/>
              <w:rPr>
                <w:rFonts w:hint="eastAsia" w:ascii="仿宋" w:hAnsi="仿宋" w:eastAsia="仿宋" w:cs="仿宋"/>
                <w:color w:val="auto"/>
                <w:sz w:val="24"/>
                <w:szCs w:val="24"/>
              </w:rPr>
            </w:pPr>
            <w:r>
              <w:rPr>
                <w:rFonts w:hint="eastAsia" w:ascii="仿宋" w:hAnsi="仿宋" w:eastAsia="仿宋" w:cs="仿宋"/>
                <w:color w:val="auto"/>
                <w:sz w:val="24"/>
                <w:szCs w:val="24"/>
              </w:rPr>
              <w:t>投标方案对提供安全咨询、安全风险评估等服务，做好各类维稳工作，为采购单位做好综合会议等大型活动的安全保卫工作的说明、描述情况，0-3分；</w:t>
            </w:r>
          </w:p>
          <w:p w14:paraId="3AE00508">
            <w:pPr>
              <w:jc w:val="left"/>
              <w:rPr>
                <w:rFonts w:hint="eastAsia" w:ascii="仿宋" w:hAnsi="仿宋" w:eastAsia="仿宋" w:cs="仿宋"/>
                <w:color w:val="auto"/>
                <w:sz w:val="24"/>
                <w:szCs w:val="24"/>
              </w:rPr>
            </w:pPr>
            <w:r>
              <w:rPr>
                <w:rFonts w:hint="eastAsia" w:ascii="仿宋" w:hAnsi="仿宋" w:eastAsia="仿宋" w:cs="仿宋"/>
                <w:color w:val="auto"/>
                <w:sz w:val="24"/>
                <w:szCs w:val="24"/>
              </w:rPr>
              <w:t>投标方案对工作区域内的刑事、治安案件处理措施的说明、描述情况。0-4分</w:t>
            </w:r>
          </w:p>
        </w:tc>
        <w:tc>
          <w:tcPr>
            <w:tcW w:w="764" w:type="dxa"/>
            <w:vAlign w:val="center"/>
          </w:tcPr>
          <w:p w14:paraId="06785EE0">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147" w:type="dxa"/>
            <w:vAlign w:val="center"/>
          </w:tcPr>
          <w:p w14:paraId="60CEBA23">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77DD9BFA">
            <w:pPr>
              <w:snapToGrid w:val="0"/>
              <w:spacing w:line="360" w:lineRule="auto"/>
              <w:jc w:val="center"/>
              <w:rPr>
                <w:rFonts w:hint="eastAsia" w:ascii="仿宋" w:hAnsi="仿宋" w:eastAsia="仿宋" w:cs="仿宋"/>
                <w:color w:val="auto"/>
                <w:sz w:val="24"/>
                <w:szCs w:val="24"/>
              </w:rPr>
            </w:pPr>
          </w:p>
        </w:tc>
      </w:tr>
      <w:tr w14:paraId="774F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5C0D51B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3545" w:type="dxa"/>
            <w:vAlign w:val="center"/>
          </w:tcPr>
          <w:p w14:paraId="28670253">
            <w:pPr>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投标人的管理制度的完善情况（0-8分）：</w:t>
            </w:r>
          </w:p>
          <w:p w14:paraId="77805C0E">
            <w:pPr>
              <w:jc w:val="left"/>
              <w:rPr>
                <w:rFonts w:hint="eastAsia" w:ascii="仿宋" w:hAnsi="仿宋" w:eastAsia="仿宋" w:cs="仿宋"/>
                <w:color w:val="auto"/>
                <w:sz w:val="24"/>
                <w:szCs w:val="24"/>
              </w:rPr>
            </w:pPr>
            <w:r>
              <w:rPr>
                <w:rFonts w:hint="eastAsia" w:ascii="仿宋" w:hAnsi="仿宋" w:eastAsia="仿宋" w:cs="仿宋"/>
                <w:color w:val="auto"/>
                <w:sz w:val="24"/>
                <w:szCs w:val="24"/>
              </w:rPr>
              <w:t>1、投标人制定的《保安工作人员职责》、《保安交接班制度》、《保安队伍例会制度》、《保安员义务消防队方案》、《保安员等级考核管理制度》、《队伍绩效考核管理》、《队伍奖惩制度》、《保安员等级考核管理制度》考核等规章制度是否符合要求。（0-4分）</w:t>
            </w:r>
          </w:p>
          <w:p w14:paraId="2609B640">
            <w:pPr>
              <w:jc w:val="left"/>
              <w:rPr>
                <w:rFonts w:hint="eastAsia" w:ascii="仿宋" w:hAnsi="仿宋" w:eastAsia="仿宋" w:cs="仿宋"/>
                <w:color w:val="auto"/>
                <w:sz w:val="24"/>
                <w:szCs w:val="24"/>
              </w:rPr>
            </w:pPr>
            <w:r>
              <w:rPr>
                <w:rFonts w:hint="eastAsia" w:ascii="仿宋" w:hAnsi="仿宋" w:eastAsia="仿宋" w:cs="仿宋"/>
                <w:color w:val="auto"/>
                <w:sz w:val="24"/>
                <w:szCs w:val="24"/>
              </w:rPr>
              <w:t>2、投标人是否建立规范的人力资源管理体系。（0-1分）</w:t>
            </w:r>
          </w:p>
          <w:p w14:paraId="61E0429F">
            <w:pPr>
              <w:jc w:val="left"/>
              <w:rPr>
                <w:rFonts w:hint="eastAsia" w:ascii="仿宋" w:hAnsi="仿宋" w:eastAsia="仿宋" w:cs="仿宋"/>
                <w:color w:val="auto"/>
                <w:sz w:val="24"/>
                <w:szCs w:val="24"/>
              </w:rPr>
            </w:pPr>
            <w:r>
              <w:rPr>
                <w:rFonts w:hint="eastAsia" w:ascii="仿宋" w:hAnsi="仿宋" w:eastAsia="仿宋" w:cs="仿宋"/>
                <w:color w:val="auto"/>
                <w:sz w:val="24"/>
                <w:szCs w:val="24"/>
              </w:rPr>
              <w:t>3、内部管理制度和员工考核管理办法等设定是否科学、合理和有效性，是否制订了切实可行的考核办法。（0-1分）</w:t>
            </w:r>
          </w:p>
          <w:p w14:paraId="67DE45CB">
            <w:pPr>
              <w:jc w:val="left"/>
              <w:rPr>
                <w:rFonts w:hint="eastAsia" w:ascii="仿宋" w:hAnsi="仿宋" w:eastAsia="仿宋" w:cs="仿宋"/>
                <w:color w:val="auto"/>
                <w:sz w:val="24"/>
                <w:szCs w:val="24"/>
              </w:rPr>
            </w:pPr>
            <w:r>
              <w:rPr>
                <w:rFonts w:hint="eastAsia" w:ascii="仿宋" w:hAnsi="仿宋" w:eastAsia="仿宋" w:cs="仿宋"/>
                <w:color w:val="auto"/>
                <w:sz w:val="24"/>
                <w:szCs w:val="24"/>
              </w:rPr>
              <w:t>4、是否制订了针对考核结果的补救措施和奖励办法。（0-1分）</w:t>
            </w:r>
          </w:p>
          <w:p w14:paraId="3FA91F9A">
            <w:pPr>
              <w:jc w:val="left"/>
              <w:rPr>
                <w:rFonts w:hint="eastAsia" w:ascii="仿宋" w:hAnsi="仿宋" w:eastAsia="仿宋" w:cs="仿宋"/>
                <w:color w:val="auto"/>
                <w:sz w:val="24"/>
                <w:szCs w:val="24"/>
              </w:rPr>
            </w:pPr>
            <w:r>
              <w:rPr>
                <w:rFonts w:hint="eastAsia" w:ascii="仿宋" w:hAnsi="仿宋" w:eastAsia="仿宋" w:cs="仿宋"/>
                <w:color w:val="auto"/>
                <w:sz w:val="24"/>
                <w:szCs w:val="24"/>
              </w:rPr>
              <w:t>5、是否有专门成立的考核组织进行内部考核。（0-1分）</w:t>
            </w:r>
          </w:p>
        </w:tc>
        <w:tc>
          <w:tcPr>
            <w:tcW w:w="764" w:type="dxa"/>
            <w:vAlign w:val="center"/>
          </w:tcPr>
          <w:p w14:paraId="2305839E">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147" w:type="dxa"/>
            <w:vAlign w:val="center"/>
          </w:tcPr>
          <w:p w14:paraId="2B0F3F8C">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54D476E3">
            <w:pPr>
              <w:snapToGrid w:val="0"/>
              <w:spacing w:line="360" w:lineRule="auto"/>
              <w:jc w:val="center"/>
              <w:rPr>
                <w:rFonts w:hint="eastAsia" w:ascii="仿宋" w:hAnsi="仿宋" w:eastAsia="仿宋" w:cs="仿宋"/>
                <w:color w:val="auto"/>
                <w:sz w:val="24"/>
                <w:szCs w:val="24"/>
              </w:rPr>
            </w:pPr>
          </w:p>
        </w:tc>
      </w:tr>
      <w:tr w14:paraId="4ACA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6B6DFFD1">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3545" w:type="dxa"/>
          </w:tcPr>
          <w:p w14:paraId="3D3F4187">
            <w:pPr>
              <w:jc w:val="left"/>
              <w:rPr>
                <w:rFonts w:hint="eastAsia" w:ascii="仿宋" w:hAnsi="仿宋" w:eastAsia="仿宋" w:cs="仿宋"/>
                <w:color w:val="auto"/>
                <w:sz w:val="24"/>
                <w:szCs w:val="24"/>
              </w:rPr>
            </w:pPr>
            <w:r>
              <w:rPr>
                <w:rFonts w:hint="eastAsia" w:ascii="仿宋" w:hAnsi="仿宋" w:eastAsia="仿宋" w:cs="仿宋"/>
                <w:color w:val="auto"/>
                <w:sz w:val="24"/>
                <w:szCs w:val="24"/>
              </w:rPr>
              <w:t>拟投入的项目负责人（保安队长）：具有同类项目经验的得2分，没有不得分；提供确保100%到位的承诺的得1分；具有职业资格为高级保安管理师证书的得1分；具有大专（含）以上文化程度的1分；为退伍军人的得1分；</w:t>
            </w:r>
          </w:p>
          <w:p w14:paraId="757FF909">
            <w:pPr>
              <w:jc w:val="left"/>
              <w:rPr>
                <w:rFonts w:hint="eastAsia" w:ascii="仿宋" w:hAnsi="仿宋" w:eastAsia="仿宋" w:cs="仿宋"/>
                <w:color w:val="auto"/>
                <w:sz w:val="24"/>
                <w:szCs w:val="24"/>
              </w:rPr>
            </w:pPr>
            <w:r>
              <w:rPr>
                <w:rFonts w:hint="eastAsia" w:ascii="仿宋" w:hAnsi="仿宋" w:eastAsia="仿宋" w:cs="仿宋"/>
                <w:color w:val="auto"/>
                <w:sz w:val="24"/>
                <w:szCs w:val="24"/>
              </w:rPr>
              <w:t>注：提供有效的相关证明材料及在缴社保证明，否则该项不得分。</w:t>
            </w:r>
          </w:p>
        </w:tc>
        <w:tc>
          <w:tcPr>
            <w:tcW w:w="764" w:type="dxa"/>
            <w:vAlign w:val="center"/>
          </w:tcPr>
          <w:p w14:paraId="629041C9">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147" w:type="dxa"/>
            <w:vAlign w:val="center"/>
          </w:tcPr>
          <w:p w14:paraId="405732D9">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08459E3E">
            <w:pPr>
              <w:snapToGrid w:val="0"/>
              <w:spacing w:line="360" w:lineRule="auto"/>
              <w:jc w:val="center"/>
              <w:rPr>
                <w:rFonts w:hint="eastAsia" w:ascii="仿宋" w:hAnsi="仿宋" w:eastAsia="仿宋" w:cs="仿宋"/>
                <w:color w:val="auto"/>
                <w:sz w:val="24"/>
                <w:szCs w:val="24"/>
              </w:rPr>
            </w:pPr>
          </w:p>
        </w:tc>
      </w:tr>
      <w:tr w14:paraId="00F7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A0FA863">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3545" w:type="dxa"/>
          </w:tcPr>
          <w:p w14:paraId="3A4D501C">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针对本项目配置的管理人员组织分工明确，人员配置合理且有针对性（0-3分）</w:t>
            </w:r>
          </w:p>
        </w:tc>
        <w:tc>
          <w:tcPr>
            <w:tcW w:w="764" w:type="dxa"/>
            <w:vAlign w:val="center"/>
          </w:tcPr>
          <w:p w14:paraId="2B743BF9">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147" w:type="dxa"/>
            <w:vAlign w:val="center"/>
          </w:tcPr>
          <w:p w14:paraId="4C827C91">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54681355">
            <w:pPr>
              <w:snapToGrid w:val="0"/>
              <w:spacing w:line="360" w:lineRule="auto"/>
              <w:jc w:val="center"/>
              <w:rPr>
                <w:rFonts w:hint="eastAsia" w:ascii="仿宋" w:hAnsi="仿宋" w:eastAsia="仿宋" w:cs="仿宋"/>
                <w:color w:val="auto"/>
                <w:sz w:val="24"/>
                <w:szCs w:val="24"/>
              </w:rPr>
            </w:pPr>
          </w:p>
        </w:tc>
      </w:tr>
      <w:tr w14:paraId="5166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EA04A0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7</w:t>
            </w:r>
          </w:p>
        </w:tc>
        <w:tc>
          <w:tcPr>
            <w:tcW w:w="3545" w:type="dxa"/>
          </w:tcPr>
          <w:p w14:paraId="0CA50213">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1.本项目保安人员拥有中级保安员证书，每个得</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分，高级保安员证书，每个得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分。最高得5分（5分）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以提供相关证书为准</w:t>
            </w:r>
            <w:r>
              <w:rPr>
                <w:rFonts w:hint="eastAsia" w:ascii="仿宋" w:hAnsi="仿宋" w:eastAsia="仿宋" w:cs="仿宋"/>
                <w:color w:val="auto"/>
                <w:sz w:val="24"/>
                <w:szCs w:val="24"/>
                <w:highlight w:val="none"/>
                <w:lang w:eastAsia="zh-CN"/>
              </w:rPr>
              <w:t>）</w:t>
            </w:r>
          </w:p>
          <w:p w14:paraId="5CF254EF">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2.本项目保安人员退伍军人数量3-5名得1分；6-8名得2分；9-10名得3分；11名及以上得4分。最高得4分（4分）；（以提供的退伍证为准）</w:t>
            </w:r>
          </w:p>
          <w:p w14:paraId="715DFA7C">
            <w:pPr>
              <w:snapToGrid w:val="0"/>
              <w:rPr>
                <w:rFonts w:hint="eastAsia" w:ascii="仿宋" w:hAnsi="仿宋" w:eastAsia="仿宋" w:cs="仿宋"/>
                <w:color w:val="auto"/>
                <w:sz w:val="24"/>
                <w:szCs w:val="24"/>
              </w:rPr>
            </w:pPr>
            <w:r>
              <w:rPr>
                <w:rFonts w:hint="eastAsia" w:ascii="仿宋" w:hAnsi="仿宋" w:eastAsia="仿宋" w:cs="仿宋"/>
                <w:color w:val="auto"/>
                <w:sz w:val="24"/>
                <w:szCs w:val="24"/>
                <w:highlight w:val="none"/>
              </w:rPr>
              <w:t>3.本项目保安人员曾经参与协助开展行政执法综合管理及综治维稳工作经验的有3-5名得1分；6-8名得2分；9-10名得3分；11名及以上得4分。最高得4分（4分）；（以提供的合同或业主证明资料为准）</w:t>
            </w:r>
          </w:p>
        </w:tc>
        <w:tc>
          <w:tcPr>
            <w:tcW w:w="764" w:type="dxa"/>
            <w:vAlign w:val="center"/>
          </w:tcPr>
          <w:p w14:paraId="02C1E8D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147" w:type="dxa"/>
            <w:vAlign w:val="center"/>
          </w:tcPr>
          <w:p w14:paraId="3B72068A">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62DF1A11">
            <w:pPr>
              <w:snapToGrid w:val="0"/>
              <w:spacing w:line="360" w:lineRule="auto"/>
              <w:jc w:val="center"/>
              <w:rPr>
                <w:rFonts w:hint="eastAsia" w:ascii="仿宋" w:hAnsi="仿宋" w:eastAsia="仿宋" w:cs="仿宋"/>
                <w:color w:val="auto"/>
                <w:sz w:val="24"/>
                <w:szCs w:val="24"/>
              </w:rPr>
            </w:pPr>
          </w:p>
        </w:tc>
      </w:tr>
      <w:tr w14:paraId="00CF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1E20FA2">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3545" w:type="dxa"/>
          </w:tcPr>
          <w:p w14:paraId="74ED80CF">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1.投标人是否承诺为所有项目组成员购买“五险”和意外险。承诺的得2分，未承诺的不得分。在投标文件中提供承诺书等证明材料；</w:t>
            </w:r>
          </w:p>
          <w:p w14:paraId="42A9F660">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2.投标人是否承诺项目组人员扣除“五险”和意外险后的月均实际收入不低于当年杭州市最低工资标准数额。承诺的得2分，未承诺不得分。在投标文件中提供承诺书等证明材料；</w:t>
            </w:r>
          </w:p>
          <w:p w14:paraId="2F220C61">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3.投标人承诺中标后在服务过程中，因保安人过失造成第三方人员人身伤亡或财产损失的，投标人负责处理及赔偿事宜的，得2分。</w:t>
            </w:r>
          </w:p>
          <w:p w14:paraId="767005CC">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4.承诺保安人员每周工作时间满足需求及符合劳动法相关规定的得2分；</w:t>
            </w:r>
          </w:p>
          <w:p w14:paraId="70B41DD4">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5.承诺如遇人员临时换岗调整，公司能及时安排人员到岗执勤的得2分；</w:t>
            </w:r>
          </w:p>
          <w:p w14:paraId="534F5B1E">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6.承诺保安队长每天向采购人提交保安人员签到情况，各具体岗位安排的人员名单，执勤班次时长的得2分；</w:t>
            </w:r>
          </w:p>
        </w:tc>
        <w:tc>
          <w:tcPr>
            <w:tcW w:w="764" w:type="dxa"/>
            <w:vAlign w:val="center"/>
          </w:tcPr>
          <w:p w14:paraId="6225FAFA">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147" w:type="dxa"/>
            <w:vAlign w:val="center"/>
          </w:tcPr>
          <w:p w14:paraId="5086C75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188D3B5F">
            <w:pPr>
              <w:snapToGrid w:val="0"/>
              <w:spacing w:line="360" w:lineRule="auto"/>
              <w:jc w:val="center"/>
              <w:rPr>
                <w:rFonts w:hint="eastAsia" w:ascii="仿宋" w:hAnsi="仿宋" w:eastAsia="仿宋" w:cs="仿宋"/>
                <w:color w:val="auto"/>
                <w:sz w:val="24"/>
                <w:szCs w:val="24"/>
              </w:rPr>
            </w:pPr>
          </w:p>
        </w:tc>
      </w:tr>
      <w:tr w14:paraId="4EA8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08AAB01">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3545" w:type="dxa"/>
            <w:vAlign w:val="center"/>
          </w:tcPr>
          <w:p w14:paraId="1F1840DE">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拟投入使用的服装、设备、工器具的储备情况（0-10分）</w:t>
            </w:r>
          </w:p>
          <w:p w14:paraId="6415973A">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1）提供的保安人员的各季节服装、防暑防雨用品配备是否完整合理。0-5分</w:t>
            </w:r>
          </w:p>
          <w:p w14:paraId="135B4D32">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2）提供的保安人员的通讯器材、保安装备配置是否完整合理。0-5分</w:t>
            </w:r>
          </w:p>
        </w:tc>
        <w:tc>
          <w:tcPr>
            <w:tcW w:w="764" w:type="dxa"/>
            <w:vAlign w:val="center"/>
          </w:tcPr>
          <w:p w14:paraId="459CEC93">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147" w:type="dxa"/>
            <w:vAlign w:val="center"/>
          </w:tcPr>
          <w:p w14:paraId="5CE0E961">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31802F66">
            <w:pPr>
              <w:snapToGrid w:val="0"/>
              <w:spacing w:line="360" w:lineRule="auto"/>
              <w:jc w:val="center"/>
              <w:rPr>
                <w:rFonts w:hint="eastAsia" w:ascii="仿宋" w:hAnsi="仿宋" w:eastAsia="仿宋" w:cs="仿宋"/>
                <w:color w:val="auto"/>
                <w:sz w:val="24"/>
                <w:szCs w:val="24"/>
              </w:rPr>
            </w:pPr>
          </w:p>
        </w:tc>
      </w:tr>
      <w:tr w14:paraId="0DD0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7FC428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3545" w:type="dxa"/>
            <w:vAlign w:val="center"/>
          </w:tcPr>
          <w:p w14:paraId="6D3F5136">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应急方案及措施的可行性、可操作性及针对性（0-19分）</w:t>
            </w:r>
          </w:p>
          <w:p w14:paraId="7261E727">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1）对于突发事件的响应时间及处理时间的响应承诺情况；（0-3分）</w:t>
            </w:r>
          </w:p>
          <w:p w14:paraId="28FE1DAC">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2）对突发事件（包括发生灾害性天气及其他突发事件）时的紧急预案；（0-3分）</w:t>
            </w:r>
          </w:p>
          <w:p w14:paraId="00069B01">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3）对保安服务区域内安全防范措施、消防等紧急预案；（0-3分）</w:t>
            </w:r>
          </w:p>
          <w:p w14:paraId="51975AE3">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4）对重大活动或重要接待任务等的应急预案编制情况；（0-3分）</w:t>
            </w:r>
          </w:p>
          <w:p w14:paraId="5E9E8409">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5）承诺在特殊需要时迅速派出足够数量（20人以上）的增援人员的的得3分；</w:t>
            </w:r>
          </w:p>
          <w:p w14:paraId="153CF7FB">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6）承诺在特殊需要时承诺迅速派出专业应急队伍、专用机动车辆的得2分；</w:t>
            </w:r>
          </w:p>
          <w:p w14:paraId="289B324F">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7）与采购人所属地理区域公安有联动机制的得2分。提供相关证明材料。</w:t>
            </w:r>
          </w:p>
        </w:tc>
        <w:tc>
          <w:tcPr>
            <w:tcW w:w="764" w:type="dxa"/>
            <w:vAlign w:val="center"/>
          </w:tcPr>
          <w:p w14:paraId="0F6AD8B1">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1147" w:type="dxa"/>
            <w:vAlign w:val="center"/>
          </w:tcPr>
          <w:p w14:paraId="58A6B78A">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64C0E6DB">
            <w:pPr>
              <w:snapToGrid w:val="0"/>
              <w:spacing w:line="360" w:lineRule="auto"/>
              <w:jc w:val="center"/>
              <w:rPr>
                <w:rFonts w:hint="eastAsia" w:ascii="仿宋" w:hAnsi="仿宋" w:eastAsia="仿宋" w:cs="仿宋"/>
                <w:color w:val="auto"/>
                <w:sz w:val="24"/>
                <w:szCs w:val="24"/>
              </w:rPr>
            </w:pPr>
          </w:p>
        </w:tc>
      </w:tr>
      <w:tr w14:paraId="3735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1D81955">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3545" w:type="dxa"/>
            <w:vAlign w:val="center"/>
          </w:tcPr>
          <w:p w14:paraId="35B20CF4">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保安人员的培训（0-6分）</w:t>
            </w:r>
          </w:p>
          <w:p w14:paraId="5AE6309E">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（1）提供整个服务团队从业能力的培训教育方案是否贴合实际需求。0-2分。</w:t>
            </w:r>
          </w:p>
          <w:p w14:paraId="53822A2E">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（2）是否有切实可行的每月不少于一次的培训计划的。0-2分</w:t>
            </w:r>
          </w:p>
          <w:p w14:paraId="04ECA454">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（3）是否有专门的培训部门、培训师资及相关人员力量。提供相关证明资料。0-2分</w:t>
            </w:r>
          </w:p>
        </w:tc>
        <w:tc>
          <w:tcPr>
            <w:tcW w:w="764" w:type="dxa"/>
            <w:vAlign w:val="center"/>
          </w:tcPr>
          <w:p w14:paraId="1F54D032">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147" w:type="dxa"/>
            <w:vAlign w:val="center"/>
          </w:tcPr>
          <w:p w14:paraId="4878ECF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2150" w:type="dxa"/>
          </w:tcPr>
          <w:p w14:paraId="6D5DA031">
            <w:pPr>
              <w:snapToGrid w:val="0"/>
              <w:spacing w:line="360" w:lineRule="auto"/>
              <w:jc w:val="center"/>
              <w:rPr>
                <w:rFonts w:hint="eastAsia" w:ascii="仿宋" w:hAnsi="仿宋" w:eastAsia="仿宋" w:cs="仿宋"/>
                <w:color w:val="auto"/>
                <w:sz w:val="24"/>
                <w:szCs w:val="24"/>
              </w:rPr>
            </w:pPr>
          </w:p>
        </w:tc>
      </w:tr>
      <w:tr w14:paraId="7160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6430B88A">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3545" w:type="dxa"/>
          </w:tcPr>
          <w:p w14:paraId="2445C31F">
            <w:pPr>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有效投标报价的最低价作为评标基准价，其最低报价为满分；按［投标报价得分=（评标基准价/投标报价）*权重］的计算公式计算。</w:t>
            </w:r>
          </w:p>
          <w:p w14:paraId="5B045F74">
            <w:pPr>
              <w:widowControl/>
              <w:shd w:val="clear" w:color="auto" w:fill="FFFFFF"/>
              <w:adjustRightInd/>
              <w:spacing w:after="225"/>
              <w:ind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tc>
        <w:tc>
          <w:tcPr>
            <w:tcW w:w="764" w:type="dxa"/>
            <w:vAlign w:val="center"/>
          </w:tcPr>
          <w:p w14:paraId="79C3852E">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147" w:type="dxa"/>
            <w:vAlign w:val="center"/>
          </w:tcPr>
          <w:p w14:paraId="1B810C63">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c>
          <w:tcPr>
            <w:tcW w:w="2150" w:type="dxa"/>
            <w:vAlign w:val="center"/>
          </w:tcPr>
          <w:p w14:paraId="4BB3EEA7">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14:paraId="370E67DD">
      <w:pPr>
        <w:rPr>
          <w:rFonts w:hint="eastAsia"/>
          <w:color w:val="auto"/>
          <w:highlight w:val="none"/>
        </w:rPr>
      </w:pPr>
      <w:r>
        <w:rPr>
          <w:rFonts w:hint="eastAsia"/>
          <w:color w:val="auto"/>
          <w:highlight w:val="none"/>
        </w:rPr>
        <w:br w:type="page"/>
      </w:r>
    </w:p>
    <w:p w14:paraId="348B7E77">
      <w:pPr>
        <w:pStyle w:val="12"/>
        <w:rPr>
          <w:rFonts w:hint="eastAsia"/>
          <w:color w:val="auto"/>
          <w:highlight w:val="none"/>
        </w:rPr>
      </w:pPr>
    </w:p>
    <w:p w14:paraId="22EFF10D">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5345543">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900E607">
      <w:pPr>
        <w:adjustRightInd/>
        <w:spacing w:line="360" w:lineRule="auto"/>
        <w:jc w:val="center"/>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139E950">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C44B9CD">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B1C9B1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FE7CFF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14D36E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518728E9">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49348C8">
      <w:pPr>
        <w:pStyle w:val="23"/>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721835D6">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1D2ACE42">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3E89451">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3C7662A6">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600D10E">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1B67F7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4B56AC6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D6C28E0">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D41D20">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75D9DF7">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E8AA12A">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AB7C50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99E9A8">
      <w:pPr>
        <w:widowControl/>
        <w:shd w:val="clear" w:color="auto" w:fill="FFFFFF"/>
        <w:adjustRightInd/>
        <w:spacing w:after="225" w:line="315" w:lineRule="atLeas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5F945A76">
      <w:pPr>
        <w:pStyle w:val="23"/>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EB17E5">
      <w:pPr>
        <w:pStyle w:val="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42F3DF8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FE6702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AFEF5D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709758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644129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34062669">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3081F95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26FD248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1ABFFB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AA6B35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708DBF71">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2375A32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7C55E651">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0C4699A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51DF22AB">
      <w:pPr>
        <w:pStyle w:val="7"/>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9619153">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20376B8">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CE42CB0">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9D8198D">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E890BCC">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5E83CB83">
      <w:pPr>
        <w:pStyle w:val="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50CA81AA">
      <w:pPr>
        <w:pStyle w:val="7"/>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77938497">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50D5794">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4F3ABFD2">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E1C858A">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850BD2B">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645D1F42">
      <w:pPr>
        <w:rPr>
          <w:rFonts w:hint="eastAsia" w:ascii="仿宋" w:hAnsi="仿宋" w:eastAsia="仿宋" w:cs="仿宋"/>
          <w:b/>
          <w:color w:val="auto"/>
          <w:sz w:val="36"/>
          <w:szCs w:val="36"/>
          <w:highlight w:val="none"/>
        </w:rPr>
      </w:pPr>
      <w:bookmarkStart w:id="392" w:name="第五部分"/>
      <w:bookmarkStart w:id="393" w:name="_Toc86217003"/>
      <w:r>
        <w:rPr>
          <w:rFonts w:hint="eastAsia" w:ascii="仿宋" w:hAnsi="仿宋" w:eastAsia="仿宋" w:cs="仿宋"/>
          <w:b/>
          <w:color w:val="auto"/>
          <w:sz w:val="36"/>
          <w:szCs w:val="36"/>
          <w:highlight w:val="none"/>
        </w:rPr>
        <w:br w:type="page"/>
      </w:r>
    </w:p>
    <w:p w14:paraId="1E56E96B">
      <w:pPr>
        <w:spacing w:line="360" w:lineRule="auto"/>
        <w:jc w:val="center"/>
        <w:outlineLvl w:val="0"/>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第五部分 拟签订的合同文本</w:t>
      </w:r>
      <w:r>
        <w:rPr>
          <w:rFonts w:hint="eastAsia" w:ascii="仿宋" w:hAnsi="仿宋" w:eastAsia="仿宋" w:cs="仿宋"/>
          <w:b/>
          <w:color w:val="auto"/>
          <w:sz w:val="22"/>
          <w:szCs w:val="22"/>
          <w:highlight w:val="none"/>
          <w:lang w:eastAsia="zh-CN"/>
        </w:rPr>
        <w:t>（</w:t>
      </w:r>
      <w:r>
        <w:rPr>
          <w:rFonts w:hint="eastAsia" w:ascii="仿宋" w:hAnsi="仿宋" w:eastAsia="仿宋" w:cs="仿宋"/>
          <w:b/>
          <w:color w:val="auto"/>
          <w:sz w:val="22"/>
          <w:szCs w:val="22"/>
          <w:highlight w:val="none"/>
          <w:lang w:val="en-US" w:eastAsia="zh-CN"/>
        </w:rPr>
        <w:t>以实际签订为准</w:t>
      </w:r>
      <w:r>
        <w:rPr>
          <w:rFonts w:hint="eastAsia" w:ascii="仿宋" w:hAnsi="仿宋" w:eastAsia="仿宋" w:cs="仿宋"/>
          <w:b/>
          <w:color w:val="auto"/>
          <w:sz w:val="22"/>
          <w:szCs w:val="22"/>
          <w:highlight w:val="none"/>
          <w:lang w:eastAsia="zh-CN"/>
        </w:rPr>
        <w:t>）</w:t>
      </w:r>
    </w:p>
    <w:p w14:paraId="15066C87">
      <w:pPr>
        <w:pStyle w:val="25"/>
        <w:ind w:left="0" w:leftChars="0" w:firstLine="0" w:firstLineChars="0"/>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bCs/>
          <w:snapToGrid/>
          <w:color w:val="auto"/>
          <w:kern w:val="2"/>
          <w:sz w:val="24"/>
          <w:szCs w:val="24"/>
          <w:highlight w:val="none"/>
          <w:lang w:val="en-US" w:eastAsia="zh-CN"/>
        </w:rPr>
        <w:t>标项一：</w:t>
      </w:r>
      <w:r>
        <w:rPr>
          <w:rFonts w:hint="eastAsia" w:ascii="仿宋" w:hAnsi="仿宋" w:eastAsia="仿宋" w:cs="仿宋"/>
          <w:snapToGrid/>
          <w:color w:val="auto"/>
          <w:kern w:val="2"/>
          <w:sz w:val="24"/>
          <w:szCs w:val="24"/>
          <w:highlight w:val="none"/>
          <w:lang w:eastAsia="zh-CN"/>
        </w:rPr>
        <w:t>潮鸣街道2025年平安综合治理协助项目</w:t>
      </w:r>
    </w:p>
    <w:p w14:paraId="4B0C1E43">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6BBA540B">
      <w:pPr>
        <w:spacing w:line="480" w:lineRule="auto"/>
        <w:jc w:val="center"/>
        <w:rPr>
          <w:rFonts w:hint="eastAsia" w:ascii="仿宋" w:hAnsi="仿宋" w:eastAsia="仿宋" w:cs="仿宋"/>
          <w:b/>
          <w:color w:val="auto"/>
          <w:sz w:val="28"/>
          <w:szCs w:val="28"/>
        </w:rPr>
      </w:pPr>
    </w:p>
    <w:p w14:paraId="0562073D">
      <w:pPr>
        <w:spacing w:line="480" w:lineRule="auto"/>
        <w:jc w:val="center"/>
        <w:rPr>
          <w:rFonts w:hint="eastAsia" w:ascii="仿宋" w:hAnsi="仿宋" w:eastAsia="仿宋" w:cs="仿宋"/>
          <w:b/>
          <w:color w:val="auto"/>
          <w:sz w:val="24"/>
        </w:rPr>
      </w:pPr>
    </w:p>
    <w:p w14:paraId="436F0D39">
      <w:pPr>
        <w:spacing w:line="480" w:lineRule="auto"/>
        <w:jc w:val="center"/>
        <w:rPr>
          <w:rFonts w:hint="eastAsia" w:ascii="仿宋" w:hAnsi="仿宋" w:eastAsia="仿宋" w:cs="仿宋"/>
          <w:b/>
          <w:color w:val="auto"/>
          <w:sz w:val="24"/>
        </w:rPr>
      </w:pPr>
    </w:p>
    <w:p w14:paraId="54B28F72">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22123FDF">
      <w:pPr>
        <w:pStyle w:val="25"/>
        <w:spacing w:before="120"/>
        <w:rPr>
          <w:rFonts w:hint="eastAsia" w:ascii="仿宋" w:hAnsi="仿宋" w:eastAsia="仿宋" w:cs="仿宋"/>
          <w:color w:val="auto"/>
          <w:szCs w:val="24"/>
        </w:rPr>
      </w:pPr>
    </w:p>
    <w:p w14:paraId="30B7CBD1">
      <w:pPr>
        <w:pStyle w:val="25"/>
        <w:spacing w:before="120"/>
        <w:jc w:val="center"/>
        <w:rPr>
          <w:rFonts w:hint="eastAsia" w:ascii="仿宋" w:hAnsi="仿宋" w:eastAsia="仿宋" w:cs="仿宋"/>
          <w:color w:val="auto"/>
          <w:szCs w:val="24"/>
        </w:rPr>
      </w:pPr>
    </w:p>
    <w:p w14:paraId="36AB530C">
      <w:pPr>
        <w:pStyle w:val="25"/>
        <w:spacing w:before="120"/>
        <w:rPr>
          <w:rFonts w:hint="eastAsia" w:ascii="仿宋" w:hAnsi="仿宋" w:eastAsia="仿宋" w:cs="仿宋"/>
          <w:color w:val="auto"/>
          <w:szCs w:val="24"/>
        </w:rPr>
      </w:pPr>
    </w:p>
    <w:p w14:paraId="5F0ADDA1">
      <w:pPr>
        <w:pStyle w:val="25"/>
        <w:spacing w:before="120"/>
        <w:rPr>
          <w:rFonts w:hint="eastAsia" w:ascii="仿宋" w:hAnsi="仿宋" w:eastAsia="仿宋" w:cs="仿宋"/>
          <w:color w:val="auto"/>
          <w:szCs w:val="24"/>
        </w:rPr>
      </w:pPr>
    </w:p>
    <w:p w14:paraId="051D1E70">
      <w:pPr>
        <w:spacing w:before="120" w:line="22" w:lineRule="atLeast"/>
        <w:rPr>
          <w:rFonts w:hint="eastAsia" w:ascii="仿宋" w:hAnsi="仿宋" w:eastAsia="仿宋" w:cs="仿宋"/>
          <w:color w:val="auto"/>
          <w:sz w:val="24"/>
        </w:rPr>
      </w:pPr>
    </w:p>
    <w:p w14:paraId="40AE2BC1">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4E46B3CD">
      <w:pPr>
        <w:pStyle w:val="30"/>
        <w:spacing w:before="120" w:line="22" w:lineRule="atLeast"/>
        <w:rPr>
          <w:rFonts w:hint="eastAsia" w:ascii="仿宋" w:hAnsi="仿宋" w:eastAsia="仿宋" w:cs="仿宋"/>
          <w:color w:val="auto"/>
          <w:szCs w:val="24"/>
        </w:rPr>
      </w:pPr>
    </w:p>
    <w:p w14:paraId="7A8D19FF">
      <w:pPr>
        <w:pStyle w:val="30"/>
        <w:spacing w:before="120" w:line="22" w:lineRule="atLeast"/>
        <w:rPr>
          <w:rFonts w:hint="eastAsia" w:ascii="仿宋" w:hAnsi="仿宋" w:eastAsia="仿宋" w:cs="仿宋"/>
          <w:color w:val="auto"/>
          <w:szCs w:val="24"/>
        </w:rPr>
      </w:pPr>
    </w:p>
    <w:p w14:paraId="2671BCA7">
      <w:pPr>
        <w:rPr>
          <w:rFonts w:hint="eastAsia" w:ascii="仿宋" w:hAnsi="仿宋" w:eastAsia="仿宋" w:cs="仿宋"/>
          <w:color w:val="auto"/>
          <w:sz w:val="24"/>
        </w:rPr>
      </w:pPr>
    </w:p>
    <w:p w14:paraId="4787C5CF">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114006EE">
      <w:pPr>
        <w:spacing w:before="120" w:line="22" w:lineRule="atLeast"/>
        <w:rPr>
          <w:rFonts w:hint="eastAsia" w:ascii="仿宋" w:hAnsi="仿宋" w:eastAsia="仿宋" w:cs="仿宋"/>
          <w:color w:val="auto"/>
          <w:sz w:val="24"/>
        </w:rPr>
      </w:pPr>
    </w:p>
    <w:p w14:paraId="04CE88AA">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355444AF">
      <w:pPr>
        <w:spacing w:before="120" w:line="22" w:lineRule="atLeast"/>
        <w:rPr>
          <w:rFonts w:hint="eastAsia" w:ascii="仿宋" w:hAnsi="仿宋" w:eastAsia="仿宋" w:cs="仿宋"/>
          <w:color w:val="auto"/>
          <w:sz w:val="24"/>
        </w:rPr>
      </w:pPr>
    </w:p>
    <w:p w14:paraId="78AC43E1">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1FC1A1C2">
      <w:pPr>
        <w:spacing w:before="120" w:line="22" w:lineRule="atLeast"/>
        <w:rPr>
          <w:rFonts w:hint="eastAsia" w:ascii="仿宋" w:hAnsi="仿宋" w:eastAsia="仿宋" w:cs="仿宋"/>
          <w:color w:val="auto"/>
          <w:sz w:val="24"/>
        </w:rPr>
      </w:pPr>
    </w:p>
    <w:p w14:paraId="193B5B57">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678F860D">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14:paraId="4C8DBB8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w:t>
      </w:r>
      <w:r>
        <w:rPr>
          <w:rFonts w:hint="eastAsia" w:ascii="仿宋" w:hAnsi="仿宋" w:eastAsia="仿宋" w:cs="仿宋"/>
          <w:color w:val="auto"/>
          <w:sz w:val="24"/>
        </w:rPr>
        <w:t>为该项目中标供应商。现于中标通知书发出之日起三十日内，按照采购文件确定的事项签订本合同。</w:t>
      </w:r>
    </w:p>
    <w:p w14:paraId="0DF6447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7D0AABB4">
      <w:pPr>
        <w:keepNext w:val="0"/>
        <w:keepLines w:val="0"/>
        <w:pageBreakBefore w:val="0"/>
        <w:widowControl w:val="0"/>
        <w:kinsoku/>
        <w:wordWrap/>
        <w:overflowPunct/>
        <w:topLinePunct w:val="0"/>
        <w:bidi w:val="0"/>
        <w:snapToGrid/>
        <w:spacing w:line="360" w:lineRule="auto"/>
        <w:textAlignment w:val="auto"/>
        <w:outlineLvl w:val="0"/>
        <w:rPr>
          <w:rFonts w:hint="eastAsia" w:ascii="仿宋" w:hAnsi="仿宋" w:eastAsia="仿宋" w:cs="仿宋"/>
          <w:b/>
          <w:color w:val="auto"/>
          <w:sz w:val="24"/>
        </w:rPr>
      </w:pPr>
      <w:bookmarkStart w:id="394" w:name="_Toc3029"/>
      <w:bookmarkStart w:id="395" w:name="_Toc2232"/>
      <w:bookmarkStart w:id="396" w:name="_Toc24059"/>
      <w:r>
        <w:rPr>
          <w:rFonts w:hint="eastAsia" w:ascii="仿宋" w:hAnsi="仿宋" w:eastAsia="仿宋" w:cs="仿宋"/>
          <w:b/>
          <w:color w:val="auto"/>
          <w:sz w:val="24"/>
        </w:rPr>
        <w:t>1、合同组成部分</w:t>
      </w:r>
      <w:bookmarkEnd w:id="394"/>
      <w:bookmarkEnd w:id="395"/>
      <w:bookmarkEnd w:id="396"/>
    </w:p>
    <w:p w14:paraId="552DBD31">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7B5CCB4">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1.1本合同及其补充合同、变更协议；</w:t>
      </w:r>
    </w:p>
    <w:p w14:paraId="0584AA17">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1.2 中标通知书；</w:t>
      </w:r>
    </w:p>
    <w:p w14:paraId="0283CED1">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1.3 投标文件（含澄清或者说明文件）；</w:t>
      </w:r>
    </w:p>
    <w:p w14:paraId="00EE5F40">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1.4 招标文件（含澄清或者修改文件）；</w:t>
      </w:r>
    </w:p>
    <w:p w14:paraId="72EAE0A4">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1.5 其他相关采购文件。</w:t>
      </w:r>
    </w:p>
    <w:p w14:paraId="6C5EFBCD">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2、一般约定</w:t>
      </w:r>
    </w:p>
    <w:p w14:paraId="71ADA22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2.1词语定义</w:t>
      </w:r>
    </w:p>
    <w:p w14:paraId="72FB82C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2.1.1“合同”或称“合同书”系指甲乙双方达成并签署的协议，包括合同协议书、合同条款及构成合同的所有文件。</w:t>
      </w:r>
    </w:p>
    <w:p w14:paraId="7C55152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2.1.2“签约合同价”指甲方和乙方在合同协议书中约定的（①暂定总金额；②总金额）。</w:t>
      </w:r>
    </w:p>
    <w:p w14:paraId="0217252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2.1.3“合同价格”系指根据合同规定乙方在正确、及时地完全履行合同义务后甲方应支付给乙方的价格。</w:t>
      </w:r>
    </w:p>
    <w:p w14:paraId="486CB65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2.1.4“服务”系指合同规定乙方提供                 服务以及其他类似的义务。</w:t>
      </w:r>
    </w:p>
    <w:p w14:paraId="3C449F29">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2.1.5“价格清单”是指投标文件中规定的投标报价表，或其中任何部分或单个的价格表。</w:t>
      </w:r>
    </w:p>
    <w:p w14:paraId="43CCC68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2.1.6“甲方”系指                       。</w:t>
      </w:r>
    </w:p>
    <w:p w14:paraId="468CB0DD">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2.1.7“乙方”系指                       。</w:t>
      </w:r>
    </w:p>
    <w:p w14:paraId="7E04E39D">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2.1.8“双方”系指甲方和乙方。</w:t>
      </w:r>
    </w:p>
    <w:p w14:paraId="0E932A6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2.1.9“不可抗力”系指合同条款第13条赋予的含义。</w:t>
      </w:r>
    </w:p>
    <w:p w14:paraId="620D14E9">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2.1.10“验收”系指甲方依据技术标准规定接受合同相关服务所依据的程序和条件。</w:t>
      </w:r>
    </w:p>
    <w:p w14:paraId="470F2E20">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2.1.11“天”、“日”系指公历日。</w:t>
      </w:r>
    </w:p>
    <w:p w14:paraId="75103C18">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2.1.12“周”系指7个公历日。</w:t>
      </w:r>
    </w:p>
    <w:p w14:paraId="7710010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2.1.13“现场”系指服务进行的地点。</w:t>
      </w:r>
    </w:p>
    <w:p w14:paraId="5359491D">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2.1.14“固定综合单价”/“固定合同总价”系指该部分服务的综合单价/合同总价是固定不变的。</w:t>
      </w:r>
    </w:p>
    <w:p w14:paraId="30825028">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2.2解释</w:t>
      </w:r>
    </w:p>
    <w:p w14:paraId="18F13F9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2.2.1除非文件另作要求，凡提及一方、对方或各方，均包括其合法继承人。</w:t>
      </w:r>
    </w:p>
    <w:p w14:paraId="178F2F1D">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2.2.2凡合同中规定通讯是“书面的”或“用书面形式”，这是指任何手写的、打印的或印刷的通讯，包括但不限于电报、电传和传真发送。</w:t>
      </w:r>
    </w:p>
    <w:p w14:paraId="04C2CDC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2.2.3凡合同规定任何人发出通知、同意、批准或确认时，该通知、同意、批准或确认不得被无故扣押，除非另有规定；该通知、同意、批准或确认应是书面形式。</w:t>
      </w:r>
    </w:p>
    <w:p w14:paraId="28A9E4E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2.3语言文字</w:t>
      </w:r>
    </w:p>
    <w:p w14:paraId="39A7BD32">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除专用术语外，合同使用的语言文字为中文。专用术语应附有中文注释。</w:t>
      </w:r>
    </w:p>
    <w:p w14:paraId="4ED19C8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2.4法律</w:t>
      </w:r>
    </w:p>
    <w:p w14:paraId="74629FF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本合同适用于中华人民共和国法律、行政法规、部门规章，以及项目所在地的地方法律法规、条例、规章等。</w:t>
      </w:r>
    </w:p>
    <w:p w14:paraId="1019B01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2.5适用性</w:t>
      </w:r>
    </w:p>
    <w:p w14:paraId="06D43D2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本合同条款适用于没有被本合同其他部分的条款所取代的范围。</w:t>
      </w:r>
    </w:p>
    <w:p w14:paraId="66EF106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2.6标准</w:t>
      </w:r>
    </w:p>
    <w:p w14:paraId="4AD0DC4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2.6.1服务应符合合同约定的标准：如果没有提及适用标准，则应符合中华人民共和国国家标准或行业标准；如果中华人民共和国没有相关标准的，则采用国际标准或货物来源国适用的官方标准。这些标准必须是国际权威机构发布的最新版本。</w:t>
      </w:r>
    </w:p>
    <w:p w14:paraId="5D198BCD">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2.6.2乙方应向甲方提供有关标准的文本，如果有关标准的版本不是中文，乙方须免费向甲方提供中文译本，并对中文译本的正确性、完整性、准确性负责。</w:t>
      </w:r>
    </w:p>
    <w:p w14:paraId="67A11140">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2.6.3除非合同中另有规定，计量单位均采用中华人民共和国法定计量单位。</w:t>
      </w:r>
    </w:p>
    <w:p w14:paraId="294B0620">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3、合同价款</w:t>
      </w:r>
    </w:p>
    <w:p w14:paraId="1D430AA2">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3.1本合同采用 固定合同总价 形式：</w:t>
      </w:r>
    </w:p>
    <w:p w14:paraId="73A98F7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3.2 固定综合单价/固定合同总价包括但不限于                                 ，除此之外，甲方无需再支付任何费用。</w:t>
      </w:r>
    </w:p>
    <w:p w14:paraId="19D1141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3.3 在合同执行过程中，如遇增值税税率调整，均需重新计算含增值税价格，调整后的含增值税价格=原含增值税价格/（1+投标增值税税率）×（1+调整后的增值税税率），并以此作为结算依据，价格计算须在小数点后保留两位，第三位四舍五入。</w:t>
      </w:r>
    </w:p>
    <w:p w14:paraId="3CC761E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3.4合同价款为包干总价，该费用为乙方履行本合同能够取得的全部合同价款。除上述服务费用以外，甲方无需向乙方或任何第三人支付其他费用。 </w:t>
      </w:r>
    </w:p>
    <w:p w14:paraId="55DA5D9C">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4、服务要求</w:t>
      </w:r>
    </w:p>
    <w:p w14:paraId="1019BF8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4.1乙方应确保提供优质的服务，如果甲方对提供的服务不满意，可以要求乙方更换人员和增加或减少人员，乙方应予以接受。</w:t>
      </w:r>
    </w:p>
    <w:p w14:paraId="7D6A9022">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4.2人员配置及要求</w:t>
      </w:r>
    </w:p>
    <w:p w14:paraId="1A3A51D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1）甲方（采购人，下同）向乙方（供应商，下同）聘用特勤保安人员  人。提供服务后，除正常休假人员外，确保每日不缺岗。</w:t>
      </w:r>
    </w:p>
    <w:p w14:paraId="23E66B32">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2）乙方提供的保安人员要求：</w:t>
      </w:r>
    </w:p>
    <w:p w14:paraId="1CF4DAD7">
      <w:pPr>
        <w:keepNext w:val="0"/>
        <w:keepLines w:val="0"/>
        <w:pageBreakBefore w:val="0"/>
        <w:widowControl w:val="0"/>
        <w:kinsoku/>
        <w:wordWrap/>
        <w:overflowPunct/>
        <w:topLinePunct w:val="0"/>
        <w:bidi w:val="0"/>
        <w:adjustRightInd/>
        <w:snapToGrid/>
        <w:spacing w:line="360" w:lineRule="auto"/>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（1）特保人员须持证上岗，相关服务人员有较好的形象，男：身高（平均）在170cm及以上、40岁及以下。女：身高（平均）在160cm及以上、35岁及以下。特保人员应具备</w:t>
      </w:r>
      <w:r>
        <w:rPr>
          <w:rFonts w:hint="eastAsia" w:ascii="仿宋" w:hAnsi="仿宋" w:eastAsia="仿宋" w:cs="仿宋"/>
          <w:color w:val="auto"/>
          <w:kern w:val="0"/>
          <w:sz w:val="24"/>
          <w:lang w:val="en-US" w:eastAsia="zh-CN"/>
        </w:rPr>
        <w:t>大专</w:t>
      </w:r>
      <w:r>
        <w:rPr>
          <w:rFonts w:hint="eastAsia" w:ascii="仿宋" w:hAnsi="仿宋" w:eastAsia="仿宋" w:cs="仿宋"/>
          <w:color w:val="auto"/>
          <w:kern w:val="0"/>
          <w:sz w:val="24"/>
        </w:rPr>
        <w:t>及以上文化程度</w:t>
      </w:r>
      <w:r>
        <w:rPr>
          <w:rFonts w:hint="eastAsia" w:ascii="仿宋" w:hAnsi="仿宋" w:eastAsia="仿宋" w:cs="仿宋"/>
          <w:color w:val="auto"/>
          <w:kern w:val="0"/>
          <w:sz w:val="24"/>
          <w:lang w:eastAsia="zh-CN"/>
        </w:rPr>
        <w:t>（</w:t>
      </w:r>
      <w:r>
        <w:rPr>
          <w:rFonts w:hint="eastAsia" w:ascii="仿宋" w:hAnsi="仿宋" w:eastAsia="仿宋" w:cs="仿宋"/>
          <w:color w:val="auto"/>
          <w:sz w:val="24"/>
          <w:szCs w:val="24"/>
        </w:rPr>
        <w:t>警网协同</w:t>
      </w:r>
      <w:r>
        <w:rPr>
          <w:rFonts w:hint="eastAsia" w:ascii="仿宋" w:hAnsi="仿宋" w:eastAsia="仿宋" w:cs="仿宋"/>
          <w:color w:val="auto"/>
          <w:sz w:val="24"/>
          <w:szCs w:val="24"/>
          <w:lang w:eastAsia="zh-CN"/>
        </w:rPr>
        <w:t>协助岗</w:t>
      </w:r>
      <w:r>
        <w:rPr>
          <w:rFonts w:hint="eastAsia" w:ascii="仿宋" w:hAnsi="仿宋" w:eastAsia="仿宋" w:cs="仿宋"/>
          <w:color w:val="auto"/>
          <w:sz w:val="24"/>
          <w:szCs w:val="24"/>
          <w:lang w:val="en-US" w:eastAsia="zh-CN"/>
        </w:rPr>
        <w:t>可适当放宽要求至高中）</w:t>
      </w:r>
      <w:r>
        <w:rPr>
          <w:rFonts w:hint="eastAsia" w:ascii="仿宋" w:hAnsi="仿宋" w:eastAsia="仿宋" w:cs="仿宋"/>
          <w:color w:val="auto"/>
          <w:kern w:val="0"/>
          <w:sz w:val="24"/>
        </w:rPr>
        <w:t>，身体健康，没有传染病及精神疾病等不能控制自己行为能力的疾病病史，体貌端正、政治上可靠、没有犯罪记录；</w:t>
      </w:r>
    </w:p>
    <w:p w14:paraId="65F6A421">
      <w:pPr>
        <w:keepNext w:val="0"/>
        <w:keepLines w:val="0"/>
        <w:pageBreakBefore w:val="0"/>
        <w:widowControl w:val="0"/>
        <w:kinsoku/>
        <w:wordWrap/>
        <w:overflowPunct/>
        <w:topLinePunct w:val="0"/>
        <w:bidi w:val="0"/>
        <w:adjustRightInd/>
        <w:snapToGrid/>
        <w:spacing w:line="360" w:lineRule="auto"/>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（2）特保人员须有较好的语言、文字表达能力、执法、懂法、守法、依法办事、能独立履行岗位管理工作职能，退伍军人或从事保安工作的人员优先；</w:t>
      </w:r>
    </w:p>
    <w:p w14:paraId="6E88173D">
      <w:pPr>
        <w:keepNext w:val="0"/>
        <w:keepLines w:val="0"/>
        <w:pageBreakBefore w:val="0"/>
        <w:widowControl w:val="0"/>
        <w:kinsoku/>
        <w:wordWrap/>
        <w:overflowPunct/>
        <w:topLinePunct w:val="0"/>
        <w:bidi w:val="0"/>
        <w:adjustRightInd/>
        <w:snapToGrid/>
        <w:spacing w:line="360" w:lineRule="auto"/>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（3）特保人员须有吃苦耐劳的精神和高度的责任感，受过专门的岗前培训，熟知管理规定，严格履行岗位职责，善于发现各类问题，具备一定的管理经验和处理突发事件的能力；</w:t>
      </w:r>
    </w:p>
    <w:p w14:paraId="46571B96">
      <w:pPr>
        <w:keepNext w:val="0"/>
        <w:keepLines w:val="0"/>
        <w:pageBreakBefore w:val="0"/>
        <w:widowControl w:val="0"/>
        <w:kinsoku/>
        <w:wordWrap/>
        <w:overflowPunct/>
        <w:topLinePunct w:val="0"/>
        <w:bidi w:val="0"/>
        <w:adjustRightInd/>
        <w:snapToGrid/>
        <w:spacing w:line="360" w:lineRule="auto"/>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（4）特保从业人员上岗时应当着保安员服装，佩戴全国统一的保安服务标志。</w:t>
      </w:r>
    </w:p>
    <w:p w14:paraId="5F94AF3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3）在保安服务中，为履行保安服务职责，保安员可以采取下列措施：</w:t>
      </w:r>
    </w:p>
    <w:p w14:paraId="1E7274F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（1）在服务区域内进行巡逻、守护、安全检查、报警监控；</w:t>
      </w:r>
    </w:p>
    <w:p w14:paraId="43515662">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（2）协助派出所在公共场所对人员及其所携带的物品进行安全检查，维护公共秩序。</w:t>
      </w:r>
    </w:p>
    <w:p w14:paraId="53F0B5D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4）本合同服务期限自20  年  月  日至20  年  月   日</w:t>
      </w:r>
    </w:p>
    <w:p w14:paraId="1692EA5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5、支付</w:t>
      </w:r>
    </w:p>
    <w:p w14:paraId="2C14997D">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5.1</w:t>
      </w:r>
      <w:r>
        <w:rPr>
          <w:rFonts w:hint="eastAsia" w:ascii="仿宋" w:hAnsi="仿宋" w:eastAsia="仿宋" w:cs="仿宋"/>
          <w:color w:val="auto"/>
          <w:sz w:val="24"/>
          <w:highlight w:val="none"/>
        </w:rPr>
        <w:t xml:space="preserve"> 支付：本项目预付款为合同价的20%，每个季度支付合同价的15%</w:t>
      </w:r>
      <w:r>
        <w:rPr>
          <w:rFonts w:hint="eastAsia" w:ascii="仿宋" w:hAnsi="仿宋" w:eastAsia="仿宋" w:cs="仿宋"/>
          <w:color w:val="auto"/>
          <w:kern w:val="0"/>
          <w:sz w:val="24"/>
          <w:highlight w:val="none"/>
        </w:rPr>
        <w:t>服务费用（每季度次月15日前支付）。剩余20%费用待合同期满后的10个工作日内支付给乙方</w:t>
      </w:r>
      <w:r>
        <w:rPr>
          <w:rFonts w:hint="eastAsia" w:ascii="仿宋" w:hAnsi="仿宋" w:eastAsia="仿宋" w:cs="仿宋"/>
          <w:color w:val="auto"/>
          <w:sz w:val="24"/>
          <w:highlight w:val="none"/>
        </w:rPr>
        <w:t xml:space="preserve">。 </w:t>
      </w:r>
      <w:r>
        <w:rPr>
          <w:rFonts w:hint="eastAsia" w:ascii="仿宋" w:hAnsi="仿宋" w:eastAsia="仿宋" w:cs="仿宋"/>
          <w:color w:val="auto"/>
          <w:sz w:val="24"/>
        </w:rPr>
        <w:t xml:space="preserve"> </w:t>
      </w:r>
    </w:p>
    <w:p w14:paraId="78CBC8FC">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5.2甲方有权从应付价款、履约担保中扣除乙方应当承担的违约金、扣款等，如应付价款、履约担保不足以弥补甲方损失的，甲方有权向乙方继续追偿。</w:t>
      </w:r>
    </w:p>
    <w:p w14:paraId="5C2A241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5.3乙方开具增值税发票时，按下列开票信息开具发票：</w:t>
      </w:r>
    </w:p>
    <w:p w14:paraId="787CD0C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eastAsia="zh-CN"/>
        </w:rPr>
      </w:pPr>
      <w:r>
        <w:rPr>
          <w:rFonts w:hint="eastAsia" w:ascii="仿宋" w:hAnsi="仿宋" w:eastAsia="仿宋" w:cs="仿宋"/>
          <w:color w:val="auto"/>
          <w:sz w:val="24"/>
        </w:rPr>
        <w:t>6、履约担保</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选用</w:t>
      </w:r>
      <w:r>
        <w:rPr>
          <w:rFonts w:hint="eastAsia" w:ascii="仿宋" w:hAnsi="仿宋" w:eastAsia="仿宋" w:cs="仿宋"/>
          <w:color w:val="auto"/>
          <w:sz w:val="24"/>
          <w:lang w:eastAsia="zh-CN"/>
        </w:rPr>
        <w:t>）</w:t>
      </w:r>
    </w:p>
    <w:p w14:paraId="50BB8FB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6.1履约担保：乙方在签订合同前，向甲方提供符合招标文件规定格式与内容的履约担保，履约担保金额为签约合同价的1%，金额为人民币（大写）         元（¥   ）。</w:t>
      </w:r>
    </w:p>
    <w:p w14:paraId="7C12755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6.2履约担保须采用人民币，并采用下列方式之一提交：</w:t>
      </w:r>
    </w:p>
    <w:p w14:paraId="685A0830">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1）银行保函：国有或股份制商业银行一级支行以上分支机构出具的银行保函；</w:t>
      </w:r>
    </w:p>
    <w:p w14:paraId="3EAF389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2）保险机构保证保险保单；</w:t>
      </w:r>
    </w:p>
    <w:p w14:paraId="38D9EB9C">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3）融资担保公司保函；</w:t>
      </w:r>
    </w:p>
    <w:p w14:paraId="7D9E289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4295963">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6.3其他条款</w:t>
      </w:r>
    </w:p>
    <w:p w14:paraId="6DF69BD2">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7、双方权利和义务</w:t>
      </w:r>
    </w:p>
    <w:p w14:paraId="258DB613">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1）、甲方权利义务：</w:t>
      </w:r>
    </w:p>
    <w:p w14:paraId="15CB7310">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（1）在本合同履行中甲方有权根据实际需求对服务工作内容及岗位设置变化作相应调整，对乙方保安人员进行现场指挥和调度。</w:t>
      </w:r>
    </w:p>
    <w:p w14:paraId="670DA08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（2）指派专人负责监督乙方的管理服务，每日检查管理服务质量并对不合格情况进行依据本合同约定的处罚；有权根据实际情况提出修改意见，乙方应遵守。</w:t>
      </w:r>
    </w:p>
    <w:p w14:paraId="4AB31B93">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（3）甲方有权对乙方选派的保安人员进行检查考评，对不合格人员，有权要求乙方调换。</w:t>
      </w:r>
    </w:p>
    <w:p w14:paraId="49721A6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（4）按本合同有关约定按时向乙方支付本合同项下的服务费用。</w:t>
      </w:r>
    </w:p>
    <w:p w14:paraId="41DE24A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2）、乙方权利义务：</w:t>
      </w:r>
    </w:p>
    <w:p w14:paraId="08B8D379">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（1）乙方应严格按照服务标准及本合同的其他约定对本项目进行服务；不得以任何形式分包、转包给第三方，否则甲方有权立即终止本合同，乙方应就此承担违约责任，赔偿造成甲方的一切损失。</w:t>
      </w:r>
    </w:p>
    <w:p w14:paraId="1DA49AC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（2）乙方保安人员进驻本项目执勤后，严格执行甲方有关规章制度，做到遵纪守法，接受甲方有关领导和群众监督、衣着整洁、礼貌待人、认真负责。</w:t>
      </w:r>
    </w:p>
    <w:p w14:paraId="3F70B738">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（3）选派一名保安队长具体安排、全面督导每日服务工作，巡检（自检和参与甲方检查）现场值勤情况，及时做好工作记录，及时处理有关投诉，并做好与甲方人员的日常工作联系。</w:t>
      </w:r>
    </w:p>
    <w:p w14:paraId="2AD3361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（4）甲方组织和举办活动时有权随时要求乙方调整服务计划，采取相应措施做好服务工作，乙方应按甲方的要求立即执行。</w:t>
      </w:r>
    </w:p>
    <w:p w14:paraId="6D9FB56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（5）若甲方要求乙方进行人员更换的，则乙方应在5日内更换，否则，每延迟一日，甲方有权扣除相当于当月服务费用8‰。延迟超过10日，甲方有权扣除当月所有费用。</w:t>
      </w:r>
    </w:p>
    <w:p w14:paraId="30C08FD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（6）乙方每月不少于两次派出一名高层管理人员到本项目检查、指导服务情况，征询甲方意见，对甲方合理之建议应予采纳并按照甲方要求的时限内实施完毕，不断提升服务质量。</w:t>
      </w:r>
    </w:p>
    <w:p w14:paraId="5C3D5A00">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7）乙方保安人员在工作期间发生工伤事故全部费用由乙方承担，乙方用工应签订劳动协议且该劳动合同在本合同履行期间均合法存续，并办理各种合法用工手续；甲方除按照本合同约定向乙方支付服务费用以外，不代乙方承担任何劳动合同项下的义务。乙方保安人员在为甲方服务期间产生的一切劳动纠纷，均有乙方自行负责处理，与甲方无关，且乙方处理此等纠纷不应影响本合同的正常履行。</w:t>
      </w:r>
    </w:p>
    <w:p w14:paraId="1898A385">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（8）在本合同履行期间，若乙方原因造成甲方、任何第三方人身和财产损害的，乙方应承担全部责任。</w:t>
      </w:r>
    </w:p>
    <w:p w14:paraId="766C42A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（9）乙方公司派驻本项目的保安人员，应身着统一工作服，并保证着装的整洁卫生。保安服乙方按要求配置。</w:t>
      </w:r>
    </w:p>
    <w:p w14:paraId="1B292C3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（10）乙方派驻本项目的保安人员，工作时间内不得随意离开工作岗位。乙方主管人员离开和调整均需征得甲方同意、认可。乙方的保安人员应接受甲方管理人员的监督和考核。</w:t>
      </w:r>
    </w:p>
    <w:p w14:paraId="7F221C4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（11）乙方派驻本项目的保安人员不得有下列行为：</w:t>
      </w:r>
    </w:p>
    <w:p w14:paraId="5AE58F4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a）限制他人人身自由、搜查他人身体或者侮辱、殴打他人；</w:t>
      </w:r>
    </w:p>
    <w:p w14:paraId="060C784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b）扣押、没收他人证件、财物；</w:t>
      </w:r>
    </w:p>
    <w:p w14:paraId="0176BC6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c）阻碍依法执行公务；</w:t>
      </w:r>
    </w:p>
    <w:p w14:paraId="601D7E7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d）参与追索债务、采用暴力或者以暴力相威胁的手段处置纠纷；</w:t>
      </w:r>
    </w:p>
    <w:p w14:paraId="2A4FCD3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e）删改或者扩散保安服务中形成的监控影像资料、报警记录；</w:t>
      </w:r>
    </w:p>
    <w:p w14:paraId="2A16BE1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f）侵犯个人隐私或者泄露在保安服务中获知的国家秘密、商业秘密以及客户单位明确要求保密的信息；</w:t>
      </w:r>
    </w:p>
    <w:p w14:paraId="0CAC7FEC">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g）违反法律、行政法规的其他行为。</w:t>
      </w:r>
    </w:p>
    <w:p w14:paraId="78A804A5">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（12）遇有紧急情况及突发事件时，乙方有责任在最短的时间内配合甲方提供充足的人员，并应无条件听从甲方现场工作人员调遣。</w:t>
      </w:r>
    </w:p>
    <w:p w14:paraId="62861A49">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8、保险</w:t>
      </w:r>
    </w:p>
    <w:p w14:paraId="1C04A14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8.1乙方从事本项目应进行的一切保险（包括但不限于对雇员的保险）由乙方自理，并处理与之有关的所有保险索赔及其他一切事项。</w:t>
      </w:r>
    </w:p>
    <w:p w14:paraId="59B8D9E0">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8.2所需的全部保险费均已包含在合同价中，甲方不另行支付。</w:t>
      </w:r>
    </w:p>
    <w:p w14:paraId="45C8B9E3">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9、违约责任及处理 </w:t>
      </w:r>
    </w:p>
    <w:p w14:paraId="7B0A489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9.1因乙方原因引起的服务缺陷和造成甲方的损失，甲方有权要求乙方赔偿。因乙方原因引起的第三方人身财产损失，若乙方拒不赔偿或第三方直接向甲方追索赔偿，在甲方向受损方赔付以后，有权在当期向乙方支付的服务费用中扣除，不足部分仍有权向乙方追偿。</w:t>
      </w:r>
    </w:p>
    <w:p w14:paraId="6835CA0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9.2本合同履行期间，若甲乙双方无合同依据单方终止本合同，则应向守约方支付2个月的管理服务费用作为违约金。</w:t>
      </w:r>
    </w:p>
    <w:p w14:paraId="2127619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9.3检查考核及违约金扣除细则</w:t>
      </w:r>
    </w:p>
    <w:p w14:paraId="3676629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（1）甲方按本合同约定的标准对乙方服务质量进行月评，如每月检查考评不合格，乙方每次应向甲方支付月管理服务费的5%作为违约金；</w:t>
      </w:r>
    </w:p>
    <w:p w14:paraId="1C7815D2">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（2）甲方每发现一次乙方员工行为规范及仪容仪表不符合约定标准的，甲方扣除乙方50元/次的服务费用；</w:t>
      </w:r>
    </w:p>
    <w:p w14:paraId="2F82C75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（3）出现3次月评不合格情况后，甲方有权终止本合同，且无须承担任何违约责任。</w:t>
      </w:r>
    </w:p>
    <w:p w14:paraId="1A53C773">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9.4无论任何原因导致协议解除的，乙方应一个月之内移交服务档案和相关手续文件，且撤走全部人员和设备。否则，每滞留一日，则应按本合同服务费总额的5‰作为违约金。</w:t>
      </w:r>
    </w:p>
    <w:p w14:paraId="66BCB80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9.5如乙方未履行本合同项下的义务或违反本合同的约定造成甲方或其职员及他人财产和人身损害的，应由乙方自行承担全部损失。</w:t>
      </w:r>
    </w:p>
    <w:p w14:paraId="61DE41A2">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9.6本合同项下所有因乙方违约造成甲方损失或乙方应承担的违约责任，甲方有权从应付乙方的任何一笔款项中直接扣除。</w:t>
      </w:r>
    </w:p>
    <w:p w14:paraId="629CB6E2">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9.7本合同项下违约方应赔偿的损失包括守约方的直接损失和间接损失，包括但不限于守约方向第三方承担的赔偿责任、诉讼费、仲裁费、律师费、鉴定费等因违约而发生的费用支出。</w:t>
      </w:r>
    </w:p>
    <w:p w14:paraId="7A77E93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10、侵权和保密</w:t>
      </w:r>
    </w:p>
    <w:p w14:paraId="031ABEB8">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10.1乙方应保证甲方免受第三方因乙方服务存在的瑕疵而提出的侵权诉讼及索赔。任何第三方如果提出侵权指控，乙方须与第三方交涉并承担由此而引起的一切法律责任和费用。</w:t>
      </w:r>
    </w:p>
    <w:p w14:paraId="4EAC77D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10.2未经甲方事先书面同意，乙方不得以任何形式将本合同内容（包括但不限于合同条款、各种资料成果等）提供给与履行本合同无关的任何第三方。若乙方违反本款约定，并因此产生法律纠纷，则由乙方承担全部责任。</w:t>
      </w:r>
    </w:p>
    <w:p w14:paraId="717DC31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11、合同变更或终止</w:t>
      </w:r>
    </w:p>
    <w:p w14:paraId="183312B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11.1除非甲方书面提出，乙方不得对合同进行任何变更。</w:t>
      </w:r>
    </w:p>
    <w:p w14:paraId="46D3C465">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110.2本合同一经签订，甲乙双方不得擅自中止或终止合同。</w:t>
      </w:r>
    </w:p>
    <w:p w14:paraId="2A86579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11.3如果乙方破产或明确表示实际无能力继续为甲方提供服务，甲方可在任何时候以书面形式通知乙方，提出终止合同而不给乙方补偿，并没收乙方的履约担保。该终止合同将不损害或影响甲方已经采取或将要采取的任何行动或补救措施的权力，且甲方不承担任何费用。</w:t>
      </w:r>
    </w:p>
    <w:p w14:paraId="14BC8A0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12、转让和分包</w:t>
      </w:r>
    </w:p>
    <w:p w14:paraId="05C8D84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12.1乙方不得擅自部分或全部转让（分包）其应履行的合同义务，如甲方发现乙方有转让（分包）的行为，甲方有权中止或终止合同，由此所造成的损失由乙方承担。</w:t>
      </w:r>
    </w:p>
    <w:p w14:paraId="1DB4C73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13、不可抗力</w:t>
      </w:r>
    </w:p>
    <w:p w14:paraId="2D474C0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13.1除非合同另有约定，不可抗力是指甲乙双方都不可预见、不可避免、不能克服的超出认识控制和防范能力的事件，不可抗力可以包括（但不限于）下列情况：</w:t>
      </w:r>
    </w:p>
    <w:p w14:paraId="1C0BFED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（1）战争、敌对行动（不论宣战与否）、入侵、外敌行动；</w:t>
      </w:r>
    </w:p>
    <w:p w14:paraId="24DE1A2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（2）叛乱、革命、暴动或军事政变或内战；</w:t>
      </w:r>
    </w:p>
    <w:p w14:paraId="2C331F03">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（3）暴乱、骚乱或混乱，但对于局限在卖方和卖方雇佣人员内部并且是由于从事本项目而发生的事件除外；</w:t>
      </w:r>
    </w:p>
    <w:p w14:paraId="099C27F5">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（4）核裂变、核聚变、核武器、核材料、核辐射及放射性污染；</w:t>
      </w:r>
    </w:p>
    <w:p w14:paraId="74E6592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（5）以音速或超音速飞行的飞机或其他飞行装置产生的压力波，飞行器坠落；</w:t>
      </w:r>
    </w:p>
    <w:p w14:paraId="7846AE80">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（6）自然灾害（地震、洪水、海啸、飓风、台风、火山活动等）。</w:t>
      </w:r>
    </w:p>
    <w:p w14:paraId="52E540E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13.2如果发生不可抗力因素，致使本协议不能如期履行时，本协议应自动顺延履行，且双方不被视为违约，但双方应尽一切努力终止或减少上述因素的影响。上述因素一旦消失，双方应立即采取措施继续履行本协议。</w:t>
      </w:r>
    </w:p>
    <w:p w14:paraId="1B55521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14、争议解决</w:t>
      </w:r>
    </w:p>
    <w:p w14:paraId="2765779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因履行本合同引起的或与本合同有关的争议，甲乙双方应通过协商或调解解决，如果协商不成的，任何一方可按下述第       种方式解决：</w:t>
      </w:r>
    </w:p>
    <w:p w14:paraId="66E4DF53">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1）提交杭州仲裁委员会仲裁。</w:t>
      </w:r>
    </w:p>
    <w:p w14:paraId="1428DF70">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2）依法向甲方所在地人民法院起诉。</w:t>
      </w:r>
    </w:p>
    <w:p w14:paraId="746CFA6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15、其他（若有）</w:t>
      </w:r>
    </w:p>
    <w:p w14:paraId="71DB1EAC">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1)．未经过甲方的书面同意，乙方不得转让其应履行的合同项下的义务，和将部分合同项下的义务分包给其他单位完成。</w:t>
      </w:r>
    </w:p>
    <w:p w14:paraId="165CF92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2)．乙方人员在甲方场地工作时，应遵守甲方相关规章、制度。</w:t>
      </w:r>
    </w:p>
    <w:p w14:paraId="6ED9787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3)．本合同任何一方给另一方的通知，都应以书面或电传/传真/电报的形式发送，而另一方应以书面形式确认并发送到对方明确的地址。</w:t>
      </w:r>
    </w:p>
    <w:p w14:paraId="7455324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4)．合同履行期内甲乙双方均不得随意变更或解除合同。合同若有未尽事宜，需经双方共同协商，订立补充协议，补充协议与本合同有同等法律效力。</w:t>
      </w:r>
    </w:p>
    <w:p w14:paraId="1BAB8C79">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5)．本合同一式份，甲方执份、乙方执份。</w:t>
      </w:r>
    </w:p>
    <w:p w14:paraId="600F0E6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6)．适用法律：本合同应按照中华人民共和国的法律进行解释。</w:t>
      </w:r>
    </w:p>
    <w:p w14:paraId="3167ADE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附件1：</w:t>
      </w:r>
    </w:p>
    <w:p w14:paraId="5F1FC6E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附件2：</w:t>
      </w:r>
      <w:r>
        <w:rPr>
          <w:rFonts w:hint="eastAsia" w:ascii="仿宋" w:hAnsi="仿宋" w:eastAsia="仿宋" w:cs="仿宋"/>
          <w:color w:val="auto"/>
          <w:sz w:val="24"/>
        </w:rPr>
        <w:tab/>
      </w:r>
    </w:p>
    <w:p w14:paraId="35F5992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p>
    <w:p w14:paraId="7EAB47A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zh-CN"/>
        </w:rPr>
        <w:t>甲方</w:t>
      </w:r>
      <w:r>
        <w:rPr>
          <w:rFonts w:hint="eastAsia" w:ascii="仿宋" w:hAnsi="仿宋" w:eastAsia="仿宋" w:cs="仿宋"/>
          <w:color w:val="auto"/>
          <w:sz w:val="24"/>
        </w:rPr>
        <w:t xml:space="preserve">：                                   </w:t>
      </w:r>
      <w:r>
        <w:rPr>
          <w:rFonts w:hint="eastAsia" w:ascii="仿宋" w:hAnsi="仿宋" w:eastAsia="仿宋" w:cs="仿宋"/>
          <w:color w:val="auto"/>
          <w:sz w:val="24"/>
          <w:lang w:val="zh-CN"/>
        </w:rPr>
        <w:t>乙方</w:t>
      </w:r>
      <w:r>
        <w:rPr>
          <w:rFonts w:hint="eastAsia" w:ascii="仿宋" w:hAnsi="仿宋" w:eastAsia="仿宋" w:cs="仿宋"/>
          <w:color w:val="auto"/>
          <w:sz w:val="24"/>
        </w:rPr>
        <w:t>：</w:t>
      </w:r>
    </w:p>
    <w:p w14:paraId="1F705802">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44F27965">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p>
    <w:p w14:paraId="5EDA0DEC">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17DAED3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14:paraId="60609C5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14:paraId="0EE35B7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18E87F1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0EFB2C5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200288B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1A2DB53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596CEAC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38E73A6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2FB6FF1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79DD315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31C8A25D">
      <w:pPr>
        <w:spacing w:line="360" w:lineRule="auto"/>
        <w:ind w:left="-420" w:leftChars="-200" w:right="-420" w:rightChars="-200" w:firstLine="480" w:firstLineChars="200"/>
        <w:jc w:val="center"/>
        <w:outlineLvl w:val="0"/>
        <w:rPr>
          <w:rFonts w:cs="宋体" w:asciiTheme="minorEastAsia" w:hAnsiTheme="minorEastAsia" w:eastAsiaTheme="minorEastAsia"/>
          <w:color w:val="auto"/>
          <w:sz w:val="24"/>
        </w:rPr>
      </w:pPr>
    </w:p>
    <w:p w14:paraId="6C164092">
      <w:pPr>
        <w:widowControl/>
        <w:adjustRightInd/>
        <w:jc w:val="left"/>
        <w:rPr>
          <w:rFonts w:cs="宋体" w:asciiTheme="minorEastAsia" w:hAnsiTheme="minorEastAsia" w:eastAsiaTheme="minorEastAsia"/>
          <w:b/>
          <w:color w:val="auto"/>
          <w:sz w:val="36"/>
          <w:szCs w:val="20"/>
        </w:rPr>
      </w:pPr>
      <w:r>
        <w:rPr>
          <w:rFonts w:cs="宋体" w:asciiTheme="minorEastAsia" w:hAnsiTheme="minorEastAsia" w:eastAsiaTheme="minorEastAsia"/>
          <w:b/>
          <w:color w:val="auto"/>
          <w:sz w:val="36"/>
          <w:szCs w:val="20"/>
        </w:rPr>
        <w:br w:type="page"/>
      </w:r>
    </w:p>
    <w:p w14:paraId="4D04A0C0">
      <w:pPr>
        <w:pStyle w:val="25"/>
        <w:ind w:left="0" w:leftChars="0" w:firstLine="0" w:firstLineChars="0"/>
        <w:jc w:val="center"/>
        <w:rPr>
          <w:rFonts w:hint="eastAsia" w:ascii="仿宋" w:hAnsi="仿宋" w:eastAsia="仿宋" w:cs="仿宋"/>
          <w:snapToGrid/>
          <w:color w:val="auto"/>
          <w:kern w:val="2"/>
          <w:sz w:val="24"/>
          <w:szCs w:val="24"/>
          <w:highlight w:val="none"/>
          <w:lang w:eastAsia="zh-CN"/>
        </w:rPr>
      </w:pPr>
      <w:r>
        <w:rPr>
          <w:rFonts w:hint="eastAsia" w:ascii="仿宋" w:hAnsi="仿宋" w:eastAsia="仿宋" w:cs="仿宋"/>
          <w:b/>
          <w:bCs/>
          <w:snapToGrid/>
          <w:color w:val="auto"/>
          <w:kern w:val="2"/>
          <w:sz w:val="24"/>
          <w:szCs w:val="24"/>
          <w:highlight w:val="none"/>
          <w:lang w:val="en-US" w:eastAsia="zh-CN"/>
        </w:rPr>
        <w:t>标项二：</w:t>
      </w:r>
      <w:r>
        <w:rPr>
          <w:rFonts w:hint="eastAsia" w:ascii="仿宋" w:hAnsi="仿宋" w:eastAsia="仿宋" w:cs="仿宋"/>
          <w:snapToGrid/>
          <w:color w:val="auto"/>
          <w:kern w:val="2"/>
          <w:sz w:val="24"/>
          <w:szCs w:val="24"/>
          <w:highlight w:val="none"/>
          <w:lang w:eastAsia="zh-CN"/>
        </w:rPr>
        <w:t>潮鸣街道2025年社会面治安防控协助项目</w:t>
      </w:r>
    </w:p>
    <w:p w14:paraId="5BFA92F2">
      <w:pPr>
        <w:pStyle w:val="25"/>
        <w:ind w:left="0" w:leftChars="0" w:firstLine="0" w:firstLineChars="0"/>
        <w:jc w:val="cente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3AEA3C00">
      <w:pPr>
        <w:spacing w:line="480" w:lineRule="auto"/>
        <w:jc w:val="center"/>
        <w:rPr>
          <w:rFonts w:hint="eastAsia" w:ascii="仿宋" w:hAnsi="仿宋" w:eastAsia="仿宋" w:cs="仿宋"/>
          <w:b/>
          <w:color w:val="auto"/>
          <w:sz w:val="28"/>
          <w:szCs w:val="28"/>
        </w:rPr>
      </w:pPr>
    </w:p>
    <w:p w14:paraId="1E48EA60">
      <w:pPr>
        <w:spacing w:line="480" w:lineRule="auto"/>
        <w:jc w:val="center"/>
        <w:rPr>
          <w:rFonts w:hint="eastAsia" w:ascii="仿宋" w:hAnsi="仿宋" w:eastAsia="仿宋" w:cs="仿宋"/>
          <w:b/>
          <w:color w:val="auto"/>
          <w:sz w:val="24"/>
        </w:rPr>
      </w:pPr>
    </w:p>
    <w:p w14:paraId="4AE21EF3">
      <w:pPr>
        <w:spacing w:line="480" w:lineRule="auto"/>
        <w:jc w:val="center"/>
        <w:rPr>
          <w:rFonts w:hint="eastAsia" w:ascii="仿宋" w:hAnsi="仿宋" w:eastAsia="仿宋" w:cs="仿宋"/>
          <w:b/>
          <w:color w:val="auto"/>
          <w:sz w:val="24"/>
        </w:rPr>
      </w:pPr>
    </w:p>
    <w:p w14:paraId="3D6D2CBD">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4185D533">
      <w:pPr>
        <w:pStyle w:val="25"/>
        <w:spacing w:before="120"/>
        <w:rPr>
          <w:rFonts w:hint="eastAsia" w:ascii="仿宋" w:hAnsi="仿宋" w:eastAsia="仿宋" w:cs="仿宋"/>
          <w:color w:val="auto"/>
          <w:szCs w:val="24"/>
        </w:rPr>
      </w:pPr>
    </w:p>
    <w:p w14:paraId="44768B7C">
      <w:pPr>
        <w:pStyle w:val="25"/>
        <w:spacing w:before="120"/>
        <w:jc w:val="center"/>
        <w:rPr>
          <w:rFonts w:hint="eastAsia" w:ascii="仿宋" w:hAnsi="仿宋" w:eastAsia="仿宋" w:cs="仿宋"/>
          <w:color w:val="auto"/>
          <w:szCs w:val="24"/>
        </w:rPr>
      </w:pPr>
    </w:p>
    <w:p w14:paraId="068B8BD3">
      <w:pPr>
        <w:pStyle w:val="25"/>
        <w:spacing w:before="120"/>
        <w:rPr>
          <w:rFonts w:hint="eastAsia" w:ascii="仿宋" w:hAnsi="仿宋" w:eastAsia="仿宋" w:cs="仿宋"/>
          <w:color w:val="auto"/>
          <w:szCs w:val="24"/>
        </w:rPr>
      </w:pPr>
    </w:p>
    <w:p w14:paraId="3B152D5D">
      <w:pPr>
        <w:pStyle w:val="25"/>
        <w:spacing w:before="120"/>
        <w:rPr>
          <w:rFonts w:hint="eastAsia" w:ascii="仿宋" w:hAnsi="仿宋" w:eastAsia="仿宋" w:cs="仿宋"/>
          <w:color w:val="auto"/>
          <w:szCs w:val="24"/>
        </w:rPr>
      </w:pPr>
    </w:p>
    <w:p w14:paraId="1F434CF1">
      <w:pPr>
        <w:spacing w:before="120" w:line="22" w:lineRule="atLeast"/>
        <w:rPr>
          <w:rFonts w:hint="eastAsia" w:ascii="仿宋" w:hAnsi="仿宋" w:eastAsia="仿宋" w:cs="仿宋"/>
          <w:color w:val="auto"/>
          <w:sz w:val="24"/>
        </w:rPr>
      </w:pPr>
    </w:p>
    <w:p w14:paraId="28E4A422">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4BD1014D">
      <w:pPr>
        <w:pStyle w:val="30"/>
        <w:spacing w:before="120" w:line="22" w:lineRule="atLeast"/>
        <w:rPr>
          <w:rFonts w:hint="eastAsia" w:ascii="仿宋" w:hAnsi="仿宋" w:eastAsia="仿宋" w:cs="仿宋"/>
          <w:color w:val="auto"/>
          <w:szCs w:val="24"/>
        </w:rPr>
      </w:pPr>
    </w:p>
    <w:p w14:paraId="19A06EFE">
      <w:pPr>
        <w:pStyle w:val="30"/>
        <w:spacing w:before="120" w:line="22" w:lineRule="atLeast"/>
        <w:rPr>
          <w:rFonts w:hint="eastAsia" w:ascii="仿宋" w:hAnsi="仿宋" w:eastAsia="仿宋" w:cs="仿宋"/>
          <w:color w:val="auto"/>
          <w:szCs w:val="24"/>
        </w:rPr>
      </w:pPr>
    </w:p>
    <w:p w14:paraId="6BC62153">
      <w:pPr>
        <w:rPr>
          <w:rFonts w:hint="eastAsia" w:ascii="仿宋" w:hAnsi="仿宋" w:eastAsia="仿宋" w:cs="仿宋"/>
          <w:color w:val="auto"/>
          <w:sz w:val="24"/>
        </w:rPr>
      </w:pPr>
    </w:p>
    <w:p w14:paraId="1DAE881D">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2D40C0BE">
      <w:pPr>
        <w:spacing w:before="120" w:line="22" w:lineRule="atLeast"/>
        <w:rPr>
          <w:rFonts w:hint="eastAsia" w:ascii="仿宋" w:hAnsi="仿宋" w:eastAsia="仿宋" w:cs="仿宋"/>
          <w:color w:val="auto"/>
          <w:sz w:val="24"/>
        </w:rPr>
      </w:pPr>
    </w:p>
    <w:p w14:paraId="1E962BEC">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79E63AF4">
      <w:pPr>
        <w:spacing w:before="120" w:line="22" w:lineRule="atLeast"/>
        <w:rPr>
          <w:rFonts w:hint="eastAsia" w:ascii="仿宋" w:hAnsi="仿宋" w:eastAsia="仿宋" w:cs="仿宋"/>
          <w:color w:val="auto"/>
          <w:sz w:val="24"/>
        </w:rPr>
      </w:pPr>
    </w:p>
    <w:p w14:paraId="052AD19F">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3BD9118F">
      <w:pPr>
        <w:spacing w:before="120" w:line="22" w:lineRule="atLeast"/>
        <w:rPr>
          <w:rFonts w:hint="eastAsia" w:ascii="仿宋" w:hAnsi="仿宋" w:eastAsia="仿宋" w:cs="仿宋"/>
          <w:color w:val="auto"/>
          <w:sz w:val="24"/>
        </w:rPr>
      </w:pPr>
    </w:p>
    <w:p w14:paraId="0EA5B46B">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15CE70B0">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14:paraId="3EE7B34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w:t>
      </w:r>
      <w:r>
        <w:rPr>
          <w:rFonts w:hint="eastAsia" w:ascii="仿宋" w:hAnsi="仿宋" w:eastAsia="仿宋" w:cs="仿宋"/>
          <w:color w:val="auto"/>
          <w:sz w:val="24"/>
        </w:rPr>
        <w:t>为该项目中标供应商。现于中标通知书发出之日起三十日内，按照采购文件确定的事项签订本合同。</w:t>
      </w:r>
    </w:p>
    <w:p w14:paraId="26731EC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32BED907">
      <w:pPr>
        <w:keepNext w:val="0"/>
        <w:keepLines w:val="0"/>
        <w:pageBreakBefore w:val="0"/>
        <w:widowControl w:val="0"/>
        <w:kinsoku/>
        <w:wordWrap/>
        <w:overflowPunct/>
        <w:topLinePunct w:val="0"/>
        <w:bidi w:val="0"/>
        <w:snapToGrid/>
        <w:spacing w:line="360" w:lineRule="auto"/>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1、合同组成部分</w:t>
      </w:r>
    </w:p>
    <w:p w14:paraId="1EA78A7A">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342C4D">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1.1本合同及其补充合同、变更协议；</w:t>
      </w:r>
    </w:p>
    <w:p w14:paraId="6A895B81">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1.2 中标通知书；</w:t>
      </w:r>
    </w:p>
    <w:p w14:paraId="1A8586D8">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1.3 投标文件（含澄清或者说明文件）；</w:t>
      </w:r>
    </w:p>
    <w:p w14:paraId="57C65F32">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1.4 招标文件（含澄清或者修改文件）；</w:t>
      </w:r>
    </w:p>
    <w:p w14:paraId="2CBBCE61">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1.5 其他相关采购文件。</w:t>
      </w:r>
    </w:p>
    <w:p w14:paraId="7F2D1B9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2、一般约定</w:t>
      </w:r>
    </w:p>
    <w:p w14:paraId="511C5C15">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2.1词语定义</w:t>
      </w:r>
    </w:p>
    <w:p w14:paraId="0DE22C29">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2.1.1“合同”或称“合同书”系指甲乙双方达成并签署的协议，包括合同协议书、合同条款及构成合同的所有文件。</w:t>
      </w:r>
    </w:p>
    <w:p w14:paraId="00E25622">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2.1.2“签约合同价”指甲方和乙方在合同协议书中约定的（①暂定总金额；②总金额）。</w:t>
      </w:r>
    </w:p>
    <w:p w14:paraId="17BA838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2.1.3“合同价格”系指根据合同规定乙方在正确、及时地完全履行合同义务后甲方应支付给乙方的价格。</w:t>
      </w:r>
    </w:p>
    <w:p w14:paraId="450544E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2.1.4“服务”系指合同规定乙方提供                 服务以及其他类似的义务。</w:t>
      </w:r>
    </w:p>
    <w:p w14:paraId="17A5A7F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2.1.5“价格清单”是指投标文件中规定的投标报价表，或其中任何部分或单个的价格表。</w:t>
      </w:r>
    </w:p>
    <w:p w14:paraId="0EAD0C09">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2.1.6“甲方”系指                       。</w:t>
      </w:r>
    </w:p>
    <w:p w14:paraId="5DECBB3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2.1.7“乙方”系指                       。</w:t>
      </w:r>
    </w:p>
    <w:p w14:paraId="59180B4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2.1.8“双方”系指甲方和乙方。</w:t>
      </w:r>
    </w:p>
    <w:p w14:paraId="2514E86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2.1.9“不可抗力”系指合同条款第13条赋予的含义。</w:t>
      </w:r>
    </w:p>
    <w:p w14:paraId="640CCF5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2.1.10“验收”系指甲方依据技术标准规定接受合同相关服务所依据的程序和条件。</w:t>
      </w:r>
    </w:p>
    <w:p w14:paraId="2B899CA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2.1.11“天”、“日”系指公历日。</w:t>
      </w:r>
    </w:p>
    <w:p w14:paraId="5E54CAA5">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2.1.12“周”系指7个公历日。</w:t>
      </w:r>
    </w:p>
    <w:p w14:paraId="2195F3F5">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2.1.13“现场”系指服务进行的地点。</w:t>
      </w:r>
    </w:p>
    <w:p w14:paraId="73763FF5">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2.1.14“固定综合单价”/“固定合同总价”系指该部分服务的综合单价/合同总价是固定不变的。</w:t>
      </w:r>
    </w:p>
    <w:p w14:paraId="635AABC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2.2解释</w:t>
      </w:r>
    </w:p>
    <w:p w14:paraId="391A2E53">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2.2.1除非文件另作要求，凡提及一方、对方或各方，均包括其合法继承人。</w:t>
      </w:r>
    </w:p>
    <w:p w14:paraId="270AC48D">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2.2.2凡合同中规定通讯是“书面的”或“用书面形式”，这是指任何手写的、打印的或印刷的通讯，包括但不限于电报、电传和传真发送。</w:t>
      </w:r>
    </w:p>
    <w:p w14:paraId="1EE252E0">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2.2.3凡合同规定任何人发出通知、同意、批准或确认时，该通知、同意、批准或确认不得被无故扣押，除非另有规定；该通知、同意、批准或确认应是书面形式。</w:t>
      </w:r>
    </w:p>
    <w:p w14:paraId="7B8B985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2.3语言文字</w:t>
      </w:r>
    </w:p>
    <w:p w14:paraId="5E3BE5A9">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除专用术语外，合同使用的语言文字为中文。专用术语应附有中文注释。</w:t>
      </w:r>
    </w:p>
    <w:p w14:paraId="50AEB1F5">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2.4法律</w:t>
      </w:r>
    </w:p>
    <w:p w14:paraId="58BCA0B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本合同适用于中华人民共和国法律、行政法规、部门规章，以及项目所在地的地方法律法规、条例、规章等。</w:t>
      </w:r>
    </w:p>
    <w:p w14:paraId="1FC14D8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2.5适用性</w:t>
      </w:r>
    </w:p>
    <w:p w14:paraId="0E3A9E3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本合同条款适用于没有被本合同其他部分的条款所取代的范围。</w:t>
      </w:r>
    </w:p>
    <w:p w14:paraId="00C2EE7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2.6标准</w:t>
      </w:r>
    </w:p>
    <w:p w14:paraId="19038A92">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2.6.1服务应符合合同约定的标准：如果没有提及适用标准，则应符合中华人民共和国国家标准或行业标准；如果中华人民共和国没有相关标准的，则采用国际标准或货物来源国适用的官方标准。这些标准必须是国际权威机构发布的最新版本。</w:t>
      </w:r>
    </w:p>
    <w:p w14:paraId="61E8F28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2.6.2乙方应向甲方提供有关标准的文本，如果有关标准的版本不是中文，乙方须免费向甲方提供中文译本，并对中文译本的正确性、完整性、准确性负责。</w:t>
      </w:r>
    </w:p>
    <w:p w14:paraId="5E29368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2.6.3除非合同中另有规定，计量单位均采用中华人民共和国法定计量单位。</w:t>
      </w:r>
    </w:p>
    <w:p w14:paraId="16A5EEF5">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3、合同价款</w:t>
      </w:r>
    </w:p>
    <w:p w14:paraId="63E2783D">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3.1本合同采用 固定合同总价 形式：</w:t>
      </w:r>
    </w:p>
    <w:p w14:paraId="711568FC">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3.2 固定综合单价/固定合同总价包括但不限于                                 ，除此之外，甲方无需再支付任何费用。</w:t>
      </w:r>
    </w:p>
    <w:p w14:paraId="48FF1CF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3.3 在合同执行过程中，如遇增值税税率调整，均需重新计算含增值税价格，调整后的含增值税价格=原含增值税价格/（1+投标增值税税率）×（1+调整后的增值税税率），并以此作为结算依据，价格计算须在小数点后保留两位，第三位四舍五入。</w:t>
      </w:r>
    </w:p>
    <w:p w14:paraId="5BC0941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3.4合同价款为包干总价，该费用为乙方履行本合同能够取得的全部合同价款。除上述服务费用以外，甲方无需向乙方或任何第三人支付其他费用。 </w:t>
      </w:r>
    </w:p>
    <w:p w14:paraId="1BBD4529">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4、服务要求</w:t>
      </w:r>
    </w:p>
    <w:p w14:paraId="0B54E85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4.1乙方应确保提供优质的服务，如果甲方对提供的服务不满意，可以要求乙方更换人员和增加或减少人员，乙方应予以接受。</w:t>
      </w:r>
    </w:p>
    <w:p w14:paraId="2B5D7E9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4.2人员配置及要求</w:t>
      </w:r>
    </w:p>
    <w:p w14:paraId="66676C5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1）甲方（采购人，下同）向乙方（供应商，下同）聘用特勤保安人员  人。提供服务后，除正常休假人员外，确保每日不缺岗。</w:t>
      </w:r>
    </w:p>
    <w:p w14:paraId="68029292">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2）乙方提供的保安人员要求：</w:t>
      </w:r>
    </w:p>
    <w:p w14:paraId="50CAC84C">
      <w:pPr>
        <w:keepNext w:val="0"/>
        <w:keepLines w:val="0"/>
        <w:pageBreakBefore w:val="0"/>
        <w:widowControl w:val="0"/>
        <w:kinsoku/>
        <w:wordWrap/>
        <w:overflowPunct/>
        <w:topLinePunct w:val="0"/>
        <w:bidi w:val="0"/>
        <w:adjustRightInd/>
        <w:snapToGrid/>
        <w:spacing w:line="360" w:lineRule="auto"/>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特保人员须持证上岗，相关服务人员有较好的形象，男：身高（平均）在170cm及以上、40岁及以下。女：身高（平均）在160cm及以上、35岁及以下。特保人员应具备初中及以上文化程度，身体健康，没有传染病及精神疾病等不能控制自己行为能力的疾病病史，体貌端正、政治上可靠、没有犯罪记录；</w:t>
      </w:r>
    </w:p>
    <w:p w14:paraId="11B90E4A">
      <w:pPr>
        <w:keepNext w:val="0"/>
        <w:keepLines w:val="0"/>
        <w:pageBreakBefore w:val="0"/>
        <w:widowControl w:val="0"/>
        <w:kinsoku/>
        <w:wordWrap/>
        <w:overflowPunct/>
        <w:topLinePunct w:val="0"/>
        <w:bidi w:val="0"/>
        <w:adjustRightInd/>
        <w:snapToGrid/>
        <w:spacing w:line="360" w:lineRule="auto"/>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（2）特保人员须有较好的语言、文字表达能力、执法、懂法、守法、依法办事、能独立履行岗位管理工作职能，退伍军人或从事保安工作的人员优先；</w:t>
      </w:r>
    </w:p>
    <w:p w14:paraId="4FCE5CEB">
      <w:pPr>
        <w:keepNext w:val="0"/>
        <w:keepLines w:val="0"/>
        <w:pageBreakBefore w:val="0"/>
        <w:widowControl w:val="0"/>
        <w:kinsoku/>
        <w:wordWrap/>
        <w:overflowPunct/>
        <w:topLinePunct w:val="0"/>
        <w:bidi w:val="0"/>
        <w:adjustRightInd/>
        <w:snapToGrid/>
        <w:spacing w:line="360" w:lineRule="auto"/>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（3）特保人员须有吃苦耐劳的精神和高度的责任感，受过专门的岗前培训，熟知管理规定，严格履行岗位职责，善于发现各类问题，具备一定的管理经验和处理突发事件的能力；</w:t>
      </w:r>
    </w:p>
    <w:p w14:paraId="686E29DF">
      <w:pPr>
        <w:keepNext w:val="0"/>
        <w:keepLines w:val="0"/>
        <w:pageBreakBefore w:val="0"/>
        <w:widowControl w:val="0"/>
        <w:kinsoku/>
        <w:wordWrap/>
        <w:overflowPunct/>
        <w:topLinePunct w:val="0"/>
        <w:bidi w:val="0"/>
        <w:adjustRightInd/>
        <w:snapToGrid/>
        <w:spacing w:line="360" w:lineRule="auto"/>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（4）特保从业人员上岗时应当着保安员服装，佩戴全国统一的保安服务标志。</w:t>
      </w:r>
    </w:p>
    <w:p w14:paraId="789E13C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3）在保安服务中，为履行保安服务职责，保安员可以采取下列措施：</w:t>
      </w:r>
    </w:p>
    <w:p w14:paraId="2F05D92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（1）在服务区域内进行巡逻、守护、安全检查、报警监控；</w:t>
      </w:r>
    </w:p>
    <w:p w14:paraId="28FD9CA9">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（2）协助派出所在公共场所对人员及其所携带的物品进行安全检查，维护公共秩序。</w:t>
      </w:r>
    </w:p>
    <w:p w14:paraId="206D5C02">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4）本合同服务期限自20  年  月  日至20  年  月   日</w:t>
      </w:r>
    </w:p>
    <w:p w14:paraId="281EEF1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5、支付</w:t>
      </w:r>
    </w:p>
    <w:p w14:paraId="72F3800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5.1</w:t>
      </w:r>
      <w:r>
        <w:rPr>
          <w:rFonts w:hint="eastAsia" w:ascii="仿宋" w:hAnsi="仿宋" w:eastAsia="仿宋" w:cs="仿宋"/>
          <w:color w:val="auto"/>
          <w:sz w:val="24"/>
          <w:highlight w:val="none"/>
        </w:rPr>
        <w:t xml:space="preserve"> 支付：本项目预付款为合同价的20%，每个季度支付合同价的15%</w:t>
      </w:r>
      <w:r>
        <w:rPr>
          <w:rFonts w:hint="eastAsia" w:ascii="仿宋" w:hAnsi="仿宋" w:eastAsia="仿宋" w:cs="仿宋"/>
          <w:color w:val="auto"/>
          <w:kern w:val="0"/>
          <w:sz w:val="24"/>
          <w:highlight w:val="none"/>
        </w:rPr>
        <w:t>服务费用（每季度次月15日前支付）。剩余20%费用待合同期满后的10个工作日内支付给乙方</w:t>
      </w:r>
      <w:r>
        <w:rPr>
          <w:rFonts w:hint="eastAsia" w:ascii="仿宋" w:hAnsi="仿宋" w:eastAsia="仿宋" w:cs="仿宋"/>
          <w:color w:val="auto"/>
          <w:sz w:val="24"/>
          <w:highlight w:val="none"/>
        </w:rPr>
        <w:t xml:space="preserve">。 </w:t>
      </w:r>
      <w:r>
        <w:rPr>
          <w:rFonts w:hint="eastAsia" w:ascii="仿宋" w:hAnsi="仿宋" w:eastAsia="仿宋" w:cs="仿宋"/>
          <w:color w:val="auto"/>
          <w:sz w:val="24"/>
        </w:rPr>
        <w:t xml:space="preserve"> </w:t>
      </w:r>
    </w:p>
    <w:p w14:paraId="7C5C2B30">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5.2甲方有权从应付价款、履约担保中扣除乙方应当承担的违约金、扣款等，如应付价款、履约担保不足以弥补甲方损失的，甲方有权向乙方继续追偿。</w:t>
      </w:r>
    </w:p>
    <w:p w14:paraId="08F82BF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5.3乙方开具增值税发票时，按下列开票信息开具发票：</w:t>
      </w:r>
    </w:p>
    <w:p w14:paraId="2D90B6C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eastAsia="zh-CN"/>
        </w:rPr>
      </w:pPr>
      <w:r>
        <w:rPr>
          <w:rFonts w:hint="eastAsia" w:ascii="仿宋" w:hAnsi="仿宋" w:eastAsia="仿宋" w:cs="仿宋"/>
          <w:color w:val="auto"/>
          <w:sz w:val="24"/>
        </w:rPr>
        <w:t>6、履约担保</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选用</w:t>
      </w:r>
      <w:r>
        <w:rPr>
          <w:rFonts w:hint="eastAsia" w:ascii="仿宋" w:hAnsi="仿宋" w:eastAsia="仿宋" w:cs="仿宋"/>
          <w:color w:val="auto"/>
          <w:sz w:val="24"/>
          <w:lang w:eastAsia="zh-CN"/>
        </w:rPr>
        <w:t>）</w:t>
      </w:r>
    </w:p>
    <w:p w14:paraId="5CF993A8">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6.1履约担保：乙方在签订合同前，向甲方提供符合招标文件规定格式与内容的履约担保，履约担保金额为签约合同价的1%，金额为人民币（大写）         元（¥   ）。</w:t>
      </w:r>
    </w:p>
    <w:p w14:paraId="01D47A1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6.2履约担保须采用人民币，并采用下列方式之一提交：</w:t>
      </w:r>
    </w:p>
    <w:p w14:paraId="63FBDE0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1）银行保函：国有或股份制商业银行一级支行以上分支机构出具的银行保函；</w:t>
      </w:r>
    </w:p>
    <w:p w14:paraId="3D00184D">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2）保险机构保证保险保单；</w:t>
      </w:r>
    </w:p>
    <w:p w14:paraId="72984135">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3）融资担保公司保函；</w:t>
      </w:r>
    </w:p>
    <w:p w14:paraId="60FCF76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9E20A6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6.3其他条款</w:t>
      </w:r>
    </w:p>
    <w:p w14:paraId="5D5C074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7、双方权利和义务</w:t>
      </w:r>
    </w:p>
    <w:p w14:paraId="310F88C0">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1）、甲方权利义务：</w:t>
      </w:r>
    </w:p>
    <w:p w14:paraId="7BEF673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（1）在本合同履行中甲方有权根据实际需求对服务工作内容及岗位设置变化作相应调整，对乙方保安人员进行现场指挥和调度。</w:t>
      </w:r>
    </w:p>
    <w:p w14:paraId="748A17A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（2）指派专人负责监督乙方的管理服务，每日检查管理服务质量并对不合格情况进行依据本合同约定的处罚；有权根据实际情况提出修改意见，乙方应遵守。</w:t>
      </w:r>
    </w:p>
    <w:p w14:paraId="55EC9B6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（3）甲方有权对乙方选派的保安人员进行检查考评，对不合格人员，有权要求乙方调换。</w:t>
      </w:r>
    </w:p>
    <w:p w14:paraId="70B183D2">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（4）按本合同有关约定按时向乙方支付本合同项下的服务费用。</w:t>
      </w:r>
    </w:p>
    <w:p w14:paraId="6CD92B3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2）、乙方权利义务：</w:t>
      </w:r>
    </w:p>
    <w:p w14:paraId="49258D2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（1）乙方应严格按照服务标准及本合同的其他约定对本项目进行服务；不得以任何形式分包、转包给第三方，否则甲方有权立即终止本合同，乙方应就此承担违约责任，赔偿造成甲方的一切损失。</w:t>
      </w:r>
    </w:p>
    <w:p w14:paraId="27F121D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（2）乙方保安人员进驻本项目执勤后，严格执行甲方有关规章制度，做到遵纪守法，接受甲方有关领导和群众监督、衣着整洁、礼貌待人、认真负责。</w:t>
      </w:r>
    </w:p>
    <w:p w14:paraId="182411BD">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（3）选派一名保安队长具体安排、全面督导每日服务工作，巡检（自检和参与甲方检查）现场值勤情况，及时做好工作记录，及时处理有关投诉，并做好与甲方人员的日常工作联系。</w:t>
      </w:r>
    </w:p>
    <w:p w14:paraId="4E05747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（4）甲方组织和举办活动时有权随时要求乙方调整服务计划，采取相应措施做好服务工作，乙方应按甲方的要求立即执行。</w:t>
      </w:r>
    </w:p>
    <w:p w14:paraId="1B2C7079">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（5）若甲方要求乙方进行人员更换的，则乙方应在5日内更换，否则，每延迟一日，甲方有权扣除相当于当月服务费用8‰。延迟超过10日，甲方有权扣除当月所有费用。</w:t>
      </w:r>
    </w:p>
    <w:p w14:paraId="4762383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（6）乙方每月不少于两次派出一名高层管理人员到本项目检查、指导服务情况，征询甲方意见，对甲方合理之建议应予采纳并按照甲方要求的时限内实施完毕，不断提升服务质量。</w:t>
      </w:r>
    </w:p>
    <w:p w14:paraId="1F9E7D8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7）乙方保安人员在工作期间发生工伤事故全部费用由乙方承担，乙方用工应签订劳动协议且该劳动合同在本合同履行期间均合法存续，并办理各种合法用工手续；甲方除按照本合同约定向乙方支付服务费用以外，不代乙方承担任何劳动合同项下的义务。乙方保安人员在为甲方服务期间产生的一切劳动纠纷，均有乙方自行负责处理，与甲方无关，且乙方处理此等纠纷不应影响本合同的正常履行。</w:t>
      </w:r>
    </w:p>
    <w:p w14:paraId="7576A07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（8）在本合同履行期间，若乙方原因造成甲方、任何第三方人身和财产损害的，乙方应承担全部责任。</w:t>
      </w:r>
    </w:p>
    <w:p w14:paraId="11F5195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（9）乙方公司派驻本项目的保安人员，应身着统一工作服，并保证着装的整洁卫生。保安服乙方按要求配置。</w:t>
      </w:r>
    </w:p>
    <w:p w14:paraId="591C5BA8">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（10）乙方派驻本项目的保安人员，工作时间内不得随意离开工作岗位。乙方主管人员离开和调整均需征得甲方同意、认可。乙方的保安人员应接受甲方管理人员的监督和考核。</w:t>
      </w:r>
    </w:p>
    <w:p w14:paraId="42E898C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（11）乙方派驻本项目的保安人员不得有下列行为：</w:t>
      </w:r>
    </w:p>
    <w:p w14:paraId="5F633433">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a）限制他人人身自由、搜查他人身体或者侮辱、殴打他人；</w:t>
      </w:r>
    </w:p>
    <w:p w14:paraId="60F1412C">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b）扣押、没收他人证件、财物；</w:t>
      </w:r>
    </w:p>
    <w:p w14:paraId="7C625D2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c）阻碍依法执行公务；</w:t>
      </w:r>
    </w:p>
    <w:p w14:paraId="5D468189">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d）参与追索债务、采用暴力或者以暴力相威胁的手段处置纠纷；</w:t>
      </w:r>
    </w:p>
    <w:p w14:paraId="0738D4A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e）删改或者扩散保安服务中形成的监控影像资料、报警记录；</w:t>
      </w:r>
    </w:p>
    <w:p w14:paraId="4C617C93">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f）侵犯个人隐私或者泄露在保安服务中获知的国家秘密、商业秘密以及客户单位明确要求保密的信息；</w:t>
      </w:r>
    </w:p>
    <w:p w14:paraId="075D133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g）违反法律、行政法规的其他行为。</w:t>
      </w:r>
    </w:p>
    <w:p w14:paraId="73615548">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（12）遇有紧急情况及突发事件时，乙方有责任在最短的时间内配合甲方提供充足的人员，并应无条件听从甲方现场工作人员调遣。</w:t>
      </w:r>
    </w:p>
    <w:p w14:paraId="1CB95EF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8、保险</w:t>
      </w:r>
    </w:p>
    <w:p w14:paraId="574C96C0">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8.1乙方从事本项目应进行的一切保险（包括但不限于对雇员的保险）由乙方自理，并处理与之有关的所有保险索赔及其他一切事项。</w:t>
      </w:r>
    </w:p>
    <w:p w14:paraId="2E94F4D0">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8.2所需的全部保险费均已包含在合同价中，甲方不另行支付。</w:t>
      </w:r>
    </w:p>
    <w:p w14:paraId="69839D52">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9、违约责任及处理 </w:t>
      </w:r>
    </w:p>
    <w:p w14:paraId="57C5458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9.1因乙方原因引起的服务缺陷和造成甲方的损失，甲方有权要求乙方赔偿。因乙方原因引起的第三方人身财产损失，若乙方拒不赔偿或第三方直接向甲方追索赔偿，在甲方向受损方赔付以后，有权在当期向乙方支付的服务费用中扣除，不足部分仍有权向乙方追偿。</w:t>
      </w:r>
    </w:p>
    <w:p w14:paraId="540367D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9.2本合同履行期间，若甲乙双方无合同依据单方终止本合同，则应向守约方支付2个月的管理服务费用作为违约金。</w:t>
      </w:r>
    </w:p>
    <w:p w14:paraId="747E9E2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9.3检查考核及违约金扣除细则</w:t>
      </w:r>
    </w:p>
    <w:p w14:paraId="475AE97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（1）甲方按本合同约定的标准对乙方服务质量进行月评，如每月检查考评不合格，乙方每次应向甲方支付月管理服务费的5%作为违约金；</w:t>
      </w:r>
    </w:p>
    <w:p w14:paraId="02F3FC1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（2）甲方每发现一次乙方员工行为规范及仪容仪表不符合约定标准的，甲方扣除乙方50元/次的服务费用；</w:t>
      </w:r>
    </w:p>
    <w:p w14:paraId="1BB931D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（3）出现3次月评不合格情况后，甲方有权终止本合同，且无须承担任何违约责任。</w:t>
      </w:r>
    </w:p>
    <w:p w14:paraId="7ED1E35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9.4无论任何原因导致协议解除的，乙方应一个月之内移交服务档案和相关手续文件，且撤走全部人员和设备。否则，每滞留一日，则应按本合同服务费总额的5‰作为违约金。</w:t>
      </w:r>
    </w:p>
    <w:p w14:paraId="6DE0BE82">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9.5如乙方未履行本合同项下的义务或违反本合同的约定造成甲方或其职员及他人财产和人身损害的，应由乙方自行承担全部损失。</w:t>
      </w:r>
    </w:p>
    <w:p w14:paraId="7D988FD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9.6本合同项下所有因乙方违约造成甲方损失或乙方应承担的违约责任，甲方有权从应付乙方的任何一笔款项中直接扣除。</w:t>
      </w:r>
    </w:p>
    <w:p w14:paraId="470626A2">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9.7本合同项下违约方应赔偿的损失包括守约方的直接损失和间接损失，包括但不限于守约方向第三方承担的赔偿责任、诉讼费、仲裁费、律师费、鉴定费等因违约而发生的费用支出。</w:t>
      </w:r>
    </w:p>
    <w:p w14:paraId="7AA8FC2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10、侵权和保密</w:t>
      </w:r>
    </w:p>
    <w:p w14:paraId="24F298ED">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10.1乙方应保证甲方免受第三方因乙方服务存在的瑕疵而提出的侵权诉讼及索赔。任何第三方如果提出侵权指控，乙方须与第三方交涉并承担由此而引起的一切法律责任和费用。</w:t>
      </w:r>
    </w:p>
    <w:p w14:paraId="5B32C86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10.2未经甲方事先书面同意，乙方不得以任何形式将本合同内容（包括但不限于合同条款、各种资料成果等）提供给与履行本合同无关的任何第三方。若乙方违反本款约定，并因此产生法律纠纷，则由乙方承担全部责任。</w:t>
      </w:r>
    </w:p>
    <w:p w14:paraId="74B73075">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11、合同变更或终止</w:t>
      </w:r>
    </w:p>
    <w:p w14:paraId="20584EE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11.1除非甲方书面提出，乙方不得对合同进行任何变更。</w:t>
      </w:r>
    </w:p>
    <w:p w14:paraId="529222ED">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110.2本合同一经签订，甲乙双方不得擅自中止或终止合同。</w:t>
      </w:r>
    </w:p>
    <w:p w14:paraId="7C63443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11.3如果乙方破产或明确表示实际无能力继续为甲方提供服务，甲方可在任何时候以书面形式通知乙方，提出终止合同而不给乙方补偿，并没收乙方的履约担保。该终止合同将不损害或影响甲方已经采取或将要采取的任何行动或补救措施的权力，且甲方不承担任何费用。</w:t>
      </w:r>
    </w:p>
    <w:p w14:paraId="5793380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12、转让和分包</w:t>
      </w:r>
    </w:p>
    <w:p w14:paraId="3B93FD13">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12.1乙方不得擅自部分或全部转让（分包）其应履行的合同义务，如甲方发现乙方有转让（分包）的行为，甲方有权中止或终止合同，由此所造成的损失由乙方承担。</w:t>
      </w:r>
    </w:p>
    <w:p w14:paraId="31860B0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13、不可抗力</w:t>
      </w:r>
    </w:p>
    <w:p w14:paraId="329C9B5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13.1除非合同另有约定，不可抗力是指甲乙双方都不可预见、不可避免、不能克服的超出认识控制和防范能力的事件，不可抗力可以包括（但不限于）下列情况：</w:t>
      </w:r>
    </w:p>
    <w:p w14:paraId="245F94C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（1）战争、敌对行动（不论宣战与否）、入侵、外敌行动；</w:t>
      </w:r>
    </w:p>
    <w:p w14:paraId="6448F5F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（2）叛乱、革命、暴动或军事政变或内战；</w:t>
      </w:r>
    </w:p>
    <w:p w14:paraId="5B40E042">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（3）暴乱、骚乱或混乱，但对于局限在卖方和卖方雇佣人员内部并且是由于从事本项目而发生的事件除外；</w:t>
      </w:r>
    </w:p>
    <w:p w14:paraId="57FCB5C0">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（4）核裂变、核聚变、核武器、核材料、核辐射及放射性污染；</w:t>
      </w:r>
    </w:p>
    <w:p w14:paraId="31994D3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（5）以音速或超音速飞行的飞机或其他飞行装置产生的压力波，飞行器坠落；</w:t>
      </w:r>
    </w:p>
    <w:p w14:paraId="05D74A4B">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（6）自然灾害（地震、洪水、海啸、飓风、台风、火山活动等）。</w:t>
      </w:r>
    </w:p>
    <w:p w14:paraId="7F5A576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13.2如果发生不可抗力因素，致使本协议不能如期履行时，本协议应自动顺延履行，且双方不被视为违约，但双方应尽一切努力终止或减少上述因素的影响。上述因素一旦消失，双方应立即采取措施继续履行本协议。</w:t>
      </w:r>
    </w:p>
    <w:p w14:paraId="0A6C8CA5">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14、争议解决</w:t>
      </w:r>
    </w:p>
    <w:p w14:paraId="592048F5">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因履行本合同引起的或与本合同有关的争议，甲乙双方应通过协商或调解解决，如果协商不成的，任何一方可按下述第       种方式解决：</w:t>
      </w:r>
    </w:p>
    <w:p w14:paraId="008D316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1）提交杭州仲裁委员会仲裁。</w:t>
      </w:r>
    </w:p>
    <w:p w14:paraId="4731A3A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2）依法向甲方所在地人民法院起诉。</w:t>
      </w:r>
    </w:p>
    <w:p w14:paraId="68A313B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15、其他（若有）</w:t>
      </w:r>
    </w:p>
    <w:p w14:paraId="61D341D0">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1)．未经过甲方的书面同意，乙方不得转让其应履行的合同项下的义务，和将部分合同项下的义务分包给其他单位完成。</w:t>
      </w:r>
    </w:p>
    <w:p w14:paraId="3B3441AD">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2)．乙方人员在甲方场地工作时，应遵守甲方相关规章、制度。</w:t>
      </w:r>
    </w:p>
    <w:p w14:paraId="15386603">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3)．本合同任何一方给另一方的通知，都应以书面或电传/传真/电报的形式发送，而另一方应以书面形式确认并发送到对方明确的地址。</w:t>
      </w:r>
    </w:p>
    <w:p w14:paraId="2A1033C8">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4)．合同履行期内甲乙双方均不得随意变更或解除合同。合同若有未尽事宜，需经双方共同协商，订立补充协议，补充协议与本合同有同等法律效力。</w:t>
      </w:r>
    </w:p>
    <w:p w14:paraId="2003B833">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5)．本合同一式份，甲方执份、乙方执份。</w:t>
      </w:r>
    </w:p>
    <w:p w14:paraId="67A7EEFD">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6)．适用法律：本合同应按照中华人民共和国的法律进行解释。</w:t>
      </w:r>
    </w:p>
    <w:p w14:paraId="2F64D3F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附件1：</w:t>
      </w:r>
    </w:p>
    <w:p w14:paraId="2DDE2FF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附件2：</w:t>
      </w:r>
      <w:r>
        <w:rPr>
          <w:rFonts w:hint="eastAsia" w:ascii="仿宋" w:hAnsi="仿宋" w:eastAsia="仿宋" w:cs="仿宋"/>
          <w:color w:val="auto"/>
          <w:sz w:val="24"/>
        </w:rPr>
        <w:tab/>
      </w:r>
    </w:p>
    <w:p w14:paraId="65C74C39">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p>
    <w:p w14:paraId="73C75C3C">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zh-CN"/>
        </w:rPr>
        <w:t>甲方</w:t>
      </w:r>
      <w:r>
        <w:rPr>
          <w:rFonts w:hint="eastAsia" w:ascii="仿宋" w:hAnsi="仿宋" w:eastAsia="仿宋" w:cs="仿宋"/>
          <w:color w:val="auto"/>
          <w:sz w:val="24"/>
        </w:rPr>
        <w:t xml:space="preserve">：                                   </w:t>
      </w:r>
      <w:r>
        <w:rPr>
          <w:rFonts w:hint="eastAsia" w:ascii="仿宋" w:hAnsi="仿宋" w:eastAsia="仿宋" w:cs="仿宋"/>
          <w:color w:val="auto"/>
          <w:sz w:val="24"/>
          <w:lang w:val="zh-CN"/>
        </w:rPr>
        <w:t>乙方</w:t>
      </w:r>
      <w:r>
        <w:rPr>
          <w:rFonts w:hint="eastAsia" w:ascii="仿宋" w:hAnsi="仿宋" w:eastAsia="仿宋" w:cs="仿宋"/>
          <w:color w:val="auto"/>
          <w:sz w:val="24"/>
        </w:rPr>
        <w:t>：</w:t>
      </w:r>
    </w:p>
    <w:p w14:paraId="5EAF3D5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64B585B9">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p>
    <w:p w14:paraId="45AE7E6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2F64686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14:paraId="0A270E7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14:paraId="443393E7">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236B6643">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44C0BA31">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3193EF8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30E51755">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43E5A24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78590E56">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11684B2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14DBFD2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687A459C">
      <w:pPr>
        <w:rPr>
          <w:rFonts w:hint="eastAsia" w:ascii="仿宋" w:hAnsi="仿宋" w:eastAsia="仿宋" w:cs="仿宋"/>
          <w:b/>
          <w:color w:val="auto"/>
          <w:sz w:val="36"/>
          <w:szCs w:val="20"/>
          <w:highlight w:val="none"/>
        </w:rPr>
      </w:pPr>
    </w:p>
    <w:p w14:paraId="4CFCF9F2">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D36C8E3">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43ABD0E9">
      <w:pPr>
        <w:spacing w:line="360" w:lineRule="auto"/>
        <w:jc w:val="center"/>
        <w:outlineLvl w:val="0"/>
        <w:rPr>
          <w:rFonts w:hint="eastAsia" w:ascii="仿宋" w:hAnsi="仿宋" w:eastAsia="仿宋" w:cs="仿宋"/>
          <w:b/>
          <w:color w:val="auto"/>
          <w:kern w:val="0"/>
          <w:sz w:val="36"/>
          <w:szCs w:val="36"/>
          <w:highlight w:val="none"/>
        </w:rPr>
      </w:pPr>
    </w:p>
    <w:p w14:paraId="3A06BDB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097649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7F05C63">
      <w:pPr>
        <w:spacing w:line="360" w:lineRule="auto"/>
        <w:jc w:val="center"/>
        <w:outlineLvl w:val="0"/>
        <w:rPr>
          <w:rFonts w:hint="eastAsia" w:ascii="仿宋" w:hAnsi="仿宋" w:eastAsia="仿宋" w:cs="仿宋"/>
          <w:b/>
          <w:color w:val="auto"/>
          <w:kern w:val="0"/>
          <w:sz w:val="36"/>
          <w:szCs w:val="36"/>
          <w:highlight w:val="none"/>
        </w:rPr>
      </w:pPr>
    </w:p>
    <w:p w14:paraId="2EA38E1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622F367">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489FAF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05A99E1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083540E">
      <w:pPr>
        <w:snapToGrid w:val="0"/>
        <w:spacing w:line="360" w:lineRule="auto"/>
        <w:ind w:firstLine="480" w:firstLineChars="200"/>
        <w:rPr>
          <w:rFonts w:hint="eastAsia" w:ascii="仿宋" w:hAnsi="仿宋" w:eastAsia="仿宋" w:cs="仿宋"/>
          <w:color w:val="auto"/>
          <w:sz w:val="24"/>
          <w:highlight w:val="none"/>
        </w:rPr>
      </w:pPr>
    </w:p>
    <w:p w14:paraId="5C2B4029">
      <w:pPr>
        <w:spacing w:line="360" w:lineRule="auto"/>
        <w:ind w:firstLine="480" w:firstLineChars="200"/>
        <w:rPr>
          <w:rFonts w:hint="eastAsia" w:ascii="仿宋" w:hAnsi="仿宋" w:eastAsia="仿宋" w:cs="仿宋"/>
          <w:color w:val="auto"/>
          <w:sz w:val="24"/>
          <w:highlight w:val="none"/>
        </w:rPr>
      </w:pPr>
    </w:p>
    <w:p w14:paraId="580CF14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40B70F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211E36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我方参与（项目名称）【招标编号：】政府采购活动，郑重承诺：</w:t>
      </w:r>
    </w:p>
    <w:p w14:paraId="4B511D76">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C44772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3D886D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04CE9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2C66E1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EA0A17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79C7C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2124D0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AC98E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0C2B97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894F75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6B0E32A">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11F496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7BDBFB8">
      <w:pPr>
        <w:snapToGrid w:val="0"/>
        <w:spacing w:line="360" w:lineRule="auto"/>
        <w:ind w:right="480"/>
        <w:jc w:val="center"/>
        <w:rPr>
          <w:rFonts w:hint="eastAsia" w:ascii="仿宋" w:hAnsi="仿宋" w:eastAsia="仿宋" w:cs="仿宋"/>
          <w:b/>
          <w:color w:val="auto"/>
          <w:kern w:val="0"/>
          <w:sz w:val="32"/>
          <w:szCs w:val="32"/>
          <w:highlight w:val="none"/>
        </w:rPr>
      </w:pPr>
    </w:p>
    <w:p w14:paraId="033F6407">
      <w:pPr>
        <w:snapToGrid w:val="0"/>
        <w:spacing w:line="360" w:lineRule="auto"/>
        <w:ind w:right="480"/>
        <w:jc w:val="center"/>
        <w:rPr>
          <w:rFonts w:hint="eastAsia" w:ascii="仿宋" w:hAnsi="仿宋" w:eastAsia="仿宋" w:cs="仿宋"/>
          <w:b/>
          <w:color w:val="auto"/>
          <w:kern w:val="0"/>
          <w:sz w:val="32"/>
          <w:szCs w:val="32"/>
          <w:highlight w:val="none"/>
        </w:rPr>
      </w:pPr>
    </w:p>
    <w:p w14:paraId="64F54E0F">
      <w:pPr>
        <w:snapToGrid w:val="0"/>
        <w:spacing w:line="360" w:lineRule="auto"/>
        <w:ind w:right="480"/>
        <w:jc w:val="center"/>
        <w:rPr>
          <w:rFonts w:hint="eastAsia" w:ascii="仿宋" w:hAnsi="仿宋" w:eastAsia="仿宋" w:cs="仿宋"/>
          <w:b/>
          <w:color w:val="auto"/>
          <w:kern w:val="0"/>
          <w:sz w:val="32"/>
          <w:szCs w:val="32"/>
          <w:highlight w:val="none"/>
        </w:rPr>
      </w:pPr>
    </w:p>
    <w:p w14:paraId="10A92602">
      <w:pPr>
        <w:rPr>
          <w:rFonts w:hint="eastAsia" w:ascii="仿宋" w:hAnsi="仿宋" w:eastAsia="仿宋" w:cs="仿宋"/>
          <w:color w:val="auto"/>
          <w:highlight w:val="none"/>
        </w:rPr>
      </w:pPr>
    </w:p>
    <w:p w14:paraId="1B347564">
      <w:pPr>
        <w:snapToGrid w:val="0"/>
        <w:spacing w:line="360" w:lineRule="auto"/>
        <w:ind w:right="480"/>
        <w:jc w:val="center"/>
        <w:rPr>
          <w:rFonts w:hint="eastAsia" w:ascii="仿宋" w:hAnsi="仿宋" w:eastAsia="仿宋" w:cs="仿宋"/>
          <w:b/>
          <w:color w:val="auto"/>
          <w:kern w:val="0"/>
          <w:sz w:val="32"/>
          <w:szCs w:val="32"/>
          <w:highlight w:val="none"/>
        </w:rPr>
      </w:pPr>
    </w:p>
    <w:p w14:paraId="2049C5B2">
      <w:pPr>
        <w:snapToGrid w:val="0"/>
        <w:spacing w:line="360" w:lineRule="auto"/>
        <w:ind w:right="480"/>
        <w:jc w:val="center"/>
        <w:rPr>
          <w:rFonts w:hint="eastAsia" w:ascii="仿宋" w:hAnsi="仿宋" w:eastAsia="仿宋" w:cs="仿宋"/>
          <w:b/>
          <w:color w:val="auto"/>
          <w:kern w:val="0"/>
          <w:sz w:val="32"/>
          <w:szCs w:val="32"/>
          <w:highlight w:val="none"/>
        </w:rPr>
      </w:pPr>
    </w:p>
    <w:p w14:paraId="0664D342">
      <w:pPr>
        <w:snapToGrid w:val="0"/>
        <w:spacing w:line="360" w:lineRule="auto"/>
        <w:ind w:right="480"/>
        <w:jc w:val="center"/>
        <w:rPr>
          <w:rFonts w:hint="eastAsia" w:ascii="仿宋" w:hAnsi="仿宋" w:eastAsia="仿宋" w:cs="仿宋"/>
          <w:b/>
          <w:color w:val="auto"/>
          <w:kern w:val="0"/>
          <w:sz w:val="32"/>
          <w:szCs w:val="32"/>
          <w:highlight w:val="none"/>
        </w:rPr>
      </w:pPr>
    </w:p>
    <w:p w14:paraId="2703B8CA">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24C4F12">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00F363D">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CE64A0A">
      <w:pPr>
        <w:snapToGrid w:val="0"/>
        <w:spacing w:line="360" w:lineRule="auto"/>
        <w:ind w:right="480"/>
        <w:jc w:val="center"/>
        <w:rPr>
          <w:rFonts w:hint="eastAsia" w:ascii="仿宋" w:hAnsi="仿宋" w:eastAsia="仿宋" w:cs="仿宋"/>
          <w:b/>
          <w:color w:val="auto"/>
          <w:kern w:val="0"/>
          <w:sz w:val="32"/>
          <w:szCs w:val="32"/>
          <w:highlight w:val="none"/>
        </w:rPr>
      </w:pPr>
    </w:p>
    <w:p w14:paraId="2B3E9617">
      <w:pPr>
        <w:snapToGrid w:val="0"/>
        <w:spacing w:line="360" w:lineRule="auto"/>
        <w:ind w:right="480"/>
        <w:jc w:val="center"/>
        <w:rPr>
          <w:rFonts w:hint="eastAsia" w:ascii="仿宋" w:hAnsi="仿宋" w:eastAsia="仿宋" w:cs="仿宋"/>
          <w:b/>
          <w:color w:val="auto"/>
          <w:kern w:val="0"/>
          <w:sz w:val="32"/>
          <w:szCs w:val="32"/>
          <w:highlight w:val="none"/>
        </w:rPr>
      </w:pPr>
    </w:p>
    <w:p w14:paraId="043A8E8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395CB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47E39A3">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69E60DB1">
      <w:pPr>
        <w:widowControl/>
        <w:spacing w:line="360" w:lineRule="auto"/>
        <w:ind w:firstLine="480"/>
        <w:jc w:val="left"/>
        <w:rPr>
          <w:rFonts w:hint="eastAsia" w:ascii="仿宋" w:hAnsi="仿宋" w:eastAsia="仿宋" w:cs="仿宋"/>
          <w:color w:val="auto"/>
          <w:sz w:val="24"/>
          <w:highlight w:val="none"/>
        </w:rPr>
      </w:pPr>
    </w:p>
    <w:p w14:paraId="01C7DF23">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7363E3A5">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1FEDFBD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DD54F0D">
      <w:pPr>
        <w:widowControl/>
        <w:spacing w:line="360" w:lineRule="auto"/>
        <w:ind w:left="150"/>
        <w:jc w:val="center"/>
        <w:rPr>
          <w:rFonts w:hint="eastAsia" w:ascii="仿宋" w:hAnsi="仿宋" w:eastAsia="仿宋" w:cs="仿宋"/>
          <w:b/>
          <w:color w:val="auto"/>
          <w:kern w:val="0"/>
          <w:sz w:val="32"/>
          <w:szCs w:val="32"/>
          <w:highlight w:val="none"/>
        </w:rPr>
      </w:pPr>
    </w:p>
    <w:p w14:paraId="4BDF1515">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BD098D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1A7506B0">
      <w:pPr>
        <w:rPr>
          <w:rFonts w:hint="eastAsia" w:ascii="仿宋" w:hAnsi="仿宋" w:eastAsia="仿宋" w:cs="仿宋"/>
          <w:color w:val="auto"/>
          <w:highlight w:val="none"/>
        </w:rPr>
      </w:pPr>
    </w:p>
    <w:p w14:paraId="77DF6026">
      <w:pPr>
        <w:snapToGrid w:val="0"/>
        <w:spacing w:line="360" w:lineRule="auto"/>
        <w:ind w:right="480"/>
        <w:jc w:val="center"/>
        <w:rPr>
          <w:rFonts w:hint="eastAsia" w:ascii="仿宋" w:hAnsi="仿宋" w:eastAsia="仿宋" w:cs="仿宋"/>
          <w:b/>
          <w:color w:val="auto"/>
          <w:kern w:val="0"/>
          <w:sz w:val="32"/>
          <w:szCs w:val="32"/>
          <w:highlight w:val="none"/>
        </w:rPr>
      </w:pPr>
    </w:p>
    <w:p w14:paraId="1F8D2BBD">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A0522B3">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83B6D3D">
      <w:pPr>
        <w:spacing w:line="360" w:lineRule="auto"/>
        <w:jc w:val="center"/>
        <w:outlineLvl w:val="0"/>
        <w:rPr>
          <w:rFonts w:hint="eastAsia" w:ascii="仿宋" w:hAnsi="仿宋" w:eastAsia="仿宋" w:cs="仿宋"/>
          <w:b/>
          <w:color w:val="auto"/>
          <w:kern w:val="0"/>
          <w:sz w:val="24"/>
          <w:highlight w:val="none"/>
        </w:rPr>
      </w:pPr>
    </w:p>
    <w:p w14:paraId="51BB1CA9">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5A4D109">
      <w:pPr>
        <w:numPr>
          <w:ilvl w:val="0"/>
          <w:numId w:val="2"/>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72BD4A98">
      <w:pPr>
        <w:numPr>
          <w:ilvl w:val="0"/>
          <w:numId w:val="2"/>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14:paraId="170747A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2307C859">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2A47C1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3EF5F7B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0B5C000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0920D3E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6E20787">
      <w:pPr>
        <w:snapToGrid w:val="0"/>
        <w:spacing w:line="360" w:lineRule="auto"/>
        <w:jc w:val="center"/>
        <w:rPr>
          <w:rFonts w:hint="eastAsia" w:ascii="仿宋" w:hAnsi="仿宋" w:eastAsia="仿宋" w:cs="仿宋"/>
          <w:b/>
          <w:color w:val="auto"/>
          <w:kern w:val="0"/>
          <w:sz w:val="32"/>
          <w:szCs w:val="32"/>
          <w:highlight w:val="none"/>
          <w:lang w:val="zh-CN"/>
        </w:rPr>
      </w:pPr>
    </w:p>
    <w:p w14:paraId="4F858B05">
      <w:pPr>
        <w:snapToGrid w:val="0"/>
        <w:spacing w:line="360" w:lineRule="auto"/>
        <w:jc w:val="center"/>
        <w:rPr>
          <w:rFonts w:hint="eastAsia" w:ascii="仿宋" w:hAnsi="仿宋" w:eastAsia="仿宋" w:cs="仿宋"/>
          <w:b/>
          <w:color w:val="auto"/>
          <w:kern w:val="0"/>
          <w:sz w:val="32"/>
          <w:szCs w:val="32"/>
          <w:highlight w:val="none"/>
          <w:lang w:val="zh-CN"/>
        </w:rPr>
      </w:pPr>
    </w:p>
    <w:p w14:paraId="67081811">
      <w:pPr>
        <w:snapToGrid w:val="0"/>
        <w:spacing w:line="360" w:lineRule="auto"/>
        <w:jc w:val="center"/>
        <w:rPr>
          <w:rFonts w:hint="eastAsia" w:ascii="仿宋" w:hAnsi="仿宋" w:eastAsia="仿宋" w:cs="仿宋"/>
          <w:b/>
          <w:color w:val="auto"/>
          <w:kern w:val="0"/>
          <w:sz w:val="32"/>
          <w:szCs w:val="32"/>
          <w:highlight w:val="none"/>
          <w:lang w:val="zh-CN"/>
        </w:rPr>
      </w:pPr>
    </w:p>
    <w:p w14:paraId="1036DF3D">
      <w:pPr>
        <w:snapToGrid w:val="0"/>
        <w:spacing w:line="360" w:lineRule="auto"/>
        <w:jc w:val="center"/>
        <w:rPr>
          <w:rFonts w:hint="eastAsia" w:ascii="仿宋" w:hAnsi="仿宋" w:eastAsia="仿宋" w:cs="仿宋"/>
          <w:b/>
          <w:color w:val="auto"/>
          <w:kern w:val="0"/>
          <w:sz w:val="32"/>
          <w:szCs w:val="32"/>
          <w:highlight w:val="none"/>
          <w:lang w:val="zh-CN"/>
        </w:rPr>
      </w:pPr>
    </w:p>
    <w:p w14:paraId="36EC9DAB">
      <w:pPr>
        <w:snapToGrid w:val="0"/>
        <w:spacing w:line="360" w:lineRule="auto"/>
        <w:jc w:val="center"/>
        <w:rPr>
          <w:rFonts w:hint="eastAsia" w:ascii="仿宋" w:hAnsi="仿宋" w:eastAsia="仿宋" w:cs="仿宋"/>
          <w:b/>
          <w:color w:val="auto"/>
          <w:kern w:val="0"/>
          <w:sz w:val="32"/>
          <w:szCs w:val="32"/>
          <w:highlight w:val="none"/>
          <w:lang w:val="zh-CN"/>
        </w:rPr>
      </w:pPr>
    </w:p>
    <w:p w14:paraId="2F18475D">
      <w:pPr>
        <w:snapToGrid w:val="0"/>
        <w:spacing w:line="360" w:lineRule="auto"/>
        <w:jc w:val="center"/>
        <w:rPr>
          <w:rFonts w:hint="eastAsia" w:ascii="仿宋" w:hAnsi="仿宋" w:eastAsia="仿宋" w:cs="仿宋"/>
          <w:b/>
          <w:color w:val="auto"/>
          <w:kern w:val="0"/>
          <w:sz w:val="32"/>
          <w:szCs w:val="32"/>
          <w:highlight w:val="none"/>
          <w:lang w:val="zh-CN"/>
        </w:rPr>
      </w:pPr>
    </w:p>
    <w:p w14:paraId="4DA37F5B">
      <w:pPr>
        <w:snapToGrid w:val="0"/>
        <w:spacing w:line="360" w:lineRule="auto"/>
        <w:jc w:val="center"/>
        <w:rPr>
          <w:rFonts w:hint="eastAsia" w:ascii="仿宋" w:hAnsi="仿宋" w:eastAsia="仿宋" w:cs="仿宋"/>
          <w:b/>
          <w:color w:val="auto"/>
          <w:kern w:val="0"/>
          <w:sz w:val="32"/>
          <w:szCs w:val="32"/>
          <w:highlight w:val="none"/>
          <w:lang w:val="zh-CN"/>
        </w:rPr>
      </w:pPr>
    </w:p>
    <w:p w14:paraId="42634B7C">
      <w:pPr>
        <w:snapToGrid w:val="0"/>
        <w:spacing w:line="360" w:lineRule="auto"/>
        <w:jc w:val="center"/>
        <w:rPr>
          <w:rFonts w:hint="eastAsia" w:ascii="仿宋" w:hAnsi="仿宋" w:eastAsia="仿宋" w:cs="仿宋"/>
          <w:b/>
          <w:color w:val="auto"/>
          <w:kern w:val="0"/>
          <w:sz w:val="32"/>
          <w:szCs w:val="32"/>
          <w:highlight w:val="none"/>
          <w:lang w:val="zh-CN"/>
        </w:rPr>
      </w:pPr>
    </w:p>
    <w:p w14:paraId="60EB0D3F">
      <w:pPr>
        <w:snapToGrid w:val="0"/>
        <w:spacing w:line="360" w:lineRule="auto"/>
        <w:jc w:val="center"/>
        <w:rPr>
          <w:rFonts w:hint="eastAsia" w:ascii="仿宋" w:hAnsi="仿宋" w:eastAsia="仿宋" w:cs="仿宋"/>
          <w:b/>
          <w:color w:val="auto"/>
          <w:kern w:val="0"/>
          <w:sz w:val="32"/>
          <w:szCs w:val="32"/>
          <w:highlight w:val="none"/>
          <w:lang w:val="zh-CN"/>
        </w:rPr>
      </w:pPr>
    </w:p>
    <w:p w14:paraId="618BB472">
      <w:pPr>
        <w:snapToGrid w:val="0"/>
        <w:spacing w:line="360" w:lineRule="auto"/>
        <w:jc w:val="center"/>
        <w:rPr>
          <w:rFonts w:hint="eastAsia" w:ascii="仿宋" w:hAnsi="仿宋" w:eastAsia="仿宋" w:cs="仿宋"/>
          <w:b/>
          <w:color w:val="auto"/>
          <w:kern w:val="0"/>
          <w:sz w:val="32"/>
          <w:szCs w:val="32"/>
          <w:highlight w:val="none"/>
          <w:lang w:val="zh-CN"/>
        </w:rPr>
      </w:pPr>
    </w:p>
    <w:p w14:paraId="6B1E9D87">
      <w:pPr>
        <w:snapToGrid w:val="0"/>
        <w:spacing w:line="360" w:lineRule="auto"/>
        <w:jc w:val="center"/>
        <w:rPr>
          <w:rFonts w:hint="eastAsia" w:ascii="仿宋" w:hAnsi="仿宋" w:eastAsia="仿宋" w:cs="仿宋"/>
          <w:b/>
          <w:color w:val="auto"/>
          <w:kern w:val="0"/>
          <w:sz w:val="32"/>
          <w:szCs w:val="32"/>
          <w:highlight w:val="none"/>
          <w:lang w:val="zh-CN"/>
        </w:rPr>
      </w:pPr>
    </w:p>
    <w:p w14:paraId="3DBE8C71">
      <w:pPr>
        <w:snapToGrid w:val="0"/>
        <w:spacing w:line="360" w:lineRule="auto"/>
        <w:jc w:val="center"/>
        <w:rPr>
          <w:rFonts w:hint="eastAsia" w:ascii="仿宋" w:hAnsi="仿宋" w:eastAsia="仿宋" w:cs="仿宋"/>
          <w:b/>
          <w:color w:val="auto"/>
          <w:kern w:val="0"/>
          <w:sz w:val="32"/>
          <w:szCs w:val="32"/>
          <w:highlight w:val="none"/>
          <w:lang w:val="zh-CN"/>
        </w:rPr>
      </w:pPr>
    </w:p>
    <w:p w14:paraId="6B6A874C">
      <w:pPr>
        <w:rPr>
          <w:rFonts w:hint="eastAsia" w:ascii="仿宋" w:hAnsi="仿宋" w:eastAsia="仿宋" w:cs="仿宋"/>
          <w:b/>
          <w:color w:val="auto"/>
          <w:kern w:val="0"/>
          <w:sz w:val="32"/>
          <w:szCs w:val="32"/>
          <w:highlight w:val="none"/>
          <w:lang w:val="zh-CN"/>
        </w:rPr>
      </w:pPr>
    </w:p>
    <w:p w14:paraId="13B75640">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2540BE9">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752FB75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4E55A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】招标的有关活动，并对此项目进行投标。为此：</w:t>
      </w:r>
    </w:p>
    <w:p w14:paraId="4489D32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7C316BD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8AD5B1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302C2E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D8697F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397" w:name="_Hlk101257010"/>
      <w:r>
        <w:rPr>
          <w:rFonts w:hint="eastAsia" w:ascii="仿宋" w:hAnsi="仿宋" w:eastAsia="仿宋" w:cs="仿宋"/>
          <w:color w:val="auto"/>
          <w:sz w:val="24"/>
          <w:highlight w:val="none"/>
        </w:rPr>
        <w:t>（如果有)</w:t>
      </w:r>
      <w:bookmarkEnd w:id="397"/>
      <w:r>
        <w:rPr>
          <w:rFonts w:hint="eastAsia" w:ascii="仿宋" w:hAnsi="仿宋" w:eastAsia="仿宋" w:cs="仿宋"/>
          <w:snapToGrid w:val="0"/>
          <w:color w:val="auto"/>
          <w:kern w:val="28"/>
          <w:sz w:val="24"/>
          <w:szCs w:val="20"/>
          <w:highlight w:val="none"/>
        </w:rPr>
        <w:t>；</w:t>
      </w:r>
    </w:p>
    <w:p w14:paraId="1262627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3EF39AE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7E2DD58">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259CBC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FDC83F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314701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217E19C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E796FC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2F570F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5830562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68BA74E">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0B564C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1A6C40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4B85CC8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151F95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75CBF5B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0EF498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215B18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48A7EB1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416268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A66D0F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C79D266">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472E69E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864CF7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AC7E2F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7B4DB00">
      <w:pPr>
        <w:snapToGrid w:val="0"/>
        <w:spacing w:line="360" w:lineRule="auto"/>
        <w:jc w:val="center"/>
        <w:rPr>
          <w:rFonts w:hint="eastAsia" w:ascii="仿宋" w:hAnsi="仿宋" w:eastAsia="仿宋" w:cs="仿宋"/>
          <w:b/>
          <w:color w:val="auto"/>
          <w:kern w:val="0"/>
          <w:sz w:val="32"/>
          <w:szCs w:val="32"/>
          <w:highlight w:val="none"/>
        </w:rPr>
      </w:pPr>
    </w:p>
    <w:p w14:paraId="0D036ADF">
      <w:pPr>
        <w:snapToGrid w:val="0"/>
        <w:spacing w:line="360" w:lineRule="auto"/>
        <w:rPr>
          <w:rFonts w:hint="eastAsia" w:ascii="仿宋" w:hAnsi="仿宋" w:eastAsia="仿宋" w:cs="仿宋"/>
          <w:color w:val="auto"/>
          <w:sz w:val="24"/>
          <w:highlight w:val="none"/>
        </w:rPr>
      </w:pPr>
    </w:p>
    <w:p w14:paraId="117A5983">
      <w:pPr>
        <w:jc w:val="center"/>
        <w:rPr>
          <w:rFonts w:hint="eastAsia" w:ascii="仿宋" w:hAnsi="仿宋" w:eastAsia="仿宋" w:cs="仿宋"/>
          <w:b/>
          <w:color w:val="auto"/>
          <w:kern w:val="0"/>
          <w:sz w:val="32"/>
          <w:szCs w:val="32"/>
          <w:highlight w:val="none"/>
        </w:rPr>
      </w:pPr>
    </w:p>
    <w:p w14:paraId="0EFF253A">
      <w:pPr>
        <w:jc w:val="center"/>
        <w:rPr>
          <w:rFonts w:hint="eastAsia" w:ascii="仿宋" w:hAnsi="仿宋" w:eastAsia="仿宋" w:cs="仿宋"/>
          <w:b/>
          <w:color w:val="auto"/>
          <w:kern w:val="0"/>
          <w:sz w:val="32"/>
          <w:szCs w:val="32"/>
          <w:highlight w:val="none"/>
        </w:rPr>
      </w:pPr>
    </w:p>
    <w:p w14:paraId="63DB3C52">
      <w:pPr>
        <w:jc w:val="center"/>
        <w:rPr>
          <w:rFonts w:hint="eastAsia" w:ascii="仿宋" w:hAnsi="仿宋" w:eastAsia="仿宋" w:cs="仿宋"/>
          <w:b/>
          <w:color w:val="auto"/>
          <w:kern w:val="0"/>
          <w:sz w:val="32"/>
          <w:szCs w:val="32"/>
          <w:highlight w:val="none"/>
        </w:rPr>
      </w:pPr>
    </w:p>
    <w:p w14:paraId="5C3A63E9">
      <w:pPr>
        <w:jc w:val="center"/>
        <w:rPr>
          <w:rFonts w:hint="eastAsia" w:ascii="仿宋" w:hAnsi="仿宋" w:eastAsia="仿宋" w:cs="仿宋"/>
          <w:b/>
          <w:color w:val="auto"/>
          <w:kern w:val="0"/>
          <w:sz w:val="32"/>
          <w:szCs w:val="32"/>
          <w:highlight w:val="none"/>
        </w:rPr>
      </w:pPr>
    </w:p>
    <w:p w14:paraId="559BA0C7">
      <w:pPr>
        <w:jc w:val="center"/>
        <w:rPr>
          <w:rFonts w:hint="eastAsia" w:ascii="仿宋" w:hAnsi="仿宋" w:eastAsia="仿宋" w:cs="仿宋"/>
          <w:b/>
          <w:color w:val="auto"/>
          <w:kern w:val="0"/>
          <w:sz w:val="32"/>
          <w:szCs w:val="32"/>
          <w:highlight w:val="none"/>
        </w:rPr>
      </w:pPr>
    </w:p>
    <w:p w14:paraId="6F2A6241">
      <w:pPr>
        <w:jc w:val="center"/>
        <w:rPr>
          <w:rFonts w:hint="eastAsia" w:ascii="仿宋" w:hAnsi="仿宋" w:eastAsia="仿宋" w:cs="仿宋"/>
          <w:b/>
          <w:color w:val="auto"/>
          <w:kern w:val="0"/>
          <w:sz w:val="32"/>
          <w:szCs w:val="32"/>
          <w:highlight w:val="none"/>
        </w:rPr>
      </w:pPr>
    </w:p>
    <w:p w14:paraId="7B65B155">
      <w:pPr>
        <w:jc w:val="center"/>
        <w:rPr>
          <w:rFonts w:hint="eastAsia" w:ascii="仿宋" w:hAnsi="仿宋" w:eastAsia="仿宋" w:cs="仿宋"/>
          <w:b/>
          <w:color w:val="auto"/>
          <w:kern w:val="0"/>
          <w:sz w:val="32"/>
          <w:szCs w:val="32"/>
          <w:highlight w:val="none"/>
        </w:rPr>
      </w:pPr>
    </w:p>
    <w:p w14:paraId="1EBD7267">
      <w:pPr>
        <w:jc w:val="center"/>
        <w:rPr>
          <w:rFonts w:hint="eastAsia" w:ascii="仿宋" w:hAnsi="仿宋" w:eastAsia="仿宋" w:cs="仿宋"/>
          <w:b/>
          <w:color w:val="auto"/>
          <w:kern w:val="0"/>
          <w:sz w:val="32"/>
          <w:szCs w:val="32"/>
          <w:highlight w:val="none"/>
        </w:rPr>
      </w:pPr>
    </w:p>
    <w:p w14:paraId="285070EA">
      <w:pPr>
        <w:jc w:val="center"/>
        <w:rPr>
          <w:rFonts w:hint="eastAsia" w:ascii="仿宋" w:hAnsi="仿宋" w:eastAsia="仿宋" w:cs="仿宋"/>
          <w:b/>
          <w:color w:val="auto"/>
          <w:kern w:val="0"/>
          <w:sz w:val="32"/>
          <w:szCs w:val="32"/>
          <w:highlight w:val="none"/>
        </w:rPr>
      </w:pPr>
    </w:p>
    <w:p w14:paraId="2639CACD">
      <w:pPr>
        <w:jc w:val="center"/>
        <w:rPr>
          <w:rFonts w:hint="eastAsia" w:ascii="仿宋" w:hAnsi="仿宋" w:eastAsia="仿宋" w:cs="仿宋"/>
          <w:b/>
          <w:color w:val="auto"/>
          <w:kern w:val="0"/>
          <w:sz w:val="32"/>
          <w:szCs w:val="32"/>
          <w:highlight w:val="none"/>
        </w:rPr>
      </w:pPr>
    </w:p>
    <w:p w14:paraId="630A0A70">
      <w:pPr>
        <w:jc w:val="center"/>
        <w:rPr>
          <w:rFonts w:hint="eastAsia" w:ascii="仿宋" w:hAnsi="仿宋" w:eastAsia="仿宋" w:cs="仿宋"/>
          <w:b/>
          <w:color w:val="auto"/>
          <w:kern w:val="0"/>
          <w:sz w:val="32"/>
          <w:szCs w:val="32"/>
          <w:highlight w:val="none"/>
        </w:rPr>
      </w:pPr>
    </w:p>
    <w:p w14:paraId="6C434DC7">
      <w:pPr>
        <w:jc w:val="center"/>
        <w:rPr>
          <w:rFonts w:hint="eastAsia" w:ascii="仿宋" w:hAnsi="仿宋" w:eastAsia="仿宋" w:cs="仿宋"/>
          <w:b/>
          <w:color w:val="auto"/>
          <w:kern w:val="0"/>
          <w:sz w:val="32"/>
          <w:szCs w:val="32"/>
          <w:highlight w:val="none"/>
        </w:rPr>
      </w:pPr>
    </w:p>
    <w:p w14:paraId="0D6D17EA">
      <w:pPr>
        <w:jc w:val="center"/>
        <w:rPr>
          <w:rFonts w:hint="eastAsia" w:ascii="仿宋" w:hAnsi="仿宋" w:eastAsia="仿宋" w:cs="仿宋"/>
          <w:b/>
          <w:color w:val="auto"/>
          <w:kern w:val="0"/>
          <w:sz w:val="32"/>
          <w:szCs w:val="32"/>
          <w:highlight w:val="none"/>
        </w:rPr>
      </w:pPr>
    </w:p>
    <w:p w14:paraId="511BE91D">
      <w:pPr>
        <w:jc w:val="center"/>
        <w:rPr>
          <w:rFonts w:hint="eastAsia" w:ascii="仿宋" w:hAnsi="仿宋" w:eastAsia="仿宋" w:cs="仿宋"/>
          <w:b/>
          <w:color w:val="auto"/>
          <w:kern w:val="0"/>
          <w:sz w:val="32"/>
          <w:szCs w:val="32"/>
          <w:highlight w:val="none"/>
        </w:rPr>
      </w:pPr>
    </w:p>
    <w:p w14:paraId="6B91CDD5">
      <w:pPr>
        <w:jc w:val="center"/>
        <w:rPr>
          <w:rFonts w:hint="eastAsia" w:ascii="仿宋" w:hAnsi="仿宋" w:eastAsia="仿宋" w:cs="仿宋"/>
          <w:b/>
          <w:color w:val="auto"/>
          <w:kern w:val="0"/>
          <w:sz w:val="32"/>
          <w:szCs w:val="32"/>
          <w:highlight w:val="none"/>
        </w:rPr>
      </w:pPr>
    </w:p>
    <w:p w14:paraId="08D0D2E4">
      <w:pPr>
        <w:jc w:val="center"/>
        <w:rPr>
          <w:rFonts w:hint="eastAsia" w:ascii="仿宋" w:hAnsi="仿宋" w:eastAsia="仿宋" w:cs="仿宋"/>
          <w:b/>
          <w:color w:val="auto"/>
          <w:kern w:val="0"/>
          <w:sz w:val="32"/>
          <w:szCs w:val="32"/>
          <w:highlight w:val="none"/>
        </w:rPr>
      </w:pPr>
    </w:p>
    <w:p w14:paraId="69D254F6">
      <w:pPr>
        <w:jc w:val="center"/>
        <w:rPr>
          <w:rFonts w:hint="eastAsia" w:ascii="仿宋" w:hAnsi="仿宋" w:eastAsia="仿宋" w:cs="仿宋"/>
          <w:b/>
          <w:color w:val="auto"/>
          <w:kern w:val="0"/>
          <w:sz w:val="32"/>
          <w:szCs w:val="32"/>
          <w:highlight w:val="none"/>
        </w:rPr>
      </w:pPr>
    </w:p>
    <w:p w14:paraId="3A725609">
      <w:pPr>
        <w:jc w:val="center"/>
        <w:rPr>
          <w:rFonts w:hint="eastAsia" w:ascii="仿宋" w:hAnsi="仿宋" w:eastAsia="仿宋" w:cs="仿宋"/>
          <w:b/>
          <w:color w:val="auto"/>
          <w:kern w:val="0"/>
          <w:sz w:val="32"/>
          <w:szCs w:val="32"/>
          <w:highlight w:val="none"/>
        </w:rPr>
      </w:pPr>
    </w:p>
    <w:p w14:paraId="65436199">
      <w:pPr>
        <w:jc w:val="center"/>
        <w:rPr>
          <w:rFonts w:hint="eastAsia" w:ascii="仿宋" w:hAnsi="仿宋" w:eastAsia="仿宋" w:cs="仿宋"/>
          <w:b/>
          <w:color w:val="auto"/>
          <w:kern w:val="0"/>
          <w:sz w:val="32"/>
          <w:szCs w:val="32"/>
          <w:highlight w:val="none"/>
        </w:rPr>
      </w:pPr>
    </w:p>
    <w:p w14:paraId="74EAC5FB">
      <w:pPr>
        <w:jc w:val="center"/>
        <w:rPr>
          <w:rFonts w:hint="eastAsia" w:ascii="仿宋" w:hAnsi="仿宋" w:eastAsia="仿宋" w:cs="仿宋"/>
          <w:b/>
          <w:color w:val="auto"/>
          <w:kern w:val="0"/>
          <w:sz w:val="32"/>
          <w:szCs w:val="32"/>
          <w:highlight w:val="none"/>
        </w:rPr>
      </w:pPr>
    </w:p>
    <w:p w14:paraId="3A44E52C">
      <w:pPr>
        <w:pStyle w:val="4"/>
        <w:rPr>
          <w:rFonts w:hint="eastAsia" w:ascii="仿宋" w:hAnsi="仿宋" w:eastAsia="仿宋" w:cs="仿宋"/>
          <w:color w:val="auto"/>
          <w:highlight w:val="none"/>
          <w:lang w:val="en-US"/>
        </w:rPr>
      </w:pPr>
    </w:p>
    <w:p w14:paraId="0A2B54FD">
      <w:pPr>
        <w:jc w:val="center"/>
        <w:rPr>
          <w:rFonts w:hint="eastAsia" w:ascii="仿宋" w:hAnsi="仿宋" w:eastAsia="仿宋" w:cs="仿宋"/>
          <w:b/>
          <w:color w:val="auto"/>
          <w:kern w:val="0"/>
          <w:sz w:val="32"/>
          <w:szCs w:val="32"/>
          <w:highlight w:val="none"/>
        </w:rPr>
      </w:pPr>
    </w:p>
    <w:p w14:paraId="0D9D640B">
      <w:pPr>
        <w:jc w:val="center"/>
        <w:rPr>
          <w:rFonts w:hint="eastAsia" w:ascii="仿宋" w:hAnsi="仿宋" w:eastAsia="仿宋" w:cs="仿宋"/>
          <w:b/>
          <w:color w:val="auto"/>
          <w:kern w:val="0"/>
          <w:sz w:val="32"/>
          <w:szCs w:val="32"/>
          <w:highlight w:val="none"/>
        </w:rPr>
      </w:pPr>
    </w:p>
    <w:p w14:paraId="481F6A49">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7A56065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0E5066A">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5793F26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192D51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5C31D1F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3277A66">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5DBD453A">
      <w:pPr>
        <w:pStyle w:val="2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FC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1B6E9CD">
            <w:pPr>
              <w:pStyle w:val="2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4374A5A">
            <w:pPr>
              <w:pStyle w:val="26"/>
              <w:adjustRightInd w:val="0"/>
              <w:spacing w:line="360" w:lineRule="auto"/>
              <w:rPr>
                <w:rFonts w:hint="eastAsia" w:ascii="仿宋" w:hAnsi="仿宋" w:eastAsia="仿宋" w:cs="仿宋"/>
                <w:bCs/>
                <w:color w:val="auto"/>
                <w:sz w:val="24"/>
                <w:highlight w:val="none"/>
              </w:rPr>
            </w:pPr>
          </w:p>
        </w:tc>
      </w:tr>
    </w:tbl>
    <w:p w14:paraId="0A37ABDA">
      <w:pPr>
        <w:pStyle w:val="18"/>
        <w:rPr>
          <w:rFonts w:hint="eastAsia"/>
          <w:color w:val="auto"/>
        </w:rPr>
      </w:pPr>
    </w:p>
    <w:p w14:paraId="1C480C6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00C6BA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E48A9D7">
      <w:pPr>
        <w:snapToGrid w:val="0"/>
        <w:spacing w:line="360" w:lineRule="auto"/>
        <w:rPr>
          <w:rFonts w:hint="eastAsia" w:ascii="仿宋" w:hAnsi="仿宋" w:eastAsia="仿宋" w:cs="仿宋"/>
          <w:color w:val="auto"/>
          <w:sz w:val="24"/>
          <w:highlight w:val="none"/>
        </w:rPr>
      </w:pPr>
    </w:p>
    <w:p w14:paraId="4AD1E36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p>
    <w:p w14:paraId="52E3D9E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9FD871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386964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3145141">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027F519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A330A7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10F0DF32">
      <w:pPr>
        <w:pStyle w:val="2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FA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CCE552B">
            <w:pPr>
              <w:pStyle w:val="2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86310AC">
            <w:pPr>
              <w:pStyle w:val="26"/>
              <w:adjustRightInd w:val="0"/>
              <w:spacing w:line="360" w:lineRule="auto"/>
              <w:rPr>
                <w:rFonts w:hint="eastAsia" w:ascii="仿宋" w:hAnsi="仿宋" w:eastAsia="仿宋" w:cs="仿宋"/>
                <w:bCs/>
                <w:color w:val="auto"/>
                <w:sz w:val="24"/>
                <w:highlight w:val="none"/>
              </w:rPr>
            </w:pPr>
          </w:p>
        </w:tc>
      </w:tr>
    </w:tbl>
    <w:p w14:paraId="33188C54">
      <w:pPr>
        <w:pStyle w:val="18"/>
        <w:rPr>
          <w:rFonts w:hint="eastAsia"/>
          <w:color w:val="auto"/>
        </w:rPr>
      </w:pPr>
    </w:p>
    <w:p w14:paraId="1F82813C">
      <w:pPr>
        <w:jc w:val="center"/>
        <w:rPr>
          <w:rFonts w:hint="eastAsia" w:ascii="仿宋" w:hAnsi="仿宋" w:eastAsia="仿宋" w:cs="仿宋"/>
          <w:b/>
          <w:color w:val="auto"/>
          <w:kern w:val="0"/>
          <w:sz w:val="32"/>
          <w:szCs w:val="32"/>
          <w:highlight w:val="none"/>
        </w:rPr>
      </w:pPr>
    </w:p>
    <w:p w14:paraId="2439CE6F">
      <w:pPr>
        <w:rPr>
          <w:rFonts w:hint="eastAsia" w:ascii="仿宋" w:hAnsi="仿宋" w:eastAsia="仿宋" w:cs="仿宋"/>
          <w:color w:val="auto"/>
          <w:highlight w:val="none"/>
        </w:rPr>
      </w:pPr>
    </w:p>
    <w:p w14:paraId="3BC280B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1176A1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178FB69">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5D97D8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603AC18">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764AD83">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630C93E">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7D3CFE5">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8B56E27">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5D223EE4">
      <w:pPr>
        <w:pStyle w:val="2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B1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3DB3DEB">
            <w:pPr>
              <w:pStyle w:val="2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FC54102">
            <w:pPr>
              <w:pStyle w:val="26"/>
              <w:adjustRightInd w:val="0"/>
              <w:spacing w:line="360" w:lineRule="auto"/>
              <w:rPr>
                <w:rFonts w:hint="eastAsia" w:ascii="仿宋" w:hAnsi="仿宋" w:eastAsia="仿宋" w:cs="仿宋"/>
                <w:bCs/>
                <w:color w:val="auto"/>
                <w:sz w:val="24"/>
                <w:highlight w:val="none"/>
              </w:rPr>
            </w:pPr>
          </w:p>
        </w:tc>
      </w:tr>
    </w:tbl>
    <w:p w14:paraId="503D656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286D9B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04DA039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2283CD1">
      <w:pPr>
        <w:jc w:val="center"/>
        <w:rPr>
          <w:rFonts w:hint="eastAsia" w:ascii="仿宋" w:hAnsi="仿宋" w:eastAsia="仿宋" w:cs="仿宋"/>
          <w:b/>
          <w:color w:val="auto"/>
          <w:kern w:val="0"/>
          <w:sz w:val="32"/>
          <w:szCs w:val="32"/>
          <w:highlight w:val="none"/>
        </w:rPr>
      </w:pPr>
    </w:p>
    <w:p w14:paraId="30D48AFB">
      <w:pPr>
        <w:jc w:val="center"/>
        <w:rPr>
          <w:rFonts w:hint="eastAsia" w:ascii="仿宋" w:hAnsi="仿宋" w:eastAsia="仿宋" w:cs="仿宋"/>
          <w:b/>
          <w:color w:val="auto"/>
          <w:kern w:val="0"/>
          <w:sz w:val="32"/>
          <w:szCs w:val="32"/>
          <w:highlight w:val="none"/>
        </w:rPr>
      </w:pPr>
    </w:p>
    <w:p w14:paraId="4CE18CFF">
      <w:pPr>
        <w:jc w:val="center"/>
        <w:rPr>
          <w:rFonts w:hint="eastAsia" w:ascii="仿宋" w:hAnsi="仿宋" w:eastAsia="仿宋" w:cs="仿宋"/>
          <w:b/>
          <w:color w:val="auto"/>
          <w:kern w:val="0"/>
          <w:sz w:val="32"/>
          <w:szCs w:val="32"/>
          <w:highlight w:val="none"/>
        </w:rPr>
      </w:pPr>
    </w:p>
    <w:p w14:paraId="61AF4DA3">
      <w:pPr>
        <w:jc w:val="center"/>
        <w:rPr>
          <w:rFonts w:hint="eastAsia" w:ascii="仿宋" w:hAnsi="仿宋" w:eastAsia="仿宋" w:cs="仿宋"/>
          <w:b/>
          <w:color w:val="auto"/>
          <w:kern w:val="0"/>
          <w:sz w:val="32"/>
          <w:szCs w:val="32"/>
          <w:highlight w:val="none"/>
        </w:rPr>
      </w:pPr>
    </w:p>
    <w:p w14:paraId="4895F350">
      <w:pPr>
        <w:jc w:val="center"/>
        <w:rPr>
          <w:rFonts w:hint="eastAsia" w:ascii="仿宋" w:hAnsi="仿宋" w:eastAsia="仿宋" w:cs="仿宋"/>
          <w:b/>
          <w:color w:val="auto"/>
          <w:kern w:val="0"/>
          <w:sz w:val="32"/>
          <w:szCs w:val="32"/>
          <w:highlight w:val="none"/>
        </w:rPr>
      </w:pPr>
    </w:p>
    <w:p w14:paraId="0F0573F5">
      <w:pPr>
        <w:jc w:val="center"/>
        <w:rPr>
          <w:rFonts w:hint="eastAsia" w:ascii="仿宋" w:hAnsi="仿宋" w:eastAsia="仿宋" w:cs="仿宋"/>
          <w:b/>
          <w:color w:val="auto"/>
          <w:kern w:val="0"/>
          <w:sz w:val="32"/>
          <w:szCs w:val="32"/>
          <w:highlight w:val="none"/>
        </w:rPr>
      </w:pPr>
    </w:p>
    <w:p w14:paraId="260A1CF0">
      <w:pPr>
        <w:jc w:val="center"/>
        <w:rPr>
          <w:rFonts w:hint="eastAsia" w:ascii="仿宋" w:hAnsi="仿宋" w:eastAsia="仿宋" w:cs="仿宋"/>
          <w:b/>
          <w:color w:val="auto"/>
          <w:kern w:val="0"/>
          <w:sz w:val="32"/>
          <w:szCs w:val="32"/>
          <w:highlight w:val="none"/>
        </w:rPr>
      </w:pPr>
    </w:p>
    <w:p w14:paraId="7FE6D7CD">
      <w:pPr>
        <w:jc w:val="center"/>
        <w:rPr>
          <w:rFonts w:hint="eastAsia" w:ascii="仿宋" w:hAnsi="仿宋" w:eastAsia="仿宋" w:cs="仿宋"/>
          <w:b/>
          <w:color w:val="auto"/>
          <w:kern w:val="0"/>
          <w:sz w:val="32"/>
          <w:szCs w:val="32"/>
          <w:highlight w:val="none"/>
        </w:rPr>
      </w:pPr>
    </w:p>
    <w:p w14:paraId="5E34E829">
      <w:pPr>
        <w:jc w:val="center"/>
        <w:rPr>
          <w:rFonts w:hint="eastAsia" w:ascii="仿宋" w:hAnsi="仿宋" w:eastAsia="仿宋" w:cs="仿宋"/>
          <w:b/>
          <w:color w:val="auto"/>
          <w:kern w:val="0"/>
          <w:sz w:val="32"/>
          <w:szCs w:val="32"/>
          <w:highlight w:val="none"/>
        </w:rPr>
      </w:pPr>
    </w:p>
    <w:p w14:paraId="2D14BFEC">
      <w:pPr>
        <w:jc w:val="center"/>
        <w:rPr>
          <w:rFonts w:hint="eastAsia" w:ascii="仿宋" w:hAnsi="仿宋" w:eastAsia="仿宋" w:cs="仿宋"/>
          <w:b/>
          <w:color w:val="auto"/>
          <w:kern w:val="0"/>
          <w:sz w:val="32"/>
          <w:szCs w:val="32"/>
          <w:highlight w:val="none"/>
        </w:rPr>
      </w:pPr>
    </w:p>
    <w:p w14:paraId="5DE129D9">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00DEE2DE">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7FE7AF78">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49D5AF27">
      <w:pPr>
        <w:snapToGrid w:val="0"/>
        <w:spacing w:line="360" w:lineRule="auto"/>
        <w:rPr>
          <w:rFonts w:hint="eastAsia" w:ascii="仿宋" w:hAnsi="仿宋" w:eastAsia="仿宋" w:cs="仿宋"/>
          <w:color w:val="auto"/>
          <w:kern w:val="0"/>
          <w:sz w:val="24"/>
          <w:highlight w:val="none"/>
        </w:rPr>
      </w:pPr>
    </w:p>
    <w:p w14:paraId="21AA92E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39C97D0">
      <w:pPr>
        <w:jc w:val="center"/>
        <w:rPr>
          <w:rFonts w:hint="eastAsia" w:ascii="仿宋" w:hAnsi="仿宋" w:eastAsia="仿宋" w:cs="仿宋"/>
          <w:b/>
          <w:color w:val="auto"/>
          <w:kern w:val="0"/>
          <w:sz w:val="32"/>
          <w:szCs w:val="32"/>
          <w:highlight w:val="none"/>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2E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FE4155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E08A12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6A941E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CEC1B3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7D38954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90D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C1E70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6BDAAF2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3FF5EB1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24A6334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11F9BBD">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690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F6E26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2B097C4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16161AB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5CC45A74">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2D7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3B51E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22D8BBD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FEC6F23">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14:paraId="63F1BF3A">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9480A9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0F27576">
      <w:pPr>
        <w:jc w:val="center"/>
        <w:rPr>
          <w:rFonts w:hint="eastAsia" w:ascii="仿宋" w:hAnsi="仿宋" w:eastAsia="仿宋" w:cs="仿宋"/>
          <w:b/>
          <w:color w:val="auto"/>
          <w:kern w:val="0"/>
          <w:sz w:val="32"/>
          <w:szCs w:val="32"/>
          <w:highlight w:val="none"/>
        </w:rPr>
      </w:pPr>
    </w:p>
    <w:p w14:paraId="483AEC26">
      <w:pPr>
        <w:adjustRightInd/>
        <w:spacing w:line="360" w:lineRule="auto"/>
        <w:rPr>
          <w:rFonts w:hint="eastAsia" w:ascii="仿宋" w:hAnsi="仿宋" w:eastAsia="仿宋" w:cs="仿宋"/>
          <w:color w:val="auto"/>
          <w:sz w:val="24"/>
          <w:szCs w:val="24"/>
        </w:rPr>
      </w:pPr>
      <w:r>
        <w:rPr>
          <w:rFonts w:hint="eastAsia" w:ascii="仿宋" w:hAnsi="仿宋" w:eastAsia="仿宋" w:cs="仿宋"/>
          <w:b/>
          <w:color w:val="auto"/>
          <w:kern w:val="0"/>
          <w:sz w:val="24"/>
          <w:szCs w:val="24"/>
          <w:highlight w:val="none"/>
          <w:lang w:val="en-US" w:eastAsia="zh-CN"/>
        </w:rPr>
        <w:t>本项目实质性要求：</w:t>
      </w:r>
      <w:r>
        <w:rPr>
          <w:rFonts w:hint="eastAsia" w:ascii="仿宋" w:hAnsi="仿宋" w:eastAsia="仿宋" w:cs="仿宋"/>
          <w:color w:val="auto"/>
          <w:sz w:val="24"/>
          <w:szCs w:val="24"/>
        </w:rPr>
        <w:t xml:space="preserve"> </w:t>
      </w:r>
    </w:p>
    <w:p w14:paraId="4A835633">
      <w:pPr>
        <w:adjustRightInd/>
        <w:spacing w:line="360" w:lineRule="auto"/>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b/>
          <w:color w:val="auto"/>
          <w:sz w:val="24"/>
        </w:rPr>
        <w:t>1、本项目要求中乙方所提供的保安人员都需持证上岗。(提供保安员相关证件复印件)</w:t>
      </w:r>
    </w:p>
    <w:p w14:paraId="53A50DF7">
      <w:pPr>
        <w:adjustRightInd/>
        <w:spacing w:line="360" w:lineRule="auto"/>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b/>
          <w:color w:val="auto"/>
          <w:sz w:val="24"/>
        </w:rPr>
        <w:t>2、本项目要求中乙方所提供的每周工作时间需满足。（需提供承诺函）</w:t>
      </w:r>
    </w:p>
    <w:p w14:paraId="03374D50">
      <w:pPr>
        <w:adjustRightInd/>
        <w:spacing w:line="360" w:lineRule="auto"/>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b/>
          <w:color w:val="auto"/>
          <w:sz w:val="24"/>
        </w:rPr>
        <w:t>3、本项目如甲方有要求增加的临时应急处理的其他工作，乙方需承诺按甲方要求无条件在1小时内组织保安人员协助甲方处理临时应急工作；临时派遣的保安人员身体素质、业务技能等各类要求与常驻保安人员相同，按实结算，另行支付。(需提供承诺函）</w:t>
      </w:r>
    </w:p>
    <w:p w14:paraId="531FC87B">
      <w:pPr>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D07669C">
      <w:pPr>
        <w:jc w:val="center"/>
        <w:rPr>
          <w:rFonts w:hint="eastAsia" w:ascii="仿宋" w:hAnsi="仿宋" w:eastAsia="仿宋" w:cs="仿宋"/>
          <w:b/>
          <w:color w:val="auto"/>
          <w:kern w:val="0"/>
          <w:sz w:val="32"/>
          <w:szCs w:val="32"/>
          <w:highlight w:val="none"/>
        </w:rPr>
      </w:pPr>
    </w:p>
    <w:p w14:paraId="056FCD40">
      <w:pPr>
        <w:jc w:val="center"/>
        <w:rPr>
          <w:rFonts w:hint="eastAsia" w:ascii="仿宋" w:hAnsi="仿宋" w:eastAsia="仿宋" w:cs="仿宋"/>
          <w:b/>
          <w:color w:val="auto"/>
          <w:kern w:val="0"/>
          <w:sz w:val="32"/>
          <w:szCs w:val="32"/>
          <w:highlight w:val="none"/>
        </w:rPr>
      </w:pPr>
    </w:p>
    <w:p w14:paraId="7B3E252A">
      <w:pPr>
        <w:jc w:val="center"/>
        <w:rPr>
          <w:rFonts w:hint="eastAsia" w:ascii="仿宋" w:hAnsi="仿宋" w:eastAsia="仿宋" w:cs="仿宋"/>
          <w:b/>
          <w:color w:val="auto"/>
          <w:kern w:val="0"/>
          <w:sz w:val="32"/>
          <w:szCs w:val="32"/>
          <w:highlight w:val="none"/>
        </w:rPr>
      </w:pPr>
    </w:p>
    <w:p w14:paraId="3D669B93">
      <w:pPr>
        <w:jc w:val="center"/>
        <w:rPr>
          <w:rFonts w:hint="eastAsia" w:ascii="仿宋" w:hAnsi="仿宋" w:eastAsia="仿宋" w:cs="仿宋"/>
          <w:b/>
          <w:color w:val="auto"/>
          <w:kern w:val="0"/>
          <w:sz w:val="32"/>
          <w:szCs w:val="32"/>
          <w:highlight w:val="none"/>
        </w:rPr>
      </w:pPr>
    </w:p>
    <w:p w14:paraId="5F520B96">
      <w:pPr>
        <w:jc w:val="center"/>
        <w:rPr>
          <w:rFonts w:hint="eastAsia" w:ascii="仿宋" w:hAnsi="仿宋" w:eastAsia="仿宋" w:cs="仿宋"/>
          <w:b/>
          <w:color w:val="auto"/>
          <w:kern w:val="0"/>
          <w:sz w:val="32"/>
          <w:szCs w:val="32"/>
          <w:highlight w:val="none"/>
        </w:rPr>
      </w:pPr>
    </w:p>
    <w:p w14:paraId="1ECF8592">
      <w:pPr>
        <w:jc w:val="center"/>
        <w:rPr>
          <w:rFonts w:hint="eastAsia" w:ascii="仿宋" w:hAnsi="仿宋" w:eastAsia="仿宋" w:cs="仿宋"/>
          <w:b/>
          <w:color w:val="auto"/>
          <w:kern w:val="0"/>
          <w:sz w:val="32"/>
          <w:szCs w:val="32"/>
          <w:highlight w:val="none"/>
        </w:rPr>
      </w:pPr>
    </w:p>
    <w:p w14:paraId="07C391F8">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3B4321A">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3E7A6790">
      <w:pPr>
        <w:jc w:val="center"/>
        <w:rPr>
          <w:rFonts w:hint="eastAsia" w:ascii="仿宋" w:hAnsi="仿宋" w:eastAsia="仿宋" w:cs="仿宋"/>
          <w:b/>
          <w:color w:val="auto"/>
          <w:kern w:val="0"/>
          <w:sz w:val="32"/>
          <w:szCs w:val="32"/>
          <w:highlight w:val="none"/>
        </w:rPr>
      </w:pPr>
    </w:p>
    <w:p w14:paraId="1EC51757">
      <w:pPr>
        <w:jc w:val="center"/>
        <w:rPr>
          <w:rFonts w:hint="eastAsia" w:ascii="仿宋" w:hAnsi="仿宋" w:eastAsia="仿宋" w:cs="仿宋"/>
          <w:b/>
          <w:color w:val="auto"/>
          <w:kern w:val="0"/>
          <w:sz w:val="32"/>
          <w:szCs w:val="32"/>
          <w:highlight w:val="none"/>
        </w:rPr>
      </w:pPr>
    </w:p>
    <w:p w14:paraId="35DCF4D7">
      <w:pPr>
        <w:jc w:val="center"/>
        <w:rPr>
          <w:rFonts w:hint="eastAsia" w:ascii="仿宋" w:hAnsi="仿宋" w:eastAsia="仿宋" w:cs="仿宋"/>
          <w:b/>
          <w:color w:val="auto"/>
          <w:kern w:val="0"/>
          <w:sz w:val="32"/>
          <w:szCs w:val="32"/>
          <w:highlight w:val="none"/>
        </w:rPr>
      </w:pPr>
    </w:p>
    <w:p w14:paraId="3BEC6C0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2"/>
        <w:gridCol w:w="1411"/>
        <w:gridCol w:w="1260"/>
        <w:gridCol w:w="2775"/>
        <w:gridCol w:w="930"/>
        <w:gridCol w:w="1526"/>
      </w:tblGrid>
      <w:tr w14:paraId="1DC8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6B61E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72" w:type="dxa"/>
            <w:tcBorders>
              <w:top w:val="single" w:color="auto" w:sz="4" w:space="0"/>
              <w:left w:val="single" w:color="auto" w:sz="4" w:space="0"/>
              <w:bottom w:val="single" w:color="auto" w:sz="4" w:space="0"/>
              <w:right w:val="single" w:color="auto" w:sz="4" w:space="0"/>
            </w:tcBorders>
            <w:vAlign w:val="center"/>
          </w:tcPr>
          <w:p w14:paraId="3D8F5EC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411" w:type="dxa"/>
            <w:tcBorders>
              <w:top w:val="single" w:color="auto" w:sz="4" w:space="0"/>
              <w:left w:val="single" w:color="auto" w:sz="4" w:space="0"/>
              <w:bottom w:val="single" w:color="auto" w:sz="4" w:space="0"/>
              <w:right w:val="single" w:color="auto" w:sz="4" w:space="0"/>
            </w:tcBorders>
          </w:tcPr>
          <w:p w14:paraId="1E8C3574">
            <w:pPr>
              <w:spacing w:line="360" w:lineRule="auto"/>
              <w:jc w:val="center"/>
              <w:rPr>
                <w:rFonts w:hint="eastAsia" w:ascii="仿宋" w:hAnsi="仿宋" w:eastAsia="仿宋" w:cs="仿宋"/>
                <w:b/>
                <w:color w:val="auto"/>
                <w:sz w:val="24"/>
                <w:highlight w:val="none"/>
              </w:rPr>
            </w:pPr>
          </w:p>
          <w:p w14:paraId="1737D78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C120D8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28CBDD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2AD741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E7C3D40">
            <w:pPr>
              <w:spacing w:line="360" w:lineRule="auto"/>
              <w:jc w:val="center"/>
              <w:rPr>
                <w:rFonts w:hint="eastAsia" w:ascii="仿宋" w:hAnsi="仿宋" w:eastAsia="仿宋" w:cs="仿宋"/>
                <w:b/>
                <w:color w:val="auto"/>
                <w:sz w:val="24"/>
                <w:highlight w:val="none"/>
              </w:rPr>
            </w:pPr>
          </w:p>
          <w:p w14:paraId="1691128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B739302">
            <w:pPr>
              <w:spacing w:line="360" w:lineRule="auto"/>
              <w:jc w:val="center"/>
              <w:rPr>
                <w:rFonts w:hint="eastAsia" w:ascii="仿宋" w:hAnsi="仿宋" w:eastAsia="仿宋" w:cs="仿宋"/>
                <w:b/>
                <w:color w:val="auto"/>
                <w:sz w:val="24"/>
                <w:highlight w:val="none"/>
              </w:rPr>
            </w:pPr>
          </w:p>
        </w:tc>
      </w:tr>
      <w:tr w14:paraId="6227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06B14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72" w:type="dxa"/>
            <w:tcBorders>
              <w:top w:val="single" w:color="auto" w:sz="4" w:space="0"/>
              <w:left w:val="single" w:color="auto" w:sz="4" w:space="0"/>
              <w:bottom w:val="single" w:color="auto" w:sz="4" w:space="0"/>
              <w:right w:val="single" w:color="auto" w:sz="4" w:space="0"/>
            </w:tcBorders>
            <w:vAlign w:val="center"/>
          </w:tcPr>
          <w:p w14:paraId="4CF2D2EF">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A377180">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5A130D">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121861A">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A42FBF1">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B85D427">
            <w:pPr>
              <w:spacing w:line="360" w:lineRule="auto"/>
              <w:jc w:val="center"/>
              <w:rPr>
                <w:rFonts w:hint="eastAsia" w:ascii="仿宋" w:hAnsi="仿宋" w:eastAsia="仿宋" w:cs="仿宋"/>
                <w:color w:val="auto"/>
                <w:sz w:val="24"/>
                <w:highlight w:val="none"/>
              </w:rPr>
            </w:pPr>
          </w:p>
        </w:tc>
      </w:tr>
      <w:tr w14:paraId="163C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FB762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072" w:type="dxa"/>
            <w:tcBorders>
              <w:top w:val="single" w:color="auto" w:sz="4" w:space="0"/>
              <w:left w:val="single" w:color="auto" w:sz="4" w:space="0"/>
              <w:bottom w:val="single" w:color="auto" w:sz="4" w:space="0"/>
              <w:right w:val="single" w:color="auto" w:sz="4" w:space="0"/>
            </w:tcBorders>
            <w:vAlign w:val="center"/>
          </w:tcPr>
          <w:p w14:paraId="17F63BB5">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5290FB82">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97CE1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2C771CC">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745377A">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B12FD22">
            <w:pPr>
              <w:spacing w:line="360" w:lineRule="auto"/>
              <w:jc w:val="center"/>
              <w:rPr>
                <w:rFonts w:hint="eastAsia" w:ascii="仿宋" w:hAnsi="仿宋" w:eastAsia="仿宋" w:cs="仿宋"/>
                <w:color w:val="auto"/>
                <w:sz w:val="24"/>
                <w:highlight w:val="none"/>
              </w:rPr>
            </w:pPr>
          </w:p>
        </w:tc>
      </w:tr>
      <w:tr w14:paraId="01D6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4B804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72" w:type="dxa"/>
            <w:tcBorders>
              <w:top w:val="single" w:color="auto" w:sz="4" w:space="0"/>
              <w:left w:val="single" w:color="auto" w:sz="4" w:space="0"/>
              <w:bottom w:val="single" w:color="auto" w:sz="4" w:space="0"/>
              <w:right w:val="single" w:color="auto" w:sz="4" w:space="0"/>
            </w:tcBorders>
            <w:vAlign w:val="center"/>
          </w:tcPr>
          <w:p w14:paraId="35B167C0">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13A9E0EA">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6B4D8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1FE9E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A006CB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AD1DDB2">
            <w:pPr>
              <w:spacing w:line="360" w:lineRule="auto"/>
              <w:jc w:val="center"/>
              <w:rPr>
                <w:rFonts w:hint="eastAsia" w:ascii="仿宋" w:hAnsi="仿宋" w:eastAsia="仿宋" w:cs="仿宋"/>
                <w:color w:val="auto"/>
                <w:sz w:val="24"/>
                <w:highlight w:val="none"/>
              </w:rPr>
            </w:pPr>
          </w:p>
        </w:tc>
      </w:tr>
    </w:tbl>
    <w:p w14:paraId="5DBB80F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31F7936">
      <w:pPr>
        <w:jc w:val="center"/>
        <w:rPr>
          <w:rFonts w:hint="eastAsia" w:ascii="仿宋" w:hAnsi="仿宋" w:eastAsia="仿宋" w:cs="仿宋"/>
          <w:b/>
          <w:color w:val="auto"/>
          <w:kern w:val="0"/>
          <w:sz w:val="32"/>
          <w:szCs w:val="32"/>
          <w:highlight w:val="none"/>
        </w:rPr>
      </w:pPr>
    </w:p>
    <w:p w14:paraId="5C139168">
      <w:pPr>
        <w:jc w:val="center"/>
        <w:rPr>
          <w:rFonts w:hint="eastAsia" w:ascii="仿宋" w:hAnsi="仿宋" w:eastAsia="仿宋" w:cs="仿宋"/>
          <w:b/>
          <w:color w:val="auto"/>
          <w:kern w:val="0"/>
          <w:sz w:val="32"/>
          <w:szCs w:val="32"/>
          <w:highlight w:val="none"/>
        </w:rPr>
      </w:pPr>
    </w:p>
    <w:p w14:paraId="0C97E94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533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D8C16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0455CF2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1633FCE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754856C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BFD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B0D59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67880BB">
            <w:pPr>
              <w:jc w:val="center"/>
              <w:rPr>
                <w:rFonts w:hint="eastAsia" w:ascii="仿宋" w:hAnsi="仿宋" w:eastAsia="仿宋" w:cs="仿宋"/>
                <w:b/>
                <w:color w:val="auto"/>
                <w:kern w:val="0"/>
                <w:sz w:val="32"/>
                <w:szCs w:val="32"/>
                <w:highlight w:val="none"/>
              </w:rPr>
            </w:pPr>
          </w:p>
        </w:tc>
        <w:tc>
          <w:tcPr>
            <w:tcW w:w="3546" w:type="dxa"/>
          </w:tcPr>
          <w:p w14:paraId="3CED5C4E">
            <w:pPr>
              <w:jc w:val="center"/>
              <w:rPr>
                <w:rFonts w:hint="eastAsia" w:ascii="仿宋" w:hAnsi="仿宋" w:eastAsia="仿宋" w:cs="仿宋"/>
                <w:b/>
                <w:color w:val="auto"/>
                <w:kern w:val="0"/>
                <w:sz w:val="32"/>
                <w:szCs w:val="32"/>
                <w:highlight w:val="none"/>
              </w:rPr>
            </w:pPr>
          </w:p>
        </w:tc>
        <w:tc>
          <w:tcPr>
            <w:tcW w:w="1276" w:type="dxa"/>
          </w:tcPr>
          <w:p w14:paraId="3BCA2822">
            <w:pPr>
              <w:jc w:val="center"/>
              <w:rPr>
                <w:rFonts w:hint="eastAsia" w:ascii="仿宋" w:hAnsi="仿宋" w:eastAsia="仿宋" w:cs="仿宋"/>
                <w:b/>
                <w:color w:val="auto"/>
                <w:kern w:val="0"/>
                <w:sz w:val="32"/>
                <w:szCs w:val="32"/>
                <w:highlight w:val="none"/>
              </w:rPr>
            </w:pPr>
          </w:p>
        </w:tc>
      </w:tr>
      <w:tr w14:paraId="730B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08362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53F3154E">
            <w:pPr>
              <w:jc w:val="center"/>
              <w:rPr>
                <w:rFonts w:hint="eastAsia" w:ascii="仿宋" w:hAnsi="仿宋" w:eastAsia="仿宋" w:cs="仿宋"/>
                <w:b/>
                <w:color w:val="auto"/>
                <w:kern w:val="0"/>
                <w:sz w:val="32"/>
                <w:szCs w:val="32"/>
                <w:highlight w:val="none"/>
              </w:rPr>
            </w:pPr>
          </w:p>
        </w:tc>
        <w:tc>
          <w:tcPr>
            <w:tcW w:w="3546" w:type="dxa"/>
          </w:tcPr>
          <w:p w14:paraId="79B67A99">
            <w:pPr>
              <w:jc w:val="center"/>
              <w:rPr>
                <w:rFonts w:hint="eastAsia" w:ascii="仿宋" w:hAnsi="仿宋" w:eastAsia="仿宋" w:cs="仿宋"/>
                <w:b/>
                <w:color w:val="auto"/>
                <w:kern w:val="0"/>
                <w:sz w:val="32"/>
                <w:szCs w:val="32"/>
                <w:highlight w:val="none"/>
              </w:rPr>
            </w:pPr>
          </w:p>
        </w:tc>
        <w:tc>
          <w:tcPr>
            <w:tcW w:w="1276" w:type="dxa"/>
          </w:tcPr>
          <w:p w14:paraId="4561B39D">
            <w:pPr>
              <w:jc w:val="center"/>
              <w:rPr>
                <w:rFonts w:hint="eastAsia" w:ascii="仿宋" w:hAnsi="仿宋" w:eastAsia="仿宋" w:cs="仿宋"/>
                <w:b/>
                <w:color w:val="auto"/>
                <w:kern w:val="0"/>
                <w:sz w:val="32"/>
                <w:szCs w:val="32"/>
                <w:highlight w:val="none"/>
              </w:rPr>
            </w:pPr>
          </w:p>
        </w:tc>
      </w:tr>
      <w:tr w14:paraId="52F6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B7D6C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9A0D2A9">
            <w:pPr>
              <w:jc w:val="center"/>
              <w:rPr>
                <w:rFonts w:hint="eastAsia" w:ascii="仿宋" w:hAnsi="仿宋" w:eastAsia="仿宋" w:cs="仿宋"/>
                <w:b/>
                <w:color w:val="auto"/>
                <w:kern w:val="0"/>
                <w:sz w:val="32"/>
                <w:szCs w:val="32"/>
                <w:highlight w:val="none"/>
              </w:rPr>
            </w:pPr>
          </w:p>
        </w:tc>
        <w:tc>
          <w:tcPr>
            <w:tcW w:w="3546" w:type="dxa"/>
          </w:tcPr>
          <w:p w14:paraId="62122E03">
            <w:pPr>
              <w:jc w:val="center"/>
              <w:rPr>
                <w:rFonts w:hint="eastAsia" w:ascii="仿宋" w:hAnsi="仿宋" w:eastAsia="仿宋" w:cs="仿宋"/>
                <w:b/>
                <w:color w:val="auto"/>
                <w:kern w:val="0"/>
                <w:sz w:val="32"/>
                <w:szCs w:val="32"/>
                <w:highlight w:val="none"/>
              </w:rPr>
            </w:pPr>
          </w:p>
        </w:tc>
        <w:tc>
          <w:tcPr>
            <w:tcW w:w="1276" w:type="dxa"/>
          </w:tcPr>
          <w:p w14:paraId="0DCBF8EC">
            <w:pPr>
              <w:jc w:val="center"/>
              <w:rPr>
                <w:rFonts w:hint="eastAsia" w:ascii="仿宋" w:hAnsi="仿宋" w:eastAsia="仿宋" w:cs="仿宋"/>
                <w:b/>
                <w:color w:val="auto"/>
                <w:kern w:val="0"/>
                <w:sz w:val="32"/>
                <w:szCs w:val="32"/>
                <w:highlight w:val="none"/>
              </w:rPr>
            </w:pPr>
          </w:p>
        </w:tc>
      </w:tr>
    </w:tbl>
    <w:p w14:paraId="4E98CACB">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2FBF4D9">
      <w:pPr>
        <w:jc w:val="center"/>
        <w:rPr>
          <w:rFonts w:hint="eastAsia" w:ascii="仿宋" w:hAnsi="仿宋" w:eastAsia="仿宋" w:cs="仿宋"/>
          <w:b/>
          <w:color w:val="auto"/>
          <w:kern w:val="0"/>
          <w:sz w:val="32"/>
          <w:szCs w:val="32"/>
          <w:highlight w:val="none"/>
        </w:rPr>
      </w:pPr>
    </w:p>
    <w:p w14:paraId="1C672AD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63EC591">
      <w:pPr>
        <w:ind w:firstLine="1911" w:firstLineChars="595"/>
        <w:rPr>
          <w:rFonts w:hint="eastAsia" w:ascii="仿宋" w:hAnsi="仿宋" w:eastAsia="仿宋" w:cs="仿宋"/>
          <w:b/>
          <w:bCs/>
          <w:color w:val="auto"/>
          <w:sz w:val="32"/>
          <w:szCs w:val="32"/>
          <w:highlight w:val="none"/>
        </w:rPr>
      </w:pPr>
    </w:p>
    <w:p w14:paraId="3BB9BEEB">
      <w:pPr>
        <w:ind w:firstLine="1911" w:firstLineChars="595"/>
        <w:rPr>
          <w:rFonts w:hint="eastAsia" w:ascii="仿宋" w:hAnsi="仿宋" w:eastAsia="仿宋" w:cs="仿宋"/>
          <w:b/>
          <w:bCs/>
          <w:color w:val="auto"/>
          <w:sz w:val="32"/>
          <w:szCs w:val="32"/>
          <w:highlight w:val="none"/>
        </w:rPr>
      </w:pPr>
    </w:p>
    <w:p w14:paraId="39D59413">
      <w:pPr>
        <w:ind w:firstLine="1911" w:firstLineChars="595"/>
        <w:rPr>
          <w:rFonts w:hint="eastAsia" w:ascii="仿宋" w:hAnsi="仿宋" w:eastAsia="仿宋" w:cs="仿宋"/>
          <w:b/>
          <w:bCs/>
          <w:color w:val="auto"/>
          <w:sz w:val="32"/>
          <w:szCs w:val="32"/>
          <w:highlight w:val="none"/>
        </w:rPr>
      </w:pPr>
    </w:p>
    <w:p w14:paraId="08FA092D">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D51A806">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D4269E4">
      <w:pPr>
        <w:snapToGrid w:val="0"/>
        <w:spacing w:line="360" w:lineRule="auto"/>
        <w:rPr>
          <w:rFonts w:hint="eastAsia" w:ascii="仿宋" w:hAnsi="仿宋" w:eastAsia="仿宋" w:cs="仿宋"/>
          <w:color w:val="auto"/>
          <w:sz w:val="24"/>
          <w:highlight w:val="none"/>
        </w:rPr>
      </w:pPr>
    </w:p>
    <w:p w14:paraId="16121D5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57A2ED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6F4BDD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0C182E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40EE45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E139D7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7D2E9F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941046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7F3487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52AB56D1">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03265E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F99A94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27DE52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70FA30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7F4E769">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7D27133">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5CCB1B2">
      <w:pPr>
        <w:spacing w:line="360" w:lineRule="auto"/>
        <w:jc w:val="center"/>
        <w:rPr>
          <w:rFonts w:hint="eastAsia" w:ascii="仿宋" w:hAnsi="仿宋" w:eastAsia="仿宋" w:cs="仿宋"/>
          <w:b/>
          <w:bCs/>
          <w:color w:val="auto"/>
          <w:sz w:val="24"/>
          <w:highlight w:val="none"/>
        </w:rPr>
      </w:pPr>
    </w:p>
    <w:p w14:paraId="1F20167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2F8E0C4">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14:paraId="6F33D2A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610C55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8A9D6A2">
      <w:pPr>
        <w:spacing w:line="360" w:lineRule="auto"/>
        <w:jc w:val="center"/>
        <w:outlineLvl w:val="0"/>
        <w:rPr>
          <w:rFonts w:hint="eastAsia" w:ascii="仿宋" w:hAnsi="仿宋" w:eastAsia="仿宋" w:cs="仿宋"/>
          <w:b/>
          <w:color w:val="auto"/>
          <w:kern w:val="0"/>
          <w:sz w:val="36"/>
          <w:szCs w:val="36"/>
          <w:highlight w:val="none"/>
        </w:rPr>
      </w:pPr>
    </w:p>
    <w:p w14:paraId="36A384A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952A2E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6DA1FAA5">
      <w:pPr>
        <w:snapToGrid w:val="0"/>
        <w:spacing w:line="360" w:lineRule="auto"/>
        <w:ind w:right="480"/>
        <w:jc w:val="center"/>
        <w:rPr>
          <w:rFonts w:hint="eastAsia" w:ascii="仿宋" w:hAnsi="仿宋" w:eastAsia="仿宋" w:cs="仿宋"/>
          <w:b/>
          <w:color w:val="auto"/>
          <w:kern w:val="0"/>
          <w:sz w:val="32"/>
          <w:szCs w:val="32"/>
          <w:highlight w:val="none"/>
        </w:rPr>
      </w:pPr>
    </w:p>
    <w:p w14:paraId="2BC85C44">
      <w:pPr>
        <w:snapToGrid w:val="0"/>
        <w:spacing w:line="360" w:lineRule="auto"/>
        <w:ind w:right="480"/>
        <w:jc w:val="center"/>
        <w:rPr>
          <w:rFonts w:hint="eastAsia" w:ascii="仿宋" w:hAnsi="仿宋" w:eastAsia="仿宋" w:cs="仿宋"/>
          <w:b/>
          <w:color w:val="auto"/>
          <w:kern w:val="0"/>
          <w:sz w:val="32"/>
          <w:szCs w:val="32"/>
          <w:highlight w:val="none"/>
        </w:rPr>
      </w:pPr>
    </w:p>
    <w:p w14:paraId="2B681173">
      <w:pPr>
        <w:snapToGrid w:val="0"/>
        <w:spacing w:line="360" w:lineRule="auto"/>
        <w:ind w:right="480"/>
        <w:jc w:val="center"/>
        <w:rPr>
          <w:rFonts w:hint="eastAsia" w:ascii="仿宋" w:hAnsi="仿宋" w:eastAsia="仿宋" w:cs="仿宋"/>
          <w:b/>
          <w:color w:val="auto"/>
          <w:kern w:val="0"/>
          <w:sz w:val="32"/>
          <w:szCs w:val="32"/>
          <w:highlight w:val="none"/>
        </w:rPr>
      </w:pPr>
    </w:p>
    <w:p w14:paraId="2A698D59">
      <w:pPr>
        <w:snapToGrid w:val="0"/>
        <w:spacing w:line="360" w:lineRule="auto"/>
        <w:ind w:right="480"/>
        <w:jc w:val="center"/>
        <w:rPr>
          <w:rFonts w:hint="eastAsia" w:ascii="仿宋" w:hAnsi="仿宋" w:eastAsia="仿宋" w:cs="仿宋"/>
          <w:b/>
          <w:color w:val="auto"/>
          <w:kern w:val="0"/>
          <w:sz w:val="32"/>
          <w:szCs w:val="32"/>
          <w:highlight w:val="none"/>
        </w:rPr>
      </w:pPr>
    </w:p>
    <w:p w14:paraId="5C13933E">
      <w:pPr>
        <w:snapToGrid w:val="0"/>
        <w:spacing w:line="360" w:lineRule="auto"/>
        <w:ind w:right="480"/>
        <w:jc w:val="center"/>
        <w:rPr>
          <w:rFonts w:hint="eastAsia" w:ascii="仿宋" w:hAnsi="仿宋" w:eastAsia="仿宋" w:cs="仿宋"/>
          <w:b/>
          <w:color w:val="auto"/>
          <w:kern w:val="0"/>
          <w:sz w:val="32"/>
          <w:szCs w:val="32"/>
          <w:highlight w:val="none"/>
        </w:rPr>
      </w:pPr>
    </w:p>
    <w:p w14:paraId="40B4EE7C">
      <w:pPr>
        <w:snapToGrid w:val="0"/>
        <w:spacing w:line="360" w:lineRule="auto"/>
        <w:ind w:right="480"/>
        <w:jc w:val="center"/>
        <w:rPr>
          <w:rFonts w:hint="eastAsia" w:ascii="仿宋" w:hAnsi="仿宋" w:eastAsia="仿宋" w:cs="仿宋"/>
          <w:b/>
          <w:color w:val="auto"/>
          <w:kern w:val="0"/>
          <w:sz w:val="32"/>
          <w:szCs w:val="32"/>
          <w:highlight w:val="none"/>
        </w:rPr>
      </w:pPr>
    </w:p>
    <w:p w14:paraId="228999DE">
      <w:pPr>
        <w:snapToGrid w:val="0"/>
        <w:spacing w:line="360" w:lineRule="auto"/>
        <w:ind w:right="480"/>
        <w:jc w:val="center"/>
        <w:rPr>
          <w:rFonts w:hint="eastAsia" w:ascii="仿宋" w:hAnsi="仿宋" w:eastAsia="仿宋" w:cs="仿宋"/>
          <w:b/>
          <w:color w:val="auto"/>
          <w:kern w:val="0"/>
          <w:sz w:val="32"/>
          <w:szCs w:val="32"/>
          <w:highlight w:val="none"/>
        </w:rPr>
      </w:pPr>
    </w:p>
    <w:p w14:paraId="20F15FC4">
      <w:pPr>
        <w:snapToGrid w:val="0"/>
        <w:spacing w:line="360" w:lineRule="auto"/>
        <w:ind w:right="480"/>
        <w:jc w:val="center"/>
        <w:rPr>
          <w:rFonts w:hint="eastAsia" w:ascii="仿宋" w:hAnsi="仿宋" w:eastAsia="仿宋" w:cs="仿宋"/>
          <w:b/>
          <w:color w:val="auto"/>
          <w:kern w:val="0"/>
          <w:sz w:val="32"/>
          <w:szCs w:val="32"/>
          <w:highlight w:val="none"/>
        </w:rPr>
      </w:pPr>
    </w:p>
    <w:p w14:paraId="7A5298DF">
      <w:pPr>
        <w:snapToGrid w:val="0"/>
        <w:spacing w:line="360" w:lineRule="auto"/>
        <w:ind w:right="480"/>
        <w:jc w:val="center"/>
        <w:rPr>
          <w:rFonts w:hint="eastAsia" w:ascii="仿宋" w:hAnsi="仿宋" w:eastAsia="仿宋" w:cs="仿宋"/>
          <w:b/>
          <w:color w:val="auto"/>
          <w:kern w:val="0"/>
          <w:sz w:val="32"/>
          <w:szCs w:val="32"/>
          <w:highlight w:val="none"/>
        </w:rPr>
      </w:pPr>
    </w:p>
    <w:p w14:paraId="0CE32117">
      <w:pPr>
        <w:snapToGrid w:val="0"/>
        <w:spacing w:line="360" w:lineRule="auto"/>
        <w:ind w:right="480"/>
        <w:jc w:val="center"/>
        <w:rPr>
          <w:rFonts w:hint="eastAsia" w:ascii="仿宋" w:hAnsi="仿宋" w:eastAsia="仿宋" w:cs="仿宋"/>
          <w:b/>
          <w:color w:val="auto"/>
          <w:kern w:val="0"/>
          <w:sz w:val="32"/>
          <w:szCs w:val="32"/>
          <w:highlight w:val="none"/>
        </w:rPr>
      </w:pPr>
    </w:p>
    <w:p w14:paraId="76912710">
      <w:pPr>
        <w:snapToGrid w:val="0"/>
        <w:spacing w:line="360" w:lineRule="auto"/>
        <w:ind w:right="480"/>
        <w:jc w:val="center"/>
        <w:rPr>
          <w:rFonts w:hint="eastAsia" w:ascii="仿宋" w:hAnsi="仿宋" w:eastAsia="仿宋" w:cs="仿宋"/>
          <w:b/>
          <w:color w:val="auto"/>
          <w:kern w:val="0"/>
          <w:sz w:val="32"/>
          <w:szCs w:val="32"/>
          <w:highlight w:val="none"/>
        </w:rPr>
      </w:pPr>
    </w:p>
    <w:p w14:paraId="6BCD7439">
      <w:pPr>
        <w:snapToGrid w:val="0"/>
        <w:spacing w:line="360" w:lineRule="auto"/>
        <w:ind w:right="480"/>
        <w:jc w:val="center"/>
        <w:rPr>
          <w:rFonts w:hint="eastAsia" w:ascii="仿宋" w:hAnsi="仿宋" w:eastAsia="仿宋" w:cs="仿宋"/>
          <w:b/>
          <w:color w:val="auto"/>
          <w:kern w:val="0"/>
          <w:sz w:val="32"/>
          <w:szCs w:val="32"/>
          <w:highlight w:val="none"/>
        </w:rPr>
      </w:pPr>
    </w:p>
    <w:p w14:paraId="184ABBE0">
      <w:pPr>
        <w:snapToGrid w:val="0"/>
        <w:spacing w:line="360" w:lineRule="auto"/>
        <w:ind w:right="480"/>
        <w:jc w:val="center"/>
        <w:rPr>
          <w:rFonts w:hint="eastAsia" w:ascii="仿宋" w:hAnsi="仿宋" w:eastAsia="仿宋" w:cs="仿宋"/>
          <w:b/>
          <w:color w:val="auto"/>
          <w:kern w:val="0"/>
          <w:sz w:val="32"/>
          <w:szCs w:val="32"/>
          <w:highlight w:val="none"/>
        </w:rPr>
      </w:pPr>
    </w:p>
    <w:p w14:paraId="6DFB447A">
      <w:pPr>
        <w:snapToGrid w:val="0"/>
        <w:spacing w:line="360" w:lineRule="auto"/>
        <w:ind w:right="480"/>
        <w:jc w:val="center"/>
        <w:rPr>
          <w:rFonts w:hint="eastAsia" w:ascii="仿宋" w:hAnsi="仿宋" w:eastAsia="仿宋" w:cs="仿宋"/>
          <w:b/>
          <w:color w:val="auto"/>
          <w:kern w:val="0"/>
          <w:sz w:val="32"/>
          <w:szCs w:val="32"/>
          <w:highlight w:val="none"/>
        </w:rPr>
      </w:pPr>
    </w:p>
    <w:p w14:paraId="7F85B79D">
      <w:pPr>
        <w:snapToGrid w:val="0"/>
        <w:spacing w:line="360" w:lineRule="auto"/>
        <w:ind w:right="480"/>
        <w:jc w:val="center"/>
        <w:rPr>
          <w:rFonts w:hint="eastAsia" w:ascii="仿宋" w:hAnsi="仿宋" w:eastAsia="仿宋" w:cs="仿宋"/>
          <w:b/>
          <w:color w:val="auto"/>
          <w:kern w:val="0"/>
          <w:sz w:val="32"/>
          <w:szCs w:val="32"/>
          <w:highlight w:val="none"/>
        </w:rPr>
      </w:pPr>
    </w:p>
    <w:p w14:paraId="2EBF210B">
      <w:pPr>
        <w:pStyle w:val="2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14:paraId="305291F4">
      <w:pPr>
        <w:pStyle w:val="2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48724B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D284628">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1710F4E8">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1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304"/>
        <w:gridCol w:w="774"/>
        <w:gridCol w:w="910"/>
        <w:gridCol w:w="1336"/>
        <w:gridCol w:w="1614"/>
        <w:gridCol w:w="1686"/>
        <w:gridCol w:w="1676"/>
      </w:tblGrid>
      <w:tr w14:paraId="5E2C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27" w:type="pct"/>
            <w:vAlign w:val="center"/>
          </w:tcPr>
          <w:p w14:paraId="6C543C0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655" w:type="pct"/>
            <w:vAlign w:val="center"/>
          </w:tcPr>
          <w:p w14:paraId="0F9EE1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389" w:type="pct"/>
            <w:vAlign w:val="center"/>
          </w:tcPr>
          <w:p w14:paraId="6628A26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457" w:type="pct"/>
            <w:vAlign w:val="center"/>
          </w:tcPr>
          <w:p w14:paraId="391D2A7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671" w:type="pct"/>
            <w:vAlign w:val="center"/>
          </w:tcPr>
          <w:p w14:paraId="138556B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811" w:type="pct"/>
            <w:vAlign w:val="center"/>
          </w:tcPr>
          <w:p w14:paraId="4CC4B92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847" w:type="pct"/>
            <w:vAlign w:val="center"/>
          </w:tcPr>
          <w:p w14:paraId="41B6D99A">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服务期</w:t>
            </w:r>
          </w:p>
        </w:tc>
        <w:tc>
          <w:tcPr>
            <w:tcW w:w="841" w:type="pct"/>
            <w:vAlign w:val="center"/>
          </w:tcPr>
          <w:p w14:paraId="334AADB4">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项目负责人</w:t>
            </w:r>
          </w:p>
        </w:tc>
      </w:tr>
      <w:tr w14:paraId="12CD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7" w:type="pct"/>
            <w:vAlign w:val="center"/>
          </w:tcPr>
          <w:p w14:paraId="39D6799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55" w:type="pct"/>
            <w:vAlign w:val="center"/>
          </w:tcPr>
          <w:p w14:paraId="5E1EDAD1">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1E693584">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20934254">
            <w:pPr>
              <w:spacing w:line="360" w:lineRule="auto"/>
              <w:jc w:val="center"/>
              <w:rPr>
                <w:rFonts w:hint="eastAsia" w:ascii="仿宋" w:hAnsi="仿宋" w:eastAsia="仿宋" w:cs="仿宋"/>
                <w:color w:val="auto"/>
                <w:sz w:val="24"/>
                <w:highlight w:val="none"/>
              </w:rPr>
            </w:pPr>
          </w:p>
        </w:tc>
        <w:tc>
          <w:tcPr>
            <w:tcW w:w="671" w:type="pct"/>
          </w:tcPr>
          <w:p w14:paraId="506CCE91">
            <w:pPr>
              <w:spacing w:line="360" w:lineRule="auto"/>
              <w:jc w:val="center"/>
              <w:rPr>
                <w:rFonts w:hint="eastAsia" w:ascii="仿宋" w:hAnsi="仿宋" w:eastAsia="仿宋" w:cs="仿宋"/>
                <w:color w:val="auto"/>
                <w:sz w:val="24"/>
                <w:highlight w:val="none"/>
              </w:rPr>
            </w:pPr>
          </w:p>
        </w:tc>
        <w:tc>
          <w:tcPr>
            <w:tcW w:w="811" w:type="pct"/>
            <w:vAlign w:val="center"/>
          </w:tcPr>
          <w:p w14:paraId="2BF02AB1">
            <w:pPr>
              <w:spacing w:line="360" w:lineRule="auto"/>
              <w:jc w:val="center"/>
              <w:rPr>
                <w:rFonts w:hint="eastAsia" w:ascii="仿宋" w:hAnsi="仿宋" w:eastAsia="仿宋" w:cs="仿宋"/>
                <w:color w:val="auto"/>
                <w:sz w:val="24"/>
                <w:highlight w:val="none"/>
              </w:rPr>
            </w:pPr>
          </w:p>
        </w:tc>
        <w:tc>
          <w:tcPr>
            <w:tcW w:w="847" w:type="pct"/>
            <w:vMerge w:val="restart"/>
            <w:vAlign w:val="center"/>
          </w:tcPr>
          <w:p w14:paraId="79389EBB">
            <w:pPr>
              <w:spacing w:line="360" w:lineRule="auto"/>
              <w:jc w:val="center"/>
              <w:rPr>
                <w:rFonts w:hint="eastAsia" w:ascii="仿宋" w:hAnsi="仿宋" w:eastAsia="仿宋" w:cs="仿宋"/>
                <w:color w:val="auto"/>
                <w:sz w:val="24"/>
                <w:highlight w:val="none"/>
              </w:rPr>
            </w:pPr>
          </w:p>
        </w:tc>
        <w:tc>
          <w:tcPr>
            <w:tcW w:w="841" w:type="pct"/>
            <w:vMerge w:val="restart"/>
            <w:vAlign w:val="center"/>
          </w:tcPr>
          <w:p w14:paraId="2B438C43">
            <w:pPr>
              <w:spacing w:line="360" w:lineRule="auto"/>
              <w:jc w:val="center"/>
              <w:rPr>
                <w:rFonts w:hint="eastAsia" w:ascii="仿宋" w:hAnsi="仿宋" w:eastAsia="仿宋" w:cs="仿宋"/>
                <w:color w:val="auto"/>
                <w:sz w:val="24"/>
                <w:highlight w:val="none"/>
              </w:rPr>
            </w:pPr>
          </w:p>
        </w:tc>
      </w:tr>
      <w:tr w14:paraId="29C7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14:paraId="573B781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55" w:type="pct"/>
            <w:vAlign w:val="center"/>
          </w:tcPr>
          <w:p w14:paraId="57B04DCB">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25A9465B">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08C2658D">
            <w:pPr>
              <w:spacing w:line="360" w:lineRule="auto"/>
              <w:jc w:val="center"/>
              <w:rPr>
                <w:rFonts w:hint="eastAsia" w:ascii="仿宋" w:hAnsi="仿宋" w:eastAsia="仿宋" w:cs="仿宋"/>
                <w:color w:val="auto"/>
                <w:sz w:val="24"/>
                <w:highlight w:val="none"/>
              </w:rPr>
            </w:pPr>
          </w:p>
        </w:tc>
        <w:tc>
          <w:tcPr>
            <w:tcW w:w="671" w:type="pct"/>
          </w:tcPr>
          <w:p w14:paraId="7F110BCC">
            <w:pPr>
              <w:spacing w:line="360" w:lineRule="auto"/>
              <w:jc w:val="center"/>
              <w:rPr>
                <w:rFonts w:hint="eastAsia" w:ascii="仿宋" w:hAnsi="仿宋" w:eastAsia="仿宋" w:cs="仿宋"/>
                <w:color w:val="auto"/>
                <w:sz w:val="24"/>
                <w:highlight w:val="none"/>
              </w:rPr>
            </w:pPr>
          </w:p>
        </w:tc>
        <w:tc>
          <w:tcPr>
            <w:tcW w:w="811" w:type="pct"/>
            <w:vAlign w:val="center"/>
          </w:tcPr>
          <w:p w14:paraId="0BE94280">
            <w:pPr>
              <w:spacing w:line="360" w:lineRule="auto"/>
              <w:jc w:val="center"/>
              <w:rPr>
                <w:rFonts w:hint="eastAsia" w:ascii="仿宋" w:hAnsi="仿宋" w:eastAsia="仿宋" w:cs="仿宋"/>
                <w:color w:val="auto"/>
                <w:sz w:val="24"/>
                <w:highlight w:val="none"/>
              </w:rPr>
            </w:pPr>
          </w:p>
        </w:tc>
        <w:tc>
          <w:tcPr>
            <w:tcW w:w="847" w:type="pct"/>
            <w:vMerge w:val="continue"/>
            <w:vAlign w:val="center"/>
          </w:tcPr>
          <w:p w14:paraId="191352D0">
            <w:pPr>
              <w:spacing w:line="360" w:lineRule="auto"/>
              <w:jc w:val="center"/>
              <w:rPr>
                <w:rFonts w:hint="eastAsia" w:ascii="仿宋" w:hAnsi="仿宋" w:eastAsia="仿宋" w:cs="仿宋"/>
                <w:color w:val="auto"/>
                <w:sz w:val="24"/>
                <w:highlight w:val="none"/>
              </w:rPr>
            </w:pPr>
          </w:p>
        </w:tc>
        <w:tc>
          <w:tcPr>
            <w:tcW w:w="841" w:type="pct"/>
            <w:vMerge w:val="continue"/>
            <w:vAlign w:val="center"/>
          </w:tcPr>
          <w:p w14:paraId="263C4272">
            <w:pPr>
              <w:spacing w:line="360" w:lineRule="auto"/>
              <w:jc w:val="center"/>
              <w:rPr>
                <w:rFonts w:hint="eastAsia" w:ascii="仿宋" w:hAnsi="仿宋" w:eastAsia="仿宋" w:cs="仿宋"/>
                <w:color w:val="auto"/>
                <w:sz w:val="24"/>
                <w:highlight w:val="none"/>
              </w:rPr>
            </w:pPr>
          </w:p>
        </w:tc>
      </w:tr>
      <w:tr w14:paraId="1CE6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14:paraId="212CD41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655" w:type="pct"/>
            <w:vAlign w:val="center"/>
          </w:tcPr>
          <w:p w14:paraId="6BBC0EE0">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21A95B89">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498B6CA1">
            <w:pPr>
              <w:spacing w:line="360" w:lineRule="auto"/>
              <w:jc w:val="center"/>
              <w:rPr>
                <w:rFonts w:hint="eastAsia" w:ascii="仿宋" w:hAnsi="仿宋" w:eastAsia="仿宋" w:cs="仿宋"/>
                <w:color w:val="auto"/>
                <w:sz w:val="24"/>
                <w:highlight w:val="none"/>
              </w:rPr>
            </w:pPr>
          </w:p>
        </w:tc>
        <w:tc>
          <w:tcPr>
            <w:tcW w:w="671" w:type="pct"/>
          </w:tcPr>
          <w:p w14:paraId="21D96302">
            <w:pPr>
              <w:spacing w:line="360" w:lineRule="auto"/>
              <w:jc w:val="center"/>
              <w:rPr>
                <w:rFonts w:hint="eastAsia" w:ascii="仿宋" w:hAnsi="仿宋" w:eastAsia="仿宋" w:cs="仿宋"/>
                <w:color w:val="auto"/>
                <w:sz w:val="24"/>
                <w:highlight w:val="none"/>
              </w:rPr>
            </w:pPr>
          </w:p>
        </w:tc>
        <w:tc>
          <w:tcPr>
            <w:tcW w:w="811" w:type="pct"/>
            <w:vAlign w:val="center"/>
          </w:tcPr>
          <w:p w14:paraId="1D1DDAC6">
            <w:pPr>
              <w:spacing w:line="360" w:lineRule="auto"/>
              <w:jc w:val="center"/>
              <w:rPr>
                <w:rFonts w:hint="eastAsia" w:ascii="仿宋" w:hAnsi="仿宋" w:eastAsia="仿宋" w:cs="仿宋"/>
                <w:color w:val="auto"/>
                <w:sz w:val="24"/>
                <w:highlight w:val="none"/>
              </w:rPr>
            </w:pPr>
          </w:p>
        </w:tc>
        <w:tc>
          <w:tcPr>
            <w:tcW w:w="847" w:type="pct"/>
            <w:vMerge w:val="continue"/>
            <w:vAlign w:val="center"/>
          </w:tcPr>
          <w:p w14:paraId="7F741A95">
            <w:pPr>
              <w:spacing w:line="360" w:lineRule="auto"/>
              <w:jc w:val="center"/>
              <w:rPr>
                <w:rFonts w:hint="eastAsia" w:ascii="仿宋" w:hAnsi="仿宋" w:eastAsia="仿宋" w:cs="仿宋"/>
                <w:color w:val="auto"/>
                <w:sz w:val="24"/>
                <w:highlight w:val="none"/>
              </w:rPr>
            </w:pPr>
          </w:p>
        </w:tc>
        <w:tc>
          <w:tcPr>
            <w:tcW w:w="841" w:type="pct"/>
            <w:vMerge w:val="continue"/>
            <w:vAlign w:val="center"/>
          </w:tcPr>
          <w:p w14:paraId="58464E80">
            <w:pPr>
              <w:spacing w:line="360" w:lineRule="auto"/>
              <w:jc w:val="center"/>
              <w:rPr>
                <w:rFonts w:hint="eastAsia" w:ascii="仿宋" w:hAnsi="仿宋" w:eastAsia="仿宋" w:cs="仿宋"/>
                <w:color w:val="auto"/>
                <w:sz w:val="24"/>
                <w:highlight w:val="none"/>
              </w:rPr>
            </w:pPr>
          </w:p>
        </w:tc>
      </w:tr>
      <w:tr w14:paraId="0B42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82" w:type="pct"/>
            <w:gridSpan w:val="2"/>
            <w:vAlign w:val="center"/>
          </w:tcPr>
          <w:p w14:paraId="435896E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4017" w:type="pct"/>
            <w:gridSpan w:val="6"/>
          </w:tcPr>
          <w:p w14:paraId="1A4932F0">
            <w:pPr>
              <w:spacing w:line="360" w:lineRule="auto"/>
              <w:jc w:val="center"/>
              <w:rPr>
                <w:rFonts w:hint="eastAsia" w:ascii="仿宋" w:hAnsi="仿宋" w:eastAsia="仿宋" w:cs="仿宋"/>
                <w:color w:val="auto"/>
                <w:sz w:val="24"/>
                <w:highlight w:val="none"/>
              </w:rPr>
            </w:pPr>
          </w:p>
        </w:tc>
      </w:tr>
      <w:tr w14:paraId="1275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2" w:type="pct"/>
            <w:gridSpan w:val="2"/>
            <w:vAlign w:val="center"/>
          </w:tcPr>
          <w:p w14:paraId="4DEF32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4017" w:type="pct"/>
            <w:gridSpan w:val="6"/>
          </w:tcPr>
          <w:p w14:paraId="3335181A">
            <w:pPr>
              <w:spacing w:line="360" w:lineRule="auto"/>
              <w:jc w:val="center"/>
              <w:rPr>
                <w:rFonts w:hint="eastAsia" w:ascii="仿宋" w:hAnsi="仿宋" w:eastAsia="仿宋" w:cs="仿宋"/>
                <w:color w:val="auto"/>
                <w:sz w:val="24"/>
                <w:highlight w:val="none"/>
              </w:rPr>
            </w:pPr>
          </w:p>
        </w:tc>
      </w:tr>
    </w:tbl>
    <w:p w14:paraId="7BC27F3A">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1EE16D7">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3708119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D6CCF61">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4ADF777">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6C7506">
      <w:pPr>
        <w:spacing w:line="360" w:lineRule="auto"/>
        <w:ind w:firstLine="482" w:firstLineChars="200"/>
        <w:rPr>
          <w:rFonts w:hint="eastAsia" w:ascii="仿宋" w:hAnsi="仿宋" w:eastAsia="仿宋" w:cs="仿宋"/>
          <w:b/>
          <w:color w:val="auto"/>
          <w:kern w:val="0"/>
          <w:sz w:val="24"/>
          <w:highlight w:val="none"/>
        </w:rPr>
      </w:pPr>
    </w:p>
    <w:p w14:paraId="4EBDAB23">
      <w:pPr>
        <w:pStyle w:val="2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6E3CDDF1">
      <w:pPr>
        <w:pStyle w:val="2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440" w:right="1080" w:bottom="1440" w:left="1080" w:header="851" w:footer="992" w:gutter="0"/>
          <w:cols w:space="720" w:num="1"/>
          <w:titlePg/>
          <w:docGrid w:linePitch="312" w:charSpace="0"/>
        </w:sectPr>
      </w:pPr>
    </w:p>
    <w:p w14:paraId="506568A8">
      <w:pPr>
        <w:pStyle w:val="28"/>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7821BD8E">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7C0485E">
      <w:pPr>
        <w:pStyle w:val="28"/>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03CFEA2B">
      <w:pPr>
        <w:spacing w:line="360" w:lineRule="auto"/>
        <w:ind w:right="420" w:firstLine="3614" w:firstLineChars="1000"/>
        <w:rPr>
          <w:rFonts w:hint="eastAsia" w:ascii="仿宋" w:hAnsi="仿宋" w:eastAsia="仿宋" w:cs="仿宋"/>
          <w:b/>
          <w:color w:val="auto"/>
          <w:kern w:val="0"/>
          <w:sz w:val="36"/>
          <w:szCs w:val="36"/>
          <w:highlight w:val="none"/>
        </w:rPr>
      </w:pPr>
    </w:p>
    <w:p w14:paraId="3D30E829">
      <w:pPr>
        <w:spacing w:line="360" w:lineRule="auto"/>
        <w:ind w:right="420" w:firstLine="3614" w:firstLineChars="1000"/>
        <w:rPr>
          <w:rFonts w:hint="eastAsia" w:ascii="仿宋" w:hAnsi="仿宋" w:eastAsia="仿宋" w:cs="仿宋"/>
          <w:b/>
          <w:color w:val="auto"/>
          <w:kern w:val="0"/>
          <w:sz w:val="36"/>
          <w:szCs w:val="36"/>
          <w:highlight w:val="none"/>
        </w:rPr>
      </w:pPr>
    </w:p>
    <w:p w14:paraId="43B11F98">
      <w:pPr>
        <w:spacing w:line="360" w:lineRule="auto"/>
        <w:ind w:right="420" w:firstLine="3614" w:firstLineChars="1000"/>
        <w:rPr>
          <w:rFonts w:hint="eastAsia" w:ascii="仿宋" w:hAnsi="仿宋" w:eastAsia="仿宋" w:cs="仿宋"/>
          <w:b/>
          <w:color w:val="auto"/>
          <w:kern w:val="0"/>
          <w:sz w:val="36"/>
          <w:szCs w:val="36"/>
          <w:highlight w:val="none"/>
        </w:rPr>
      </w:pPr>
    </w:p>
    <w:p w14:paraId="42D261F0">
      <w:pPr>
        <w:spacing w:line="360" w:lineRule="auto"/>
        <w:ind w:right="420" w:firstLine="3614" w:firstLineChars="1000"/>
        <w:rPr>
          <w:rFonts w:hint="eastAsia" w:ascii="仿宋" w:hAnsi="仿宋" w:eastAsia="仿宋" w:cs="仿宋"/>
          <w:b/>
          <w:color w:val="auto"/>
          <w:kern w:val="0"/>
          <w:sz w:val="36"/>
          <w:szCs w:val="36"/>
          <w:highlight w:val="none"/>
        </w:rPr>
      </w:pPr>
    </w:p>
    <w:p w14:paraId="58129FC1">
      <w:pPr>
        <w:spacing w:line="360" w:lineRule="auto"/>
        <w:ind w:right="420" w:firstLine="3614" w:firstLineChars="1000"/>
        <w:rPr>
          <w:rFonts w:hint="eastAsia" w:ascii="仿宋" w:hAnsi="仿宋" w:eastAsia="仿宋" w:cs="仿宋"/>
          <w:b/>
          <w:color w:val="auto"/>
          <w:kern w:val="0"/>
          <w:sz w:val="36"/>
          <w:szCs w:val="36"/>
          <w:highlight w:val="none"/>
        </w:rPr>
      </w:pPr>
    </w:p>
    <w:p w14:paraId="253ABC80">
      <w:pPr>
        <w:spacing w:line="360" w:lineRule="auto"/>
        <w:ind w:right="420" w:firstLine="3614" w:firstLineChars="1000"/>
        <w:rPr>
          <w:rFonts w:hint="eastAsia" w:ascii="仿宋" w:hAnsi="仿宋" w:eastAsia="仿宋" w:cs="仿宋"/>
          <w:b/>
          <w:color w:val="auto"/>
          <w:kern w:val="0"/>
          <w:sz w:val="36"/>
          <w:szCs w:val="36"/>
          <w:highlight w:val="none"/>
        </w:rPr>
      </w:pPr>
    </w:p>
    <w:p w14:paraId="0574D8A1">
      <w:pPr>
        <w:spacing w:line="360" w:lineRule="auto"/>
        <w:ind w:right="420" w:firstLine="3614" w:firstLineChars="1000"/>
        <w:rPr>
          <w:rFonts w:hint="eastAsia" w:ascii="仿宋" w:hAnsi="仿宋" w:eastAsia="仿宋" w:cs="仿宋"/>
          <w:b/>
          <w:color w:val="auto"/>
          <w:kern w:val="0"/>
          <w:sz w:val="36"/>
          <w:szCs w:val="36"/>
          <w:highlight w:val="none"/>
        </w:rPr>
      </w:pPr>
    </w:p>
    <w:p w14:paraId="0656DC80">
      <w:pPr>
        <w:spacing w:line="360" w:lineRule="auto"/>
        <w:ind w:right="420" w:firstLine="3614" w:firstLineChars="1000"/>
        <w:rPr>
          <w:rFonts w:hint="eastAsia" w:ascii="仿宋" w:hAnsi="仿宋" w:eastAsia="仿宋" w:cs="仿宋"/>
          <w:b/>
          <w:color w:val="auto"/>
          <w:kern w:val="0"/>
          <w:sz w:val="36"/>
          <w:szCs w:val="36"/>
          <w:highlight w:val="none"/>
        </w:rPr>
      </w:pPr>
    </w:p>
    <w:p w14:paraId="2DF4807F">
      <w:pPr>
        <w:spacing w:line="360" w:lineRule="auto"/>
        <w:ind w:right="420" w:firstLine="3614" w:firstLineChars="1000"/>
        <w:rPr>
          <w:rFonts w:hint="eastAsia" w:ascii="仿宋" w:hAnsi="仿宋" w:eastAsia="仿宋" w:cs="仿宋"/>
          <w:b/>
          <w:color w:val="auto"/>
          <w:kern w:val="0"/>
          <w:sz w:val="36"/>
          <w:szCs w:val="36"/>
          <w:highlight w:val="none"/>
        </w:rPr>
      </w:pPr>
    </w:p>
    <w:p w14:paraId="21C3F859">
      <w:pPr>
        <w:spacing w:line="360" w:lineRule="auto"/>
        <w:ind w:right="420" w:firstLine="3614" w:firstLineChars="1000"/>
        <w:rPr>
          <w:rFonts w:hint="eastAsia" w:ascii="仿宋" w:hAnsi="仿宋" w:eastAsia="仿宋" w:cs="仿宋"/>
          <w:b/>
          <w:color w:val="auto"/>
          <w:kern w:val="0"/>
          <w:sz w:val="36"/>
          <w:szCs w:val="36"/>
          <w:highlight w:val="none"/>
        </w:rPr>
      </w:pPr>
    </w:p>
    <w:p w14:paraId="42D4F83F">
      <w:pPr>
        <w:spacing w:line="360" w:lineRule="auto"/>
        <w:ind w:right="420" w:firstLine="3614" w:firstLineChars="1000"/>
        <w:rPr>
          <w:rFonts w:hint="eastAsia" w:ascii="仿宋" w:hAnsi="仿宋" w:eastAsia="仿宋" w:cs="仿宋"/>
          <w:b/>
          <w:color w:val="auto"/>
          <w:kern w:val="0"/>
          <w:sz w:val="36"/>
          <w:szCs w:val="36"/>
          <w:highlight w:val="none"/>
        </w:rPr>
      </w:pPr>
    </w:p>
    <w:p w14:paraId="6734E92D">
      <w:pPr>
        <w:spacing w:line="360" w:lineRule="auto"/>
        <w:ind w:right="420" w:firstLine="3614" w:firstLineChars="1000"/>
        <w:rPr>
          <w:rFonts w:hint="eastAsia" w:ascii="仿宋" w:hAnsi="仿宋" w:eastAsia="仿宋" w:cs="仿宋"/>
          <w:b/>
          <w:color w:val="auto"/>
          <w:kern w:val="0"/>
          <w:sz w:val="36"/>
          <w:szCs w:val="36"/>
          <w:highlight w:val="none"/>
        </w:rPr>
      </w:pPr>
    </w:p>
    <w:p w14:paraId="52A9F33E">
      <w:pPr>
        <w:spacing w:line="360" w:lineRule="auto"/>
        <w:ind w:right="420" w:firstLine="3614" w:firstLineChars="1000"/>
        <w:rPr>
          <w:rFonts w:hint="eastAsia" w:ascii="仿宋" w:hAnsi="仿宋" w:eastAsia="仿宋" w:cs="仿宋"/>
          <w:b/>
          <w:color w:val="auto"/>
          <w:kern w:val="0"/>
          <w:sz w:val="36"/>
          <w:szCs w:val="36"/>
          <w:highlight w:val="none"/>
        </w:rPr>
      </w:pPr>
    </w:p>
    <w:p w14:paraId="00C989FF">
      <w:pPr>
        <w:spacing w:line="360" w:lineRule="auto"/>
        <w:ind w:right="420" w:firstLine="3614" w:firstLineChars="1000"/>
        <w:rPr>
          <w:rFonts w:hint="eastAsia" w:ascii="仿宋" w:hAnsi="仿宋" w:eastAsia="仿宋" w:cs="仿宋"/>
          <w:b/>
          <w:color w:val="auto"/>
          <w:kern w:val="0"/>
          <w:sz w:val="36"/>
          <w:szCs w:val="36"/>
          <w:highlight w:val="none"/>
        </w:rPr>
      </w:pPr>
    </w:p>
    <w:p w14:paraId="5922319F">
      <w:pPr>
        <w:spacing w:line="360" w:lineRule="auto"/>
        <w:ind w:right="420" w:firstLine="3614" w:firstLineChars="1000"/>
        <w:rPr>
          <w:rFonts w:hint="eastAsia" w:ascii="仿宋" w:hAnsi="仿宋" w:eastAsia="仿宋" w:cs="仿宋"/>
          <w:b/>
          <w:color w:val="auto"/>
          <w:kern w:val="0"/>
          <w:sz w:val="36"/>
          <w:szCs w:val="36"/>
          <w:highlight w:val="none"/>
        </w:rPr>
      </w:pPr>
    </w:p>
    <w:p w14:paraId="2DEBC97B">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p>
    <w:p w14:paraId="55FC5249">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3E28E07">
      <w:pPr>
        <w:spacing w:line="360" w:lineRule="auto"/>
        <w:jc w:val="center"/>
        <w:rPr>
          <w:rFonts w:hint="eastAsia" w:ascii="仿宋" w:hAnsi="仿宋" w:eastAsia="仿宋" w:cs="仿宋"/>
          <w:b/>
          <w:color w:val="auto"/>
          <w:spacing w:val="6"/>
          <w:sz w:val="32"/>
          <w:szCs w:val="32"/>
          <w:highlight w:val="none"/>
        </w:rPr>
      </w:pPr>
      <w:bookmarkStart w:id="398" w:name="OLE_LINK13"/>
      <w:bookmarkStart w:id="399" w:name="OLE_LINK14"/>
      <w:r>
        <w:rPr>
          <w:rFonts w:hint="eastAsia" w:ascii="仿宋" w:hAnsi="仿宋" w:eastAsia="仿宋" w:cs="仿宋"/>
          <w:b/>
          <w:color w:val="auto"/>
          <w:spacing w:val="6"/>
          <w:sz w:val="32"/>
          <w:szCs w:val="32"/>
          <w:highlight w:val="none"/>
        </w:rPr>
        <w:t>残疾人福利性单位声明函</w:t>
      </w:r>
    </w:p>
    <w:bookmarkEnd w:id="398"/>
    <w:bookmarkEnd w:id="399"/>
    <w:p w14:paraId="66F41A29">
      <w:pPr>
        <w:spacing w:line="360" w:lineRule="auto"/>
        <w:rPr>
          <w:rFonts w:hint="eastAsia" w:ascii="仿宋" w:hAnsi="仿宋" w:eastAsia="仿宋" w:cs="仿宋"/>
          <w:b/>
          <w:color w:val="auto"/>
          <w:spacing w:val="6"/>
          <w:sz w:val="30"/>
          <w:szCs w:val="30"/>
          <w:highlight w:val="none"/>
        </w:rPr>
      </w:pPr>
    </w:p>
    <w:p w14:paraId="157D83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CD6AE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AE72175">
      <w:pPr>
        <w:spacing w:line="360" w:lineRule="auto"/>
        <w:ind w:firstLine="480" w:firstLineChars="200"/>
        <w:rPr>
          <w:rFonts w:hint="eastAsia" w:ascii="仿宋" w:hAnsi="仿宋" w:eastAsia="仿宋" w:cs="仿宋"/>
          <w:color w:val="auto"/>
          <w:sz w:val="24"/>
          <w:highlight w:val="none"/>
        </w:rPr>
      </w:pPr>
    </w:p>
    <w:p w14:paraId="4D9FB053">
      <w:pPr>
        <w:spacing w:line="360" w:lineRule="auto"/>
        <w:ind w:firstLine="480" w:firstLineChars="200"/>
        <w:rPr>
          <w:rFonts w:hint="eastAsia" w:ascii="仿宋" w:hAnsi="仿宋" w:eastAsia="仿宋" w:cs="仿宋"/>
          <w:color w:val="auto"/>
          <w:sz w:val="24"/>
          <w:highlight w:val="none"/>
        </w:rPr>
      </w:pPr>
    </w:p>
    <w:p w14:paraId="71E215C9">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4199CBB">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85FEE9F">
      <w:pPr>
        <w:spacing w:line="360" w:lineRule="auto"/>
        <w:ind w:firstLine="480" w:firstLineChars="200"/>
        <w:rPr>
          <w:rFonts w:hint="eastAsia" w:ascii="仿宋" w:hAnsi="仿宋" w:eastAsia="仿宋" w:cs="仿宋"/>
          <w:color w:val="auto"/>
          <w:sz w:val="24"/>
          <w:highlight w:val="none"/>
        </w:rPr>
      </w:pPr>
    </w:p>
    <w:p w14:paraId="045C385F">
      <w:pPr>
        <w:spacing w:line="360" w:lineRule="auto"/>
        <w:ind w:firstLine="420" w:firstLineChars="200"/>
        <w:rPr>
          <w:rFonts w:hint="eastAsia" w:ascii="仿宋" w:hAnsi="仿宋" w:eastAsia="仿宋" w:cs="仿宋"/>
          <w:color w:val="auto"/>
          <w:highlight w:val="none"/>
        </w:rPr>
      </w:pPr>
    </w:p>
    <w:p w14:paraId="47A08D13">
      <w:pPr>
        <w:spacing w:line="360" w:lineRule="auto"/>
        <w:ind w:firstLine="420" w:firstLineChars="200"/>
        <w:rPr>
          <w:rFonts w:hint="eastAsia" w:ascii="仿宋" w:hAnsi="仿宋" w:eastAsia="仿宋" w:cs="仿宋"/>
          <w:color w:val="auto"/>
          <w:highlight w:val="none"/>
        </w:rPr>
      </w:pPr>
    </w:p>
    <w:p w14:paraId="73147E6C">
      <w:pPr>
        <w:spacing w:line="360" w:lineRule="auto"/>
        <w:ind w:firstLine="420" w:firstLineChars="200"/>
        <w:rPr>
          <w:rFonts w:hint="eastAsia" w:ascii="仿宋" w:hAnsi="仿宋" w:eastAsia="仿宋" w:cs="仿宋"/>
          <w:color w:val="auto"/>
          <w:highlight w:val="none"/>
        </w:rPr>
      </w:pPr>
    </w:p>
    <w:p w14:paraId="1CD11B2A">
      <w:pPr>
        <w:spacing w:line="360" w:lineRule="auto"/>
        <w:ind w:firstLine="420" w:firstLineChars="200"/>
        <w:rPr>
          <w:rFonts w:hint="eastAsia" w:ascii="仿宋" w:hAnsi="仿宋" w:eastAsia="仿宋" w:cs="仿宋"/>
          <w:color w:val="auto"/>
          <w:highlight w:val="none"/>
        </w:rPr>
      </w:pPr>
    </w:p>
    <w:p w14:paraId="542EBD4E">
      <w:pPr>
        <w:spacing w:line="360" w:lineRule="auto"/>
        <w:rPr>
          <w:rFonts w:hint="eastAsia" w:ascii="仿宋" w:hAnsi="仿宋" w:eastAsia="仿宋" w:cs="仿宋"/>
          <w:b/>
          <w:color w:val="auto"/>
          <w:sz w:val="24"/>
          <w:highlight w:val="none"/>
        </w:rPr>
      </w:pPr>
    </w:p>
    <w:p w14:paraId="6BB2F337">
      <w:pPr>
        <w:spacing w:line="360" w:lineRule="auto"/>
        <w:rPr>
          <w:rFonts w:hint="eastAsia" w:ascii="仿宋" w:hAnsi="仿宋" w:eastAsia="仿宋" w:cs="仿宋"/>
          <w:b/>
          <w:color w:val="auto"/>
          <w:sz w:val="24"/>
          <w:highlight w:val="none"/>
        </w:rPr>
      </w:pPr>
    </w:p>
    <w:p w14:paraId="4873ADC4">
      <w:pPr>
        <w:spacing w:line="360" w:lineRule="auto"/>
        <w:rPr>
          <w:rFonts w:hint="eastAsia" w:ascii="仿宋" w:hAnsi="仿宋" w:eastAsia="仿宋" w:cs="仿宋"/>
          <w:b/>
          <w:color w:val="auto"/>
          <w:sz w:val="24"/>
          <w:highlight w:val="none"/>
        </w:rPr>
      </w:pPr>
    </w:p>
    <w:p w14:paraId="1471E6B7">
      <w:pPr>
        <w:spacing w:line="360" w:lineRule="auto"/>
        <w:rPr>
          <w:rFonts w:hint="eastAsia" w:ascii="仿宋" w:hAnsi="仿宋" w:eastAsia="仿宋" w:cs="仿宋"/>
          <w:b/>
          <w:color w:val="auto"/>
          <w:sz w:val="24"/>
          <w:highlight w:val="none"/>
        </w:rPr>
      </w:pPr>
    </w:p>
    <w:p w14:paraId="5E784B0D">
      <w:pPr>
        <w:spacing w:line="360" w:lineRule="auto"/>
        <w:rPr>
          <w:rFonts w:hint="eastAsia" w:ascii="仿宋" w:hAnsi="仿宋" w:eastAsia="仿宋" w:cs="仿宋"/>
          <w:b/>
          <w:color w:val="auto"/>
          <w:sz w:val="24"/>
          <w:highlight w:val="none"/>
        </w:rPr>
      </w:pPr>
    </w:p>
    <w:p w14:paraId="7F3F6D2B">
      <w:pPr>
        <w:spacing w:line="360" w:lineRule="auto"/>
        <w:rPr>
          <w:rFonts w:hint="eastAsia" w:ascii="仿宋" w:hAnsi="仿宋" w:eastAsia="仿宋" w:cs="仿宋"/>
          <w:b/>
          <w:color w:val="auto"/>
          <w:sz w:val="24"/>
          <w:highlight w:val="none"/>
        </w:rPr>
      </w:pPr>
    </w:p>
    <w:p w14:paraId="4DC1F32B">
      <w:pPr>
        <w:spacing w:line="360" w:lineRule="auto"/>
        <w:rPr>
          <w:rFonts w:hint="eastAsia" w:ascii="仿宋" w:hAnsi="仿宋" w:eastAsia="仿宋" w:cs="仿宋"/>
          <w:b/>
          <w:color w:val="auto"/>
          <w:sz w:val="24"/>
          <w:highlight w:val="none"/>
        </w:rPr>
      </w:pPr>
    </w:p>
    <w:p w14:paraId="52EFAAE6">
      <w:pPr>
        <w:spacing w:line="360" w:lineRule="auto"/>
        <w:rPr>
          <w:rFonts w:hint="eastAsia" w:ascii="仿宋" w:hAnsi="仿宋" w:eastAsia="仿宋" w:cs="仿宋"/>
          <w:b/>
          <w:color w:val="auto"/>
          <w:sz w:val="24"/>
          <w:highlight w:val="none"/>
        </w:rPr>
      </w:pPr>
    </w:p>
    <w:p w14:paraId="6C6E1BB3">
      <w:pPr>
        <w:spacing w:line="360" w:lineRule="auto"/>
        <w:rPr>
          <w:rFonts w:hint="eastAsia" w:ascii="仿宋" w:hAnsi="仿宋" w:eastAsia="仿宋" w:cs="仿宋"/>
          <w:b/>
          <w:color w:val="auto"/>
          <w:sz w:val="24"/>
          <w:highlight w:val="none"/>
        </w:rPr>
      </w:pPr>
    </w:p>
    <w:p w14:paraId="150249C8">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09BC11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03205F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556C561">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8D6BC9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ED0567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A5D2BC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B57B19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CEECDC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F611B8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6A0376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C6BFD5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838459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298835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93F8FF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0641BF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C3C8E0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EFC75A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D67F1C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DE8EEC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807192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38058F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6C9438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720422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EA645E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0780D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BCAAE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DF9F835">
      <w:pPr>
        <w:spacing w:line="360" w:lineRule="auto"/>
        <w:jc w:val="center"/>
        <w:rPr>
          <w:rFonts w:hint="eastAsia" w:ascii="仿宋" w:hAnsi="仿宋" w:eastAsia="仿宋" w:cs="仿宋"/>
          <w:b/>
          <w:bCs/>
          <w:color w:val="auto"/>
          <w:sz w:val="24"/>
          <w:highlight w:val="none"/>
        </w:rPr>
      </w:pPr>
    </w:p>
    <w:p w14:paraId="3D65391A">
      <w:pPr>
        <w:spacing w:line="360" w:lineRule="auto"/>
        <w:rPr>
          <w:rFonts w:hint="eastAsia" w:ascii="仿宋" w:hAnsi="仿宋" w:eastAsia="仿宋" w:cs="仿宋"/>
          <w:b/>
          <w:color w:val="auto"/>
          <w:sz w:val="24"/>
          <w:highlight w:val="none"/>
        </w:rPr>
      </w:pPr>
    </w:p>
    <w:p w14:paraId="06BECE0C">
      <w:pPr>
        <w:spacing w:line="360" w:lineRule="auto"/>
        <w:rPr>
          <w:rFonts w:hint="eastAsia" w:ascii="仿宋" w:hAnsi="仿宋" w:eastAsia="仿宋" w:cs="仿宋"/>
          <w:b/>
          <w:color w:val="auto"/>
          <w:sz w:val="24"/>
          <w:highlight w:val="none"/>
        </w:rPr>
      </w:pPr>
    </w:p>
    <w:p w14:paraId="4D7C2A94">
      <w:pPr>
        <w:spacing w:line="360" w:lineRule="auto"/>
        <w:rPr>
          <w:rFonts w:hint="eastAsia" w:ascii="仿宋" w:hAnsi="仿宋" w:eastAsia="仿宋" w:cs="仿宋"/>
          <w:b/>
          <w:color w:val="auto"/>
          <w:sz w:val="24"/>
          <w:highlight w:val="none"/>
        </w:rPr>
      </w:pPr>
    </w:p>
    <w:p w14:paraId="4D667C4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335280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5DEB9D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596450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04D84A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1462E9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B7E73B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83EF475">
      <w:pPr>
        <w:widowControl/>
        <w:spacing w:line="360" w:lineRule="auto"/>
        <w:ind w:firstLine="600" w:firstLineChars="200"/>
        <w:jc w:val="left"/>
        <w:rPr>
          <w:rFonts w:hint="eastAsia" w:ascii="仿宋" w:hAnsi="仿宋" w:eastAsia="仿宋" w:cs="仿宋"/>
          <w:color w:val="auto"/>
          <w:sz w:val="30"/>
          <w:szCs w:val="30"/>
          <w:highlight w:val="none"/>
        </w:rPr>
      </w:pPr>
    </w:p>
    <w:p w14:paraId="5DF6C98A">
      <w:pPr>
        <w:spacing w:line="360" w:lineRule="auto"/>
        <w:jc w:val="center"/>
        <w:rPr>
          <w:rFonts w:hint="eastAsia" w:ascii="仿宋" w:hAnsi="仿宋" w:eastAsia="仿宋" w:cs="仿宋"/>
          <w:b/>
          <w:color w:val="auto"/>
          <w:spacing w:val="6"/>
          <w:sz w:val="32"/>
          <w:szCs w:val="32"/>
          <w:highlight w:val="none"/>
        </w:rPr>
      </w:pPr>
    </w:p>
    <w:p w14:paraId="5B164DC8">
      <w:pPr>
        <w:spacing w:line="360" w:lineRule="auto"/>
        <w:jc w:val="center"/>
        <w:rPr>
          <w:rFonts w:hint="eastAsia" w:ascii="仿宋" w:hAnsi="仿宋" w:eastAsia="仿宋" w:cs="仿宋"/>
          <w:b/>
          <w:color w:val="auto"/>
          <w:spacing w:val="6"/>
          <w:sz w:val="32"/>
          <w:szCs w:val="32"/>
          <w:highlight w:val="none"/>
        </w:rPr>
      </w:pPr>
    </w:p>
    <w:p w14:paraId="7554EBFC">
      <w:pPr>
        <w:spacing w:line="360" w:lineRule="auto"/>
        <w:jc w:val="center"/>
        <w:rPr>
          <w:rFonts w:hint="eastAsia" w:ascii="仿宋" w:hAnsi="仿宋" w:eastAsia="仿宋" w:cs="仿宋"/>
          <w:b/>
          <w:color w:val="auto"/>
          <w:spacing w:val="6"/>
          <w:sz w:val="32"/>
          <w:szCs w:val="32"/>
          <w:highlight w:val="none"/>
        </w:rPr>
      </w:pPr>
    </w:p>
    <w:p w14:paraId="5D37F521">
      <w:pPr>
        <w:spacing w:line="360" w:lineRule="auto"/>
        <w:jc w:val="center"/>
        <w:rPr>
          <w:rFonts w:hint="eastAsia" w:ascii="仿宋" w:hAnsi="仿宋" w:eastAsia="仿宋" w:cs="仿宋"/>
          <w:b/>
          <w:color w:val="auto"/>
          <w:spacing w:val="6"/>
          <w:sz w:val="32"/>
          <w:szCs w:val="32"/>
          <w:highlight w:val="none"/>
        </w:rPr>
      </w:pPr>
    </w:p>
    <w:p w14:paraId="2B86B669">
      <w:pPr>
        <w:spacing w:line="360" w:lineRule="auto"/>
        <w:jc w:val="center"/>
        <w:rPr>
          <w:rFonts w:hint="eastAsia" w:ascii="仿宋" w:hAnsi="仿宋" w:eastAsia="仿宋" w:cs="仿宋"/>
          <w:b/>
          <w:color w:val="auto"/>
          <w:spacing w:val="6"/>
          <w:sz w:val="32"/>
          <w:szCs w:val="32"/>
          <w:highlight w:val="none"/>
        </w:rPr>
      </w:pPr>
    </w:p>
    <w:p w14:paraId="3903BF21">
      <w:pPr>
        <w:spacing w:line="360" w:lineRule="auto"/>
        <w:jc w:val="center"/>
        <w:rPr>
          <w:rFonts w:hint="eastAsia" w:ascii="仿宋" w:hAnsi="仿宋" w:eastAsia="仿宋" w:cs="仿宋"/>
          <w:b/>
          <w:color w:val="auto"/>
          <w:spacing w:val="6"/>
          <w:sz w:val="32"/>
          <w:szCs w:val="32"/>
          <w:highlight w:val="none"/>
        </w:rPr>
      </w:pPr>
    </w:p>
    <w:p w14:paraId="2B4AEB52">
      <w:pPr>
        <w:spacing w:line="360" w:lineRule="auto"/>
        <w:jc w:val="center"/>
        <w:rPr>
          <w:rFonts w:hint="eastAsia" w:ascii="仿宋" w:hAnsi="仿宋" w:eastAsia="仿宋" w:cs="仿宋"/>
          <w:b/>
          <w:color w:val="auto"/>
          <w:spacing w:val="6"/>
          <w:sz w:val="32"/>
          <w:szCs w:val="32"/>
          <w:highlight w:val="none"/>
        </w:rPr>
      </w:pPr>
    </w:p>
    <w:p w14:paraId="75659105">
      <w:pPr>
        <w:spacing w:line="360" w:lineRule="auto"/>
        <w:jc w:val="center"/>
        <w:rPr>
          <w:rFonts w:hint="eastAsia" w:ascii="仿宋" w:hAnsi="仿宋" w:eastAsia="仿宋" w:cs="仿宋"/>
          <w:b/>
          <w:color w:val="auto"/>
          <w:spacing w:val="6"/>
          <w:sz w:val="32"/>
          <w:szCs w:val="32"/>
          <w:highlight w:val="none"/>
        </w:rPr>
      </w:pPr>
    </w:p>
    <w:p w14:paraId="5F9203A1">
      <w:pPr>
        <w:spacing w:line="360" w:lineRule="auto"/>
        <w:jc w:val="center"/>
        <w:rPr>
          <w:rFonts w:hint="eastAsia" w:ascii="仿宋" w:hAnsi="仿宋" w:eastAsia="仿宋" w:cs="仿宋"/>
          <w:b/>
          <w:color w:val="auto"/>
          <w:spacing w:val="6"/>
          <w:sz w:val="32"/>
          <w:szCs w:val="32"/>
          <w:highlight w:val="none"/>
        </w:rPr>
      </w:pPr>
    </w:p>
    <w:p w14:paraId="6D5A86AF">
      <w:pPr>
        <w:spacing w:line="360" w:lineRule="auto"/>
        <w:jc w:val="center"/>
        <w:rPr>
          <w:rFonts w:hint="eastAsia" w:ascii="仿宋" w:hAnsi="仿宋" w:eastAsia="仿宋" w:cs="仿宋"/>
          <w:b/>
          <w:color w:val="auto"/>
          <w:spacing w:val="6"/>
          <w:sz w:val="32"/>
          <w:szCs w:val="32"/>
          <w:highlight w:val="none"/>
        </w:rPr>
      </w:pPr>
    </w:p>
    <w:p w14:paraId="3E0DBED3">
      <w:pPr>
        <w:spacing w:line="360" w:lineRule="auto"/>
        <w:jc w:val="center"/>
        <w:rPr>
          <w:rFonts w:hint="eastAsia" w:ascii="仿宋" w:hAnsi="仿宋" w:eastAsia="仿宋" w:cs="仿宋"/>
          <w:b/>
          <w:color w:val="auto"/>
          <w:spacing w:val="6"/>
          <w:sz w:val="32"/>
          <w:szCs w:val="32"/>
          <w:highlight w:val="none"/>
        </w:rPr>
      </w:pPr>
    </w:p>
    <w:p w14:paraId="4B9CBF4A">
      <w:pPr>
        <w:spacing w:line="360" w:lineRule="auto"/>
        <w:jc w:val="center"/>
        <w:rPr>
          <w:rFonts w:hint="eastAsia" w:ascii="仿宋" w:hAnsi="仿宋" w:eastAsia="仿宋" w:cs="仿宋"/>
          <w:b/>
          <w:color w:val="auto"/>
          <w:spacing w:val="6"/>
          <w:sz w:val="32"/>
          <w:szCs w:val="32"/>
          <w:highlight w:val="none"/>
        </w:rPr>
      </w:pPr>
    </w:p>
    <w:p w14:paraId="4269488D">
      <w:pPr>
        <w:spacing w:line="360" w:lineRule="auto"/>
        <w:jc w:val="left"/>
        <w:rPr>
          <w:rFonts w:hint="eastAsia" w:ascii="仿宋" w:hAnsi="仿宋" w:eastAsia="仿宋" w:cs="仿宋"/>
          <w:b/>
          <w:color w:val="auto"/>
          <w:spacing w:val="6"/>
          <w:sz w:val="32"/>
          <w:szCs w:val="32"/>
          <w:highlight w:val="none"/>
        </w:rPr>
      </w:pPr>
    </w:p>
    <w:p w14:paraId="21512CC8">
      <w:pPr>
        <w:spacing w:line="360" w:lineRule="auto"/>
        <w:jc w:val="left"/>
        <w:rPr>
          <w:rFonts w:hint="eastAsia" w:ascii="仿宋" w:hAnsi="仿宋" w:eastAsia="仿宋" w:cs="仿宋"/>
          <w:b/>
          <w:color w:val="auto"/>
          <w:spacing w:val="6"/>
          <w:sz w:val="32"/>
          <w:szCs w:val="32"/>
          <w:highlight w:val="none"/>
        </w:rPr>
      </w:pPr>
    </w:p>
    <w:p w14:paraId="6BB2D9F4">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附件3：投诉书范本及制作说明</w:t>
      </w:r>
    </w:p>
    <w:p w14:paraId="72763C77">
      <w:pPr>
        <w:spacing w:line="360" w:lineRule="auto"/>
        <w:jc w:val="center"/>
        <w:rPr>
          <w:rFonts w:hint="eastAsia" w:ascii="仿宋" w:hAnsi="仿宋" w:eastAsia="仿宋" w:cs="仿宋"/>
          <w:b/>
          <w:color w:val="auto"/>
          <w:spacing w:val="6"/>
          <w:sz w:val="32"/>
          <w:szCs w:val="32"/>
          <w:highlight w:val="none"/>
        </w:rPr>
      </w:pPr>
    </w:p>
    <w:p w14:paraId="444782D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25AC4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6AA374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561BEF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D6ED69E">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194F67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AED5F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707639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87E872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06855D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3E5073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A70973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D98543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0A22C4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3C7E84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8A4D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029B7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5FE057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9F5235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B19B8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DA7F8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3A2E5B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2152BE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FE3C0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5700411">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8EA9B9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7A63C26">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0B31B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294C13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7C0BC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44345C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A72607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ED9512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6160C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D70378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EF8F6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07452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765E8B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E50F2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45D1E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6E49C6B">
      <w:pPr>
        <w:spacing w:line="360" w:lineRule="auto"/>
        <w:rPr>
          <w:rFonts w:hint="eastAsia" w:ascii="仿宋" w:hAnsi="仿宋" w:eastAsia="仿宋" w:cs="仿宋"/>
          <w:b/>
          <w:color w:val="auto"/>
          <w:sz w:val="24"/>
          <w:highlight w:val="none"/>
        </w:rPr>
      </w:pPr>
    </w:p>
    <w:p w14:paraId="6E9836CD">
      <w:pPr>
        <w:spacing w:line="360" w:lineRule="auto"/>
        <w:rPr>
          <w:rFonts w:hint="eastAsia" w:ascii="仿宋" w:hAnsi="仿宋" w:eastAsia="仿宋" w:cs="仿宋"/>
          <w:b/>
          <w:color w:val="auto"/>
          <w:sz w:val="24"/>
          <w:highlight w:val="none"/>
        </w:rPr>
      </w:pPr>
    </w:p>
    <w:p w14:paraId="2F1C6DC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1D7857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A63B71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A5DB11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A7D9E9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A6772A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7C4B8F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EF3F0B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332F2A8">
      <w:pPr>
        <w:spacing w:line="360" w:lineRule="auto"/>
        <w:rPr>
          <w:rFonts w:hint="eastAsia" w:ascii="仿宋" w:hAnsi="仿宋" w:eastAsia="仿宋" w:cs="仿宋"/>
          <w:b/>
          <w:color w:val="auto"/>
          <w:sz w:val="24"/>
          <w:highlight w:val="none"/>
        </w:rPr>
      </w:pPr>
    </w:p>
    <w:p w14:paraId="192425B3">
      <w:pPr>
        <w:autoSpaceDE w:val="0"/>
        <w:autoSpaceDN w:val="0"/>
        <w:jc w:val="center"/>
        <w:rPr>
          <w:rFonts w:hint="eastAsia" w:ascii="仿宋" w:hAnsi="仿宋" w:eastAsia="仿宋" w:cs="仿宋"/>
          <w:b/>
          <w:color w:val="auto"/>
          <w:spacing w:val="6"/>
          <w:sz w:val="32"/>
          <w:szCs w:val="32"/>
          <w:highlight w:val="none"/>
        </w:rPr>
      </w:pPr>
    </w:p>
    <w:p w14:paraId="62565EB8">
      <w:pPr>
        <w:autoSpaceDE w:val="0"/>
        <w:autoSpaceDN w:val="0"/>
        <w:jc w:val="center"/>
        <w:rPr>
          <w:rFonts w:hint="eastAsia" w:ascii="仿宋" w:hAnsi="仿宋" w:eastAsia="仿宋" w:cs="仿宋"/>
          <w:b/>
          <w:color w:val="auto"/>
          <w:spacing w:val="6"/>
          <w:sz w:val="32"/>
          <w:szCs w:val="32"/>
          <w:highlight w:val="none"/>
        </w:rPr>
      </w:pPr>
    </w:p>
    <w:p w14:paraId="775582AB">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FD814AB">
      <w:pPr>
        <w:spacing w:line="360" w:lineRule="auto"/>
        <w:rPr>
          <w:rFonts w:hint="eastAsia" w:ascii="仿宋" w:hAnsi="仿宋" w:eastAsia="仿宋" w:cs="仿宋"/>
          <w:color w:val="auto"/>
          <w:sz w:val="24"/>
          <w:highlight w:val="none"/>
          <w:u w:val="single"/>
        </w:rPr>
      </w:pPr>
    </w:p>
    <w:p w14:paraId="12D588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75DD3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BDFE3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BBB381F">
      <w:pPr>
        <w:spacing w:line="360" w:lineRule="auto"/>
        <w:ind w:firstLine="494"/>
        <w:rPr>
          <w:rFonts w:hint="eastAsia" w:ascii="仿宋" w:hAnsi="仿宋" w:eastAsia="仿宋" w:cs="仿宋"/>
          <w:color w:val="auto"/>
          <w:sz w:val="24"/>
          <w:highlight w:val="none"/>
        </w:rPr>
      </w:pPr>
    </w:p>
    <w:p w14:paraId="0DB3D8E0">
      <w:pPr>
        <w:spacing w:line="360" w:lineRule="auto"/>
        <w:ind w:firstLine="494"/>
        <w:rPr>
          <w:rFonts w:hint="eastAsia" w:ascii="仿宋" w:hAnsi="仿宋" w:eastAsia="仿宋" w:cs="仿宋"/>
          <w:color w:val="auto"/>
          <w:sz w:val="24"/>
          <w:highlight w:val="none"/>
        </w:rPr>
      </w:pPr>
    </w:p>
    <w:p w14:paraId="1ED0EDBA">
      <w:pPr>
        <w:spacing w:line="360" w:lineRule="auto"/>
        <w:ind w:firstLine="494"/>
        <w:rPr>
          <w:rFonts w:hint="eastAsia" w:ascii="仿宋" w:hAnsi="仿宋" w:eastAsia="仿宋" w:cs="仿宋"/>
          <w:color w:val="auto"/>
          <w:sz w:val="24"/>
          <w:highlight w:val="none"/>
        </w:rPr>
      </w:pPr>
    </w:p>
    <w:p w14:paraId="0EECF16A">
      <w:pPr>
        <w:spacing w:line="360" w:lineRule="auto"/>
        <w:ind w:firstLine="494"/>
        <w:rPr>
          <w:rFonts w:hint="eastAsia" w:ascii="仿宋" w:hAnsi="仿宋" w:eastAsia="仿宋" w:cs="仿宋"/>
          <w:color w:val="auto"/>
          <w:sz w:val="24"/>
          <w:highlight w:val="none"/>
        </w:rPr>
      </w:pPr>
    </w:p>
    <w:p w14:paraId="13A0B6B5">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61D5F70">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19C45A7">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24D8352">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A91C873">
      <w:pPr>
        <w:autoSpaceDE w:val="0"/>
        <w:autoSpaceDN w:val="0"/>
        <w:jc w:val="center"/>
        <w:rPr>
          <w:rFonts w:hint="eastAsia" w:ascii="仿宋" w:hAnsi="仿宋" w:eastAsia="仿宋" w:cs="仿宋"/>
          <w:b/>
          <w:color w:val="auto"/>
          <w:spacing w:val="6"/>
          <w:sz w:val="32"/>
          <w:szCs w:val="32"/>
          <w:highlight w:val="none"/>
        </w:rPr>
      </w:pPr>
    </w:p>
    <w:p w14:paraId="22054D67">
      <w:pPr>
        <w:autoSpaceDE w:val="0"/>
        <w:autoSpaceDN w:val="0"/>
        <w:jc w:val="center"/>
        <w:rPr>
          <w:rFonts w:hint="eastAsia" w:ascii="仿宋" w:hAnsi="仿宋" w:eastAsia="仿宋" w:cs="仿宋"/>
          <w:b/>
          <w:color w:val="auto"/>
          <w:spacing w:val="6"/>
          <w:sz w:val="32"/>
          <w:szCs w:val="32"/>
          <w:highlight w:val="none"/>
        </w:rPr>
      </w:pPr>
    </w:p>
    <w:p w14:paraId="78EB0828">
      <w:pPr>
        <w:autoSpaceDE w:val="0"/>
        <w:autoSpaceDN w:val="0"/>
        <w:jc w:val="center"/>
        <w:rPr>
          <w:rFonts w:hint="eastAsia" w:ascii="仿宋" w:hAnsi="仿宋" w:eastAsia="仿宋" w:cs="仿宋"/>
          <w:b/>
          <w:color w:val="auto"/>
          <w:spacing w:val="6"/>
          <w:sz w:val="32"/>
          <w:szCs w:val="32"/>
          <w:highlight w:val="none"/>
        </w:rPr>
      </w:pPr>
    </w:p>
    <w:p w14:paraId="7E3FA500">
      <w:pPr>
        <w:autoSpaceDE w:val="0"/>
        <w:autoSpaceDN w:val="0"/>
        <w:jc w:val="center"/>
        <w:rPr>
          <w:rFonts w:hint="eastAsia" w:ascii="仿宋" w:hAnsi="仿宋" w:eastAsia="仿宋" w:cs="仿宋"/>
          <w:b/>
          <w:color w:val="auto"/>
          <w:spacing w:val="6"/>
          <w:sz w:val="32"/>
          <w:szCs w:val="32"/>
          <w:highlight w:val="none"/>
        </w:rPr>
      </w:pPr>
    </w:p>
    <w:p w14:paraId="5B1D5B8A">
      <w:pPr>
        <w:autoSpaceDE w:val="0"/>
        <w:autoSpaceDN w:val="0"/>
        <w:jc w:val="center"/>
        <w:rPr>
          <w:rFonts w:hint="eastAsia" w:ascii="仿宋" w:hAnsi="仿宋" w:eastAsia="仿宋" w:cs="仿宋"/>
          <w:b/>
          <w:color w:val="auto"/>
          <w:spacing w:val="6"/>
          <w:sz w:val="32"/>
          <w:szCs w:val="32"/>
          <w:highlight w:val="none"/>
        </w:rPr>
      </w:pPr>
    </w:p>
    <w:p w14:paraId="44B95A83">
      <w:pPr>
        <w:autoSpaceDE w:val="0"/>
        <w:autoSpaceDN w:val="0"/>
        <w:jc w:val="center"/>
        <w:rPr>
          <w:rFonts w:hint="eastAsia" w:ascii="仿宋" w:hAnsi="仿宋" w:eastAsia="仿宋" w:cs="仿宋"/>
          <w:b/>
          <w:color w:val="auto"/>
          <w:spacing w:val="6"/>
          <w:sz w:val="32"/>
          <w:szCs w:val="32"/>
          <w:highlight w:val="none"/>
        </w:rPr>
      </w:pPr>
    </w:p>
    <w:p w14:paraId="6B959B24">
      <w:pPr>
        <w:autoSpaceDE w:val="0"/>
        <w:autoSpaceDN w:val="0"/>
        <w:jc w:val="center"/>
        <w:rPr>
          <w:rFonts w:hint="eastAsia" w:ascii="仿宋" w:hAnsi="仿宋" w:eastAsia="仿宋" w:cs="仿宋"/>
          <w:b/>
          <w:color w:val="auto"/>
          <w:spacing w:val="6"/>
          <w:sz w:val="32"/>
          <w:szCs w:val="32"/>
          <w:highlight w:val="none"/>
        </w:rPr>
      </w:pPr>
    </w:p>
    <w:p w14:paraId="77A00573">
      <w:pPr>
        <w:autoSpaceDE w:val="0"/>
        <w:autoSpaceDN w:val="0"/>
        <w:jc w:val="center"/>
        <w:rPr>
          <w:rFonts w:hint="eastAsia" w:ascii="仿宋" w:hAnsi="仿宋" w:eastAsia="仿宋" w:cs="仿宋"/>
          <w:b/>
          <w:color w:val="auto"/>
          <w:spacing w:val="6"/>
          <w:sz w:val="32"/>
          <w:szCs w:val="32"/>
          <w:highlight w:val="none"/>
        </w:rPr>
      </w:pPr>
    </w:p>
    <w:p w14:paraId="3C2589A3">
      <w:pPr>
        <w:autoSpaceDE w:val="0"/>
        <w:autoSpaceDN w:val="0"/>
        <w:jc w:val="center"/>
        <w:rPr>
          <w:rFonts w:hint="eastAsia" w:ascii="仿宋" w:hAnsi="仿宋" w:eastAsia="仿宋" w:cs="仿宋"/>
          <w:b/>
          <w:color w:val="auto"/>
          <w:spacing w:val="6"/>
          <w:sz w:val="32"/>
          <w:szCs w:val="32"/>
          <w:highlight w:val="none"/>
        </w:rPr>
      </w:pPr>
    </w:p>
    <w:p w14:paraId="6ACDA3E7">
      <w:pPr>
        <w:autoSpaceDE w:val="0"/>
        <w:autoSpaceDN w:val="0"/>
        <w:jc w:val="center"/>
        <w:rPr>
          <w:rFonts w:hint="eastAsia" w:ascii="仿宋" w:hAnsi="仿宋" w:eastAsia="仿宋" w:cs="仿宋"/>
          <w:b/>
          <w:color w:val="auto"/>
          <w:spacing w:val="6"/>
          <w:sz w:val="32"/>
          <w:szCs w:val="32"/>
          <w:highlight w:val="none"/>
        </w:rPr>
      </w:pPr>
    </w:p>
    <w:p w14:paraId="5DE76F4F">
      <w:pPr>
        <w:autoSpaceDE w:val="0"/>
        <w:autoSpaceDN w:val="0"/>
        <w:jc w:val="center"/>
        <w:rPr>
          <w:rFonts w:hint="eastAsia" w:ascii="仿宋" w:hAnsi="仿宋" w:eastAsia="仿宋" w:cs="仿宋"/>
          <w:b/>
          <w:color w:val="auto"/>
          <w:spacing w:val="6"/>
          <w:sz w:val="32"/>
          <w:szCs w:val="32"/>
          <w:highlight w:val="none"/>
        </w:rPr>
      </w:pPr>
    </w:p>
    <w:p w14:paraId="5CE7A3BE">
      <w:pPr>
        <w:autoSpaceDE w:val="0"/>
        <w:autoSpaceDN w:val="0"/>
        <w:jc w:val="center"/>
        <w:rPr>
          <w:rFonts w:hint="eastAsia" w:ascii="仿宋" w:hAnsi="仿宋" w:eastAsia="仿宋" w:cs="仿宋"/>
          <w:b/>
          <w:color w:val="auto"/>
          <w:spacing w:val="6"/>
          <w:sz w:val="32"/>
          <w:szCs w:val="32"/>
          <w:highlight w:val="none"/>
        </w:rPr>
      </w:pPr>
    </w:p>
    <w:p w14:paraId="68E6C37E">
      <w:pPr>
        <w:autoSpaceDE w:val="0"/>
        <w:autoSpaceDN w:val="0"/>
        <w:jc w:val="center"/>
        <w:rPr>
          <w:rFonts w:hint="eastAsia" w:ascii="仿宋" w:hAnsi="仿宋" w:eastAsia="仿宋" w:cs="仿宋"/>
          <w:b/>
          <w:color w:val="auto"/>
          <w:spacing w:val="6"/>
          <w:sz w:val="32"/>
          <w:szCs w:val="32"/>
          <w:highlight w:val="none"/>
        </w:rPr>
      </w:pPr>
    </w:p>
    <w:p w14:paraId="085B2976">
      <w:pPr>
        <w:autoSpaceDE w:val="0"/>
        <w:autoSpaceDN w:val="0"/>
        <w:jc w:val="center"/>
        <w:rPr>
          <w:rFonts w:hint="eastAsia" w:ascii="仿宋" w:hAnsi="仿宋" w:eastAsia="仿宋" w:cs="仿宋"/>
          <w:b/>
          <w:color w:val="auto"/>
          <w:spacing w:val="6"/>
          <w:sz w:val="32"/>
          <w:szCs w:val="32"/>
          <w:highlight w:val="none"/>
        </w:rPr>
      </w:pPr>
    </w:p>
    <w:p w14:paraId="2ED4E1A8">
      <w:pPr>
        <w:autoSpaceDE w:val="0"/>
        <w:autoSpaceDN w:val="0"/>
        <w:jc w:val="center"/>
        <w:rPr>
          <w:rFonts w:hint="eastAsia" w:ascii="仿宋" w:hAnsi="仿宋" w:eastAsia="仿宋" w:cs="仿宋"/>
          <w:b/>
          <w:color w:val="auto"/>
          <w:spacing w:val="6"/>
          <w:sz w:val="32"/>
          <w:szCs w:val="32"/>
          <w:highlight w:val="none"/>
        </w:rPr>
      </w:pPr>
    </w:p>
    <w:p w14:paraId="2325A8B2">
      <w:pPr>
        <w:autoSpaceDE w:val="0"/>
        <w:autoSpaceDN w:val="0"/>
        <w:jc w:val="center"/>
        <w:rPr>
          <w:rFonts w:hint="eastAsia" w:ascii="仿宋" w:hAnsi="仿宋" w:eastAsia="仿宋" w:cs="仿宋"/>
          <w:b/>
          <w:color w:val="auto"/>
          <w:spacing w:val="6"/>
          <w:sz w:val="32"/>
          <w:szCs w:val="32"/>
          <w:highlight w:val="none"/>
        </w:rPr>
      </w:pPr>
    </w:p>
    <w:p w14:paraId="211F9569">
      <w:pPr>
        <w:autoSpaceDE w:val="0"/>
        <w:autoSpaceDN w:val="0"/>
        <w:jc w:val="center"/>
        <w:rPr>
          <w:rFonts w:hint="eastAsia" w:ascii="仿宋" w:hAnsi="仿宋" w:eastAsia="仿宋" w:cs="仿宋"/>
          <w:b/>
          <w:color w:val="auto"/>
          <w:spacing w:val="6"/>
          <w:sz w:val="32"/>
          <w:szCs w:val="32"/>
          <w:highlight w:val="none"/>
        </w:rPr>
      </w:pPr>
    </w:p>
    <w:p w14:paraId="0D1552B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25F8BC3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3C2DE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06AD6CC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DBCAB2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0CE2C4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9E2506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E701C5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EFD6CC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3D352B0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0374C31">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0" w:name="_Hlk101131882"/>
      <w:r>
        <w:rPr>
          <w:rFonts w:hint="eastAsia" w:ascii="仿宋" w:hAnsi="仿宋" w:eastAsia="仿宋" w:cs="仿宋"/>
          <w:color w:val="auto"/>
          <w:kern w:val="0"/>
          <w:sz w:val="24"/>
          <w:highlight w:val="none"/>
          <w:u w:val="single"/>
        </w:rPr>
        <w:t>联合体成员X,……</w:t>
      </w:r>
      <w:bookmarkEnd w:id="400"/>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1"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1"/>
      <w:r>
        <w:rPr>
          <w:rFonts w:hint="eastAsia" w:ascii="仿宋" w:hAnsi="仿宋" w:eastAsia="仿宋" w:cs="仿宋"/>
          <w:b/>
          <w:color w:val="auto"/>
          <w:kern w:val="0"/>
          <w:sz w:val="24"/>
          <w:highlight w:val="none"/>
          <w:lang w:val="zh-CN"/>
        </w:rPr>
        <w:t>）</w:t>
      </w:r>
    </w:p>
    <w:p w14:paraId="77E236EE">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2"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2"/>
    </w:p>
    <w:p w14:paraId="5CAF31B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51A682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A364F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F49BBB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84F0E9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1BF517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282A43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3FCBACE">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210A68A">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0A7AE4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AD27EF3">
      <w:pPr>
        <w:autoSpaceDE w:val="0"/>
        <w:autoSpaceDN w:val="0"/>
        <w:jc w:val="center"/>
        <w:rPr>
          <w:rFonts w:hint="eastAsia" w:ascii="仿宋" w:hAnsi="仿宋" w:eastAsia="仿宋" w:cs="仿宋"/>
          <w:b/>
          <w:color w:val="auto"/>
          <w:spacing w:val="6"/>
          <w:sz w:val="32"/>
          <w:szCs w:val="32"/>
          <w:highlight w:val="none"/>
        </w:rPr>
      </w:pPr>
    </w:p>
    <w:p w14:paraId="4E176A2E">
      <w:pPr>
        <w:autoSpaceDE w:val="0"/>
        <w:autoSpaceDN w:val="0"/>
        <w:jc w:val="center"/>
        <w:rPr>
          <w:rFonts w:hint="eastAsia" w:ascii="仿宋" w:hAnsi="仿宋" w:eastAsia="仿宋" w:cs="仿宋"/>
          <w:b/>
          <w:color w:val="auto"/>
          <w:spacing w:val="6"/>
          <w:sz w:val="32"/>
          <w:szCs w:val="32"/>
          <w:highlight w:val="none"/>
        </w:rPr>
      </w:pPr>
    </w:p>
    <w:p w14:paraId="55B156A2">
      <w:pPr>
        <w:autoSpaceDE w:val="0"/>
        <w:autoSpaceDN w:val="0"/>
        <w:jc w:val="center"/>
        <w:rPr>
          <w:rFonts w:hint="eastAsia" w:ascii="仿宋" w:hAnsi="仿宋" w:eastAsia="仿宋" w:cs="仿宋"/>
          <w:b/>
          <w:color w:val="auto"/>
          <w:spacing w:val="6"/>
          <w:sz w:val="32"/>
          <w:szCs w:val="32"/>
          <w:highlight w:val="none"/>
        </w:rPr>
      </w:pPr>
    </w:p>
    <w:p w14:paraId="134DF307">
      <w:pPr>
        <w:autoSpaceDE w:val="0"/>
        <w:autoSpaceDN w:val="0"/>
        <w:jc w:val="center"/>
        <w:rPr>
          <w:rFonts w:hint="eastAsia" w:ascii="仿宋" w:hAnsi="仿宋" w:eastAsia="仿宋" w:cs="仿宋"/>
          <w:b/>
          <w:color w:val="auto"/>
          <w:spacing w:val="6"/>
          <w:sz w:val="32"/>
          <w:szCs w:val="32"/>
          <w:highlight w:val="none"/>
        </w:rPr>
      </w:pPr>
    </w:p>
    <w:p w14:paraId="7994D26B">
      <w:pPr>
        <w:autoSpaceDE w:val="0"/>
        <w:autoSpaceDN w:val="0"/>
        <w:jc w:val="center"/>
        <w:rPr>
          <w:rFonts w:hint="eastAsia" w:ascii="仿宋" w:hAnsi="仿宋" w:eastAsia="仿宋" w:cs="仿宋"/>
          <w:b/>
          <w:color w:val="auto"/>
          <w:spacing w:val="6"/>
          <w:sz w:val="32"/>
          <w:szCs w:val="32"/>
          <w:highlight w:val="none"/>
        </w:rPr>
      </w:pPr>
    </w:p>
    <w:p w14:paraId="4692B378">
      <w:pPr>
        <w:autoSpaceDE w:val="0"/>
        <w:autoSpaceDN w:val="0"/>
        <w:jc w:val="center"/>
        <w:rPr>
          <w:rFonts w:hint="eastAsia" w:ascii="仿宋" w:hAnsi="仿宋" w:eastAsia="仿宋" w:cs="仿宋"/>
          <w:b/>
          <w:color w:val="auto"/>
          <w:spacing w:val="6"/>
          <w:sz w:val="32"/>
          <w:szCs w:val="32"/>
          <w:highlight w:val="none"/>
        </w:rPr>
      </w:pPr>
    </w:p>
    <w:p w14:paraId="04E4AF07">
      <w:pPr>
        <w:autoSpaceDE w:val="0"/>
        <w:autoSpaceDN w:val="0"/>
        <w:jc w:val="center"/>
        <w:rPr>
          <w:rFonts w:hint="eastAsia" w:ascii="仿宋" w:hAnsi="仿宋" w:eastAsia="仿宋" w:cs="仿宋"/>
          <w:b/>
          <w:color w:val="auto"/>
          <w:spacing w:val="6"/>
          <w:sz w:val="32"/>
          <w:szCs w:val="32"/>
          <w:highlight w:val="none"/>
        </w:rPr>
      </w:pPr>
    </w:p>
    <w:p w14:paraId="20BC1D46">
      <w:pPr>
        <w:autoSpaceDE w:val="0"/>
        <w:autoSpaceDN w:val="0"/>
        <w:jc w:val="center"/>
        <w:rPr>
          <w:rFonts w:hint="eastAsia" w:ascii="仿宋" w:hAnsi="仿宋" w:eastAsia="仿宋" w:cs="仿宋"/>
          <w:b/>
          <w:color w:val="auto"/>
          <w:spacing w:val="6"/>
          <w:sz w:val="32"/>
          <w:szCs w:val="32"/>
          <w:highlight w:val="none"/>
        </w:rPr>
      </w:pPr>
    </w:p>
    <w:p w14:paraId="46422D18">
      <w:pPr>
        <w:autoSpaceDE w:val="0"/>
        <w:autoSpaceDN w:val="0"/>
        <w:jc w:val="center"/>
        <w:rPr>
          <w:rFonts w:hint="eastAsia" w:ascii="仿宋" w:hAnsi="仿宋" w:eastAsia="仿宋" w:cs="仿宋"/>
          <w:b/>
          <w:color w:val="auto"/>
          <w:spacing w:val="6"/>
          <w:sz w:val="32"/>
          <w:szCs w:val="32"/>
          <w:highlight w:val="none"/>
        </w:rPr>
      </w:pPr>
    </w:p>
    <w:p w14:paraId="147B521D">
      <w:pPr>
        <w:autoSpaceDE w:val="0"/>
        <w:autoSpaceDN w:val="0"/>
        <w:jc w:val="center"/>
        <w:rPr>
          <w:rFonts w:hint="eastAsia" w:ascii="仿宋" w:hAnsi="仿宋" w:eastAsia="仿宋" w:cs="仿宋"/>
          <w:b/>
          <w:color w:val="auto"/>
          <w:spacing w:val="6"/>
          <w:sz w:val="32"/>
          <w:szCs w:val="32"/>
          <w:highlight w:val="none"/>
        </w:rPr>
      </w:pPr>
    </w:p>
    <w:p w14:paraId="2F69F088">
      <w:pPr>
        <w:autoSpaceDE w:val="0"/>
        <w:autoSpaceDN w:val="0"/>
        <w:jc w:val="center"/>
        <w:rPr>
          <w:rFonts w:hint="eastAsia" w:ascii="仿宋" w:hAnsi="仿宋" w:eastAsia="仿宋" w:cs="仿宋"/>
          <w:b/>
          <w:color w:val="auto"/>
          <w:spacing w:val="6"/>
          <w:sz w:val="32"/>
          <w:szCs w:val="32"/>
          <w:highlight w:val="none"/>
        </w:rPr>
      </w:pPr>
    </w:p>
    <w:p w14:paraId="13C3B781">
      <w:pPr>
        <w:autoSpaceDE w:val="0"/>
        <w:autoSpaceDN w:val="0"/>
        <w:jc w:val="center"/>
        <w:rPr>
          <w:rFonts w:hint="eastAsia" w:ascii="仿宋" w:hAnsi="仿宋" w:eastAsia="仿宋" w:cs="仿宋"/>
          <w:b/>
          <w:color w:val="auto"/>
          <w:spacing w:val="6"/>
          <w:sz w:val="32"/>
          <w:szCs w:val="32"/>
          <w:highlight w:val="none"/>
        </w:rPr>
      </w:pPr>
    </w:p>
    <w:p w14:paraId="796DB13F">
      <w:pPr>
        <w:autoSpaceDE w:val="0"/>
        <w:autoSpaceDN w:val="0"/>
        <w:jc w:val="center"/>
        <w:rPr>
          <w:rFonts w:hint="eastAsia" w:ascii="仿宋" w:hAnsi="仿宋" w:eastAsia="仿宋" w:cs="仿宋"/>
          <w:b/>
          <w:color w:val="auto"/>
          <w:spacing w:val="6"/>
          <w:sz w:val="32"/>
          <w:szCs w:val="32"/>
          <w:highlight w:val="none"/>
        </w:rPr>
      </w:pPr>
    </w:p>
    <w:p w14:paraId="27FD7D59">
      <w:pPr>
        <w:autoSpaceDE w:val="0"/>
        <w:autoSpaceDN w:val="0"/>
        <w:jc w:val="center"/>
        <w:rPr>
          <w:rFonts w:hint="eastAsia" w:ascii="仿宋" w:hAnsi="仿宋" w:eastAsia="仿宋" w:cs="仿宋"/>
          <w:b/>
          <w:color w:val="auto"/>
          <w:spacing w:val="6"/>
          <w:sz w:val="32"/>
          <w:szCs w:val="32"/>
          <w:highlight w:val="none"/>
        </w:rPr>
      </w:pPr>
    </w:p>
    <w:p w14:paraId="202B521E">
      <w:pPr>
        <w:autoSpaceDE w:val="0"/>
        <w:autoSpaceDN w:val="0"/>
        <w:jc w:val="center"/>
        <w:rPr>
          <w:rFonts w:hint="eastAsia" w:ascii="仿宋" w:hAnsi="仿宋" w:eastAsia="仿宋" w:cs="仿宋"/>
          <w:b/>
          <w:color w:val="auto"/>
          <w:spacing w:val="6"/>
          <w:sz w:val="32"/>
          <w:szCs w:val="32"/>
          <w:highlight w:val="none"/>
        </w:rPr>
      </w:pPr>
    </w:p>
    <w:p w14:paraId="63710AE5">
      <w:pPr>
        <w:autoSpaceDE w:val="0"/>
        <w:autoSpaceDN w:val="0"/>
        <w:jc w:val="center"/>
        <w:rPr>
          <w:rFonts w:hint="eastAsia" w:ascii="仿宋" w:hAnsi="仿宋" w:eastAsia="仿宋" w:cs="仿宋"/>
          <w:b/>
          <w:color w:val="auto"/>
          <w:spacing w:val="6"/>
          <w:sz w:val="32"/>
          <w:szCs w:val="32"/>
          <w:highlight w:val="none"/>
        </w:rPr>
      </w:pPr>
    </w:p>
    <w:p w14:paraId="45413A3D">
      <w:pPr>
        <w:autoSpaceDE w:val="0"/>
        <w:autoSpaceDN w:val="0"/>
        <w:jc w:val="center"/>
        <w:rPr>
          <w:rFonts w:hint="eastAsia" w:ascii="仿宋" w:hAnsi="仿宋" w:eastAsia="仿宋" w:cs="仿宋"/>
          <w:b/>
          <w:color w:val="auto"/>
          <w:spacing w:val="6"/>
          <w:sz w:val="32"/>
          <w:szCs w:val="32"/>
          <w:highlight w:val="none"/>
        </w:rPr>
      </w:pPr>
    </w:p>
    <w:p w14:paraId="6C755F3C">
      <w:pPr>
        <w:autoSpaceDE w:val="0"/>
        <w:autoSpaceDN w:val="0"/>
        <w:jc w:val="center"/>
        <w:rPr>
          <w:rFonts w:hint="eastAsia" w:ascii="仿宋" w:hAnsi="仿宋" w:eastAsia="仿宋" w:cs="仿宋"/>
          <w:b/>
          <w:color w:val="auto"/>
          <w:spacing w:val="6"/>
          <w:sz w:val="32"/>
          <w:szCs w:val="32"/>
          <w:highlight w:val="none"/>
        </w:rPr>
      </w:pPr>
    </w:p>
    <w:p w14:paraId="2D74ED45">
      <w:pPr>
        <w:autoSpaceDE w:val="0"/>
        <w:autoSpaceDN w:val="0"/>
        <w:jc w:val="center"/>
        <w:rPr>
          <w:rFonts w:hint="eastAsia" w:ascii="仿宋" w:hAnsi="仿宋" w:eastAsia="仿宋" w:cs="仿宋"/>
          <w:b/>
          <w:color w:val="auto"/>
          <w:spacing w:val="6"/>
          <w:sz w:val="32"/>
          <w:szCs w:val="32"/>
          <w:highlight w:val="none"/>
        </w:rPr>
      </w:pPr>
    </w:p>
    <w:p w14:paraId="6C9FDD5E">
      <w:pPr>
        <w:autoSpaceDE w:val="0"/>
        <w:autoSpaceDN w:val="0"/>
        <w:jc w:val="center"/>
        <w:rPr>
          <w:rFonts w:hint="eastAsia" w:ascii="仿宋" w:hAnsi="仿宋" w:eastAsia="仿宋" w:cs="仿宋"/>
          <w:b/>
          <w:color w:val="auto"/>
          <w:spacing w:val="6"/>
          <w:sz w:val="32"/>
          <w:szCs w:val="32"/>
          <w:highlight w:val="none"/>
        </w:rPr>
      </w:pPr>
    </w:p>
    <w:p w14:paraId="365CE0F0">
      <w:pPr>
        <w:autoSpaceDE w:val="0"/>
        <w:autoSpaceDN w:val="0"/>
        <w:jc w:val="center"/>
        <w:rPr>
          <w:rFonts w:hint="eastAsia" w:ascii="仿宋" w:hAnsi="仿宋" w:eastAsia="仿宋" w:cs="仿宋"/>
          <w:b/>
          <w:color w:val="auto"/>
          <w:spacing w:val="6"/>
          <w:sz w:val="32"/>
          <w:szCs w:val="32"/>
          <w:highlight w:val="none"/>
        </w:rPr>
      </w:pPr>
    </w:p>
    <w:p w14:paraId="70BE3C41">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7023725">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0D83466E">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FB3CCC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A25A2D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37322E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99BDC8C">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5748971">
      <w:pPr>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kern w:val="0"/>
          <w:sz w:val="24"/>
          <w:highlight w:val="none"/>
          <w:lang w:val="zh-CN"/>
        </w:rPr>
        <w:t>二、分包供应商中小企业合同份额</w:t>
      </w:r>
    </w:p>
    <w:p w14:paraId="6E13576A">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A3FFD5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4900928C">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kern w:val="0"/>
          <w:sz w:val="24"/>
          <w:highlight w:val="none"/>
          <w:lang w:val="zh-CN"/>
        </w:rPr>
        <w:t>三、分包工作履行期限、地点、方式：</w:t>
      </w:r>
      <w:r>
        <w:rPr>
          <w:rFonts w:hint="eastAsia" w:ascii="仿宋" w:hAnsi="仿宋" w:eastAsia="仿宋" w:cs="仿宋"/>
          <w:color w:val="auto"/>
          <w:highlight w:val="none"/>
          <w:u w:val="single"/>
        </w:rPr>
        <w:t xml:space="preserve">                                                                                  </w:t>
      </w:r>
    </w:p>
    <w:p w14:paraId="1258C2F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r>
        <w:rPr>
          <w:rFonts w:hint="eastAsia" w:ascii="仿宋" w:hAnsi="仿宋" w:eastAsia="仿宋" w:cs="仿宋"/>
          <w:color w:val="auto"/>
          <w:highlight w:val="none"/>
          <w:u w:val="single"/>
        </w:rPr>
        <w:t xml:space="preserve">                                                                                       </w:t>
      </w:r>
    </w:p>
    <w:p w14:paraId="000B23D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r>
        <w:rPr>
          <w:rFonts w:hint="eastAsia" w:ascii="仿宋" w:hAnsi="仿宋" w:eastAsia="仿宋" w:cs="仿宋"/>
          <w:color w:val="auto"/>
          <w:highlight w:val="none"/>
          <w:u w:val="single"/>
        </w:rPr>
        <w:t xml:space="preserve">                                                                                     </w:t>
      </w:r>
    </w:p>
    <w:p w14:paraId="27B1316D">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r>
        <w:rPr>
          <w:rFonts w:hint="eastAsia" w:ascii="仿宋" w:hAnsi="仿宋" w:eastAsia="仿宋" w:cs="仿宋"/>
          <w:color w:val="auto"/>
          <w:highlight w:val="none"/>
          <w:u w:val="single"/>
        </w:rPr>
        <w:t xml:space="preserve">                                                                                     </w:t>
      </w:r>
    </w:p>
    <w:p w14:paraId="058CE83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r>
        <w:rPr>
          <w:rFonts w:hint="eastAsia" w:ascii="仿宋" w:hAnsi="仿宋" w:eastAsia="仿宋" w:cs="仿宋"/>
          <w:color w:val="auto"/>
          <w:highlight w:val="none"/>
          <w:u w:val="single"/>
        </w:rPr>
        <w:t xml:space="preserve">                                                                                  </w:t>
      </w:r>
    </w:p>
    <w:p w14:paraId="13E1BE9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w:t>
      </w:r>
    </w:p>
    <w:p w14:paraId="20C2E0DF">
      <w:pPr>
        <w:snapToGrid w:val="0"/>
        <w:spacing w:line="360" w:lineRule="auto"/>
        <w:ind w:firstLine="576"/>
        <w:rPr>
          <w:rFonts w:hint="eastAsia" w:ascii="仿宋" w:hAnsi="仿宋" w:eastAsia="仿宋" w:cs="仿宋"/>
          <w:color w:val="auto"/>
          <w:kern w:val="0"/>
          <w:sz w:val="24"/>
          <w:highlight w:val="none"/>
          <w:lang w:val="zh-CN"/>
        </w:rPr>
      </w:pPr>
    </w:p>
    <w:p w14:paraId="323CC52F">
      <w:pPr>
        <w:snapToGrid w:val="0"/>
        <w:spacing w:line="360" w:lineRule="auto"/>
        <w:ind w:firstLine="576"/>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784031C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7517288">
      <w:pPr>
        <w:snapToGrid w:val="0"/>
        <w:spacing w:line="360" w:lineRule="auto"/>
        <w:ind w:firstLine="5760" w:firstLineChars="24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日期：  年  月   日</w:t>
      </w:r>
    </w:p>
    <w:p w14:paraId="5D5DFC09">
      <w:pPr>
        <w:spacing w:line="360" w:lineRule="auto"/>
        <w:ind w:right="420" w:firstLine="720" w:firstLineChars="300"/>
        <w:jc w:val="both"/>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p>
    <w:p w14:paraId="62ED53EF">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302606F4">
      <w:pPr>
        <w:spacing w:line="360" w:lineRule="auto"/>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中小企业声明函（服务）</w:t>
      </w:r>
    </w:p>
    <w:p w14:paraId="573F0668">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CB3217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lang w:eastAsia="zh-CN"/>
        </w:rPr>
        <w:t>杭州市拱墅区人民政府潮鸣街道办事处2025年特保服务项目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租赁和商务服务业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05D65D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DC00FF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E96851F">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EE9424F">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39EB81F">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2AFF5049">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CFBF134">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A84A5E7">
      <w:pPr>
        <w:rPr>
          <w:color w:val="auto"/>
          <w:highlight w:val="none"/>
        </w:rPr>
      </w:pPr>
      <w:r>
        <w:rPr>
          <w:color w:val="auto"/>
          <w:highlight w:val="none"/>
        </w:rPr>
        <w:br w:type="page"/>
      </w:r>
    </w:p>
    <w:p w14:paraId="25080BA8">
      <w:pPr>
        <w:pStyle w:val="11"/>
        <w:spacing w:afterLines="50"/>
        <w:rPr>
          <w:rFonts w:hint="eastAsia" w:ascii="仿宋" w:hAnsi="仿宋" w:eastAsia="仿宋" w:cs="仿宋"/>
          <w:color w:val="auto"/>
          <w:sz w:val="28"/>
          <w:szCs w:val="28"/>
          <w:highlight w:val="none"/>
        </w:rPr>
      </w:pPr>
      <w:r>
        <w:rPr>
          <w:rFonts w:hint="eastAsia" w:ascii="仿宋" w:hAnsi="仿宋" w:eastAsia="仿宋" w:cs="仿宋"/>
          <w:color w:val="auto"/>
          <w:highlight w:val="none"/>
        </w:rPr>
        <w:t>政府采购活动现场确认声明书</w:t>
      </w:r>
    </w:p>
    <w:p w14:paraId="5C91E082">
      <w:pPr>
        <w:pStyle w:val="31"/>
        <w:spacing w:line="360" w:lineRule="auto"/>
        <w:ind w:firstLine="420"/>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u w:val="single"/>
          <w:lang w:eastAsia="zh-CN"/>
        </w:rPr>
        <w:t>浙江华耀建设咨询有限公司</w:t>
      </w:r>
      <w:r>
        <w:rPr>
          <w:rFonts w:hint="eastAsia" w:ascii="仿宋" w:hAnsi="仿宋" w:eastAsia="仿宋" w:cs="仿宋"/>
          <w:color w:val="auto"/>
          <w:kern w:val="0"/>
          <w:szCs w:val="21"/>
          <w:highlight w:val="none"/>
        </w:rPr>
        <w:t>：</w:t>
      </w:r>
    </w:p>
    <w:p w14:paraId="28FCE417">
      <w:pPr>
        <w:pStyle w:val="31"/>
        <w:spacing w:line="360" w:lineRule="auto"/>
        <w:ind w:firstLine="444"/>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本人</w:t>
      </w:r>
      <w:r>
        <w:rPr>
          <w:rFonts w:hint="eastAsia" w:ascii="仿宋" w:hAnsi="仿宋" w:eastAsia="仿宋" w:cs="仿宋"/>
          <w:color w:val="auto"/>
          <w:spacing w:val="6"/>
          <w:szCs w:val="21"/>
          <w:highlight w:val="none"/>
          <w:u w:val="single"/>
          <w:lang w:val="en-US" w:eastAsia="zh-CN"/>
        </w:rPr>
        <w:t xml:space="preserve">      </w:t>
      </w:r>
      <w:r>
        <w:rPr>
          <w:rFonts w:hint="eastAsia" w:ascii="仿宋" w:hAnsi="仿宋" w:eastAsia="仿宋" w:cs="仿宋"/>
          <w:color w:val="auto"/>
          <w:spacing w:val="6"/>
          <w:szCs w:val="21"/>
          <w:highlight w:val="none"/>
          <w:u w:val="none"/>
          <w:lang w:val="en-US" w:eastAsia="zh-CN"/>
        </w:rPr>
        <w:t>（授权代表姓名）</w:t>
      </w:r>
      <w:r>
        <w:rPr>
          <w:rFonts w:hint="eastAsia" w:ascii="仿宋" w:hAnsi="仿宋" w:eastAsia="仿宋" w:cs="仿宋"/>
          <w:color w:val="auto"/>
          <w:spacing w:val="6"/>
          <w:szCs w:val="21"/>
          <w:highlight w:val="none"/>
        </w:rPr>
        <w:t>经由</w:t>
      </w:r>
      <w:r>
        <w:rPr>
          <w:rFonts w:hint="eastAsia" w:ascii="仿宋" w:hAnsi="仿宋" w:eastAsia="仿宋" w:cs="仿宋"/>
          <w:color w:val="auto"/>
          <w:spacing w:val="6"/>
          <w:szCs w:val="21"/>
          <w:highlight w:val="none"/>
          <w:u w:val="single"/>
          <w:lang w:val="en-US" w:eastAsia="zh-CN"/>
        </w:rPr>
        <w:t xml:space="preserve">      </w:t>
      </w:r>
      <w:r>
        <w:rPr>
          <w:rFonts w:hint="eastAsia" w:ascii="仿宋" w:hAnsi="仿宋" w:eastAsia="仿宋" w:cs="仿宋"/>
          <w:color w:val="auto"/>
          <w:spacing w:val="6"/>
          <w:szCs w:val="21"/>
          <w:highlight w:val="none"/>
          <w:u w:val="none"/>
        </w:rPr>
        <w:t>（单位）</w:t>
      </w:r>
      <w:r>
        <w:rPr>
          <w:rFonts w:hint="eastAsia" w:ascii="仿宋" w:hAnsi="仿宋" w:eastAsia="仿宋" w:cs="仿宋"/>
          <w:color w:val="auto"/>
          <w:spacing w:val="6"/>
          <w:szCs w:val="21"/>
          <w:highlight w:val="none"/>
          <w:u w:val="single"/>
          <w:lang w:val="en-US" w:eastAsia="zh-CN"/>
        </w:rPr>
        <w:t xml:space="preserve">     </w:t>
      </w:r>
      <w:r>
        <w:rPr>
          <w:rFonts w:hint="eastAsia" w:ascii="仿宋" w:hAnsi="仿宋" w:eastAsia="仿宋" w:cs="仿宋"/>
          <w:color w:val="auto"/>
          <w:spacing w:val="6"/>
          <w:szCs w:val="21"/>
          <w:highlight w:val="none"/>
        </w:rPr>
        <w:t>（法定代表人姓名）合法授权参加</w:t>
      </w:r>
      <w:r>
        <w:rPr>
          <w:rFonts w:hint="eastAsia" w:ascii="仿宋" w:hAnsi="仿宋" w:eastAsia="仿宋" w:cs="仿宋"/>
          <w:color w:val="auto"/>
          <w:spacing w:val="6"/>
          <w:szCs w:val="21"/>
          <w:highlight w:val="none"/>
          <w:u w:val="single"/>
          <w:lang w:eastAsia="zh-CN"/>
        </w:rPr>
        <w:t>杭州市拱墅区人民政府潮鸣街道办事处2025年特保服务项目</w:t>
      </w:r>
      <w:r>
        <w:rPr>
          <w:rFonts w:hint="eastAsia" w:ascii="仿宋" w:hAnsi="仿宋" w:eastAsia="仿宋" w:cs="仿宋"/>
          <w:color w:val="auto"/>
          <w:spacing w:val="6"/>
          <w:szCs w:val="21"/>
          <w:highlight w:val="none"/>
          <w:u w:val="single"/>
        </w:rPr>
        <w:t>（编号：</w:t>
      </w:r>
      <w:r>
        <w:rPr>
          <w:rFonts w:hint="eastAsia" w:ascii="仿宋" w:hAnsi="仿宋" w:eastAsia="仿宋" w:cs="仿宋"/>
          <w:color w:val="auto"/>
          <w:spacing w:val="6"/>
          <w:szCs w:val="21"/>
          <w:highlight w:val="none"/>
          <w:u w:val="single"/>
          <w:lang w:eastAsia="zh-CN"/>
        </w:rPr>
        <w:t>CMJD-ZJHY-20241202</w:t>
      </w:r>
      <w:r>
        <w:rPr>
          <w:rFonts w:hint="eastAsia" w:ascii="仿宋" w:hAnsi="仿宋" w:eastAsia="仿宋" w:cs="仿宋"/>
          <w:color w:val="auto"/>
          <w:spacing w:val="6"/>
          <w:szCs w:val="21"/>
          <w:highlight w:val="none"/>
          <w:u w:val="single"/>
        </w:rPr>
        <w:t>）</w:t>
      </w:r>
      <w:r>
        <w:rPr>
          <w:rFonts w:hint="eastAsia" w:ascii="仿宋" w:hAnsi="仿宋" w:eastAsia="仿宋" w:cs="仿宋"/>
          <w:color w:val="auto"/>
          <w:spacing w:val="6"/>
          <w:szCs w:val="21"/>
          <w:highlight w:val="none"/>
        </w:rPr>
        <w:t>政府采购活动，经与本单位法人代表（负责人）联系确认，现就有关公平竞争事项郑重声明如下：</w:t>
      </w:r>
    </w:p>
    <w:p w14:paraId="6411DB42">
      <w:pPr>
        <w:pStyle w:val="32"/>
        <w:widowControl/>
        <w:adjustRightInd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一、本单位与采购人之间 □不存在利害关系 □存在下列利害关系：</w:t>
      </w:r>
    </w:p>
    <w:p w14:paraId="7EEE8DCA">
      <w:pPr>
        <w:pStyle w:val="32"/>
        <w:widowControl/>
        <w:adjustRightInd w:val="0"/>
        <w:snapToGrid w:val="0"/>
        <w:spacing w:line="360" w:lineRule="auto"/>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p>
    <w:p w14:paraId="4A15B87A">
      <w:pPr>
        <w:pStyle w:val="32"/>
        <w:widowControl/>
        <w:adjustRightInd w:val="0"/>
        <w:snapToGrid w:val="0"/>
        <w:spacing w:line="360" w:lineRule="auto"/>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14:paraId="17D5EC3C">
      <w:pPr>
        <w:pStyle w:val="32"/>
        <w:widowControl/>
        <w:adjustRightInd w:val="0"/>
        <w:snapToGrid w:val="0"/>
        <w:spacing w:line="360" w:lineRule="auto"/>
        <w:ind w:firstLine="444"/>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二、</w:t>
      </w:r>
      <w:r>
        <w:rPr>
          <w:rFonts w:hint="eastAsia"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p>
    <w:p w14:paraId="3282011F">
      <w:pPr>
        <w:pStyle w:val="31"/>
        <w:spacing w:line="360" w:lineRule="auto"/>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A.法定代表人或负责人或实际控制人是同一人</w:t>
      </w:r>
    </w:p>
    <w:p w14:paraId="2088B3D4">
      <w:pPr>
        <w:pStyle w:val="31"/>
        <w:spacing w:line="360" w:lineRule="auto"/>
        <w:ind w:firstLine="420"/>
        <w:rPr>
          <w:rFonts w:hint="eastAsia" w:ascii="仿宋" w:hAnsi="仿宋" w:eastAsia="仿宋" w:cs="仿宋"/>
          <w:color w:val="auto"/>
          <w:spacing w:val="6"/>
          <w:szCs w:val="21"/>
          <w:highlight w:val="none"/>
        </w:rPr>
      </w:pPr>
      <w:r>
        <w:rPr>
          <w:rFonts w:hint="eastAsia" w:ascii="仿宋" w:hAnsi="仿宋" w:eastAsia="仿宋" w:cs="仿宋"/>
          <w:color w:val="auto"/>
          <w:kern w:val="0"/>
          <w:szCs w:val="21"/>
          <w:highlight w:val="none"/>
        </w:rPr>
        <w:t xml:space="preserve">  B.法定代表人或负责人或实际控制人是夫妻关系</w:t>
      </w:r>
    </w:p>
    <w:p w14:paraId="77A4296D">
      <w:pPr>
        <w:pStyle w:val="31"/>
        <w:spacing w:line="360" w:lineRule="auto"/>
        <w:ind w:firstLine="420"/>
        <w:rPr>
          <w:rFonts w:hint="eastAsia" w:ascii="仿宋" w:hAnsi="仿宋" w:eastAsia="仿宋" w:cs="仿宋"/>
          <w:color w:val="auto"/>
          <w:spacing w:val="6"/>
          <w:szCs w:val="21"/>
          <w:highlight w:val="none"/>
        </w:rPr>
      </w:pPr>
      <w:r>
        <w:rPr>
          <w:rFonts w:hint="eastAsia" w:ascii="仿宋" w:hAnsi="仿宋" w:eastAsia="仿宋" w:cs="仿宋"/>
          <w:color w:val="auto"/>
          <w:kern w:val="0"/>
          <w:szCs w:val="21"/>
          <w:highlight w:val="none"/>
        </w:rPr>
        <w:t xml:space="preserve">  C.法定代表人或负责人或实际控制人是直系血亲关系</w:t>
      </w:r>
    </w:p>
    <w:p w14:paraId="135FA717">
      <w:pPr>
        <w:pStyle w:val="31"/>
        <w:spacing w:line="360" w:lineRule="auto"/>
        <w:ind w:firstLine="420"/>
        <w:rPr>
          <w:rFonts w:hint="eastAsia" w:ascii="仿宋" w:hAnsi="仿宋" w:eastAsia="仿宋" w:cs="仿宋"/>
          <w:color w:val="auto"/>
          <w:spacing w:val="6"/>
          <w:szCs w:val="21"/>
          <w:highlight w:val="none"/>
        </w:rPr>
      </w:pPr>
      <w:r>
        <w:rPr>
          <w:rFonts w:hint="eastAsia" w:ascii="仿宋" w:hAnsi="仿宋" w:eastAsia="仿宋" w:cs="仿宋"/>
          <w:color w:val="auto"/>
          <w:kern w:val="0"/>
          <w:szCs w:val="21"/>
          <w:highlight w:val="none"/>
        </w:rPr>
        <w:t xml:space="preserve">  D.法定代表人或负责人或实际控制人存在三代以内旁系血亲关系</w:t>
      </w:r>
    </w:p>
    <w:p w14:paraId="3B43A2BD">
      <w:pPr>
        <w:pStyle w:val="31"/>
        <w:spacing w:line="360" w:lineRule="auto"/>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E.法定代表人或负责人或实际控制人存在近姻亲关系</w:t>
      </w:r>
    </w:p>
    <w:p w14:paraId="199EAEE5">
      <w:pPr>
        <w:pStyle w:val="31"/>
        <w:spacing w:line="360" w:lineRule="auto"/>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F.法定代表人或负责人或实际控制人存在股份控制或实际控制关系</w:t>
      </w:r>
    </w:p>
    <w:p w14:paraId="73E08E57">
      <w:pPr>
        <w:pStyle w:val="31"/>
        <w:spacing w:line="360" w:lineRule="auto"/>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G.存在共同直接或间接投资设立子公司、联营企业和合营企业情况</w:t>
      </w:r>
    </w:p>
    <w:p w14:paraId="5CCAAF86">
      <w:pPr>
        <w:pStyle w:val="31"/>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  H.存在分级代理或代销关系、同一生产制造商关系、</w:t>
      </w:r>
      <w:r>
        <w:rPr>
          <w:rFonts w:hint="eastAsia" w:ascii="仿宋" w:hAnsi="仿宋" w:eastAsia="仿宋" w:cs="仿宋"/>
          <w:color w:val="auto"/>
          <w:szCs w:val="21"/>
          <w:highlight w:val="none"/>
        </w:rPr>
        <w:t>管理关系、重要业务（占主营业务收入50%以上）或重要财务往来关系（如融资）等其他实质性控制关系</w:t>
      </w:r>
    </w:p>
    <w:p w14:paraId="60F9574B">
      <w:pPr>
        <w:pStyle w:val="31"/>
        <w:spacing w:line="360" w:lineRule="auto"/>
        <w:ind w:firstLine="420"/>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I</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其他利害关系情况</w:t>
      </w:r>
      <w:r>
        <w:rPr>
          <w:rFonts w:hint="eastAsia" w:ascii="仿宋" w:hAnsi="仿宋" w:eastAsia="仿宋" w:cs="仿宋"/>
          <w:color w:val="auto"/>
          <w:kern w:val="0"/>
          <w:szCs w:val="21"/>
          <w:highlight w:val="none"/>
        </w:rPr>
        <w:t>。</w:t>
      </w:r>
    </w:p>
    <w:p w14:paraId="24A79BBD">
      <w:pPr>
        <w:pStyle w:val="32"/>
        <w:widowControl/>
        <w:adjustRightInd w:val="0"/>
        <w:snapToGrid w:val="0"/>
        <w:spacing w:line="360" w:lineRule="auto"/>
        <w:ind w:left="397"/>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三、现已清楚知道并</w:t>
      </w:r>
      <w:r>
        <w:rPr>
          <w:rFonts w:hint="eastAsia" w:ascii="仿宋" w:hAnsi="仿宋" w:eastAsia="仿宋" w:cs="仿宋"/>
          <w:color w:val="auto"/>
          <w:kern w:val="0"/>
          <w:szCs w:val="21"/>
          <w:highlight w:val="none"/>
        </w:rPr>
        <w:t>严格遵守政府采购法律法规和现场纪律。</w:t>
      </w:r>
    </w:p>
    <w:p w14:paraId="63349FBB">
      <w:pPr>
        <w:pStyle w:val="32"/>
        <w:widowControl/>
        <w:adjustRightInd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四、我发现</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项利害关系。</w:t>
      </w:r>
    </w:p>
    <w:p w14:paraId="14D4AB4B">
      <w:pPr>
        <w:pStyle w:val="32"/>
        <w:widowControl/>
        <w:adjustRightInd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五、经检查确认所有投标人投标文件□不存在密封包装问题  □存在密封包装问题（具体指出）</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w:t>
      </w:r>
    </w:p>
    <w:p w14:paraId="3AAF8736">
      <w:pPr>
        <w:pStyle w:val="32"/>
        <w:widowControl/>
        <w:adjustRightInd w:val="0"/>
        <w:snapToGrid w:val="0"/>
        <w:spacing w:line="360" w:lineRule="auto"/>
        <w:ind w:firstLine="420"/>
        <w:rPr>
          <w:rFonts w:hint="eastAsia" w:ascii="仿宋" w:hAnsi="仿宋" w:eastAsia="仿宋" w:cs="仿宋"/>
          <w:color w:val="auto"/>
          <w:kern w:val="0"/>
          <w:szCs w:val="21"/>
          <w:highlight w:val="none"/>
        </w:rPr>
      </w:pPr>
    </w:p>
    <w:p w14:paraId="2D45005A">
      <w:pPr>
        <w:pStyle w:val="31"/>
        <w:spacing w:line="360" w:lineRule="auto"/>
        <w:ind w:firstLine="42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供应商代表签名</w:t>
      </w:r>
      <w:r>
        <w:rPr>
          <w:rFonts w:hint="eastAsia" w:ascii="仿宋" w:hAnsi="仿宋" w:eastAsia="仿宋" w:cs="仿宋"/>
          <w:color w:val="auto"/>
          <w:szCs w:val="21"/>
          <w:highlight w:val="none"/>
          <w:lang w:eastAsia="zh-CN"/>
        </w:rPr>
        <w:t>：</w:t>
      </w:r>
    </w:p>
    <w:p w14:paraId="6EF775D1">
      <w:pPr>
        <w:spacing w:before="50" w:after="50" w:line="360" w:lineRule="auto"/>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                                                        年  月  日</w:t>
      </w:r>
    </w:p>
    <w:p w14:paraId="5C5957FF">
      <w:pPr>
        <w:pStyle w:val="31"/>
        <w:spacing w:line="500" w:lineRule="exact"/>
        <w:ind w:firstLine="482"/>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注：开标截止投标文件解密后务必将《政府采购活动现场确认声明书》填写完并签名，扫描件发送至项目联系人邮箱（</w:t>
      </w:r>
      <w:r>
        <w:rPr>
          <w:rFonts w:hint="eastAsia" w:ascii="仿宋" w:hAnsi="仿宋" w:eastAsia="仿宋" w:cs="仿宋"/>
          <w:b/>
          <w:color w:val="auto"/>
          <w:sz w:val="24"/>
          <w:szCs w:val="24"/>
          <w:highlight w:val="none"/>
          <w:lang w:val="en-US" w:eastAsia="zh-CN"/>
        </w:rPr>
        <w:t>349413365</w:t>
      </w:r>
      <w:r>
        <w:rPr>
          <w:rFonts w:hint="eastAsia" w:ascii="仿宋" w:hAnsi="仿宋" w:eastAsia="仿宋" w:cs="仿宋"/>
          <w:b/>
          <w:color w:val="auto"/>
          <w:sz w:val="24"/>
          <w:szCs w:val="24"/>
          <w:highlight w:val="none"/>
        </w:rPr>
        <w:t>@qq.com）。</w:t>
      </w:r>
    </w:p>
    <w:p w14:paraId="5AF43320">
      <w:pPr>
        <w:pStyle w:val="2"/>
        <w:rPr>
          <w:color w:val="auto"/>
          <w:highlight w:val="none"/>
        </w:rPr>
      </w:pPr>
    </w:p>
    <w:p w14:paraId="639A8963">
      <w:pPr>
        <w:pStyle w:val="18"/>
        <w:rPr>
          <w:rFonts w:hint="eastAsia"/>
          <w:color w:val="auto"/>
        </w:rPr>
      </w:pPr>
    </w:p>
    <w:p w14:paraId="0B6BBEE2">
      <w:pPr>
        <w:pStyle w:val="18"/>
        <w:rPr>
          <w:color w:val="auto"/>
        </w:rPr>
      </w:pPr>
    </w:p>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7AF3B">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A31A8">
    <w:pPr>
      <w:pStyle w:val="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5F67A">
    <w:pPr>
      <w:pStyle w:val="9"/>
      <w:framePr w:wrap="around" w:vAnchor="text" w:hAnchor="margin" w:xAlign="right" w:y="1"/>
      <w:rPr>
        <w:rStyle w:val="16"/>
      </w:rPr>
    </w:pPr>
    <w:r>
      <w:fldChar w:fldCharType="begin"/>
    </w:r>
    <w:r>
      <w:rPr>
        <w:rStyle w:val="16"/>
      </w:rPr>
      <w:instrText xml:space="preserve">PAGE  </w:instrText>
    </w:r>
    <w:r>
      <w:fldChar w:fldCharType="end"/>
    </w:r>
  </w:p>
  <w:p w14:paraId="2698B515">
    <w:pPr>
      <w:pStyle w:val="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D02D3">
    <w:pPr>
      <w:pStyle w:val="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3" w:name="_Toc131845147"/>
    <w:bookmarkStart w:id="404" w:name="_Toc164085800"/>
    <w:bookmarkStart w:id="405" w:name="_Toc36110187"/>
    <w:bookmarkStart w:id="406" w:name="_Toc91899912"/>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ABAF7">
    <w:pPr>
      <w:pStyle w:val="9"/>
      <w:framePr w:wrap="around" w:vAnchor="text" w:hAnchor="margin" w:xAlign="right" w:y="1"/>
      <w:rPr>
        <w:rStyle w:val="16"/>
      </w:rPr>
    </w:pPr>
    <w:r>
      <w:fldChar w:fldCharType="begin"/>
    </w:r>
    <w:r>
      <w:rPr>
        <w:rStyle w:val="16"/>
      </w:rPr>
      <w:instrText xml:space="preserve">PAGE  </w:instrText>
    </w:r>
    <w:r>
      <w:fldChar w:fldCharType="end"/>
    </w:r>
  </w:p>
  <w:p w14:paraId="5A2413DC">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CD0CD">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C63ED">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E68F31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0197D">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C18716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A339D">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1987FF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0FC1A">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685C0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5753E">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416FA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49A53">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C7EF67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158BA">
    <w:pPr>
      <w:pStyle w:val="10"/>
      <w:pBdr>
        <w:bottom w:val="single" w:color="auto" w:sz="6" w:space="4"/>
      </w:pBdr>
      <w:jc w:val="right"/>
      <w:rPr>
        <w:rFonts w:hint="eastAsia"/>
      </w:rPr>
    </w:pPr>
    <w:r>
      <w:t></w:t>
    </w:r>
    <w:r>
      <w:rPr>
        <w:rFonts w:hint="eastAsia"/>
      </w:rPr>
      <w:t xml:space="preserve">       </w:t>
    </w:r>
  </w:p>
  <w:p w14:paraId="49ED632C">
    <w:pPr>
      <w:pStyle w:val="10"/>
      <w:pBdr>
        <w:bottom w:val="single" w:color="auto" w:sz="6" w:space="4"/>
      </w:pBdr>
      <w:jc w:val="right"/>
    </w:pPr>
    <w:r>
      <w:rPr>
        <w:rFonts w:hint="eastAsia"/>
      </w:rPr>
      <w:t xml:space="preserve">      </w:t>
    </w:r>
    <w:r>
      <w:t>杭州市政府采购公开招标文件</w:t>
    </w:r>
  </w:p>
  <w:p w14:paraId="6ED68FFF">
    <w:pPr>
      <w:pStyle w:val="1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8C16D">
    <w:pPr>
      <w:pStyle w:val="1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0A9B6">
    <w:pPr>
      <w:pStyle w:val="1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82F9">
    <w:pPr>
      <w:pStyle w:val="10"/>
      <w:rPr>
        <w:rFonts w:ascii="仿宋_GB2312" w:eastAsia="仿宋_GB2312"/>
        <w:b/>
        <w:i/>
        <w:u w:val="single"/>
      </w:rPr>
    </w:pPr>
    <w:r>
      <w:t></w:t>
    </w:r>
    <w:r>
      <w:rPr>
        <w:rFonts w:hint="eastAsia"/>
      </w:rPr>
      <w:t xml:space="preserve">                                                  </w:t>
    </w:r>
    <w:r>
      <w:t xml:space="preserve">             杭州市政府采购公开招标文件</w:t>
    </w:r>
  </w:p>
  <w:p w14:paraId="19825F8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3323">
    <w:pPr>
      <w:pStyle w:val="10"/>
    </w:pPr>
    <w:r>
      <w:t></w:t>
    </w:r>
    <w:r>
      <w:rPr>
        <w:rFonts w:hint="eastAsia"/>
      </w:rPr>
      <w:t xml:space="preserve">         </w:t>
    </w:r>
  </w:p>
  <w:p w14:paraId="00FA27F6">
    <w:pPr>
      <w:pStyle w:val="1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B41C1">
    <w:pPr>
      <w:pStyle w:val="10"/>
      <w:rPr>
        <w:rFonts w:ascii="仿宋_GB2312" w:eastAsia="仿宋_GB2312"/>
        <w:b/>
        <w:i/>
        <w:u w:val="single"/>
      </w:rPr>
    </w:pPr>
    <w:r>
      <w:t></w:t>
    </w:r>
    <w:r>
      <w:rPr>
        <w:rFonts w:hint="eastAsia"/>
      </w:rPr>
      <w:t xml:space="preserve">                                                  </w:t>
    </w:r>
    <w:r>
      <w:t>杭州市政府采购公开招标文件</w:t>
    </w:r>
  </w:p>
  <w:p w14:paraId="0D5AE91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BD79A">
    <w:pPr>
      <w:pStyle w:val="1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2B7BA">
    <w:pPr>
      <w:pStyle w:val="10"/>
      <w:jc w:val="right"/>
      <w:rPr>
        <w:rFonts w:ascii="仿宋_GB2312" w:eastAsia="仿宋_GB2312"/>
        <w:b/>
        <w:i/>
        <w:u w:val="single"/>
      </w:rPr>
    </w:pPr>
    <w:r>
      <w:rPr>
        <w:rFonts w:hint="eastAsia"/>
      </w:rPr>
      <w:t xml:space="preserve">                                  </w:t>
    </w:r>
    <w:r>
      <w:t>杭州市政府采购公开招标文件</w:t>
    </w:r>
  </w:p>
  <w:p w14:paraId="3C127D8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55259">
    <w:pPr>
      <w:pStyle w:val="10"/>
      <w:jc w:val="right"/>
    </w:pPr>
    <w:r>
      <w:rPr>
        <w:rFonts w:hint="eastAsia"/>
      </w:rPr>
      <w:t xml:space="preserve">                                                                                  </w:t>
    </w:r>
    <w:r>
      <w:rPr>
        <w:rFonts w:hint="eastAsia"/>
        <w:lang w:val="en-US" w:eastAsia="zh-CN"/>
      </w:rPr>
      <w:t>杭州</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76B13">
    <w:pPr>
      <w:pStyle w:val="1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10D34"/>
    <w:multiLevelType w:val="singleLevel"/>
    <w:tmpl w:val="8CC10D34"/>
    <w:lvl w:ilvl="0" w:tentative="0">
      <w:start w:val="1"/>
      <w:numFmt w:val="decimal"/>
      <w:suff w:val="nothing"/>
      <w:lvlText w:val="（%1）"/>
      <w:lvlJc w:val="left"/>
    </w:lvl>
  </w:abstractNum>
  <w:abstractNum w:abstractNumId="1">
    <w:nsid w:val="72FF3CC6"/>
    <w:multiLevelType w:val="singleLevel"/>
    <w:tmpl w:val="72FF3CC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VhMDdmZDEwMjgyMWFiYTA2NDA1YmFlYzNhOTUifQ=="/>
  </w:docVars>
  <w:rsids>
    <w:rsidRoot w:val="1EE8242C"/>
    <w:rsid w:val="020E7287"/>
    <w:rsid w:val="039B79C2"/>
    <w:rsid w:val="04241B1D"/>
    <w:rsid w:val="04C63EDF"/>
    <w:rsid w:val="058559B4"/>
    <w:rsid w:val="0586090B"/>
    <w:rsid w:val="06EC048E"/>
    <w:rsid w:val="0DE80AB1"/>
    <w:rsid w:val="0E9819C4"/>
    <w:rsid w:val="136749A1"/>
    <w:rsid w:val="19795207"/>
    <w:rsid w:val="19A846E9"/>
    <w:rsid w:val="1A8F2189"/>
    <w:rsid w:val="1A930C6C"/>
    <w:rsid w:val="1AD47590"/>
    <w:rsid w:val="1CFD15B8"/>
    <w:rsid w:val="1E3019C4"/>
    <w:rsid w:val="1EE8242C"/>
    <w:rsid w:val="1FB320DF"/>
    <w:rsid w:val="214D6116"/>
    <w:rsid w:val="23C3548B"/>
    <w:rsid w:val="2C2E36D8"/>
    <w:rsid w:val="2D066EE5"/>
    <w:rsid w:val="2F285D03"/>
    <w:rsid w:val="312D5866"/>
    <w:rsid w:val="323E55F6"/>
    <w:rsid w:val="342B6765"/>
    <w:rsid w:val="359210E3"/>
    <w:rsid w:val="360C62D3"/>
    <w:rsid w:val="364E7873"/>
    <w:rsid w:val="39B841B8"/>
    <w:rsid w:val="3AC10B88"/>
    <w:rsid w:val="401E0FC4"/>
    <w:rsid w:val="41141810"/>
    <w:rsid w:val="41595DAA"/>
    <w:rsid w:val="439C4A45"/>
    <w:rsid w:val="49CD56E2"/>
    <w:rsid w:val="4D8865F4"/>
    <w:rsid w:val="4DFF103F"/>
    <w:rsid w:val="4E28166C"/>
    <w:rsid w:val="4ECA053E"/>
    <w:rsid w:val="4EDE4703"/>
    <w:rsid w:val="4EE80403"/>
    <w:rsid w:val="4F5E6305"/>
    <w:rsid w:val="50A56F87"/>
    <w:rsid w:val="562E10D9"/>
    <w:rsid w:val="562E26A1"/>
    <w:rsid w:val="57C32F11"/>
    <w:rsid w:val="58C46118"/>
    <w:rsid w:val="58DF417D"/>
    <w:rsid w:val="59F56F6B"/>
    <w:rsid w:val="5B4011B8"/>
    <w:rsid w:val="5D69388A"/>
    <w:rsid w:val="5FA500FF"/>
    <w:rsid w:val="633E0ED4"/>
    <w:rsid w:val="63FE3603"/>
    <w:rsid w:val="64641FF7"/>
    <w:rsid w:val="65E16DC4"/>
    <w:rsid w:val="676F7DE5"/>
    <w:rsid w:val="67981C3C"/>
    <w:rsid w:val="68203558"/>
    <w:rsid w:val="6BDC0FE4"/>
    <w:rsid w:val="6FAC1D2C"/>
    <w:rsid w:val="71EA5035"/>
    <w:rsid w:val="72560454"/>
    <w:rsid w:val="76981003"/>
    <w:rsid w:val="77792F25"/>
    <w:rsid w:val="77E87229"/>
    <w:rsid w:val="7B256015"/>
    <w:rsid w:val="7D802081"/>
    <w:rsid w:val="7E590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pPr>
    <w:rPr>
      <w:rFonts w:hAnsi="Calibri" w:cs="Times New Roman"/>
      <w:snapToGrid/>
      <w:szCs w:val="20"/>
    </w:rPr>
  </w:style>
  <w:style w:type="paragraph" w:styleId="3">
    <w:name w:val="Body Text"/>
    <w:basedOn w:val="1"/>
    <w:autoRedefine/>
    <w:qFormat/>
    <w:uiPriority w:val="0"/>
    <w:pPr>
      <w:autoSpaceDE w:val="0"/>
      <w:autoSpaceDN w:val="0"/>
      <w:spacing w:line="360" w:lineRule="auto"/>
    </w:pPr>
    <w:rPr>
      <w:rFonts w:ascii="宋体" w:hAnsi="Arial" w:cs="Arial"/>
      <w:snapToGrid w:val="0"/>
      <w:sz w:val="24"/>
      <w:szCs w:val="21"/>
      <w:lang w:val="zh-CN"/>
    </w:rPr>
  </w:style>
  <w:style w:type="paragraph" w:styleId="5">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Document Map"/>
    <w:basedOn w:val="1"/>
    <w:autoRedefine/>
    <w:qFormat/>
    <w:uiPriority w:val="0"/>
    <w:pPr>
      <w:shd w:val="clear" w:color="auto" w:fill="000080"/>
    </w:pPr>
  </w:style>
  <w:style w:type="paragraph" w:styleId="7">
    <w:name w:val="Body Text Indent"/>
    <w:basedOn w:val="1"/>
    <w:autoRedefine/>
    <w:qFormat/>
    <w:uiPriority w:val="0"/>
    <w:pPr>
      <w:spacing w:line="480" w:lineRule="exact"/>
      <w:ind w:firstLine="480" w:firstLineChars="200"/>
    </w:pPr>
    <w:rPr>
      <w:rFonts w:ascii="宋体" w:hAnsi="宋体"/>
      <w:sz w:val="24"/>
    </w:rPr>
  </w:style>
  <w:style w:type="paragraph" w:styleId="8">
    <w:name w:val="Plain Text"/>
    <w:basedOn w:val="1"/>
    <w:autoRedefine/>
    <w:qFormat/>
    <w:uiPriority w:val="0"/>
    <w:rPr>
      <w:rFonts w:ascii="宋体" w:hAnsi="Courier New" w:cs="Arial"/>
      <w:snapToGrid w:val="0"/>
      <w:szCs w:val="21"/>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12">
    <w:name w:val="Body Text First Indent 2"/>
    <w:basedOn w:val="7"/>
    <w:autoRedefine/>
    <w:qFormat/>
    <w:uiPriority w:val="0"/>
    <w:pPr>
      <w:adjustRightInd/>
      <w:spacing w:after="120" w:line="240" w:lineRule="auto"/>
      <w:ind w:left="420" w:leftChars="200" w:firstLine="210"/>
    </w:pPr>
    <w:rPr>
      <w:sz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rPr>
      <w:rFonts w:ascii="Arial" w:hAnsi="Arial" w:eastAsia="黑体" w:cs="Arial"/>
      <w:snapToGrid w:val="0"/>
      <w:kern w:val="0"/>
      <w:szCs w:val="21"/>
    </w:rPr>
  </w:style>
  <w:style w:type="character" w:styleId="17">
    <w:name w:val="Hyperlink"/>
    <w:autoRedefine/>
    <w:qFormat/>
    <w:uiPriority w:val="99"/>
    <w:rPr>
      <w:rFonts w:ascii="Arial" w:hAnsi="Arial" w:eastAsia="黑体" w:cs="Arial"/>
      <w:snapToGrid w:val="0"/>
      <w:color w:val="000000"/>
      <w:kern w:val="0"/>
      <w:sz w:val="18"/>
      <w:szCs w:val="18"/>
      <w:u w:val="none"/>
    </w:rPr>
  </w:style>
  <w:style w:type="paragraph" w:customStyle="1" w:styleId="18">
    <w:name w:val="正文空2字"/>
    <w:basedOn w:val="1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9">
    <w:name w:val="左对齐正文"/>
    <w:qFormat/>
    <w:uiPriority w:val="99"/>
    <w:rPr>
      <w:rFonts w:ascii="Calibri" w:hAnsi="Calibri" w:eastAsia="仿宋_GB2312" w:cs="Calibri"/>
      <w:kern w:val="2"/>
      <w:sz w:val="32"/>
      <w:szCs w:val="32"/>
      <w:lang w:val="en-US" w:eastAsia="zh-CN" w:bidi="ar-SA"/>
    </w:rPr>
  </w:style>
  <w:style w:type="paragraph" w:customStyle="1" w:styleId="20">
    <w:name w:val="正文1"/>
    <w:basedOn w:val="6"/>
    <w:next w:val="1"/>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1">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2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6">
    <w:name w:val="纯文本_0_0"/>
    <w:basedOn w:val="27"/>
    <w:autoRedefine/>
    <w:qFormat/>
    <w:uiPriority w:val="0"/>
    <w:rPr>
      <w:rFonts w:ascii="宋体" w:hAnsi="Courier New"/>
      <w:szCs w:val="21"/>
    </w:rPr>
  </w:style>
  <w:style w:type="paragraph" w:customStyle="1" w:styleId="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9">
    <w:name w:val="p0"/>
    <w:basedOn w:val="1"/>
    <w:autoRedefine/>
    <w:unhideWhenUsed/>
    <w:qFormat/>
    <w:uiPriority w:val="0"/>
    <w:pPr>
      <w:widowControl/>
    </w:pPr>
    <w:rPr>
      <w:rFonts w:hint="eastAsia"/>
    </w:rPr>
  </w:style>
  <w:style w:type="paragraph" w:customStyle="1" w:styleId="30">
    <w:name w:val="索引 11"/>
    <w:basedOn w:val="1"/>
    <w:next w:val="1"/>
    <w:qFormat/>
    <w:uiPriority w:val="99"/>
    <w:pPr>
      <w:adjustRightInd/>
      <w:spacing w:line="360" w:lineRule="auto"/>
    </w:pPr>
    <w:rPr>
      <w:rFonts w:ascii="仿宋_GB2312" w:eastAsia="仿宋_GB2312"/>
      <w:sz w:val="24"/>
      <w:szCs w:val="20"/>
    </w:rPr>
  </w:style>
  <w:style w:type="paragraph" w:customStyle="1" w:styleId="31">
    <w:name w:val="纯文本5"/>
    <w:basedOn w:val="1"/>
    <w:qFormat/>
    <w:uiPriority w:val="0"/>
    <w:pPr>
      <w:snapToGrid w:val="0"/>
      <w:spacing w:line="288" w:lineRule="auto"/>
      <w:ind w:firstLine="200" w:firstLineChars="200"/>
      <w:textAlignment w:val="baseline"/>
    </w:pPr>
    <w:rPr>
      <w:rFonts w:ascii="Calibri Light" w:hAnsi="Calibri Light"/>
      <w:szCs w:val="20"/>
    </w:rPr>
  </w:style>
  <w:style w:type="paragraph" w:customStyle="1" w:styleId="32">
    <w:name w:val="正文8"/>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3274</Words>
  <Characters>3751</Characters>
  <Lines>0</Lines>
  <Paragraphs>0</Paragraphs>
  <TotalTime>64</TotalTime>
  <ScaleCrop>false</ScaleCrop>
  <LinksUpToDate>false</LinksUpToDate>
  <CharactersWithSpaces>3941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2023-03-22T07:01:00Z</dcterms:created>
  <dc:creator>liulu</dc:creator>
  <cp:lastModifiedBy>刘影乔</cp:lastModifiedBy>
  <dcterms:modified xsi:type="dcterms:W3CDTF">2024-12-19T02:16:49Z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92030783299E41B9989E4BDE4A4DD008_13</vt:lpwstr>
  </property>
  <property fmtid="{D5CDD505-2E9C-101B-9397-08002B2CF9AE}" pid="4" name="KSOTemplateDocerSaveRecord">
    <vt:lpwstr>eyJoZGlkIjoiMjQxYmVhMDdmZDEwMjgyMWFiYTA2NDA1YmFlYzNhOTUiLCJ1c2VySWQiOiIxNTIzMzk4ODUxIn0=</vt:lpwstr>
  </property>
</Properties>
</file>